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322B8" w14:textId="77777777" w:rsidR="009D5782" w:rsidRPr="00E559C0" w:rsidRDefault="009D5782" w:rsidP="009D5782">
      <w:pPr>
        <w:spacing w:line="360" w:lineRule="auto"/>
        <w:rPr>
          <w:rFonts w:asciiTheme="minorHAnsi" w:hAnsiTheme="minorHAnsi" w:cstheme="minorHAnsi"/>
          <w:b/>
          <w:bCs/>
        </w:rPr>
      </w:pPr>
      <w:r w:rsidRPr="00E559C0">
        <w:rPr>
          <w:rFonts w:asciiTheme="minorHAnsi" w:hAnsiTheme="minorHAnsi" w:cstheme="minorHAnsi"/>
          <w:b/>
          <w:bCs/>
        </w:rPr>
        <w:t>Theological Analysis of Cyril’s ‘</w:t>
      </w:r>
      <w:r w:rsidRPr="00E559C0">
        <w:rPr>
          <w:rFonts w:asciiTheme="minorHAnsi" w:hAnsiTheme="minorHAnsi" w:cstheme="minorHAnsi"/>
          <w:b/>
          <w:bCs/>
          <w:i/>
        </w:rPr>
        <w:t>On the Unity of Christ’</w:t>
      </w:r>
      <w:r w:rsidRPr="00E559C0">
        <w:rPr>
          <w:rFonts w:asciiTheme="minorHAnsi" w:hAnsiTheme="minorHAnsi" w:cstheme="minorHAnsi"/>
          <w:b/>
          <w:bCs/>
        </w:rPr>
        <w:t xml:space="preserve"> </w:t>
      </w:r>
    </w:p>
    <w:p w14:paraId="64D7F25D" w14:textId="77777777" w:rsidR="009D5782" w:rsidRPr="00E559C0" w:rsidRDefault="009D5782" w:rsidP="009D5782">
      <w:pPr>
        <w:spacing w:line="360" w:lineRule="auto"/>
        <w:rPr>
          <w:rFonts w:asciiTheme="minorHAnsi" w:hAnsiTheme="minorHAnsi" w:cstheme="minorHAnsi"/>
          <w:b/>
          <w:bCs/>
        </w:rPr>
      </w:pPr>
      <w:r w:rsidRPr="00E559C0">
        <w:rPr>
          <w:rFonts w:asciiTheme="minorHAnsi" w:hAnsiTheme="minorHAnsi" w:cstheme="minorHAnsi"/>
          <w:b/>
          <w:bCs/>
        </w:rPr>
        <w:t xml:space="preserve">                                                                                                               Student number 2234893</w:t>
      </w:r>
    </w:p>
    <w:p w14:paraId="4B79CE00" w14:textId="77777777" w:rsidR="009D5782" w:rsidRPr="00E559C0" w:rsidRDefault="009D5782" w:rsidP="009D5782">
      <w:pPr>
        <w:spacing w:line="360" w:lineRule="auto"/>
        <w:rPr>
          <w:rFonts w:asciiTheme="minorHAnsi" w:hAnsiTheme="minorHAnsi" w:cstheme="minorHAnsi"/>
          <w:b/>
          <w:bCs/>
        </w:rPr>
      </w:pPr>
      <w:r w:rsidRPr="00E559C0">
        <w:rPr>
          <w:rFonts w:asciiTheme="minorHAnsi" w:hAnsiTheme="minorHAnsi" w:cstheme="minorHAnsi"/>
          <w:b/>
          <w:bCs/>
        </w:rPr>
        <w:t>Introduction</w:t>
      </w:r>
    </w:p>
    <w:p w14:paraId="1AE0A547"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noProof/>
          <w:lang w:val="en-GB" w:eastAsia="en-GB"/>
        </w:rPr>
        <w:drawing>
          <wp:anchor distT="0" distB="0" distL="0" distR="0" simplePos="0" relativeHeight="251659264" behindDoc="0" locked="0" layoutInCell="1" allowOverlap="1" wp14:anchorId="4FEB52E5" wp14:editId="11D7EE24">
            <wp:simplePos x="0" y="0"/>
            <wp:positionH relativeFrom="column">
              <wp:posOffset>5380990</wp:posOffset>
            </wp:positionH>
            <wp:positionV relativeFrom="paragraph">
              <wp:posOffset>1166495</wp:posOffset>
            </wp:positionV>
            <wp:extent cx="40640" cy="27940"/>
            <wp:effectExtent l="0" t="0" r="0" b="0"/>
            <wp:wrapNone/>
            <wp:docPr id="1" name="In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k 6"/>
                    <pic:cNvPicPr>
                      <a:picLocks noChangeAspect="1" noChangeArrowheads="1"/>
                    </pic:cNvPicPr>
                  </pic:nvPicPr>
                  <pic:blipFill>
                    <a:blip r:embed="rId6"/>
                    <a:stretch>
                      <a:fillRect/>
                    </a:stretch>
                  </pic:blipFill>
                  <pic:spPr bwMode="auto">
                    <a:xfrm>
                      <a:off x="0" y="0"/>
                      <a:ext cx="40640" cy="27940"/>
                    </a:xfrm>
                    <a:prstGeom prst="rect">
                      <a:avLst/>
                    </a:prstGeom>
                  </pic:spPr>
                </pic:pic>
              </a:graphicData>
            </a:graphic>
          </wp:anchor>
        </w:drawing>
      </w:r>
      <w:r w:rsidRPr="00E559C0">
        <w:rPr>
          <w:rFonts w:asciiTheme="minorHAnsi" w:hAnsiTheme="minorHAnsi" w:cstheme="minorHAnsi"/>
        </w:rPr>
        <w:t xml:space="preserve">Cyril, the Archbishop of Alexandria was profoundly known for his work, primarily focused on Christology. He is famous for the part he played in speaking out for the authentic tradition of Christianity in the midst of several heresies. One of the most prominent of the heresies was the Nestorian controversy, centered on the person of Jesus Christ. The Nestorian doctrine of Christ, referred to ‘’Two Sons’’ one the Son of God and the other the Son of Man. </w:t>
      </w:r>
    </w:p>
    <w:p w14:paraId="37314F03" w14:textId="77777777" w:rsidR="009D5782" w:rsidRDefault="009D5782" w:rsidP="009D5782">
      <w:pPr>
        <w:spacing w:line="360" w:lineRule="auto"/>
        <w:rPr>
          <w:rFonts w:asciiTheme="minorHAnsi" w:hAnsiTheme="minorHAnsi" w:cstheme="minorHAnsi"/>
        </w:rPr>
      </w:pPr>
      <w:r w:rsidRPr="00E559C0">
        <w:rPr>
          <w:rFonts w:asciiTheme="minorHAnsi" w:hAnsiTheme="minorHAnsi" w:cstheme="minorHAnsi"/>
        </w:rPr>
        <w:t>Cyril felt there was need for clarity and strong doctrinal position to preserve the unity of the Christian faith.</w:t>
      </w:r>
      <w:r w:rsidRPr="00E559C0">
        <w:rPr>
          <w:rStyle w:val="FootnoteReference"/>
          <w:rFonts w:asciiTheme="minorHAnsi" w:hAnsiTheme="minorHAnsi" w:cstheme="minorHAnsi"/>
          <w:color w:val="000000"/>
          <w:shd w:val="clear" w:color="auto" w:fill="FAFAFA"/>
        </w:rPr>
        <w:footnoteReference w:id="1"/>
      </w:r>
      <w:r w:rsidRPr="00E559C0">
        <w:rPr>
          <w:rFonts w:asciiTheme="minorHAnsi" w:hAnsiTheme="minorHAnsi" w:cstheme="minorHAnsi"/>
        </w:rPr>
        <w:t>In his thesis ‘</w:t>
      </w:r>
      <w:r w:rsidRPr="00E559C0">
        <w:rPr>
          <w:rFonts w:asciiTheme="minorHAnsi" w:hAnsiTheme="minorHAnsi" w:cstheme="minorHAnsi"/>
          <w:i/>
          <w:iCs/>
        </w:rPr>
        <w:t>On the Unity of Christ’</w:t>
      </w:r>
      <w:r w:rsidRPr="00E559C0">
        <w:rPr>
          <w:rFonts w:asciiTheme="minorHAnsi" w:hAnsiTheme="minorHAnsi" w:cstheme="minorHAnsi"/>
        </w:rPr>
        <w:t>, Cyril centered his main argument on unitive Christology. He proclaims Jesus is truly divine and truly human as one whole and undivided person. Christ is one person with two natures, the nature of God and the nature of man.</w:t>
      </w:r>
      <w:r w:rsidRPr="00E559C0">
        <w:rPr>
          <w:rStyle w:val="FootnoteReference"/>
          <w:rFonts w:asciiTheme="minorHAnsi" w:hAnsiTheme="minorHAnsi" w:cstheme="minorHAnsi"/>
          <w:color w:val="000000"/>
          <w:shd w:val="clear" w:color="auto" w:fill="FAFAFA"/>
        </w:rPr>
        <w:footnoteReference w:id="2"/>
      </w:r>
    </w:p>
    <w:p w14:paraId="79B10519" w14:textId="77777777" w:rsidR="009D5782" w:rsidRPr="00E559C0" w:rsidRDefault="009D5782" w:rsidP="009D5782">
      <w:pPr>
        <w:spacing w:line="360" w:lineRule="auto"/>
        <w:rPr>
          <w:rFonts w:asciiTheme="minorHAnsi" w:hAnsiTheme="minorHAnsi" w:cstheme="minorHAnsi"/>
          <w:color w:val="000000"/>
          <w:shd w:val="clear" w:color="auto" w:fill="FAFAFA"/>
        </w:rPr>
      </w:pPr>
      <w:r>
        <w:rPr>
          <w:rFonts w:asciiTheme="minorHAnsi" w:hAnsiTheme="minorHAnsi" w:cstheme="minorHAnsi"/>
          <w:color w:val="000000"/>
          <w:shd w:val="clear" w:color="auto" w:fill="FAFAFA"/>
        </w:rPr>
        <w:t>Dictionary definition of the word ‘Unity’ is the state or fact of being united or combined into one, as the parts of a whole; unification’</w:t>
      </w:r>
      <w:r>
        <w:rPr>
          <w:rStyle w:val="FootnoteReference"/>
          <w:rFonts w:asciiTheme="minorHAnsi" w:hAnsiTheme="minorHAnsi" w:cstheme="minorHAnsi"/>
          <w:color w:val="000000"/>
          <w:shd w:val="clear" w:color="auto" w:fill="FAFAFA"/>
        </w:rPr>
        <w:footnoteReference w:id="3"/>
      </w:r>
    </w:p>
    <w:p w14:paraId="171D7636"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color w:val="474747"/>
        </w:rPr>
        <w:t xml:space="preserve"> Cyril presented h</w:t>
      </w:r>
      <w:r w:rsidRPr="00E559C0">
        <w:rPr>
          <w:rFonts w:asciiTheme="minorHAnsi" w:hAnsiTheme="minorHAnsi" w:cstheme="minorHAnsi"/>
        </w:rPr>
        <w:t>is writing in a dialogue format as if speaker A is conversing or debating with someone else, speaker B. This was done to explore the underlying beliefs that shape the views of the other person with the aim of addressing wrong beliefs. He states, ‘‘Come, let us investigate the divine and sacred scripture and let us seek the solution there’’.</w:t>
      </w:r>
      <w:r w:rsidRPr="00E559C0">
        <w:rPr>
          <w:rStyle w:val="FootnoteAnchor"/>
          <w:rFonts w:asciiTheme="minorHAnsi" w:hAnsiTheme="minorHAnsi" w:cstheme="minorHAnsi"/>
        </w:rPr>
        <w:footnoteReference w:id="4"/>
      </w:r>
    </w:p>
    <w:p w14:paraId="604CBF45"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Cyril made clear the intention of his writing, which was clearly to address the heretic Christological teachings of Nestorius. Using several variations, he tries to elaborate an </w:t>
      </w:r>
      <w:r w:rsidRPr="00E559C0">
        <w:rPr>
          <w:rFonts w:asciiTheme="minorHAnsi" w:hAnsiTheme="minorHAnsi" w:cstheme="minorHAnsi"/>
        </w:rPr>
        <w:lastRenderedPageBreak/>
        <w:t>argument. This style according to Morgan, represents his theological maturity. Reading his work, ‘one can sense the spirit of passion and dedication to his belief.’</w:t>
      </w:r>
      <w:r w:rsidRPr="00E559C0">
        <w:rPr>
          <w:rStyle w:val="FootnoteAnchor"/>
          <w:rFonts w:asciiTheme="minorHAnsi" w:hAnsiTheme="minorHAnsi" w:cstheme="minorHAnsi"/>
        </w:rPr>
        <w:footnoteReference w:id="5"/>
      </w:r>
      <w:r w:rsidRPr="00E559C0">
        <w:rPr>
          <w:rFonts w:asciiTheme="minorHAnsi" w:hAnsiTheme="minorHAnsi" w:cstheme="minorHAnsi"/>
        </w:rPr>
        <w:t xml:space="preserve"> </w:t>
      </w:r>
    </w:p>
    <w:p w14:paraId="7B52A91B"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He argued in favor of the name ‘</w:t>
      </w:r>
      <w:proofErr w:type="spellStart"/>
      <w:r w:rsidRPr="00E559C0">
        <w:rPr>
          <w:rFonts w:asciiTheme="minorHAnsi" w:hAnsiTheme="minorHAnsi" w:cstheme="minorHAnsi"/>
        </w:rPr>
        <w:t>Theotokos</w:t>
      </w:r>
      <w:proofErr w:type="spellEnd"/>
      <w:r w:rsidRPr="00E559C0">
        <w:rPr>
          <w:rFonts w:asciiTheme="minorHAnsi" w:hAnsiTheme="minorHAnsi" w:cstheme="minorHAnsi"/>
        </w:rPr>
        <w:t>’ (God-bearer) for Mary against ‘</w:t>
      </w:r>
      <w:proofErr w:type="spellStart"/>
      <w:r w:rsidRPr="00E559C0">
        <w:rPr>
          <w:rFonts w:asciiTheme="minorHAnsi" w:hAnsiTheme="minorHAnsi" w:cstheme="minorHAnsi"/>
        </w:rPr>
        <w:t>Christotokos</w:t>
      </w:r>
      <w:proofErr w:type="spellEnd"/>
      <w:r w:rsidRPr="00E559C0">
        <w:rPr>
          <w:rFonts w:asciiTheme="minorHAnsi" w:hAnsiTheme="minorHAnsi" w:cstheme="minorHAnsi"/>
        </w:rPr>
        <w:t>’ (Christ-bearer) which was presented by Nestorius and his chaplains. Cyril stood by the orthodox position in defense of the unity of Christ’s hypostatic union. He argues that Christ is One Person with two natures, the nature of God and the nature of man, fully God and fully Man. He affirms the unity of Christ is tied to the economic and redemptive mission of Jesus Christ.</w:t>
      </w:r>
      <w:r w:rsidRPr="00E559C0">
        <w:rPr>
          <w:rStyle w:val="FootnoteReference"/>
          <w:rFonts w:asciiTheme="minorHAnsi" w:hAnsiTheme="minorHAnsi" w:cstheme="minorHAnsi"/>
        </w:rPr>
        <w:footnoteReference w:id="6"/>
      </w:r>
      <w:r w:rsidRPr="00E559C0">
        <w:rPr>
          <w:rFonts w:asciiTheme="minorHAnsi" w:hAnsiTheme="minorHAnsi" w:cstheme="minorHAnsi"/>
        </w:rPr>
        <w:t xml:space="preserve"> </w:t>
      </w:r>
    </w:p>
    <w:p w14:paraId="2D2E785B"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This essay presents a critical analysis of Cyril’s thesis. Beginning with a brief biography of the Patriarch, Cyril of Alexandria. It is followed by the historical and theological events leading up to the writing ‘</w:t>
      </w:r>
      <w:r w:rsidRPr="00E559C0">
        <w:rPr>
          <w:rFonts w:asciiTheme="minorHAnsi" w:hAnsiTheme="minorHAnsi" w:cstheme="minorHAnsi"/>
          <w:i/>
          <w:iCs/>
        </w:rPr>
        <w:t>On the Unity of Christ’</w:t>
      </w:r>
      <w:r w:rsidRPr="00E559C0">
        <w:rPr>
          <w:rFonts w:asciiTheme="minorHAnsi" w:hAnsiTheme="minorHAnsi" w:cstheme="minorHAnsi"/>
        </w:rPr>
        <w:t xml:space="preserve">. </w:t>
      </w:r>
      <w:r w:rsidRPr="00E559C0">
        <w:rPr>
          <w:rFonts w:asciiTheme="minorHAnsi" w:hAnsiTheme="minorHAnsi" w:cstheme="minorHAnsi"/>
          <w:noProof/>
          <w:lang w:val="en-GB" w:eastAsia="en-GB"/>
        </w:rPr>
        <w:drawing>
          <wp:anchor distT="0" distB="0" distL="0" distR="0" simplePos="0" relativeHeight="251660288" behindDoc="0" locked="0" layoutInCell="1" allowOverlap="1" wp14:anchorId="23D7917A" wp14:editId="1FF4CA37">
            <wp:simplePos x="0" y="0"/>
            <wp:positionH relativeFrom="column">
              <wp:posOffset>5099050</wp:posOffset>
            </wp:positionH>
            <wp:positionV relativeFrom="paragraph">
              <wp:posOffset>862965</wp:posOffset>
            </wp:positionV>
            <wp:extent cx="27305" cy="22860"/>
            <wp:effectExtent l="0" t="0" r="0" b="0"/>
            <wp:wrapNone/>
            <wp:docPr id="2" name="In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k 8"/>
                    <pic:cNvPicPr>
                      <a:picLocks noChangeAspect="1" noChangeArrowheads="1"/>
                    </pic:cNvPicPr>
                  </pic:nvPicPr>
                  <pic:blipFill>
                    <a:blip r:embed="rId7"/>
                    <a:stretch>
                      <a:fillRect/>
                    </a:stretch>
                  </pic:blipFill>
                  <pic:spPr bwMode="auto">
                    <a:xfrm>
                      <a:off x="0" y="0"/>
                      <a:ext cx="27305" cy="22860"/>
                    </a:xfrm>
                    <a:prstGeom prst="rect">
                      <a:avLst/>
                    </a:prstGeom>
                  </pic:spPr>
                </pic:pic>
              </a:graphicData>
            </a:graphic>
          </wp:anchor>
        </w:drawing>
      </w:r>
      <w:r w:rsidRPr="00E559C0">
        <w:rPr>
          <w:rFonts w:asciiTheme="minorHAnsi" w:hAnsiTheme="minorHAnsi" w:cstheme="minorHAnsi"/>
        </w:rPr>
        <w:t>Subsequent paragraphs will carefully analyze three main arguments he presented. First is Cyril’s view on Unitive C</w:t>
      </w:r>
      <w:r>
        <w:rPr>
          <w:rFonts w:asciiTheme="minorHAnsi" w:hAnsiTheme="minorHAnsi" w:cstheme="minorHAnsi"/>
        </w:rPr>
        <w:t>hristology, focusing on</w:t>
      </w:r>
      <w:r w:rsidRPr="00E559C0">
        <w:rPr>
          <w:rFonts w:asciiTheme="minorHAnsi" w:hAnsiTheme="minorHAnsi" w:cstheme="minorHAnsi"/>
        </w:rPr>
        <w:t xml:space="preserve"> incarnation and reconciliation of the hypostatic union of God and man in Jesus Christ. This is followed by the justification for the name ‘</w:t>
      </w:r>
      <w:proofErr w:type="spellStart"/>
      <w:r w:rsidRPr="00E559C0">
        <w:rPr>
          <w:rFonts w:asciiTheme="minorHAnsi" w:hAnsiTheme="minorHAnsi" w:cstheme="minorHAnsi"/>
          <w:i/>
          <w:iCs/>
        </w:rPr>
        <w:t>Theotokos</w:t>
      </w:r>
      <w:proofErr w:type="spellEnd"/>
      <w:r w:rsidRPr="00E559C0">
        <w:rPr>
          <w:rFonts w:asciiTheme="minorHAnsi" w:hAnsiTheme="minorHAnsi" w:cstheme="minorHAnsi"/>
          <w:i/>
          <w:iCs/>
        </w:rPr>
        <w:t>’</w:t>
      </w:r>
      <w:r w:rsidRPr="00E559C0">
        <w:rPr>
          <w:rFonts w:asciiTheme="minorHAnsi" w:hAnsiTheme="minorHAnsi" w:cstheme="minorHAnsi"/>
        </w:rPr>
        <w:t>, God-bearer for Mary as against ‘</w:t>
      </w:r>
      <w:proofErr w:type="spellStart"/>
      <w:r w:rsidRPr="00E559C0">
        <w:rPr>
          <w:rFonts w:asciiTheme="minorHAnsi" w:hAnsiTheme="minorHAnsi" w:cstheme="minorHAnsi"/>
        </w:rPr>
        <w:t>Christotokos</w:t>
      </w:r>
      <w:proofErr w:type="spellEnd"/>
      <w:r w:rsidRPr="00E559C0">
        <w:rPr>
          <w:rFonts w:asciiTheme="minorHAnsi" w:hAnsiTheme="minorHAnsi" w:cstheme="minorHAnsi"/>
        </w:rPr>
        <w:t>’ (Christ Mother) and lastly, the economic and redemptive act of Jesus Christ will be examined.</w:t>
      </w:r>
    </w:p>
    <w:p w14:paraId="6ACC0529" w14:textId="77777777" w:rsidR="009D5782" w:rsidRPr="00E559C0" w:rsidRDefault="009D5782" w:rsidP="009D5782">
      <w:pPr>
        <w:spacing w:line="360" w:lineRule="auto"/>
        <w:rPr>
          <w:rFonts w:asciiTheme="minorHAnsi" w:hAnsiTheme="minorHAnsi" w:cstheme="minorHAnsi"/>
          <w:b/>
          <w:bCs/>
        </w:rPr>
      </w:pPr>
      <w:r w:rsidRPr="00E559C0">
        <w:rPr>
          <w:rFonts w:asciiTheme="minorHAnsi" w:hAnsiTheme="minorHAnsi" w:cstheme="minorHAnsi"/>
          <w:b/>
          <w:bCs/>
        </w:rPr>
        <w:t>Biography, historical and theological background</w:t>
      </w:r>
    </w:p>
    <w:p w14:paraId="2FEEE863"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Cyril was born in Egypt in C.378 but was tutored by his uncle, St. Theophilus who was the Archbishop of Alexandria from 385 to 412. </w:t>
      </w:r>
      <w:r w:rsidRPr="00E559C0">
        <w:rPr>
          <w:rStyle w:val="FootnoteAnchor"/>
          <w:rFonts w:asciiTheme="minorHAnsi" w:hAnsiTheme="minorHAnsi" w:cstheme="minorHAnsi"/>
        </w:rPr>
        <w:footnoteReference w:id="7"/>
      </w:r>
    </w:p>
    <w:p w14:paraId="7B55E66B"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Through his uncle’s influence, he followed a period of Christian higher studies after studying grammar and rhetoric. Cyril was introduced to the earlier tradition of the church of Alexandria through the knowledge he acquired from his formal theological and scriptural education. Cyril’s knowledge of the Bible was profound, and he sees himself as the continuer of the earlier Christian tradition. In his address to Nestorius, he tells him, ‘For you know neither the </w:t>
      </w:r>
      <w:r w:rsidRPr="00E559C0">
        <w:rPr>
          <w:rFonts w:asciiTheme="minorHAnsi" w:hAnsiTheme="minorHAnsi" w:cstheme="minorHAnsi"/>
        </w:rPr>
        <w:lastRenderedPageBreak/>
        <w:t>scriptures nor the power of God’. He goes on to assert that, ‘’surely our exposition follows the mind of the scriptures’’.</w:t>
      </w:r>
      <w:r w:rsidRPr="00E559C0">
        <w:rPr>
          <w:rStyle w:val="FootnoteAnchor"/>
          <w:rFonts w:asciiTheme="minorHAnsi" w:hAnsiTheme="minorHAnsi" w:cstheme="minorHAnsi"/>
        </w:rPr>
        <w:footnoteReference w:id="8"/>
      </w:r>
    </w:p>
    <w:p w14:paraId="29758983"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Between 430, Cyril was deeply involved in controversy with Nestorius. Nestorius was a Syrian Monk and the Archbishop of Constantinople. </w:t>
      </w:r>
      <w:r w:rsidRPr="00E559C0">
        <w:rPr>
          <w:rFonts w:asciiTheme="minorHAnsi" w:eastAsia="Calibri" w:hAnsiTheme="minorHAnsi" w:cstheme="minorHAnsi"/>
          <w:color w:val="000000"/>
        </w:rPr>
        <w:t>The greatest conflict of Cyril's career was directed toward Nestorius’s teaching.</w:t>
      </w:r>
      <w:r w:rsidRPr="00E559C0">
        <w:rPr>
          <w:rStyle w:val="FootnoteAnchor"/>
          <w:rFonts w:asciiTheme="minorHAnsi" w:eastAsia="Calibri" w:hAnsiTheme="minorHAnsi" w:cstheme="minorHAnsi"/>
          <w:color w:val="000000"/>
        </w:rPr>
        <w:footnoteReference w:id="9"/>
      </w:r>
    </w:p>
    <w:p w14:paraId="1D293D22" w14:textId="77777777" w:rsidR="009D5782" w:rsidRPr="00E559C0" w:rsidRDefault="009D5782" w:rsidP="009D5782">
      <w:pPr>
        <w:spacing w:line="360" w:lineRule="auto"/>
        <w:rPr>
          <w:rFonts w:asciiTheme="minorHAnsi" w:hAnsiTheme="minorHAnsi" w:cstheme="minorHAnsi"/>
        </w:rPr>
      </w:pPr>
      <w:r w:rsidRPr="00E559C0">
        <w:rPr>
          <w:rFonts w:asciiTheme="minorHAnsi" w:eastAsia="Calibri" w:hAnsiTheme="minorHAnsi" w:cstheme="minorHAnsi"/>
          <w:color w:val="000000"/>
        </w:rPr>
        <w:t xml:space="preserve">At the heart of the controversy was the doctrine of Christ. </w:t>
      </w:r>
      <w:r w:rsidRPr="00E559C0">
        <w:rPr>
          <w:rFonts w:asciiTheme="minorHAnsi" w:eastAsia="Calibri" w:hAnsiTheme="minorHAnsi" w:cstheme="minorHAnsi"/>
        </w:rPr>
        <w:t xml:space="preserve">Nestorianism </w:t>
      </w:r>
      <w:r w:rsidRPr="00E559C0">
        <w:rPr>
          <w:rFonts w:asciiTheme="minorHAnsi" w:hAnsiTheme="minorHAnsi" w:cstheme="minorHAnsi"/>
        </w:rPr>
        <w:t xml:space="preserve">based their teachings on that of the Syrian theologian </w:t>
      </w:r>
      <w:proofErr w:type="spellStart"/>
      <w:r w:rsidRPr="00E559C0">
        <w:rPr>
          <w:rFonts w:asciiTheme="minorHAnsi" w:hAnsiTheme="minorHAnsi" w:cstheme="minorHAnsi"/>
        </w:rPr>
        <w:t>Diodore</w:t>
      </w:r>
      <w:proofErr w:type="spellEnd"/>
      <w:r w:rsidRPr="00E559C0">
        <w:rPr>
          <w:rFonts w:asciiTheme="minorHAnsi" w:hAnsiTheme="minorHAnsi" w:cstheme="minorHAnsi"/>
        </w:rPr>
        <w:t xml:space="preserve"> of Tarsus and Theodore of </w:t>
      </w:r>
      <w:proofErr w:type="spellStart"/>
      <w:r w:rsidRPr="00E559C0">
        <w:rPr>
          <w:rFonts w:asciiTheme="minorHAnsi" w:hAnsiTheme="minorHAnsi" w:cstheme="minorHAnsi"/>
        </w:rPr>
        <w:t>Mopsuestia</w:t>
      </w:r>
      <w:proofErr w:type="spellEnd"/>
      <w:r w:rsidRPr="00E559C0">
        <w:rPr>
          <w:rFonts w:asciiTheme="minorHAnsi" w:hAnsiTheme="minorHAnsi" w:cstheme="minorHAnsi"/>
        </w:rPr>
        <w:t xml:space="preserve"> which are like that of Arian, who had a controversial approach of the doctrine of Christ, referring to ‘’Two Sons’’ one the Son of God and the other the Son of Man. They also rejected the title ‘’Mother of God’’ (</w:t>
      </w:r>
      <w:proofErr w:type="spellStart"/>
      <w:r w:rsidRPr="00E559C0">
        <w:rPr>
          <w:rFonts w:asciiTheme="minorHAnsi" w:hAnsiTheme="minorHAnsi" w:cstheme="minorHAnsi"/>
          <w:i/>
          <w:iCs/>
        </w:rPr>
        <w:t>Theotokos</w:t>
      </w:r>
      <w:proofErr w:type="spellEnd"/>
      <w:r w:rsidRPr="00E559C0">
        <w:rPr>
          <w:rFonts w:asciiTheme="minorHAnsi" w:hAnsiTheme="minorHAnsi" w:cstheme="minorHAnsi"/>
        </w:rPr>
        <w:t xml:space="preserve">) for Mary, </w:t>
      </w:r>
      <w:r w:rsidRPr="00E559C0">
        <w:rPr>
          <w:rFonts w:asciiTheme="minorHAnsi" w:eastAsia="Aptos" w:hAnsiTheme="minorHAnsi" w:cstheme="minorHAnsi"/>
        </w:rPr>
        <w:t>insisting that the title ‘</w:t>
      </w:r>
      <w:proofErr w:type="spellStart"/>
      <w:r w:rsidRPr="00E559C0">
        <w:rPr>
          <w:rFonts w:asciiTheme="minorHAnsi" w:eastAsia="Aptos" w:hAnsiTheme="minorHAnsi" w:cstheme="minorHAnsi"/>
          <w:i/>
          <w:iCs/>
        </w:rPr>
        <w:t>Christotokos</w:t>
      </w:r>
      <w:proofErr w:type="spellEnd"/>
      <w:r w:rsidRPr="00E559C0">
        <w:rPr>
          <w:rFonts w:asciiTheme="minorHAnsi" w:eastAsia="Aptos" w:hAnsiTheme="minorHAnsi" w:cstheme="minorHAnsi"/>
          <w:i/>
          <w:iCs/>
        </w:rPr>
        <w:t>’</w:t>
      </w:r>
      <w:r w:rsidRPr="00E559C0">
        <w:rPr>
          <w:rFonts w:asciiTheme="minorHAnsi" w:eastAsia="Aptos" w:hAnsiTheme="minorHAnsi" w:cstheme="minorHAnsi"/>
        </w:rPr>
        <w:t xml:space="preserve"> (the one who gave birth to Christ) </w:t>
      </w:r>
      <w:r w:rsidRPr="00E559C0">
        <w:rPr>
          <w:rFonts w:asciiTheme="minorHAnsi" w:hAnsiTheme="minorHAnsi" w:cstheme="minorHAnsi"/>
        </w:rPr>
        <w:t xml:space="preserve">‘’Mother of Christ’’ </w:t>
      </w:r>
      <w:r w:rsidRPr="00E559C0">
        <w:rPr>
          <w:rFonts w:asciiTheme="minorHAnsi" w:eastAsia="Aptos" w:hAnsiTheme="minorHAnsi" w:cstheme="minorHAnsi"/>
        </w:rPr>
        <w:t>was preferable, stating his reasons</w:t>
      </w:r>
      <w:r w:rsidRPr="00E559C0">
        <w:rPr>
          <w:rStyle w:val="FootnoteAnchor"/>
          <w:rFonts w:asciiTheme="minorHAnsi" w:eastAsia="Aptos" w:hAnsiTheme="minorHAnsi" w:cstheme="minorHAnsi"/>
        </w:rPr>
        <w:footnoteReference w:id="10"/>
      </w:r>
      <w:r w:rsidRPr="00E559C0">
        <w:rPr>
          <w:rFonts w:asciiTheme="minorHAnsi" w:eastAsia="Aptos" w:hAnsiTheme="minorHAnsi" w:cstheme="minorHAnsi"/>
        </w:rPr>
        <w:t>.</w:t>
      </w:r>
    </w:p>
    <w:p w14:paraId="521B1353"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As Cyril and Nestorius both claim to speak for the authentic tradition of Christianity, an ecumenical Synod was called at Ephesus in 431 where Nestorius claim was condemned. But many of his followers still held his beliefs. </w:t>
      </w:r>
    </w:p>
    <w:p w14:paraId="73C1260D"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To correct the views held by the remnant followers of his teaching, Cyril produced the thesis ‘</w:t>
      </w:r>
      <w:r w:rsidRPr="00E559C0">
        <w:rPr>
          <w:rFonts w:asciiTheme="minorHAnsi" w:hAnsiTheme="minorHAnsi" w:cstheme="minorHAnsi"/>
          <w:i/>
          <w:iCs/>
        </w:rPr>
        <w:t>On the Unity of Christ’</w:t>
      </w:r>
      <w:r w:rsidRPr="00E559C0">
        <w:rPr>
          <w:rFonts w:asciiTheme="minorHAnsi" w:hAnsiTheme="minorHAnsi" w:cstheme="minorHAnsi"/>
        </w:rPr>
        <w:t xml:space="preserve">. Cyril died in C. 444 but seven years after his death, the Chalcedonian council adopted his statement on the ‘hypostatic nature ‘of Jesus Christ. </w:t>
      </w:r>
      <w:r w:rsidRPr="00E559C0">
        <w:rPr>
          <w:rStyle w:val="FootnoteAnchor"/>
          <w:rFonts w:asciiTheme="minorHAnsi" w:hAnsiTheme="minorHAnsi" w:cstheme="minorHAnsi"/>
        </w:rPr>
        <w:footnoteReference w:id="11"/>
      </w:r>
    </w:p>
    <w:p w14:paraId="53DDA4D3"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b/>
          <w:bCs/>
        </w:rPr>
        <w:t>Incarnation of the Word</w:t>
      </w:r>
    </w:p>
    <w:p w14:paraId="79092643"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Cyril begins his writing with an insightful exploration of the incarnation which main purpose is centered on the redemption of mankind. He views the incarnation as a powerful soteriological occurrence. Frequently in his writing, we see Cyril make use of biblical references to convey his </w:t>
      </w:r>
      <w:r w:rsidRPr="00E559C0">
        <w:rPr>
          <w:rFonts w:asciiTheme="minorHAnsi" w:hAnsiTheme="minorHAnsi" w:cstheme="minorHAnsi"/>
        </w:rPr>
        <w:lastRenderedPageBreak/>
        <w:t>message within which the incarnation, redemption, the death, and resurrection of Christ find their place.</w:t>
      </w:r>
    </w:p>
    <w:p w14:paraId="6F0DE2F4"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He attests that Jesus Christ took on flesh upon himself and the limitations of self-emptying, he became man and dwelled among man, even though he is God by nature. </w:t>
      </w:r>
    </w:p>
    <w:p w14:paraId="02C8AC58"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His statement lines up with scripture in John 1. 14 which states, ‘‘The Word became flesh and made his dwelling among us. We have seen his glory, the glory of the one and only Son, who came from the Father, full of grace and truth.’’ </w:t>
      </w:r>
    </w:p>
    <w:p w14:paraId="67886FA0"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We understand from the scripture that the only begotten Word even though he is God and born of God by nature, it was He who became man. He took on flesh to become man whilst retaining his divine nature as God. </w:t>
      </w:r>
    </w:p>
    <w:p w14:paraId="782F4E27"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In page 53, Nestorius queries, if the Word became flesh, he no longer remained the Word but ceases to be what he was.  </w:t>
      </w:r>
      <w:r w:rsidRPr="00E559C0">
        <w:rPr>
          <w:rStyle w:val="FootnoteReference"/>
          <w:rFonts w:asciiTheme="minorHAnsi" w:hAnsiTheme="minorHAnsi" w:cstheme="minorHAnsi"/>
        </w:rPr>
        <w:footnoteReference w:id="12"/>
      </w:r>
      <w:r w:rsidRPr="00E559C0">
        <w:rPr>
          <w:rFonts w:asciiTheme="minorHAnsi" w:hAnsiTheme="minorHAnsi" w:cstheme="minorHAnsi"/>
        </w:rPr>
        <w:t xml:space="preserve">  Scripture is truly clear on this, for Cyril, Nestorius translation of word ‘became’ mean that a change or an alteration took place. Nestorius citied biblical examples, like the story of Lots wife in Genesis 19. 26, ‘She became a pillar of salt’ and Moses’ Staff in Exodus 4.3, ‘Moses threw it on the ground, and it became a snake’</w:t>
      </w:r>
      <w:r w:rsidRPr="00E559C0">
        <w:rPr>
          <w:rStyle w:val="FootnoteReference"/>
          <w:rFonts w:asciiTheme="minorHAnsi" w:hAnsiTheme="minorHAnsi" w:cstheme="minorHAnsi"/>
        </w:rPr>
        <w:footnoteReference w:id="13"/>
      </w:r>
      <w:r w:rsidRPr="00E559C0">
        <w:rPr>
          <w:rFonts w:asciiTheme="minorHAnsi" w:hAnsiTheme="minorHAnsi" w:cstheme="minorHAnsi"/>
        </w:rPr>
        <w:t>. In explaining the word ‘became’ the bible in the book of Philippians 2.6-7, states;</w:t>
      </w:r>
    </w:p>
    <w:p w14:paraId="49D616C5" w14:textId="77777777" w:rsidR="009D5782" w:rsidRPr="00E559C0" w:rsidRDefault="009D5782" w:rsidP="009D5782">
      <w:pPr>
        <w:spacing w:line="360" w:lineRule="auto"/>
        <w:ind w:left="720"/>
        <w:rPr>
          <w:rFonts w:asciiTheme="minorHAnsi" w:hAnsiTheme="minorHAnsi" w:cstheme="minorHAnsi"/>
        </w:rPr>
      </w:pPr>
      <w:r w:rsidRPr="00E559C0">
        <w:rPr>
          <w:rFonts w:asciiTheme="minorHAnsi" w:hAnsiTheme="minorHAnsi" w:cstheme="minorHAnsi"/>
        </w:rPr>
        <w:t>’’Who, being in the very nature God, did not consider equality with God something to be used to his own advantage; rather he made himself nothing by taking the very nature of a servant, being made in human likeness’’</w:t>
      </w:r>
    </w:p>
    <w:p w14:paraId="35344CEC"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We read from the bible that God is immutable by nature and cannot change. I agree with Cyril’s statement that the only way we can preserve the immutability and inalterability of God is to maintain that the Word became flesh.</w:t>
      </w:r>
    </w:p>
    <w:p w14:paraId="3277CCE8"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Another aspect of Nestorianism’s view was that the Only Begotten Word of God in incarnation, assumed a man of the lineage of King David and Abraham and formed him in the womb of the </w:t>
      </w:r>
      <w:r w:rsidRPr="00E559C0">
        <w:rPr>
          <w:rFonts w:asciiTheme="minorHAnsi" w:hAnsiTheme="minorHAnsi" w:cstheme="minorHAnsi"/>
        </w:rPr>
        <w:lastRenderedPageBreak/>
        <w:t xml:space="preserve">Virgin Mary, then he conjoined Himself to him. He believed that Christ lived as two separate persons, one divine and one human. </w:t>
      </w:r>
    </w:p>
    <w:p w14:paraId="38FCAB96"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The Nestorius doctrine annuls the reason for the incarnation. If Christ lived as two separate persons, how can we explain the sufferings and death experience of Jesus Christ? His argument undermines the reality of redemption. We know that the main reason for Christ’s incarnation was to save humanity from sin. For him to fulfil his purpose, he thought it good to be made man and in his person, to reveal the nature of man.</w:t>
      </w:r>
      <w:r w:rsidRPr="00E559C0">
        <w:rPr>
          <w:rStyle w:val="FootnoteReference"/>
          <w:rFonts w:asciiTheme="minorHAnsi" w:hAnsiTheme="minorHAnsi" w:cstheme="minorHAnsi"/>
        </w:rPr>
        <w:footnoteReference w:id="14"/>
      </w:r>
    </w:p>
    <w:p w14:paraId="504F6206"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Knowledge of the true doctrine of Christ is particularly important in understanding the principle of Christianity which influences theology, the believer’s daily life and worship. </w:t>
      </w:r>
    </w:p>
    <w:p w14:paraId="1070536E"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Cyril then links his argument on the unity of the Word to soteriology and the economy of salvation. In showing off his profound knowledge of the scripture, Cyril made use of many biblical references to support his argument.</w:t>
      </w:r>
    </w:p>
    <w:p w14:paraId="403D4EDF"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In addressing Nestorius belief of conjoining of the Word to the man of the lineage of David, Cyril underlines that anything bestowed on someone can be rejected and anything externally introduced can be lost. He expresses fear that such teaching meant that the man conjoined with the Word becomes the object of worship by the angels and creation in general. Because he has been bestowed the title of son ship and divine honor</w:t>
      </w:r>
      <w:r w:rsidRPr="00E559C0">
        <w:rPr>
          <w:rStyle w:val="FootnoteReference"/>
          <w:rFonts w:asciiTheme="minorHAnsi" w:hAnsiTheme="minorHAnsi" w:cstheme="minorHAnsi"/>
        </w:rPr>
        <w:footnoteReference w:id="15"/>
      </w:r>
      <w:r w:rsidRPr="00E559C0">
        <w:rPr>
          <w:rFonts w:asciiTheme="minorHAnsi" w:hAnsiTheme="minorHAnsi" w:cstheme="minorHAnsi"/>
        </w:rPr>
        <w:t xml:space="preserve">. Cyril queried if the descendant of David conjoined with the Word could qualify for worship by creation. </w:t>
      </w:r>
    </w:p>
    <w:p w14:paraId="0B07856D"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In one of his writings titled </w:t>
      </w:r>
      <w:r w:rsidRPr="00E559C0">
        <w:rPr>
          <w:rFonts w:asciiTheme="minorHAnsi" w:eastAsia="Aptos" w:hAnsiTheme="minorHAnsi" w:cstheme="minorHAnsi"/>
          <w:i/>
          <w:iCs/>
        </w:rPr>
        <w:t xml:space="preserve">De </w:t>
      </w:r>
      <w:proofErr w:type="spellStart"/>
      <w:r w:rsidRPr="00E559C0">
        <w:rPr>
          <w:rFonts w:asciiTheme="minorHAnsi" w:eastAsia="Aptos" w:hAnsiTheme="minorHAnsi" w:cstheme="minorHAnsi"/>
          <w:i/>
          <w:iCs/>
        </w:rPr>
        <w:t>Incarnatione</w:t>
      </w:r>
      <w:proofErr w:type="spellEnd"/>
      <w:r w:rsidRPr="00E559C0">
        <w:rPr>
          <w:rFonts w:asciiTheme="minorHAnsi" w:eastAsia="Aptos" w:hAnsiTheme="minorHAnsi" w:cstheme="minorHAnsi"/>
          <w:i/>
          <w:iCs/>
        </w:rPr>
        <w:t xml:space="preserve"> </w:t>
      </w:r>
      <w:proofErr w:type="spellStart"/>
      <w:r w:rsidRPr="00E559C0">
        <w:rPr>
          <w:rFonts w:asciiTheme="minorHAnsi" w:eastAsia="Aptos" w:hAnsiTheme="minorHAnsi" w:cstheme="minorHAnsi"/>
          <w:i/>
          <w:iCs/>
        </w:rPr>
        <w:t>Unigeniti</w:t>
      </w:r>
      <w:proofErr w:type="spellEnd"/>
      <w:r w:rsidRPr="00E559C0">
        <w:rPr>
          <w:rFonts w:asciiTheme="minorHAnsi" w:eastAsia="Aptos" w:hAnsiTheme="minorHAnsi" w:cstheme="minorHAnsi"/>
          <w:i/>
          <w:iCs/>
        </w:rPr>
        <w:t xml:space="preserve">, </w:t>
      </w:r>
      <w:r w:rsidRPr="00E559C0">
        <w:rPr>
          <w:rFonts w:asciiTheme="minorHAnsi" w:eastAsia="Aptos" w:hAnsiTheme="minorHAnsi" w:cstheme="minorHAnsi"/>
        </w:rPr>
        <w:t>Cyril cautioned Christians to believe, in ‘the Lord who appeared in a servant’s form, who was in human form, yet remained God. But not in the one honored with the God head as attested by Nestorius’</w:t>
      </w:r>
      <w:r w:rsidRPr="00E559C0">
        <w:rPr>
          <w:rFonts w:asciiTheme="minorHAnsi" w:hAnsiTheme="minorHAnsi" w:cstheme="minorHAnsi"/>
        </w:rPr>
        <w:t xml:space="preserve"> </w:t>
      </w:r>
      <w:r w:rsidRPr="00E559C0">
        <w:rPr>
          <w:rStyle w:val="FootnoteAnchor"/>
          <w:rFonts w:asciiTheme="minorHAnsi" w:hAnsiTheme="minorHAnsi" w:cstheme="minorHAnsi"/>
        </w:rPr>
        <w:footnoteReference w:id="16"/>
      </w:r>
    </w:p>
    <w:p w14:paraId="3A9653DB"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lastRenderedPageBreak/>
        <w:t>Cyril felt that the teachings of Nestorius could cause the Christian religion to lose its deserving respect and approval. He refers to this teaching as representing ‘the ultimate in ’Sacrilege and impiety’.</w:t>
      </w:r>
      <w:r w:rsidRPr="00E559C0">
        <w:rPr>
          <w:rStyle w:val="FootnoteReference"/>
          <w:rFonts w:asciiTheme="minorHAnsi" w:hAnsiTheme="minorHAnsi" w:cstheme="minorHAnsi"/>
        </w:rPr>
        <w:footnoteReference w:id="17"/>
      </w:r>
    </w:p>
    <w:p w14:paraId="341BC74F" w14:textId="77777777" w:rsidR="009D5782" w:rsidRPr="00E559C0" w:rsidRDefault="009D5782" w:rsidP="009D5782">
      <w:pPr>
        <w:spacing w:line="360" w:lineRule="auto"/>
        <w:rPr>
          <w:rFonts w:asciiTheme="minorHAnsi" w:hAnsiTheme="minorHAnsi" w:cstheme="minorHAnsi"/>
        </w:rPr>
      </w:pPr>
      <w:r w:rsidRPr="00E559C0">
        <w:rPr>
          <w:rFonts w:asciiTheme="minorHAnsi" w:eastAsia="Calibri" w:hAnsiTheme="minorHAnsi" w:cstheme="minorHAnsi"/>
        </w:rPr>
        <w:t xml:space="preserve">Using his scriptural knowledge, Cyril expresses his core Christological conviction over that of Nestorius, who proclaimed that Christ was really two persons, a divine person dwelling in a human person. He maintains that ‘God the Word </w:t>
      </w:r>
      <w:r w:rsidRPr="00E559C0">
        <w:rPr>
          <w:rFonts w:asciiTheme="minorHAnsi" w:hAnsiTheme="minorHAnsi" w:cstheme="minorHAnsi"/>
        </w:rPr>
        <w:t xml:space="preserve">assumed a perfect man who was of the line of Abraham and David, who was of the same nature as his ancestors, a man fully complete in his nature’. </w:t>
      </w:r>
      <w:r w:rsidRPr="00E559C0">
        <w:rPr>
          <w:rStyle w:val="FootnoteReference"/>
          <w:rFonts w:asciiTheme="minorHAnsi" w:hAnsiTheme="minorHAnsi" w:cstheme="minorHAnsi"/>
        </w:rPr>
        <w:footnoteReference w:id="18"/>
      </w:r>
    </w:p>
    <w:p w14:paraId="28B9F7DE"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He goes on to assert that the man was composed of a rational soul and human flesh, fashioned by the power of the Holy Spirit in the womb of the Virgin Mary. He argues that though the man was born to redeem humanity, he was conjoined by God in a new way to fulfil that purpose. Nestorius denies that Jesus Christ was fully God and fully Man but God conjoined to man or man conjoined to God. He views the </w:t>
      </w:r>
      <w:r w:rsidRPr="00E559C0">
        <w:rPr>
          <w:rFonts w:asciiTheme="minorHAnsi" w:eastAsia="Aptos" w:hAnsiTheme="minorHAnsi" w:cstheme="minorHAnsi"/>
        </w:rPr>
        <w:t>doctrine of the Incarnation as man united by God, the Son to His own self.</w:t>
      </w:r>
    </w:p>
    <w:p w14:paraId="0166D525" w14:textId="77777777" w:rsidR="009D5782" w:rsidRPr="00E559C0" w:rsidRDefault="009D5782" w:rsidP="009D5782">
      <w:pPr>
        <w:spacing w:line="360" w:lineRule="auto"/>
        <w:rPr>
          <w:rFonts w:asciiTheme="minorHAnsi" w:hAnsiTheme="minorHAnsi" w:cstheme="minorHAnsi"/>
        </w:rPr>
      </w:pPr>
      <w:r w:rsidRPr="00E559C0">
        <w:rPr>
          <w:rFonts w:asciiTheme="minorHAnsi" w:eastAsia="Calibri" w:hAnsiTheme="minorHAnsi" w:cstheme="minorHAnsi"/>
          <w:color w:val="000000"/>
        </w:rPr>
        <w:t xml:space="preserve">For Cyril Christ is really and completely God, and really and completely man, yet completely and inseparable. He insisted on the full and complete unity of the person of Jesus Christ. </w:t>
      </w:r>
      <w:r w:rsidRPr="00E559C0">
        <w:rPr>
          <w:rFonts w:asciiTheme="minorHAnsi" w:hAnsiTheme="minorHAnsi" w:cstheme="minorHAnsi"/>
          <w:color w:val="000000"/>
          <w:shd w:val="clear" w:color="auto" w:fill="FAFAFA"/>
        </w:rPr>
        <w:t xml:space="preserve">Each nature retains its own properties while being united in one person. </w:t>
      </w:r>
    </w:p>
    <w:p w14:paraId="610BA995"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Cyril goes on to affirm that Christ is One, God the Word has made flesh his very own. They are brought together into an indissoluble union. He uses </w:t>
      </w:r>
      <w:r w:rsidRPr="00E559C0">
        <w:rPr>
          <w:rFonts w:asciiTheme="minorHAnsi" w:hAnsiTheme="minorHAnsi" w:cstheme="minorHAnsi"/>
          <w:color w:val="000000"/>
          <w:shd w:val="clear" w:color="auto" w:fill="FAFAFA"/>
        </w:rPr>
        <w:t>the term "hypostatic union’’ to describe the unique and indivisible union. He maintains that Christ is one person who fully embodies both natures.</w:t>
      </w:r>
      <w:r w:rsidRPr="00E559C0">
        <w:rPr>
          <w:rFonts w:asciiTheme="minorHAnsi" w:hAnsiTheme="minorHAnsi" w:cstheme="minorHAnsi"/>
        </w:rPr>
        <w:t xml:space="preserve"> ‘He is the one and only Son, not one son alongside another son’. He uses the word (</w:t>
      </w:r>
      <w:r w:rsidRPr="00E559C0">
        <w:rPr>
          <w:rFonts w:asciiTheme="minorHAnsi" w:hAnsiTheme="minorHAnsi" w:cstheme="minorHAnsi"/>
          <w:i/>
          <w:iCs/>
        </w:rPr>
        <w:t>prosopon</w:t>
      </w:r>
      <w:r w:rsidRPr="00E559C0">
        <w:rPr>
          <w:rFonts w:asciiTheme="minorHAnsi" w:hAnsiTheme="minorHAnsi" w:cstheme="minorHAnsi"/>
        </w:rPr>
        <w:t>) to refer to true unity.</w:t>
      </w:r>
      <w:r w:rsidRPr="00E559C0">
        <w:rPr>
          <w:rStyle w:val="FootnoteAnchor"/>
          <w:rFonts w:asciiTheme="minorHAnsi" w:hAnsiTheme="minorHAnsi" w:cstheme="minorHAnsi"/>
        </w:rPr>
        <w:footnoteReference w:id="19"/>
      </w:r>
    </w:p>
    <w:p w14:paraId="17759B5D"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Cyril goes on to query the term ‘conjoin’ used by Nestorius to describe the union of the divine and humanity in Christ. According to Cyril, the term ‘conjoin’ is better used to describe the </w:t>
      </w:r>
      <w:r w:rsidRPr="00E559C0">
        <w:rPr>
          <w:rFonts w:asciiTheme="minorHAnsi" w:hAnsiTheme="minorHAnsi" w:cstheme="minorHAnsi"/>
        </w:rPr>
        <w:lastRenderedPageBreak/>
        <w:t>relationship that anyone could have with God. He believes that Nestorianism was against the orthodox position that Christ is one Person with two natures, the nature of God and the nature of man. He affirms this as the truth revealed by the mystery of incarnation and the very principle for the redemption of humanity. Cyril explains that the word ‘union’, ‘signifies the concurrence in one reality of those things which are understood to be united.’</w:t>
      </w:r>
      <w:r w:rsidRPr="00E559C0">
        <w:rPr>
          <w:rStyle w:val="FootnoteAnchor"/>
          <w:rFonts w:asciiTheme="minorHAnsi" w:hAnsiTheme="minorHAnsi" w:cstheme="minorHAnsi"/>
        </w:rPr>
        <w:footnoteReference w:id="20"/>
      </w:r>
    </w:p>
    <w:p w14:paraId="15D602BF"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T</w:t>
      </w:r>
      <w:r w:rsidRPr="00E559C0">
        <w:rPr>
          <w:rFonts w:asciiTheme="minorHAnsi" w:eastAsia="Calibri" w:hAnsiTheme="minorHAnsi" w:cstheme="minorHAnsi"/>
          <w:color w:val="000000"/>
        </w:rPr>
        <w:t>he union of the divinity and humanity was at the most fundamental of Christ's being, quoting, John 1. 14 ‘’</w:t>
      </w:r>
      <w:r w:rsidRPr="00E559C0">
        <w:rPr>
          <w:rFonts w:asciiTheme="minorHAnsi" w:hAnsiTheme="minorHAnsi" w:cstheme="minorHAnsi"/>
        </w:rPr>
        <w:t>and the Word became flesh and dwelt among us, and we beheld his glory, glory as of the Only Begotten of the Father, full of grace and truth."</w:t>
      </w:r>
      <w:r w:rsidRPr="00E559C0">
        <w:rPr>
          <w:rStyle w:val="FootnoteAnchor"/>
          <w:rFonts w:asciiTheme="minorHAnsi" w:hAnsiTheme="minorHAnsi" w:cstheme="minorHAnsi"/>
        </w:rPr>
        <w:footnoteReference w:id="21"/>
      </w:r>
      <w:r w:rsidRPr="00E559C0">
        <w:rPr>
          <w:rFonts w:asciiTheme="minorHAnsi" w:hAnsiTheme="minorHAnsi" w:cstheme="minorHAnsi"/>
        </w:rPr>
        <w:t xml:space="preserve"> The two natures, in an inseparable union, met together in Christ indivisibly and without confusion. Gregory of Nazianzus supports this in his oration when he states that ‘Man and God blended, they became a single whole, the stronger side predominating’’.</w:t>
      </w:r>
    </w:p>
    <w:p w14:paraId="4E34298F"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In Cyril’s essay titled </w:t>
      </w:r>
      <w:r w:rsidRPr="00E559C0">
        <w:rPr>
          <w:rFonts w:asciiTheme="minorHAnsi" w:eastAsia="Aptos" w:hAnsiTheme="minorHAnsi" w:cstheme="minorHAnsi"/>
          <w:i/>
          <w:iCs/>
        </w:rPr>
        <w:t xml:space="preserve">De </w:t>
      </w:r>
      <w:proofErr w:type="spellStart"/>
      <w:r w:rsidRPr="00E559C0">
        <w:rPr>
          <w:rFonts w:asciiTheme="minorHAnsi" w:eastAsia="Aptos" w:hAnsiTheme="minorHAnsi" w:cstheme="minorHAnsi"/>
          <w:i/>
          <w:iCs/>
        </w:rPr>
        <w:t>Incarnatione</w:t>
      </w:r>
      <w:proofErr w:type="spellEnd"/>
      <w:r w:rsidRPr="00E559C0">
        <w:rPr>
          <w:rFonts w:asciiTheme="minorHAnsi" w:eastAsia="Aptos" w:hAnsiTheme="minorHAnsi" w:cstheme="minorHAnsi"/>
          <w:i/>
          <w:iCs/>
        </w:rPr>
        <w:t xml:space="preserve"> </w:t>
      </w:r>
      <w:proofErr w:type="spellStart"/>
      <w:r w:rsidRPr="00E559C0">
        <w:rPr>
          <w:rFonts w:asciiTheme="minorHAnsi" w:eastAsia="Aptos" w:hAnsiTheme="minorHAnsi" w:cstheme="minorHAnsi"/>
          <w:i/>
          <w:iCs/>
        </w:rPr>
        <w:t>Unigeniti</w:t>
      </w:r>
      <w:proofErr w:type="spellEnd"/>
      <w:r w:rsidRPr="00E559C0">
        <w:rPr>
          <w:rFonts w:asciiTheme="minorHAnsi" w:eastAsia="Aptos" w:hAnsiTheme="minorHAnsi" w:cstheme="minorHAnsi"/>
          <w:i/>
          <w:iCs/>
        </w:rPr>
        <w:t xml:space="preserve">, </w:t>
      </w:r>
      <w:r w:rsidRPr="00E559C0">
        <w:rPr>
          <w:rFonts w:asciiTheme="minorHAnsi" w:eastAsia="Aptos" w:hAnsiTheme="minorHAnsi" w:cstheme="minorHAnsi"/>
        </w:rPr>
        <w:t>he asserts that’ ‘He who both before incarnation was very God and in human nature hath remain that He was and is and shall be.’</w:t>
      </w:r>
      <w:r w:rsidRPr="00E559C0">
        <w:rPr>
          <w:rStyle w:val="FootnoteAnchor"/>
          <w:rFonts w:asciiTheme="minorHAnsi" w:eastAsia="Aptos" w:hAnsiTheme="minorHAnsi" w:cstheme="minorHAnsi"/>
        </w:rPr>
        <w:footnoteReference w:id="22"/>
      </w:r>
      <w:r w:rsidRPr="00E559C0">
        <w:rPr>
          <w:rFonts w:asciiTheme="minorHAnsi" w:eastAsia="Aptos" w:hAnsiTheme="minorHAnsi" w:cstheme="minorHAnsi"/>
        </w:rPr>
        <w:t xml:space="preserve"> Cyril cautions against severing the One Jesus Christ into man separately and God separately. In Christ’s person there was true union, Hypostatic of the two natures.</w:t>
      </w:r>
    </w:p>
    <w:p w14:paraId="422B3A6D" w14:textId="77777777" w:rsidR="009D5782" w:rsidRPr="00E559C0" w:rsidRDefault="009D5782" w:rsidP="009D5782">
      <w:pPr>
        <w:spacing w:line="360" w:lineRule="auto"/>
        <w:rPr>
          <w:rFonts w:asciiTheme="minorHAnsi" w:hAnsiTheme="minorHAnsi" w:cstheme="minorHAnsi"/>
        </w:rPr>
      </w:pPr>
      <w:r w:rsidRPr="00E559C0">
        <w:rPr>
          <w:rFonts w:asciiTheme="minorHAnsi" w:eastAsia="Aptos" w:hAnsiTheme="minorHAnsi" w:cstheme="minorHAnsi"/>
        </w:rPr>
        <w:t xml:space="preserve">According to Aquinas, the two natures of Christ represents two generations. One eternal generation he received from his divine nature of the Father and the other, temporal he received from his mother, the human nature. </w:t>
      </w:r>
      <w:r w:rsidRPr="00E559C0">
        <w:rPr>
          <w:rStyle w:val="FootnoteAnchor"/>
          <w:rFonts w:asciiTheme="minorHAnsi" w:eastAsia="Aptos" w:hAnsiTheme="minorHAnsi" w:cstheme="minorHAnsi"/>
        </w:rPr>
        <w:footnoteReference w:id="23"/>
      </w:r>
      <w:r w:rsidRPr="00E559C0">
        <w:rPr>
          <w:rFonts w:asciiTheme="minorHAnsi" w:eastAsia="Aptos" w:hAnsiTheme="minorHAnsi" w:cstheme="minorHAnsi"/>
        </w:rPr>
        <w:t>Both natures work as one, human nature work as an instrument to divine power.</w:t>
      </w:r>
    </w:p>
    <w:p w14:paraId="0F6D3B85"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Nestorius queries if the Word became flesh, then, he no longer remained the Word, but rather ceased to be what he was. Citing examples from the bible, Nestorius uses Lot’s wife, ‘became a pillar of salt’ (Genesis. 19.25) and Moses staff that ‘became a serpent’ in (Exodus. 4.3). In all these instances, a change of nature took place.</w:t>
      </w:r>
    </w:p>
    <w:p w14:paraId="6C912193"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lastRenderedPageBreak/>
        <w:t xml:space="preserve">In reaction to this query, Cyril uses his extensive knowledge of scripture to refute the claims of Nestorius. He affirms the immutability of God and the reason for the Incarnation of the Word. Making it clear that ‘God is unchangeable and did not change himself into flesh but took upon himself flesh. Quoting Hebrews 1. 3, ‘The Son is the radiance of God’s glory and the exact representation of his being’. </w:t>
      </w:r>
      <w:r w:rsidRPr="00E559C0">
        <w:rPr>
          <w:rStyle w:val="FootnoteAnchor"/>
          <w:rFonts w:asciiTheme="minorHAnsi" w:hAnsiTheme="minorHAnsi" w:cstheme="minorHAnsi"/>
        </w:rPr>
        <w:footnoteReference w:id="24"/>
      </w:r>
    </w:p>
    <w:p w14:paraId="16C1F074"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And using Phil. 2. 5-8 to buttress his point, ‘Though he was in the form of God, did not consider equality with God something to be used to his own advantage: rather, he made himself nothing by taking the very nature of a servant, being made in human likeness; and being found in appearance as a man he humbled himself becoming obedient even to death, death on the cross’. </w:t>
      </w:r>
      <w:r w:rsidRPr="00E559C0">
        <w:rPr>
          <w:rStyle w:val="FootnoteAnchor"/>
          <w:rFonts w:asciiTheme="minorHAnsi" w:hAnsiTheme="minorHAnsi" w:cstheme="minorHAnsi"/>
        </w:rPr>
        <w:footnoteReference w:id="25"/>
      </w:r>
      <w:r w:rsidRPr="00E559C0">
        <w:rPr>
          <w:rFonts w:asciiTheme="minorHAnsi" w:hAnsiTheme="minorHAnsi" w:cstheme="minorHAnsi"/>
        </w:rPr>
        <w:t xml:space="preserve">Cyril also used Hebrew 12.2, ‘He submitted himself to being emptied’, </w:t>
      </w:r>
    </w:p>
    <w:p w14:paraId="293242EC"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According to Morgan, ‘Christ reveals the Father. He is the image by which man come to know the Father, whom no one knows but the Son and whom the Son is pleased to reveal.’’</w:t>
      </w:r>
      <w:r w:rsidRPr="00E559C0">
        <w:rPr>
          <w:rStyle w:val="FootnoteAnchor"/>
          <w:rFonts w:asciiTheme="minorHAnsi" w:hAnsiTheme="minorHAnsi" w:cstheme="minorHAnsi"/>
        </w:rPr>
        <w:footnoteReference w:id="26"/>
      </w:r>
    </w:p>
    <w:p w14:paraId="083E14BB"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For Cyril, the inexplicable union of the two natures in one-person, set-in frame his concept of salvation. It is the unity of Christ that ensures the efficacy of salvation because only the divine can heal and redeem humanity.</w:t>
      </w:r>
    </w:p>
    <w:p w14:paraId="50ADF7DD" w14:textId="77777777" w:rsidR="009D5782" w:rsidRPr="00E559C0" w:rsidRDefault="009D5782" w:rsidP="009D5782">
      <w:pPr>
        <w:spacing w:line="360" w:lineRule="auto"/>
        <w:rPr>
          <w:rFonts w:asciiTheme="minorHAnsi" w:eastAsia="Aptos" w:hAnsiTheme="minorHAnsi" w:cstheme="minorHAnsi"/>
        </w:rPr>
      </w:pPr>
      <w:r w:rsidRPr="00E559C0">
        <w:rPr>
          <w:rFonts w:asciiTheme="minorHAnsi" w:eastAsia="Aptos" w:hAnsiTheme="minorHAnsi" w:cstheme="minorHAnsi"/>
          <w:b/>
          <w:bCs/>
        </w:rPr>
        <w:t>Justification for the Name ‘</w:t>
      </w:r>
      <w:proofErr w:type="spellStart"/>
      <w:r w:rsidRPr="00E559C0">
        <w:rPr>
          <w:rFonts w:asciiTheme="minorHAnsi" w:eastAsia="Aptos" w:hAnsiTheme="minorHAnsi" w:cstheme="minorHAnsi"/>
          <w:b/>
          <w:bCs/>
        </w:rPr>
        <w:t>Theotokos</w:t>
      </w:r>
      <w:proofErr w:type="spellEnd"/>
      <w:r w:rsidRPr="00E559C0">
        <w:rPr>
          <w:rFonts w:asciiTheme="minorHAnsi" w:eastAsia="Aptos" w:hAnsiTheme="minorHAnsi" w:cstheme="minorHAnsi"/>
          <w:b/>
          <w:bCs/>
        </w:rPr>
        <w:t>’</w:t>
      </w:r>
    </w:p>
    <w:p w14:paraId="3D0AC063" w14:textId="77777777" w:rsidR="009D5782" w:rsidRPr="00E559C0" w:rsidRDefault="009D5782" w:rsidP="009D5782">
      <w:pPr>
        <w:spacing w:line="360" w:lineRule="auto"/>
        <w:rPr>
          <w:rFonts w:asciiTheme="minorHAnsi" w:hAnsiTheme="minorHAnsi" w:cstheme="minorHAnsi"/>
        </w:rPr>
      </w:pPr>
      <w:r w:rsidRPr="00E559C0">
        <w:rPr>
          <w:rFonts w:asciiTheme="minorHAnsi" w:eastAsia="Calibri" w:hAnsiTheme="minorHAnsi" w:cstheme="minorHAnsi"/>
        </w:rPr>
        <w:t>Nestorius believed that Mary bore a mere man, the vehicle of divinity but not God. He argues that Mary was not the ‘Mother of God’ (</w:t>
      </w:r>
      <w:proofErr w:type="spellStart"/>
      <w:r w:rsidRPr="00E559C0">
        <w:rPr>
          <w:rFonts w:asciiTheme="minorHAnsi" w:eastAsia="Calibri" w:hAnsiTheme="minorHAnsi" w:cstheme="minorHAnsi"/>
          <w:i/>
          <w:iCs/>
        </w:rPr>
        <w:t>Theotokos</w:t>
      </w:r>
      <w:proofErr w:type="spellEnd"/>
      <w:r w:rsidRPr="00E559C0">
        <w:rPr>
          <w:rFonts w:asciiTheme="minorHAnsi" w:eastAsia="Calibri" w:hAnsiTheme="minorHAnsi" w:cstheme="minorHAnsi"/>
        </w:rPr>
        <w:t xml:space="preserve">). He preferred the title </w:t>
      </w:r>
      <w:proofErr w:type="spellStart"/>
      <w:r w:rsidRPr="00E559C0">
        <w:rPr>
          <w:rFonts w:asciiTheme="minorHAnsi" w:eastAsia="Calibri" w:hAnsiTheme="minorHAnsi" w:cstheme="minorHAnsi"/>
          <w:i/>
          <w:iCs/>
        </w:rPr>
        <w:t>Christotokos</w:t>
      </w:r>
      <w:proofErr w:type="spellEnd"/>
      <w:r w:rsidRPr="00E559C0">
        <w:rPr>
          <w:rFonts w:asciiTheme="minorHAnsi" w:eastAsia="Calibri" w:hAnsiTheme="minorHAnsi" w:cstheme="minorHAnsi"/>
        </w:rPr>
        <w:t xml:space="preserve"> (Christ Mother).  He claims</w:t>
      </w:r>
      <w:r w:rsidRPr="00E559C0">
        <w:rPr>
          <w:rFonts w:asciiTheme="minorHAnsi" w:hAnsiTheme="minorHAnsi" w:cstheme="minorHAnsi"/>
        </w:rPr>
        <w:t xml:space="preserve"> Mary has not given birth to God, ‘since the Word was ‘before her’. He also argues that God could not have been born by a woman. He proclaims that the ineffable being of the only begotten could never be the fruit of the flesh, but that Jesus was merely a man who </w:t>
      </w:r>
      <w:r w:rsidRPr="00E559C0">
        <w:rPr>
          <w:rFonts w:asciiTheme="minorHAnsi" w:hAnsiTheme="minorHAnsi" w:cstheme="minorHAnsi"/>
        </w:rPr>
        <w:lastRenderedPageBreak/>
        <w:t>had a unique relationship with the Word</w:t>
      </w:r>
      <w:r w:rsidRPr="00E559C0">
        <w:rPr>
          <w:rStyle w:val="FootnoteReference"/>
          <w:rFonts w:asciiTheme="minorHAnsi" w:hAnsiTheme="minorHAnsi" w:cstheme="minorHAnsi"/>
        </w:rPr>
        <w:footnoteReference w:id="27"/>
      </w:r>
      <w:r w:rsidRPr="00E559C0">
        <w:rPr>
          <w:rFonts w:asciiTheme="minorHAnsi" w:hAnsiTheme="minorHAnsi" w:cstheme="minorHAnsi"/>
        </w:rPr>
        <w:t>. And believes, ‘’it is fitting for the Word, to remain the begotten Son of God, but unfitting for Him to be born of a woman.’</w:t>
      </w:r>
      <w:r w:rsidRPr="00E559C0">
        <w:rPr>
          <w:rStyle w:val="FootnoteReference"/>
          <w:rFonts w:asciiTheme="minorHAnsi" w:hAnsiTheme="minorHAnsi" w:cstheme="minorHAnsi"/>
        </w:rPr>
        <w:footnoteReference w:id="28"/>
      </w:r>
      <w:r w:rsidRPr="00E559C0">
        <w:rPr>
          <w:rFonts w:asciiTheme="minorHAnsi" w:hAnsiTheme="minorHAnsi" w:cstheme="minorHAnsi"/>
        </w:rPr>
        <w:t xml:space="preserve"> </w:t>
      </w:r>
    </w:p>
    <w:p w14:paraId="60836D68"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Nestorius insists that the title ‘Mother of God’ mixes up the characteristics of deity and humanity by attributing them to the same person. Cyril observed Nestorius statement as, ‘Wholly devoid of any knowledge of the mystery of Christ’.</w:t>
      </w:r>
      <w:r w:rsidRPr="00E559C0">
        <w:rPr>
          <w:rStyle w:val="FootnoteAnchor"/>
          <w:rFonts w:asciiTheme="minorHAnsi" w:hAnsiTheme="minorHAnsi" w:cstheme="minorHAnsi"/>
        </w:rPr>
        <w:footnoteReference w:id="29"/>
      </w:r>
    </w:p>
    <w:p w14:paraId="2D0907A6"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Referring to the bible in Matthew 1. 23, ’the virgin will conceive and give birth to a son, and they will call him Immanuel (which means ’God with us’)</w:t>
      </w:r>
      <w:r w:rsidRPr="00E559C0">
        <w:rPr>
          <w:rStyle w:val="FootnoteAnchor"/>
          <w:rFonts w:asciiTheme="minorHAnsi" w:hAnsiTheme="minorHAnsi" w:cstheme="minorHAnsi"/>
        </w:rPr>
        <w:footnoteReference w:id="30"/>
      </w:r>
      <w:r w:rsidRPr="00E559C0">
        <w:rPr>
          <w:rFonts w:asciiTheme="minorHAnsi" w:hAnsiTheme="minorHAnsi" w:cstheme="minorHAnsi"/>
        </w:rPr>
        <w:t>. Cyril affirms that ‘Jesus Christ was God in the appearance like man when he became flesh.</w:t>
      </w:r>
    </w:p>
    <w:p w14:paraId="4E772F1D"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Because Jesus Christ is God made man the title ‘</w:t>
      </w:r>
      <w:proofErr w:type="spellStart"/>
      <w:r w:rsidRPr="00E559C0">
        <w:rPr>
          <w:rFonts w:asciiTheme="minorHAnsi" w:hAnsiTheme="minorHAnsi" w:cstheme="minorHAnsi"/>
          <w:i/>
          <w:iCs/>
        </w:rPr>
        <w:t>Theotokos</w:t>
      </w:r>
      <w:proofErr w:type="spellEnd"/>
      <w:r w:rsidRPr="00E559C0">
        <w:rPr>
          <w:rFonts w:asciiTheme="minorHAnsi" w:hAnsiTheme="minorHAnsi" w:cstheme="minorHAnsi"/>
          <w:i/>
          <w:iCs/>
        </w:rPr>
        <w:t>’</w:t>
      </w:r>
      <w:r w:rsidRPr="00E559C0">
        <w:rPr>
          <w:rFonts w:asciiTheme="minorHAnsi" w:hAnsiTheme="minorHAnsi" w:cstheme="minorHAnsi"/>
        </w:rPr>
        <w:t xml:space="preserve"> describes the union of the incorporeal with humanity by canal birth but with intimate union of two natures, hence the title ‘Mother of God’ should be used to name the virgin who gave birth to God made man.</w:t>
      </w:r>
      <w:r w:rsidRPr="00E559C0">
        <w:rPr>
          <w:rStyle w:val="FootnoteAnchor"/>
          <w:rFonts w:asciiTheme="minorHAnsi" w:hAnsiTheme="minorHAnsi" w:cstheme="minorHAnsi"/>
        </w:rPr>
        <w:footnoteReference w:id="31"/>
      </w:r>
    </w:p>
    <w:p w14:paraId="4D575422"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Nestorius believed it was improper to attribute things like being born in time, growing, learning and suffering loss to the divine nature of God. He however, thought he was safeguarding the Christian doctrine, but Cyril could perceive he was undermining the faith.</w:t>
      </w:r>
    </w:p>
    <w:p w14:paraId="2A438C12"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In addressing the question on why the Word made a virgin, the mother of his own flesh by conception from the Holy Spirit; and not by natural conception since God did not hold the marriage bed in dishonor’. Cyril explains that, to reconstitute our condition within himself, Christ was not conceived sexually so that he could trace a path for grace to come to us’’, enabling ‘’intellectual regeneration and spiritual assimilation to himself’’ so that he remains </w:t>
      </w:r>
      <w:r w:rsidRPr="00E559C0">
        <w:rPr>
          <w:rFonts w:asciiTheme="minorHAnsi" w:hAnsiTheme="minorHAnsi" w:cstheme="minorHAnsi"/>
        </w:rPr>
        <w:lastRenderedPageBreak/>
        <w:t>free of corruption as no longer owing our first father, that is Adam, in whom we were corrupted’’.</w:t>
      </w:r>
      <w:r w:rsidRPr="00E559C0">
        <w:rPr>
          <w:rStyle w:val="FootnoteAnchor"/>
          <w:rFonts w:asciiTheme="minorHAnsi" w:hAnsiTheme="minorHAnsi" w:cstheme="minorHAnsi"/>
        </w:rPr>
        <w:footnoteReference w:id="32"/>
      </w:r>
      <w:r w:rsidRPr="00E559C0">
        <w:rPr>
          <w:rFonts w:asciiTheme="minorHAnsi" w:hAnsiTheme="minorHAnsi" w:cstheme="minorHAnsi"/>
        </w:rPr>
        <w:t xml:space="preserve"> </w:t>
      </w:r>
    </w:p>
    <w:p w14:paraId="7C6161B5"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Though Cyril made a valid point here but his view was not explicit. From the bible we learn that humanity inherited sin through sexual conception. For Christ to be free from inherited sin, he has to be born free from sin, by a Holy Virgin.</w:t>
      </w:r>
    </w:p>
    <w:p w14:paraId="3EEE4E6C" w14:textId="77777777" w:rsidR="009D5782" w:rsidRPr="00E559C0" w:rsidRDefault="009D5782" w:rsidP="009D5782">
      <w:pPr>
        <w:spacing w:line="360" w:lineRule="auto"/>
        <w:rPr>
          <w:rFonts w:asciiTheme="minorHAnsi" w:hAnsiTheme="minorHAnsi" w:cstheme="minorHAnsi"/>
          <w:b/>
        </w:rPr>
      </w:pPr>
      <w:r w:rsidRPr="00E559C0">
        <w:rPr>
          <w:rFonts w:asciiTheme="minorHAnsi" w:hAnsiTheme="minorHAnsi" w:cstheme="minorHAnsi"/>
          <w:b/>
        </w:rPr>
        <w:t>The Economy of Salvation</w:t>
      </w:r>
    </w:p>
    <w:p w14:paraId="57434DD7"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The Word became flesh when it was time for God to fulfil His will on earth. Here we see Cyril link the reason for incarnation to soteriology.</w:t>
      </w:r>
    </w:p>
    <w:p w14:paraId="4C0E0B52"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He affirms that Christ became flesh to be a model in all things, showing humanity the path to every good work. </w:t>
      </w:r>
    </w:p>
    <w:p w14:paraId="51D516F0"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He </w:t>
      </w:r>
      <w:proofErr w:type="spellStart"/>
      <w:r w:rsidRPr="00E559C0">
        <w:rPr>
          <w:rFonts w:asciiTheme="minorHAnsi" w:hAnsiTheme="minorHAnsi" w:cstheme="minorHAnsi"/>
        </w:rPr>
        <w:t>emphasised</w:t>
      </w:r>
      <w:proofErr w:type="spellEnd"/>
      <w:r w:rsidRPr="00E559C0">
        <w:rPr>
          <w:rFonts w:asciiTheme="minorHAnsi" w:hAnsiTheme="minorHAnsi" w:cstheme="minorHAnsi"/>
        </w:rPr>
        <w:t xml:space="preserve"> on how Christ was able to employ the limitations of manhood. He was hungry, was thirsty, he prayed leaving an example that man might follow in his steps. He shed tears at times as one needing a Savior himself, he humbled himself and learnt obedience despite being the Son of God. </w:t>
      </w:r>
    </w:p>
    <w:p w14:paraId="76DDE055"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Contrary to Nestorius claims that the only begotten Son became incarnate not to suffer in his own nature, as it would be impossible due to his divine nature. But the man from the descendent of David who was conjoined to him in an equal honor could rightly suffer death</w:t>
      </w:r>
    </w:p>
    <w:p w14:paraId="38F41357"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Christ did not suffer in his own nature, for the divine nature is incapable of suffering because it is incorporeal. But he makes his own the sufferings of its own flesh, because its own is the body and not another’s. His body shares with its own flesh the operation of the divine power that is within it. Supporting this argument, Gregory in his oration recites that Christ ‘’as man was put to the test, but as God he came through victorious.’’</w:t>
      </w:r>
      <w:r w:rsidRPr="00E559C0">
        <w:rPr>
          <w:rStyle w:val="FootnoteAnchor"/>
          <w:rFonts w:asciiTheme="minorHAnsi" w:hAnsiTheme="minorHAnsi" w:cstheme="minorHAnsi"/>
        </w:rPr>
        <w:footnoteReference w:id="33"/>
      </w:r>
      <w:r w:rsidRPr="00E559C0">
        <w:rPr>
          <w:rFonts w:asciiTheme="minorHAnsi" w:hAnsiTheme="minorHAnsi" w:cstheme="minorHAnsi"/>
        </w:rPr>
        <w:t xml:space="preserve"> For Cyril, all the human things including his body in flesh all belong to Christ by an economic appropriation. </w:t>
      </w:r>
    </w:p>
    <w:p w14:paraId="0696D131"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lastRenderedPageBreak/>
        <w:t>Cyril expresses fear that Nestorius teaching aims to exclude Christ from the economy of salvation which is the main reason his incarnation.</w:t>
      </w:r>
    </w:p>
    <w:p w14:paraId="62E3FD72"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Cyril goes on to further expound on the reason for the incarnation, he affirms is for the redemption and restoration of man to its original state. Adam, the first man, had sinned and fallen into corruption resulting in the anger of God been transferred to humanity. To ‘shake off the gloomy dominion of death’,</w:t>
      </w:r>
      <w:r w:rsidRPr="00E559C0">
        <w:rPr>
          <w:rStyle w:val="FootnoteAnchor"/>
          <w:rFonts w:asciiTheme="minorHAnsi" w:hAnsiTheme="minorHAnsi" w:cstheme="minorHAnsi"/>
        </w:rPr>
        <w:footnoteReference w:id="34"/>
      </w:r>
      <w:r w:rsidRPr="00E559C0">
        <w:rPr>
          <w:rFonts w:asciiTheme="minorHAnsi" w:hAnsiTheme="minorHAnsi" w:cstheme="minorHAnsi"/>
        </w:rPr>
        <w:t xml:space="preserve"> Christ came as the second Adam to remedy the judgement of death passed on to man. In Christ the sinful nature of man is made free from judgement, all things were made new and man restored to its original state. Just as man died in Adam, so all is made alive in Christ. He is life born from the life of the Father. He uses 1 Cor. 15. 45 to support his statement, "The first man, Adam, was made a living soul; the last Adam a life-giving spirit".</w:t>
      </w:r>
      <w:r w:rsidRPr="00E559C0">
        <w:rPr>
          <w:rStyle w:val="FootnoteAnchor"/>
          <w:rFonts w:asciiTheme="minorHAnsi" w:hAnsiTheme="minorHAnsi" w:cstheme="minorHAnsi"/>
        </w:rPr>
        <w:footnoteReference w:id="35"/>
      </w:r>
      <w:r w:rsidRPr="00E559C0">
        <w:rPr>
          <w:rFonts w:asciiTheme="minorHAnsi" w:hAnsiTheme="minorHAnsi" w:cstheme="minorHAnsi"/>
        </w:rPr>
        <w:t xml:space="preserve"> To give life is not a human act, but an act of God. He made his very own, a body capable of tasting death and capable of coming back to life again. 1 Cor. 15.22. ‘’For as in Adam all die, so in Christ all will be made alive’’.</w:t>
      </w:r>
    </w:p>
    <w:p w14:paraId="5F7EE48A"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Gregory of Nazianzus oration recites that, ‘As Sheep he is led to the slaughter, yet he shepherds Israel and now the entire world as well. He surrenders his life, yet he has the power to take it again. He goes down to Hades, yet he leads souls up, ascends to heaven and will come to judge the world.’’</w:t>
      </w:r>
      <w:r w:rsidRPr="00E559C0">
        <w:rPr>
          <w:rStyle w:val="FootnoteAnchor"/>
          <w:rFonts w:asciiTheme="minorHAnsi" w:hAnsiTheme="minorHAnsi" w:cstheme="minorHAnsi"/>
        </w:rPr>
        <w:footnoteReference w:id="36"/>
      </w:r>
    </w:p>
    <w:p w14:paraId="22127214"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In his divine nature Christ remains impassible but devoted everything that belonged to his own flesh. Cyril believes Christ is worthy of all worship according to Phil. 2. 10-11, "every knee shall bend before him, and every tongue shall confess that Jesus Christ is Lord, to the glory of God the Father" </w:t>
      </w:r>
    </w:p>
    <w:p w14:paraId="38AF2AFA"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lastRenderedPageBreak/>
        <w:t>By his death we might receive adoption to son ship’’.</w:t>
      </w:r>
      <w:r w:rsidRPr="00E559C0">
        <w:rPr>
          <w:rStyle w:val="FootnoteAnchor"/>
          <w:rFonts w:asciiTheme="minorHAnsi" w:hAnsiTheme="minorHAnsi" w:cstheme="minorHAnsi"/>
        </w:rPr>
        <w:footnoteReference w:id="37"/>
      </w:r>
      <w:r w:rsidRPr="00E559C0">
        <w:rPr>
          <w:rFonts w:asciiTheme="minorHAnsi" w:hAnsiTheme="minorHAnsi" w:cstheme="minorHAnsi"/>
        </w:rPr>
        <w:t xml:space="preserve"> By the grace of son ship, man became heavenly beings and could freely call God, Father. John 1.12 states, "Those that believed in his name, he gave them authority to become the children of God".</w:t>
      </w:r>
      <w:r w:rsidRPr="00E559C0">
        <w:rPr>
          <w:rStyle w:val="FootnoteAnchor"/>
          <w:rFonts w:asciiTheme="minorHAnsi" w:hAnsiTheme="minorHAnsi" w:cstheme="minorHAnsi"/>
        </w:rPr>
        <w:footnoteReference w:id="38"/>
      </w:r>
    </w:p>
    <w:p w14:paraId="33109E20"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Cyril underlines that the Word ‘became like us in all things except sin’.</w:t>
      </w:r>
      <w:r w:rsidRPr="00E559C0">
        <w:rPr>
          <w:rStyle w:val="FootnoteReference"/>
          <w:rFonts w:asciiTheme="minorHAnsi" w:hAnsiTheme="minorHAnsi" w:cstheme="minorHAnsi"/>
        </w:rPr>
        <w:footnoteReference w:id="39"/>
      </w:r>
      <w:r w:rsidRPr="00E559C0">
        <w:rPr>
          <w:rFonts w:asciiTheme="minorHAnsi" w:hAnsiTheme="minorHAnsi" w:cstheme="minorHAnsi"/>
        </w:rPr>
        <w:t xml:space="preserve"> He quotes Heb. 2. 14-17 to explain his statement,</w:t>
      </w:r>
    </w:p>
    <w:p w14:paraId="1F8EFB48"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‘Since the children have a common share in flesh and blood, he himself equally participated in these things so that through his death he could reduce to powerlessness the one who held the dominion of death, that is the devil, and that he might liberate those who all their lives were held in slavery by the fear of death’.</w:t>
      </w:r>
      <w:r w:rsidRPr="00E559C0">
        <w:rPr>
          <w:rStyle w:val="FootnoteAnchor"/>
          <w:rFonts w:asciiTheme="minorHAnsi" w:hAnsiTheme="minorHAnsi" w:cstheme="minorHAnsi"/>
        </w:rPr>
        <w:footnoteReference w:id="40"/>
      </w:r>
    </w:p>
    <w:p w14:paraId="4B4AC1D6"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 xml:space="preserve">We understand that the Word humbled Himself to manhood, taking his birth from a woman and revealing himself in flesh for the economy of salvation. He took on flesh, blood   and body like man without casting off his existence as God or his generation of God the Father. </w:t>
      </w:r>
      <w:r w:rsidRPr="00E559C0">
        <w:rPr>
          <w:rStyle w:val="FootnoteReference"/>
          <w:rFonts w:asciiTheme="minorHAnsi" w:hAnsiTheme="minorHAnsi" w:cstheme="minorHAnsi"/>
        </w:rPr>
        <w:footnoteReference w:id="41"/>
      </w:r>
      <w:r w:rsidRPr="00E559C0">
        <w:rPr>
          <w:rFonts w:asciiTheme="minorHAnsi" w:hAnsiTheme="minorHAnsi" w:cstheme="minorHAnsi"/>
        </w:rPr>
        <w:t>He retains his Divine nature. He states that, ‘Christ remained Lord of all things even when he came, for the economy, in the form of a slave’</w:t>
      </w:r>
      <w:r w:rsidRPr="00E559C0">
        <w:rPr>
          <w:rStyle w:val="FootnoteAnchor"/>
          <w:rFonts w:asciiTheme="minorHAnsi" w:hAnsiTheme="minorHAnsi" w:cstheme="minorHAnsi"/>
        </w:rPr>
        <w:footnoteReference w:id="42"/>
      </w:r>
      <w:r w:rsidRPr="00E559C0">
        <w:rPr>
          <w:rFonts w:asciiTheme="minorHAnsi" w:hAnsiTheme="minorHAnsi" w:cstheme="minorHAnsi"/>
        </w:rPr>
        <w:t>. In his own nature, though free, he came in the form of a slave.</w:t>
      </w:r>
    </w:p>
    <w:p w14:paraId="0DFB0FED" w14:textId="77777777" w:rsidR="009D5782" w:rsidRPr="00E559C0" w:rsidRDefault="009D5782" w:rsidP="009D5782">
      <w:pPr>
        <w:spacing w:line="360" w:lineRule="auto"/>
        <w:rPr>
          <w:rFonts w:asciiTheme="minorHAnsi" w:hAnsiTheme="minorHAnsi" w:cstheme="minorHAnsi"/>
        </w:rPr>
      </w:pPr>
      <w:r w:rsidRPr="00E559C0">
        <w:rPr>
          <w:rFonts w:asciiTheme="minorHAnsi" w:hAnsiTheme="minorHAnsi" w:cstheme="minorHAnsi"/>
        </w:rPr>
        <w:t>Cyril affirms that it was the will of the Father to send forth His Son. And, in His goodness and love also, to save humanity by means of incarnation.  So that through him sin in human flesh, could be condemned, and death destroyed.  He argues that God made him come to the trail of death, raised him from death and then took him up to heaven and sits him at the right hand of the father. For Nestorius, in as much as the Word is inseparably conjoined to the descendent of David, he is worthy of worship as God.</w:t>
      </w:r>
    </w:p>
    <w:p w14:paraId="739EC120" w14:textId="77777777" w:rsidR="009D5782" w:rsidRPr="00E559C0" w:rsidRDefault="009D5782" w:rsidP="009D5782">
      <w:pPr>
        <w:spacing w:line="360" w:lineRule="auto"/>
        <w:rPr>
          <w:rFonts w:asciiTheme="minorHAnsi" w:eastAsia="Aptos" w:hAnsiTheme="minorHAnsi" w:cstheme="minorHAnsi"/>
          <w:b/>
          <w:bCs/>
        </w:rPr>
      </w:pPr>
      <w:r w:rsidRPr="00E559C0">
        <w:rPr>
          <w:rFonts w:asciiTheme="minorHAnsi" w:eastAsia="Aptos" w:hAnsiTheme="minorHAnsi" w:cstheme="minorHAnsi"/>
          <w:b/>
          <w:bCs/>
        </w:rPr>
        <w:lastRenderedPageBreak/>
        <w:t>Conclusion</w:t>
      </w:r>
    </w:p>
    <w:p w14:paraId="2C63D426" w14:textId="77777777" w:rsidR="009D5782" w:rsidRPr="00E559C0" w:rsidRDefault="009D5782" w:rsidP="009D5782">
      <w:pPr>
        <w:spacing w:line="360" w:lineRule="auto"/>
        <w:rPr>
          <w:rFonts w:asciiTheme="minorHAnsi" w:hAnsiTheme="minorHAnsi" w:cstheme="minorHAnsi"/>
        </w:rPr>
      </w:pPr>
      <w:r w:rsidRPr="00E559C0">
        <w:rPr>
          <w:rFonts w:asciiTheme="minorHAnsi" w:eastAsia="Aptos" w:hAnsiTheme="minorHAnsi" w:cstheme="minorHAnsi"/>
        </w:rPr>
        <w:t>Cyril of Alexandria’s ‘</w:t>
      </w:r>
      <w:r w:rsidRPr="00E559C0">
        <w:rPr>
          <w:rFonts w:asciiTheme="minorHAnsi" w:eastAsia="Aptos" w:hAnsiTheme="minorHAnsi" w:cstheme="minorHAnsi"/>
          <w:i/>
        </w:rPr>
        <w:t>On the Unity of Christ’</w:t>
      </w:r>
      <w:r w:rsidRPr="00E559C0">
        <w:rPr>
          <w:rFonts w:asciiTheme="minorHAnsi" w:eastAsia="Aptos" w:hAnsiTheme="minorHAnsi" w:cstheme="minorHAnsi"/>
        </w:rPr>
        <w:t xml:space="preserve"> Christological thesis centers on the unity of the Word of God and Christ’s human nature exist in One </w:t>
      </w:r>
      <w:r w:rsidRPr="00E559C0">
        <w:rPr>
          <w:rFonts w:asciiTheme="minorHAnsi" w:eastAsia="Aptos" w:hAnsiTheme="minorHAnsi" w:cstheme="minorHAnsi"/>
          <w:i/>
        </w:rPr>
        <w:t xml:space="preserve">Hypostasis </w:t>
      </w:r>
      <w:r w:rsidRPr="00E559C0">
        <w:rPr>
          <w:rFonts w:asciiTheme="minorHAnsi" w:eastAsia="Aptos" w:hAnsiTheme="minorHAnsi" w:cstheme="minorHAnsi"/>
        </w:rPr>
        <w:t xml:space="preserve">and </w:t>
      </w:r>
      <w:r w:rsidRPr="00E559C0">
        <w:rPr>
          <w:rFonts w:asciiTheme="minorHAnsi" w:eastAsia="Aptos" w:hAnsiTheme="minorHAnsi" w:cstheme="minorHAnsi"/>
          <w:i/>
        </w:rPr>
        <w:t>Prosopon</w:t>
      </w:r>
      <w:r w:rsidRPr="00E559C0">
        <w:rPr>
          <w:rFonts w:asciiTheme="minorHAnsi" w:eastAsia="Aptos" w:hAnsiTheme="minorHAnsi" w:cstheme="minorHAnsi"/>
        </w:rPr>
        <w:t xml:space="preserve"> after incarnation.  He asserts Christ is truly divine and truly human as one, whole and undivided person. Cyril made use of key terms, concepts and biblical texts to express the doctrine of Christ. </w:t>
      </w:r>
      <w:r w:rsidRPr="00E559C0">
        <w:rPr>
          <w:rFonts w:asciiTheme="minorHAnsi" w:hAnsiTheme="minorHAnsi" w:cstheme="minorHAnsi"/>
        </w:rPr>
        <w:t xml:space="preserve">Cyril’s defensive argument on the reason for incarnation, the assumption of flesh in the God-Man is mainly centered on salvation, redemption and worship. He maintains that the mystery of Christ is so incredibly wonderful that it runs the risk of disbelieve. </w:t>
      </w:r>
      <w:r w:rsidRPr="00E559C0">
        <w:rPr>
          <w:rFonts w:asciiTheme="minorHAnsi" w:hAnsiTheme="minorHAnsi" w:cstheme="minorHAnsi"/>
          <w:color w:val="000000"/>
          <w:shd w:val="clear" w:color="auto" w:fill="FAFAFA"/>
        </w:rPr>
        <w:t xml:space="preserve">He insists that this union does not mean a blending or mixing that would compromise the integrity of each nature. </w:t>
      </w:r>
    </w:p>
    <w:p w14:paraId="0CCE8276" w14:textId="77777777" w:rsidR="009D5782" w:rsidRPr="00E559C0" w:rsidRDefault="009D5782" w:rsidP="009D5782">
      <w:pPr>
        <w:spacing w:line="360" w:lineRule="auto"/>
        <w:rPr>
          <w:rFonts w:asciiTheme="minorHAnsi" w:eastAsia="Aptos" w:hAnsiTheme="minorHAnsi" w:cstheme="minorHAnsi"/>
        </w:rPr>
      </w:pPr>
      <w:r w:rsidRPr="00E559C0">
        <w:rPr>
          <w:rFonts w:asciiTheme="minorHAnsi" w:eastAsia="Aptos" w:hAnsiTheme="minorHAnsi" w:cstheme="minorHAnsi"/>
        </w:rPr>
        <w:t xml:space="preserve">The primary concern for putting forward his Christological argument is for believers to know Jesus Christ is the Only Begotten Son of God who incarnate, he became man while retaining his divine nature. He was born of the Virgin Mary, to save and redeem humanity from the judgement of death that was passed on him due to sin. </w:t>
      </w:r>
    </w:p>
    <w:p w14:paraId="696F955F" w14:textId="77777777" w:rsidR="009D5782" w:rsidRPr="00E559C0" w:rsidRDefault="009D5782" w:rsidP="009D5782">
      <w:pPr>
        <w:spacing w:line="360" w:lineRule="auto"/>
        <w:rPr>
          <w:rFonts w:asciiTheme="minorHAnsi" w:eastAsia="Aptos" w:hAnsiTheme="minorHAnsi" w:cstheme="minorHAnsi"/>
        </w:rPr>
      </w:pPr>
      <w:r w:rsidRPr="00E559C0">
        <w:rPr>
          <w:rFonts w:asciiTheme="minorHAnsi" w:eastAsia="Aptos" w:hAnsiTheme="minorHAnsi" w:cstheme="minorHAnsi"/>
        </w:rPr>
        <w:t>The worry about Nestorius teaching is, If Christ’s passion, sufferings and saving acts were not</w:t>
      </w:r>
      <w:r w:rsidRPr="00E559C0">
        <w:rPr>
          <w:rFonts w:asciiTheme="minorHAnsi" w:hAnsiTheme="minorHAnsi" w:cstheme="minorHAnsi"/>
        </w:rPr>
        <w:t xml:space="preserve"> </w:t>
      </w:r>
      <w:r w:rsidRPr="00E559C0">
        <w:rPr>
          <w:rFonts w:asciiTheme="minorHAnsi" w:eastAsia="Aptos" w:hAnsiTheme="minorHAnsi" w:cstheme="minorHAnsi"/>
        </w:rPr>
        <w:t xml:space="preserve">those of the Word incarnate but of a mere man, how could mankind be redeemed </w:t>
      </w:r>
      <w:r w:rsidRPr="00E559C0">
        <w:rPr>
          <w:rFonts w:asciiTheme="minorHAnsi" w:hAnsiTheme="minorHAnsi" w:cstheme="minorHAnsi"/>
          <w:color w:val="333333"/>
          <w:highlight w:val="white"/>
        </w:rPr>
        <w:t xml:space="preserve">. </w:t>
      </w:r>
      <w:r w:rsidRPr="00E559C0">
        <w:rPr>
          <w:rFonts w:asciiTheme="minorHAnsi" w:eastAsia="Aptos" w:hAnsiTheme="minorHAnsi" w:cstheme="minorHAnsi"/>
        </w:rPr>
        <w:t xml:space="preserve">                                                                                                               </w:t>
      </w:r>
    </w:p>
    <w:p w14:paraId="78C259AA" w14:textId="77777777" w:rsidR="009D5782" w:rsidRPr="00E559C0" w:rsidRDefault="009D5782" w:rsidP="009D5782">
      <w:pPr>
        <w:spacing w:line="360" w:lineRule="auto"/>
        <w:rPr>
          <w:rFonts w:asciiTheme="minorHAnsi" w:eastAsia="Aptos" w:hAnsiTheme="minorHAnsi" w:cstheme="minorHAnsi"/>
        </w:rPr>
      </w:pPr>
      <w:r w:rsidRPr="00E559C0">
        <w:rPr>
          <w:rFonts w:asciiTheme="minorHAnsi" w:eastAsia="Aptos" w:hAnsiTheme="minorHAnsi" w:cstheme="minorHAnsi"/>
        </w:rPr>
        <w:t xml:space="preserve">                                                                                                    </w:t>
      </w:r>
    </w:p>
    <w:p w14:paraId="52F6CE23" w14:textId="77777777" w:rsidR="009D5782" w:rsidRPr="00E559C0" w:rsidRDefault="009D5782" w:rsidP="009D5782">
      <w:pPr>
        <w:spacing w:line="360" w:lineRule="auto"/>
        <w:rPr>
          <w:rFonts w:asciiTheme="minorHAnsi" w:eastAsia="Aptos" w:hAnsiTheme="minorHAnsi" w:cstheme="minorHAnsi"/>
        </w:rPr>
      </w:pPr>
      <w:r w:rsidRPr="00E559C0">
        <w:rPr>
          <w:rFonts w:asciiTheme="minorHAnsi" w:eastAsia="Aptos" w:hAnsiTheme="minorHAnsi" w:cstheme="minorHAnsi"/>
        </w:rPr>
        <w:t xml:space="preserve">                                                                                                                                           </w:t>
      </w:r>
      <w:r w:rsidRPr="00E559C0">
        <w:rPr>
          <w:rFonts w:asciiTheme="minorHAnsi" w:eastAsia="Aptos" w:hAnsiTheme="minorHAnsi" w:cstheme="minorHAnsi"/>
          <w:b/>
          <w:bCs/>
        </w:rPr>
        <w:t>Word</w:t>
      </w:r>
      <w:r>
        <w:rPr>
          <w:rFonts w:asciiTheme="minorHAnsi" w:eastAsia="Aptos" w:hAnsiTheme="minorHAnsi" w:cstheme="minorHAnsi"/>
          <w:b/>
          <w:bCs/>
        </w:rPr>
        <w:t xml:space="preserve"> count 4,060</w:t>
      </w:r>
    </w:p>
    <w:p w14:paraId="614EE676" w14:textId="77777777" w:rsidR="009D5782" w:rsidRPr="00E559C0" w:rsidRDefault="009D5782" w:rsidP="009D5782">
      <w:pPr>
        <w:spacing w:line="360" w:lineRule="auto"/>
        <w:rPr>
          <w:rFonts w:asciiTheme="minorHAnsi" w:eastAsia="Aptos" w:hAnsiTheme="minorHAnsi" w:cstheme="minorHAnsi"/>
          <w:b/>
          <w:bCs/>
        </w:rPr>
      </w:pPr>
    </w:p>
    <w:p w14:paraId="2AEC1D3A" w14:textId="77777777" w:rsidR="009D5782" w:rsidRPr="00E559C0" w:rsidRDefault="009D5782" w:rsidP="009D5782">
      <w:pPr>
        <w:spacing w:line="360" w:lineRule="auto"/>
        <w:rPr>
          <w:rFonts w:asciiTheme="minorHAnsi" w:eastAsia="Aptos" w:hAnsiTheme="minorHAnsi" w:cstheme="minorHAnsi"/>
          <w:b/>
          <w:bCs/>
        </w:rPr>
      </w:pPr>
    </w:p>
    <w:p w14:paraId="3F2A042D" w14:textId="77777777" w:rsidR="009D5782" w:rsidRPr="00E559C0" w:rsidRDefault="009D5782" w:rsidP="009D5782">
      <w:pPr>
        <w:spacing w:line="360" w:lineRule="auto"/>
        <w:rPr>
          <w:rFonts w:asciiTheme="minorHAnsi" w:eastAsia="Aptos" w:hAnsiTheme="minorHAnsi" w:cstheme="minorHAnsi"/>
          <w:b/>
          <w:bCs/>
        </w:rPr>
      </w:pPr>
    </w:p>
    <w:p w14:paraId="49EEFE79" w14:textId="77777777" w:rsidR="009D5782" w:rsidRPr="00E559C0" w:rsidRDefault="009D5782" w:rsidP="009D5782">
      <w:pPr>
        <w:spacing w:line="360" w:lineRule="auto"/>
        <w:rPr>
          <w:rFonts w:asciiTheme="minorHAnsi" w:eastAsia="Aptos" w:hAnsiTheme="minorHAnsi" w:cstheme="minorHAnsi"/>
          <w:b/>
          <w:bCs/>
        </w:rPr>
      </w:pPr>
    </w:p>
    <w:p w14:paraId="70A556C6" w14:textId="77777777" w:rsidR="009D5782" w:rsidRPr="00E559C0" w:rsidRDefault="009D5782" w:rsidP="009D5782">
      <w:pPr>
        <w:spacing w:line="360" w:lineRule="auto"/>
        <w:rPr>
          <w:rFonts w:asciiTheme="minorHAnsi" w:eastAsia="Aptos" w:hAnsiTheme="minorHAnsi" w:cstheme="minorHAnsi"/>
          <w:b/>
          <w:bCs/>
        </w:rPr>
      </w:pPr>
    </w:p>
    <w:p w14:paraId="11FEDC93" w14:textId="77777777" w:rsidR="009D5782" w:rsidRPr="00E559C0" w:rsidRDefault="009D5782" w:rsidP="009D5782">
      <w:pPr>
        <w:spacing w:line="360" w:lineRule="auto"/>
        <w:rPr>
          <w:rFonts w:asciiTheme="minorHAnsi" w:eastAsia="Aptos" w:hAnsiTheme="minorHAnsi" w:cstheme="minorHAnsi"/>
          <w:b/>
          <w:bCs/>
        </w:rPr>
      </w:pPr>
    </w:p>
    <w:p w14:paraId="7960A394" w14:textId="77777777" w:rsidR="009D5782" w:rsidRPr="00E559C0" w:rsidRDefault="009D5782" w:rsidP="009D5782">
      <w:pPr>
        <w:spacing w:line="360" w:lineRule="auto"/>
        <w:rPr>
          <w:rFonts w:asciiTheme="minorHAnsi" w:eastAsia="Aptos" w:hAnsiTheme="minorHAnsi" w:cstheme="minorHAnsi"/>
          <w:b/>
          <w:bCs/>
        </w:rPr>
      </w:pPr>
    </w:p>
    <w:p w14:paraId="0B705D1B" w14:textId="77777777" w:rsidR="009D5782" w:rsidRPr="00E559C0" w:rsidRDefault="009D5782" w:rsidP="009D5782">
      <w:pPr>
        <w:spacing w:line="360" w:lineRule="auto"/>
        <w:rPr>
          <w:rFonts w:asciiTheme="minorHAnsi" w:eastAsia="Aptos" w:hAnsiTheme="minorHAnsi" w:cstheme="minorHAnsi"/>
          <w:b/>
          <w:bCs/>
        </w:rPr>
      </w:pPr>
    </w:p>
    <w:p w14:paraId="70B07D7E" w14:textId="77777777" w:rsidR="009D5782" w:rsidRPr="00E559C0" w:rsidRDefault="009D5782" w:rsidP="009D5782">
      <w:pPr>
        <w:spacing w:line="360" w:lineRule="auto"/>
        <w:rPr>
          <w:rFonts w:asciiTheme="minorHAnsi" w:hAnsiTheme="minorHAnsi" w:cstheme="minorHAnsi"/>
        </w:rPr>
      </w:pPr>
      <w:r w:rsidRPr="00E559C0">
        <w:rPr>
          <w:rFonts w:asciiTheme="minorHAnsi" w:eastAsia="Aptos" w:hAnsiTheme="minorHAnsi" w:cstheme="minorHAnsi"/>
          <w:b/>
          <w:bCs/>
        </w:rPr>
        <w:lastRenderedPageBreak/>
        <w:t>References</w:t>
      </w:r>
    </w:p>
    <w:p w14:paraId="3DCB3CD1" w14:textId="77777777" w:rsidR="009D5782" w:rsidRPr="00E559C0" w:rsidRDefault="009D5782" w:rsidP="009D5782">
      <w:pPr>
        <w:spacing w:line="360" w:lineRule="auto"/>
        <w:rPr>
          <w:rFonts w:asciiTheme="minorHAnsi" w:hAnsiTheme="minorHAnsi" w:cstheme="minorHAnsi"/>
        </w:rPr>
      </w:pPr>
      <w:r w:rsidRPr="00E559C0">
        <w:rPr>
          <w:rFonts w:asciiTheme="minorHAnsi" w:eastAsia="Aptos" w:hAnsiTheme="minorHAnsi" w:cstheme="minorHAnsi"/>
        </w:rPr>
        <w:t>Artemi E, ‘</w:t>
      </w:r>
      <w:r w:rsidRPr="00E559C0">
        <w:rPr>
          <w:rFonts w:asciiTheme="minorHAnsi" w:eastAsia="Aptos" w:hAnsiTheme="minorHAnsi" w:cstheme="minorHAnsi"/>
          <w:i/>
          <w:iCs/>
        </w:rPr>
        <w:t xml:space="preserve">The Virgin Mary, </w:t>
      </w:r>
      <w:proofErr w:type="spellStart"/>
      <w:r w:rsidRPr="00E559C0">
        <w:rPr>
          <w:rFonts w:asciiTheme="minorHAnsi" w:eastAsia="Aptos" w:hAnsiTheme="minorHAnsi" w:cstheme="minorHAnsi"/>
          <w:i/>
          <w:iCs/>
        </w:rPr>
        <w:t>Theotokos</w:t>
      </w:r>
      <w:proofErr w:type="spellEnd"/>
      <w:r w:rsidRPr="00E559C0">
        <w:rPr>
          <w:rFonts w:asciiTheme="minorHAnsi" w:eastAsia="Aptos" w:hAnsiTheme="minorHAnsi" w:cstheme="minorHAnsi"/>
          <w:i/>
          <w:iCs/>
        </w:rPr>
        <w:t>, and Christ, true God and true man. The Mystery of Incarnation</w:t>
      </w:r>
      <w:r w:rsidRPr="00E559C0">
        <w:rPr>
          <w:rFonts w:asciiTheme="minorHAnsi" w:eastAsia="Aptos" w:hAnsiTheme="minorHAnsi" w:cstheme="minorHAnsi"/>
        </w:rPr>
        <w:t xml:space="preserve"> according to Cyril of Alexandria.</w:t>
      </w:r>
      <w:r w:rsidRPr="00E559C0">
        <w:rPr>
          <w:rFonts w:asciiTheme="minorHAnsi" w:hAnsiTheme="minorHAnsi" w:cstheme="minorHAnsi"/>
          <w:color w:val="333333"/>
        </w:rPr>
        <w:t xml:space="preserve"> (Mirabilia Electronic Journal of Antiquity and Middle Ages, 2013).</w:t>
      </w:r>
    </w:p>
    <w:p w14:paraId="38E8E316" w14:textId="77777777" w:rsidR="009D5782" w:rsidRPr="00E559C0" w:rsidRDefault="009D5782" w:rsidP="009D5782">
      <w:pPr>
        <w:pStyle w:val="FootnoteText"/>
        <w:spacing w:line="360" w:lineRule="auto"/>
        <w:rPr>
          <w:rFonts w:asciiTheme="minorHAnsi" w:hAnsiTheme="minorHAnsi" w:cstheme="minorHAnsi"/>
          <w:sz w:val="24"/>
          <w:szCs w:val="24"/>
        </w:rPr>
      </w:pPr>
      <w:r w:rsidRPr="00E559C0">
        <w:rPr>
          <w:rFonts w:asciiTheme="minorHAnsi" w:hAnsiTheme="minorHAnsi" w:cstheme="minorHAnsi"/>
          <w:color w:val="333333"/>
          <w:sz w:val="24"/>
          <w:szCs w:val="24"/>
        </w:rPr>
        <w:t xml:space="preserve">Aquinas, Thomas., </w:t>
      </w:r>
      <w:r w:rsidRPr="00E559C0">
        <w:rPr>
          <w:rFonts w:asciiTheme="minorHAnsi" w:hAnsiTheme="minorHAnsi" w:cstheme="minorHAnsi"/>
          <w:i/>
          <w:iCs/>
          <w:color w:val="333333"/>
          <w:sz w:val="24"/>
          <w:szCs w:val="24"/>
        </w:rPr>
        <w:t>‘Christ Incarnation’</w:t>
      </w:r>
      <w:r w:rsidRPr="00E559C0">
        <w:rPr>
          <w:rFonts w:asciiTheme="minorHAnsi" w:hAnsiTheme="minorHAnsi" w:cstheme="minorHAnsi"/>
          <w:color w:val="333333"/>
          <w:sz w:val="24"/>
          <w:szCs w:val="24"/>
        </w:rPr>
        <w:t xml:space="preserve">, </w:t>
      </w:r>
      <w:proofErr w:type="spellStart"/>
      <w:r w:rsidRPr="00E559C0">
        <w:rPr>
          <w:rFonts w:asciiTheme="minorHAnsi" w:hAnsiTheme="minorHAnsi" w:cstheme="minorHAnsi"/>
          <w:color w:val="333333"/>
          <w:sz w:val="24"/>
          <w:szCs w:val="24"/>
        </w:rPr>
        <w:t>Compendrum</w:t>
      </w:r>
      <w:proofErr w:type="spellEnd"/>
      <w:r w:rsidRPr="00E559C0">
        <w:rPr>
          <w:rFonts w:asciiTheme="minorHAnsi" w:hAnsiTheme="minorHAnsi" w:cstheme="minorHAnsi"/>
          <w:color w:val="333333"/>
          <w:sz w:val="24"/>
          <w:szCs w:val="24"/>
        </w:rPr>
        <w:t xml:space="preserve"> of Theology. Trans Richard J. Regan (Oxford University Press, 2009).</w:t>
      </w:r>
    </w:p>
    <w:p w14:paraId="595C8F91" w14:textId="77777777" w:rsidR="009D5782" w:rsidRPr="00E559C0" w:rsidRDefault="009D5782" w:rsidP="009D5782">
      <w:pPr>
        <w:shd w:val="clear" w:color="auto" w:fill="FFFFFF"/>
        <w:spacing w:line="360" w:lineRule="auto"/>
        <w:rPr>
          <w:rFonts w:asciiTheme="minorHAnsi" w:hAnsiTheme="minorHAnsi" w:cstheme="minorHAnsi"/>
        </w:rPr>
      </w:pPr>
      <w:r w:rsidRPr="00E559C0">
        <w:rPr>
          <w:rFonts w:asciiTheme="minorHAnsi" w:hAnsiTheme="minorHAnsi" w:cstheme="minorHAnsi"/>
          <w:color w:val="333333"/>
        </w:rPr>
        <w:t>McGuckin J.A, ‘</w:t>
      </w:r>
      <w:r w:rsidRPr="00E559C0">
        <w:rPr>
          <w:rFonts w:asciiTheme="minorHAnsi" w:hAnsiTheme="minorHAnsi" w:cstheme="minorHAnsi"/>
          <w:i/>
          <w:iCs/>
          <w:color w:val="333333"/>
        </w:rPr>
        <w:t xml:space="preserve">St. Cyril of Alexandria: Christological Controversy’, its History, Theology, and Texts </w:t>
      </w:r>
      <w:r w:rsidRPr="00E559C0">
        <w:rPr>
          <w:rFonts w:asciiTheme="minorHAnsi" w:hAnsiTheme="minorHAnsi" w:cstheme="minorHAnsi"/>
          <w:color w:val="333333"/>
        </w:rPr>
        <w:t>(New York: E.J. Brill, 1994).</w:t>
      </w:r>
    </w:p>
    <w:p w14:paraId="4EFC9FF1" w14:textId="77777777" w:rsidR="009D5782" w:rsidRPr="00E559C0" w:rsidRDefault="009D5782" w:rsidP="009D5782">
      <w:pPr>
        <w:shd w:val="clear" w:color="auto" w:fill="FFFFFF"/>
        <w:spacing w:line="360" w:lineRule="auto"/>
        <w:rPr>
          <w:rFonts w:asciiTheme="minorHAnsi" w:hAnsiTheme="minorHAnsi" w:cstheme="minorHAnsi"/>
        </w:rPr>
      </w:pPr>
      <w:r w:rsidRPr="00E559C0">
        <w:rPr>
          <w:rFonts w:asciiTheme="minorHAnsi" w:hAnsiTheme="minorHAnsi" w:cstheme="minorHAnsi"/>
          <w:color w:val="333333"/>
        </w:rPr>
        <w:t>Morgan J., ‘</w:t>
      </w:r>
      <w:r w:rsidRPr="00E559C0">
        <w:rPr>
          <w:rFonts w:asciiTheme="minorHAnsi" w:hAnsiTheme="minorHAnsi" w:cstheme="minorHAnsi"/>
          <w:i/>
          <w:iCs/>
          <w:color w:val="333333"/>
        </w:rPr>
        <w:t>The Unity of Christ in Cyril of Alexandria’s Festal Letters’</w:t>
      </w:r>
      <w:r w:rsidRPr="00E559C0">
        <w:rPr>
          <w:rFonts w:asciiTheme="minorHAnsi" w:hAnsiTheme="minorHAnsi" w:cstheme="minorHAnsi"/>
          <w:color w:val="333333"/>
        </w:rPr>
        <w:t>. (Cambridge University Press, 2023).</w:t>
      </w:r>
    </w:p>
    <w:p w14:paraId="4C90BA77" w14:textId="77777777" w:rsidR="009D5782" w:rsidRPr="00E559C0" w:rsidRDefault="009D5782" w:rsidP="009D5782">
      <w:pPr>
        <w:shd w:val="clear" w:color="auto" w:fill="FFFFFF"/>
        <w:spacing w:line="360" w:lineRule="auto"/>
        <w:rPr>
          <w:rFonts w:asciiTheme="minorHAnsi" w:hAnsiTheme="minorHAnsi" w:cstheme="minorHAnsi"/>
          <w:color w:val="333333"/>
        </w:rPr>
      </w:pPr>
      <w:r w:rsidRPr="00E559C0">
        <w:rPr>
          <w:rFonts w:asciiTheme="minorHAnsi" w:hAnsiTheme="minorHAnsi" w:cstheme="minorHAnsi"/>
          <w:color w:val="333333"/>
        </w:rPr>
        <w:t>St Cyril of Alexandria, On the Unity of Christ, trans. John McGuckin Crestwood, (New York: St Vladimir’s Seminary Press, 1995).</w:t>
      </w:r>
    </w:p>
    <w:p w14:paraId="674E3FDE" w14:textId="77777777" w:rsidR="009D5782" w:rsidRPr="00E559C0" w:rsidRDefault="009D5782" w:rsidP="009D5782">
      <w:pPr>
        <w:spacing w:line="360" w:lineRule="auto"/>
        <w:rPr>
          <w:rFonts w:asciiTheme="minorHAnsi" w:hAnsiTheme="minorHAnsi" w:cstheme="minorHAnsi"/>
          <w:color w:val="000000"/>
        </w:rPr>
      </w:pPr>
      <w:r w:rsidRPr="00E559C0">
        <w:rPr>
          <w:rFonts w:asciiTheme="minorHAnsi" w:eastAsia="Aptos" w:hAnsiTheme="minorHAnsi" w:cstheme="minorHAnsi"/>
          <w:color w:val="000000"/>
        </w:rPr>
        <w:t>St. Gregory of Nazianzus, ‘</w:t>
      </w:r>
      <w:r w:rsidRPr="00E559C0">
        <w:rPr>
          <w:rFonts w:asciiTheme="minorHAnsi" w:eastAsia="Aptos" w:hAnsiTheme="minorHAnsi" w:cstheme="minorHAnsi"/>
          <w:i/>
          <w:iCs/>
          <w:color w:val="000000"/>
        </w:rPr>
        <w:t xml:space="preserve">On God and Christ’. ‘The five theological Orations and Two Letters to </w:t>
      </w:r>
      <w:proofErr w:type="spellStart"/>
      <w:r w:rsidRPr="00E559C0">
        <w:rPr>
          <w:rFonts w:asciiTheme="minorHAnsi" w:eastAsia="Aptos" w:hAnsiTheme="minorHAnsi" w:cstheme="minorHAnsi"/>
          <w:i/>
          <w:iCs/>
          <w:color w:val="000000"/>
        </w:rPr>
        <w:t>Cledonius</w:t>
      </w:r>
      <w:proofErr w:type="spellEnd"/>
      <w:r w:rsidRPr="00E559C0">
        <w:rPr>
          <w:rFonts w:asciiTheme="minorHAnsi" w:eastAsia="Aptos" w:hAnsiTheme="minorHAnsi" w:cstheme="minorHAnsi"/>
          <w:i/>
          <w:iCs/>
          <w:color w:val="000000"/>
        </w:rPr>
        <w:t xml:space="preserve">. </w:t>
      </w:r>
      <w:r w:rsidRPr="00E559C0">
        <w:rPr>
          <w:rFonts w:asciiTheme="minorHAnsi" w:eastAsia="Aptos" w:hAnsiTheme="minorHAnsi" w:cstheme="minorHAnsi"/>
          <w:color w:val="000000"/>
        </w:rPr>
        <w:t xml:space="preserve">Trans. </w:t>
      </w:r>
      <w:proofErr w:type="spellStart"/>
      <w:r w:rsidRPr="00E559C0">
        <w:rPr>
          <w:rFonts w:asciiTheme="minorHAnsi" w:eastAsia="Aptos" w:hAnsiTheme="minorHAnsi" w:cstheme="minorHAnsi"/>
          <w:color w:val="000000"/>
        </w:rPr>
        <w:t>Fredick</w:t>
      </w:r>
      <w:proofErr w:type="spellEnd"/>
      <w:r w:rsidRPr="00E559C0">
        <w:rPr>
          <w:rFonts w:asciiTheme="minorHAnsi" w:eastAsia="Aptos" w:hAnsiTheme="minorHAnsi" w:cstheme="minorHAnsi"/>
          <w:color w:val="000000"/>
        </w:rPr>
        <w:t xml:space="preserve"> Williams (New York 10707: St. Vladimir’s Seminary press, Crestwood).</w:t>
      </w:r>
      <w:r w:rsidRPr="00E559C0">
        <w:rPr>
          <w:rFonts w:asciiTheme="minorHAnsi" w:hAnsiTheme="minorHAnsi" w:cstheme="minorHAnsi"/>
          <w:color w:val="000000"/>
        </w:rPr>
        <w:t xml:space="preserve"> </w:t>
      </w:r>
    </w:p>
    <w:p w14:paraId="3FF52348" w14:textId="01EFFEBB" w:rsidR="009D5782" w:rsidRDefault="009D5782" w:rsidP="009D5782">
      <w:pPr>
        <w:pStyle w:val="FootnoteText"/>
        <w:spacing w:line="360" w:lineRule="auto"/>
        <w:rPr>
          <w:rFonts w:asciiTheme="minorHAnsi" w:hAnsiTheme="minorHAnsi" w:cstheme="minorHAnsi"/>
          <w:color w:val="000000"/>
          <w:sz w:val="24"/>
          <w:szCs w:val="24"/>
        </w:rPr>
      </w:pPr>
      <w:hyperlink r:id="rId8" w:history="1">
        <w:r w:rsidRPr="00B523DF">
          <w:rPr>
            <w:rStyle w:val="Hyperlink"/>
            <w:rFonts w:asciiTheme="minorHAnsi" w:hAnsiTheme="minorHAnsi" w:cstheme="minorHAnsi"/>
            <w:sz w:val="24"/>
            <w:szCs w:val="24"/>
          </w:rPr>
          <w:t>https://dacb.org/stories/egypt/cyril-alexandria2/</w:t>
        </w:r>
      </w:hyperlink>
      <w:r w:rsidRPr="00E559C0">
        <w:rPr>
          <w:rFonts w:asciiTheme="minorHAnsi" w:hAnsiTheme="minorHAnsi" w:cstheme="minorHAnsi"/>
          <w:color w:val="000000"/>
          <w:sz w:val="24"/>
          <w:szCs w:val="24"/>
        </w:rPr>
        <w:t>.</w:t>
      </w:r>
    </w:p>
    <w:p w14:paraId="01FECC3E" w14:textId="6F0BEE06" w:rsidR="009D5782" w:rsidRDefault="009D5782" w:rsidP="009D5782">
      <w:pPr>
        <w:pStyle w:val="FootnoteText"/>
        <w:spacing w:line="360" w:lineRule="auto"/>
        <w:rPr>
          <w:rFonts w:asciiTheme="minorHAnsi" w:hAnsiTheme="minorHAnsi" w:cstheme="minorHAnsi"/>
          <w:color w:val="000000"/>
          <w:sz w:val="24"/>
          <w:szCs w:val="24"/>
        </w:rPr>
      </w:pPr>
    </w:p>
    <w:p w14:paraId="37B74ED3" w14:textId="0E57BBC3" w:rsidR="009D5782" w:rsidRDefault="009D5782" w:rsidP="009D5782">
      <w:pPr>
        <w:pStyle w:val="FootnoteText"/>
        <w:spacing w:line="360" w:lineRule="auto"/>
        <w:rPr>
          <w:rFonts w:asciiTheme="minorHAnsi" w:hAnsiTheme="minorHAnsi" w:cstheme="minorHAnsi"/>
          <w:color w:val="000000"/>
          <w:sz w:val="24"/>
          <w:szCs w:val="24"/>
        </w:rPr>
      </w:pPr>
    </w:p>
    <w:p w14:paraId="56CAE9C7" w14:textId="41774B23" w:rsidR="009D5782" w:rsidRDefault="009D5782" w:rsidP="009D5782">
      <w:pPr>
        <w:pStyle w:val="FootnoteText"/>
        <w:spacing w:line="360" w:lineRule="auto"/>
        <w:rPr>
          <w:rFonts w:asciiTheme="minorHAnsi" w:hAnsiTheme="minorHAnsi" w:cstheme="minorHAnsi"/>
          <w:color w:val="000000"/>
          <w:sz w:val="24"/>
          <w:szCs w:val="24"/>
        </w:rPr>
      </w:pPr>
    </w:p>
    <w:p w14:paraId="188A615F" w14:textId="0FC64352" w:rsidR="009D5782" w:rsidRDefault="009D5782" w:rsidP="009D5782">
      <w:pPr>
        <w:pStyle w:val="FootnoteText"/>
        <w:spacing w:line="360" w:lineRule="auto"/>
        <w:rPr>
          <w:rFonts w:asciiTheme="minorHAnsi" w:hAnsiTheme="minorHAnsi" w:cstheme="minorHAnsi"/>
          <w:color w:val="000000"/>
          <w:sz w:val="24"/>
          <w:szCs w:val="24"/>
        </w:rPr>
      </w:pPr>
    </w:p>
    <w:p w14:paraId="4411510B" w14:textId="675EEBEF" w:rsidR="009D5782" w:rsidRDefault="009D5782" w:rsidP="009D5782">
      <w:pPr>
        <w:pStyle w:val="FootnoteText"/>
        <w:spacing w:line="360" w:lineRule="auto"/>
        <w:rPr>
          <w:rFonts w:asciiTheme="minorHAnsi" w:hAnsiTheme="minorHAnsi" w:cstheme="minorHAnsi"/>
          <w:color w:val="000000"/>
          <w:sz w:val="24"/>
          <w:szCs w:val="24"/>
        </w:rPr>
      </w:pPr>
    </w:p>
    <w:p w14:paraId="3F8E20F7" w14:textId="4A938836" w:rsidR="009D5782" w:rsidRDefault="009D5782" w:rsidP="009D5782">
      <w:pPr>
        <w:pStyle w:val="FootnoteText"/>
        <w:spacing w:line="360" w:lineRule="auto"/>
        <w:rPr>
          <w:rFonts w:asciiTheme="minorHAnsi" w:hAnsiTheme="minorHAnsi" w:cstheme="minorHAnsi"/>
          <w:color w:val="000000"/>
          <w:sz w:val="24"/>
          <w:szCs w:val="24"/>
        </w:rPr>
      </w:pPr>
    </w:p>
    <w:p w14:paraId="18DD4959" w14:textId="7C53AAFA" w:rsidR="009D5782" w:rsidRDefault="009D5782" w:rsidP="009D5782">
      <w:pPr>
        <w:pStyle w:val="FootnoteText"/>
        <w:spacing w:line="360" w:lineRule="auto"/>
        <w:rPr>
          <w:rFonts w:asciiTheme="minorHAnsi" w:hAnsiTheme="minorHAnsi" w:cstheme="minorHAnsi"/>
          <w:color w:val="000000"/>
          <w:sz w:val="24"/>
          <w:szCs w:val="24"/>
        </w:rPr>
      </w:pPr>
    </w:p>
    <w:p w14:paraId="30D33C3F" w14:textId="32BB0771" w:rsidR="009D5782" w:rsidRDefault="009D5782" w:rsidP="009D5782">
      <w:pPr>
        <w:pStyle w:val="FootnoteText"/>
        <w:spacing w:line="360" w:lineRule="auto"/>
        <w:rPr>
          <w:rFonts w:asciiTheme="minorHAnsi" w:hAnsiTheme="minorHAnsi" w:cstheme="minorHAnsi"/>
          <w:color w:val="000000"/>
          <w:sz w:val="24"/>
          <w:szCs w:val="24"/>
        </w:rPr>
      </w:pPr>
    </w:p>
    <w:p w14:paraId="2D4B1347" w14:textId="77777777" w:rsidR="009D5782" w:rsidRDefault="009D5782" w:rsidP="009D5782">
      <w:pPr>
        <w:spacing w:after="0" w:line="480" w:lineRule="auto"/>
        <w:jc w:val="both"/>
        <w:outlineLvl w:val="8"/>
        <w:rPr>
          <w:rFonts w:ascii="Calibri" w:hAnsi="Calibri" w:cs="Calibri"/>
          <w:b/>
          <w:bCs/>
        </w:rPr>
      </w:pPr>
      <w:r>
        <w:rPr>
          <w:rFonts w:ascii="Calibri" w:hAnsi="Calibri" w:cs="Calibri"/>
          <w:b/>
          <w:bCs/>
          <w:sz w:val="30"/>
          <w:szCs w:val="30"/>
        </w:rPr>
        <w:lastRenderedPageBreak/>
        <w:t>Redemptive work of Christ Jesus </w:t>
      </w:r>
    </w:p>
    <w:p w14:paraId="342F51C0" w14:textId="77777777" w:rsidR="009D5782" w:rsidRDefault="009D5782" w:rsidP="009D5782">
      <w:pPr>
        <w:spacing w:after="0" w:line="480" w:lineRule="auto"/>
        <w:jc w:val="both"/>
        <w:outlineLvl w:val="8"/>
        <w:rPr>
          <w:sz w:val="30"/>
          <w:szCs w:val="30"/>
        </w:rPr>
      </w:pPr>
      <w:r>
        <w:rPr>
          <w:rFonts w:ascii="Calibri" w:hAnsi="Calibri" w:cs="Calibri"/>
          <w:sz w:val="30"/>
          <w:szCs w:val="30"/>
        </w:rPr>
        <w:t> </w:t>
      </w:r>
      <w:r>
        <w:rPr>
          <w:rFonts w:ascii="Calibri" w:hAnsi="Calibri" w:cs="Calibri"/>
          <w:b/>
          <w:bCs/>
          <w:sz w:val="28"/>
          <w:szCs w:val="28"/>
        </w:rPr>
        <w:t>Introduction</w:t>
      </w:r>
    </w:p>
    <w:p w14:paraId="16600D1E" w14:textId="77777777" w:rsidR="009D5782" w:rsidRDefault="009D5782" w:rsidP="009D5782">
      <w:pPr>
        <w:spacing w:before="240" w:after="240" w:line="480" w:lineRule="auto"/>
        <w:jc w:val="both"/>
        <w:outlineLvl w:val="8"/>
      </w:pPr>
      <w:r>
        <w:rPr>
          <w:rFonts w:ascii="Calibri" w:hAnsi="Calibri" w:cs="Calibri"/>
        </w:rPr>
        <w:t xml:space="preserve">The redemptive work of Jesus Christ is the foundation of Christian theology. It represents the fulfilment of God’s salvific plan for humanity. The word ‘redemption’ as defined by the Oxford Dictionary is ‘the action of regaining or gaining possession of something in exchange for payment or clearing a debt. It is also the action of saving or being saved from sin.’ In Christian theology, the term ‘redemption’ comes from the Latin word </w:t>
      </w:r>
      <w:proofErr w:type="spellStart"/>
      <w:r>
        <w:rPr>
          <w:rFonts w:ascii="Calibri" w:hAnsi="Calibri" w:cs="Calibri"/>
          <w:i/>
          <w:iCs/>
        </w:rPr>
        <w:t>redemptio</w:t>
      </w:r>
      <w:proofErr w:type="spellEnd"/>
      <w:r>
        <w:rPr>
          <w:rFonts w:ascii="Calibri" w:hAnsi="Calibri" w:cs="Calibri"/>
        </w:rPr>
        <w:t xml:space="preserve"> , which means ‘buying back’ It is described as the act of God saving man from sin and its consequences. In bible defines Sin as a transgression of God’s law. The Hebrew word </w:t>
      </w:r>
      <w:proofErr w:type="spellStart"/>
      <w:r>
        <w:rPr>
          <w:rFonts w:ascii="Calibri" w:hAnsi="Calibri" w:cs="Calibri"/>
        </w:rPr>
        <w:t>Khata</w:t>
      </w:r>
      <w:proofErr w:type="spellEnd"/>
      <w:r>
        <w:rPr>
          <w:rFonts w:ascii="Calibri" w:hAnsi="Calibri" w:cs="Calibri"/>
        </w:rPr>
        <w:t xml:space="preserve"> is translated as ‘sin’ and it means to fail or miss the goal. </w:t>
      </w:r>
      <w:r>
        <w:rPr>
          <w:rStyle w:val="FootnoteAnchor"/>
          <w:rFonts w:ascii="Calibri" w:hAnsi="Calibri" w:cs="Calibri"/>
        </w:rPr>
        <w:footnoteReference w:id="43"/>
      </w:r>
      <w:r>
        <w:rPr>
          <w:rFonts w:ascii="Calibri" w:hAnsi="Calibri" w:cs="Calibri"/>
        </w:rPr>
        <w:t xml:space="preserve">  The application of this term to Christ’s death on the cross is that If man was redeemed, then his prior condition was one of slavery. In Christian theology, Redemption is viewed as the mystery of God's deliverance of humanity from the evil of sin and His restoration of man to the state of grace by an act of divine power and merciful love. This redemptive act spans the whole of man's history from the time of his first sin and fall from grace. </w:t>
      </w:r>
      <w:r>
        <w:rPr>
          <w:rStyle w:val="FootnoteAnchor"/>
          <w:rFonts w:ascii="Calibri" w:hAnsi="Calibri" w:cs="Calibri"/>
        </w:rPr>
        <w:footnoteReference w:id="44"/>
      </w:r>
      <w:r>
        <w:rPr>
          <w:rFonts w:ascii="Calibri" w:hAnsi="Calibri" w:cs="Calibri"/>
        </w:rPr>
        <w:t>"God … wishes all men to be saved and to come to the knowledge of truth" (1 Tm 2.4). The redemptive work of Christ encompassing his incarnation, crucifixion, resurrection, and ascension serves as a model of divine love, justice, and restoration. </w:t>
      </w:r>
    </w:p>
    <w:p w14:paraId="7DE3ED9E" w14:textId="77777777" w:rsidR="009D5782" w:rsidRDefault="009D5782" w:rsidP="009D5782">
      <w:pPr>
        <w:spacing w:after="0" w:line="480" w:lineRule="auto"/>
        <w:jc w:val="both"/>
        <w:outlineLvl w:val="8"/>
      </w:pPr>
      <w:r>
        <w:rPr>
          <w:rFonts w:ascii="Calibri" w:hAnsi="Calibri" w:cs="Calibri"/>
        </w:rPr>
        <w:lastRenderedPageBreak/>
        <w:t>This essay aims to analyze the redemptive work of Jesus Christ. It engages with scriptural foundations of the redemptive mission of Jesus. And explores the historical and the various theological models that expresses the significance of the redemptive work of Jesus. Lastly, it examines the practical implications of the work of Christ for Christians. </w:t>
      </w:r>
    </w:p>
    <w:p w14:paraId="2C1FCFAB" w14:textId="77777777" w:rsidR="009D5782" w:rsidRDefault="009D5782" w:rsidP="009D5782">
      <w:pPr>
        <w:spacing w:after="0" w:line="480" w:lineRule="auto"/>
        <w:jc w:val="both"/>
        <w:outlineLvl w:val="8"/>
        <w:rPr>
          <w:b/>
          <w:bCs/>
        </w:rPr>
      </w:pPr>
      <w:r>
        <w:rPr>
          <w:rFonts w:ascii="Calibri" w:hAnsi="Calibri" w:cs="Calibri"/>
          <w:b/>
          <w:bCs/>
        </w:rPr>
        <w:t xml:space="preserve">Scriptural Foundations of redemption </w:t>
      </w:r>
    </w:p>
    <w:p w14:paraId="5B6EA3F8" w14:textId="77777777" w:rsidR="009D5782" w:rsidRDefault="009D5782" w:rsidP="009D5782">
      <w:pPr>
        <w:spacing w:after="0" w:line="480" w:lineRule="auto"/>
        <w:jc w:val="both"/>
        <w:outlineLvl w:val="8"/>
      </w:pPr>
      <w:r>
        <w:rPr>
          <w:rFonts w:ascii="Calibri" w:hAnsi="Calibri" w:cs="Calibri"/>
        </w:rPr>
        <w:t>Redemption is remarkable for Christology because it unveils the nature of the life and works of Jesus Christ in the world. It also calls attention to the biblical understanding of the work of God. Each time scripture discusses the connection of God with the world in creation and redemption, the persons of the Trinity are said to work in unity. The mission of the Son of God, Jesus cannot be discussed in isolation from the Trinity. </w:t>
      </w:r>
      <w:r>
        <w:rPr>
          <w:rStyle w:val="FootnoteAnchor"/>
          <w:rFonts w:ascii="Calibri" w:hAnsi="Calibri" w:cs="Calibri"/>
        </w:rPr>
        <w:footnoteReference w:id="45"/>
      </w:r>
    </w:p>
    <w:p w14:paraId="3E953A8F"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In Christian theology, mission refers to works that the Trinity undertakes which expresses the economy of God. According to St. Augustine In his book, </w:t>
      </w:r>
      <w:r>
        <w:rPr>
          <w:rFonts w:ascii="Calibri" w:hAnsi="Calibri" w:cs="Calibri"/>
          <w:i/>
          <w:iCs/>
        </w:rPr>
        <w:t xml:space="preserve">De </w:t>
      </w:r>
      <w:proofErr w:type="spellStart"/>
      <w:r>
        <w:rPr>
          <w:rFonts w:ascii="Calibri" w:hAnsi="Calibri" w:cs="Calibri"/>
          <w:i/>
          <w:iCs/>
        </w:rPr>
        <w:t>Trinitate</w:t>
      </w:r>
      <w:proofErr w:type="spellEnd"/>
      <w:r>
        <w:rPr>
          <w:rFonts w:ascii="Calibri" w:hAnsi="Calibri" w:cs="Calibri"/>
          <w:i/>
          <w:iCs/>
        </w:rPr>
        <w:t>, ‘</w:t>
      </w:r>
      <w:r>
        <w:rPr>
          <w:rFonts w:ascii="Calibri" w:hAnsi="Calibri" w:cs="Calibri"/>
        </w:rPr>
        <w:t xml:space="preserve">every divine work emerges from the one divine essence common to God the Father, Son and Holy Spirit’. </w:t>
      </w:r>
      <w:r>
        <w:rPr>
          <w:rStyle w:val="FootnoteAnchor"/>
          <w:rFonts w:ascii="Calibri" w:hAnsi="Calibri" w:cs="Calibri"/>
        </w:rPr>
        <w:footnoteReference w:id="46"/>
      </w:r>
    </w:p>
    <w:p w14:paraId="7DF45524"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For Grudem, each person's work proceeds from the Trinity under their common divine essence. Their distinct roles work out of an eternal relationship between the three persons, which has always been and will continue to be. The other functions each undertakes as the ‘distinct agent of that work are roles appropriate to each person for the advantage of the world. </w:t>
      </w:r>
      <w:r>
        <w:rPr>
          <w:rStyle w:val="FootnoteAnchor"/>
          <w:rFonts w:ascii="Calibri" w:hAnsi="Calibri" w:cs="Calibri"/>
        </w:rPr>
        <w:footnoteReference w:id="47"/>
      </w:r>
    </w:p>
    <w:p w14:paraId="21733413" w14:textId="77777777" w:rsidR="009D5782" w:rsidRDefault="009D5782" w:rsidP="009D5782">
      <w:pPr>
        <w:spacing w:after="0" w:line="480" w:lineRule="auto"/>
        <w:jc w:val="both"/>
        <w:outlineLvl w:val="8"/>
        <w:rPr>
          <w:rFonts w:ascii="Calibri" w:hAnsi="Calibri" w:cs="Calibri"/>
        </w:rPr>
      </w:pPr>
      <w:r>
        <w:rPr>
          <w:rFonts w:ascii="Calibri" w:hAnsi="Calibri" w:cs="Calibri"/>
        </w:rPr>
        <w:lastRenderedPageBreak/>
        <w:t>Jesus is the distinct agent for the work of redemption. The Bible in Galatians 4.4-5 tells us ‘But when the set time had fully come, God sent his Son, born of a woman, born under the law, to redeem those under the law, that we might receive adoption to sonship.’ </w:t>
      </w:r>
    </w:p>
    <w:p w14:paraId="5BA18941" w14:textId="77777777" w:rsidR="009D5782" w:rsidRDefault="009D5782" w:rsidP="009D5782">
      <w:pPr>
        <w:spacing w:after="0" w:line="480" w:lineRule="auto"/>
        <w:jc w:val="both"/>
        <w:outlineLvl w:val="8"/>
      </w:pPr>
      <w:r>
        <w:rPr>
          <w:rFonts w:ascii="Calibri" w:hAnsi="Calibri" w:cs="Calibri"/>
        </w:rPr>
        <w:t xml:space="preserve">The incarnation of the Word marked the beginning of the redemptive mission of Jesus. We read in the book of Matthew 1:21, that an angel proclaims to Joseph the importance of the birth of Jesus, </w:t>
      </w:r>
      <w:r>
        <w:rPr>
          <w:rFonts w:ascii="Calibri" w:hAnsi="Calibri" w:cs="Calibri"/>
          <w:i/>
          <w:iCs/>
        </w:rPr>
        <w:t>'She will bear a son, and you are to name him Jesus, for he will save his people from their sins</w:t>
      </w:r>
      <w:r>
        <w:rPr>
          <w:rFonts w:ascii="Calibri" w:hAnsi="Calibri" w:cs="Calibri"/>
        </w:rPr>
        <w:t xml:space="preserve">.' </w:t>
      </w:r>
    </w:p>
    <w:p w14:paraId="5F1B5FF9" w14:textId="77777777" w:rsidR="009D5782" w:rsidRDefault="009D5782" w:rsidP="009D5782">
      <w:pPr>
        <w:spacing w:after="0" w:line="480" w:lineRule="auto"/>
        <w:jc w:val="both"/>
        <w:outlineLvl w:val="8"/>
        <w:rPr>
          <w:rFonts w:ascii="Calibri" w:hAnsi="Calibri" w:cs="Calibri"/>
        </w:rPr>
      </w:pPr>
    </w:p>
    <w:p w14:paraId="383DB9BC" w14:textId="77777777" w:rsidR="009D5782" w:rsidRDefault="009D5782" w:rsidP="009D5782">
      <w:pPr>
        <w:spacing w:after="0" w:line="480" w:lineRule="auto"/>
        <w:jc w:val="both"/>
        <w:outlineLvl w:val="8"/>
        <w:rPr>
          <w:rFonts w:ascii="Calibri" w:hAnsi="Calibri" w:cs="Calibri"/>
        </w:rPr>
      </w:pPr>
      <w:r>
        <w:rPr>
          <w:rFonts w:ascii="Calibri" w:hAnsi="Calibri" w:cs="Calibri"/>
        </w:rPr>
        <w:t>We learn from the bible that man was originally made a created image of God, to live in union with God’s divine life and have dominion over all creation. But Adam and Eve fell into temptation and sinned against God. As a result, man lost his place with God and was to face the repercussions of the sin committed. The consequence of this was death for the entire human race. In Romans 5. 12 ‘Therefore, just as sin entered the world through one man, and death through sin, and in this way, death came to people, because all sinned.’ </w:t>
      </w:r>
    </w:p>
    <w:p w14:paraId="330B38D0" w14:textId="77777777" w:rsidR="009D5782" w:rsidRDefault="009D5782" w:rsidP="009D5782">
      <w:pPr>
        <w:spacing w:after="0" w:line="480" w:lineRule="auto"/>
        <w:jc w:val="both"/>
        <w:outlineLvl w:val="8"/>
      </w:pPr>
      <w:r>
        <w:rPr>
          <w:rFonts w:ascii="Calibri" w:hAnsi="Calibri" w:cs="Calibri"/>
        </w:rPr>
        <w:t xml:space="preserve">For Satan to be defeated, St. Augustine argues that it would have to be done by God’s justice.  Anslem had a different view, he had the concept of honour. For him, God’s dignity was at stake because of man’s sin. Because he is all power, God needed to do something about it otherwise he would be untrue to himself. Hence the need for a God-man because man in his sinful nature cannot pay the price.  Anslem even </w:t>
      </w:r>
      <w:proofErr w:type="spellStart"/>
      <w:r>
        <w:rPr>
          <w:rFonts w:ascii="Calibri" w:hAnsi="Calibri" w:cs="Calibri"/>
        </w:rPr>
        <w:t>thought</w:t>
      </w:r>
      <w:proofErr w:type="spellEnd"/>
      <w:r>
        <w:rPr>
          <w:rFonts w:ascii="Calibri" w:hAnsi="Calibri" w:cs="Calibri"/>
        </w:rPr>
        <w:t xml:space="preserve"> an Angel could have paid the penalty but dismissed it.</w:t>
      </w:r>
    </w:p>
    <w:p w14:paraId="508F6365" w14:textId="77777777" w:rsidR="009D5782" w:rsidRDefault="009D5782" w:rsidP="009D5782">
      <w:pPr>
        <w:spacing w:after="0" w:line="480" w:lineRule="auto"/>
        <w:jc w:val="both"/>
        <w:outlineLvl w:val="8"/>
      </w:pPr>
      <w:r>
        <w:rPr>
          <w:rFonts w:ascii="Calibri" w:hAnsi="Calibri" w:cs="Calibri"/>
        </w:rPr>
        <w:t xml:space="preserve">For the working out of man’s salvation, redemption is revealed as the Word incarnate assuming the human nature. According to </w:t>
      </w:r>
      <w:proofErr w:type="spellStart"/>
      <w:r>
        <w:rPr>
          <w:rFonts w:ascii="Calibri" w:hAnsi="Calibri" w:cs="Calibri"/>
        </w:rPr>
        <w:t>Aldof</w:t>
      </w:r>
      <w:proofErr w:type="spellEnd"/>
      <w:r>
        <w:rPr>
          <w:rFonts w:ascii="Calibri" w:hAnsi="Calibri" w:cs="Calibri"/>
        </w:rPr>
        <w:t xml:space="preserve"> and Thomas, ‘ Something new comes down from heaven </w:t>
      </w:r>
      <w:r>
        <w:rPr>
          <w:rFonts w:ascii="Calibri" w:hAnsi="Calibri" w:cs="Calibri"/>
        </w:rPr>
        <w:lastRenderedPageBreak/>
        <w:t xml:space="preserve">to earth ang the new course the world on which the world enters severs it from the old.’ Similarly </w:t>
      </w:r>
      <w:proofErr w:type="spellStart"/>
      <w:r>
        <w:rPr>
          <w:rFonts w:ascii="Calibri" w:hAnsi="Calibri" w:cs="Calibri"/>
        </w:rPr>
        <w:t>Athanatius</w:t>
      </w:r>
      <w:proofErr w:type="spellEnd"/>
      <w:r>
        <w:rPr>
          <w:rFonts w:ascii="Calibri" w:hAnsi="Calibri" w:cs="Calibri"/>
        </w:rPr>
        <w:t xml:space="preserve"> attests ‘the Word entered the world in a new way, stooping to our level in his love and </w:t>
      </w:r>
      <w:proofErr w:type="spellStart"/>
      <w:r>
        <w:rPr>
          <w:rFonts w:ascii="Calibri" w:hAnsi="Calibri" w:cs="Calibri"/>
        </w:rPr>
        <w:t>self revealing</w:t>
      </w:r>
      <w:proofErr w:type="spellEnd"/>
      <w:r>
        <w:rPr>
          <w:rFonts w:ascii="Calibri" w:hAnsi="Calibri" w:cs="Calibri"/>
        </w:rPr>
        <w:t xml:space="preserve"> to us for as the Word he is without body. But he manifested in human body out of love and goodness of the Father for the salvation of mankind. He asserts, ‘Our sorry case caused the Word to come down’.</w:t>
      </w:r>
      <w:r>
        <w:rPr>
          <w:rStyle w:val="FootnoteAnchor"/>
          <w:rFonts w:ascii="Calibri" w:hAnsi="Calibri" w:cs="Calibri"/>
        </w:rPr>
        <w:footnoteReference w:id="48"/>
      </w:r>
    </w:p>
    <w:p w14:paraId="27E4FFBF" w14:textId="77777777" w:rsidR="009D5782" w:rsidRDefault="009D5782" w:rsidP="009D5782">
      <w:pPr>
        <w:spacing w:after="0" w:line="480" w:lineRule="auto"/>
        <w:jc w:val="both"/>
        <w:outlineLvl w:val="8"/>
        <w:rPr>
          <w:rFonts w:ascii="Calibri" w:hAnsi="Calibri" w:cs="Calibri"/>
        </w:rPr>
      </w:pPr>
      <w:r>
        <w:rPr>
          <w:rFonts w:ascii="Calibri" w:hAnsi="Calibri" w:cs="Calibri"/>
        </w:rPr>
        <w:t>The Bible recounts in Romans 3.23, ‘for all have sinned and fall short of the glory of God and all are justified freely by his grace.  As part of Christ’s redemptive mission, Jesus was to live in obedience to the will of God as an example of love, compassion, and obedience to God. He demonstrated God’s desire for a transformed and righteous life. </w:t>
      </w:r>
    </w:p>
    <w:p w14:paraId="17340500" w14:textId="77777777" w:rsidR="009D5782" w:rsidRDefault="009D5782" w:rsidP="009D5782">
      <w:pPr>
        <w:spacing w:after="0" w:line="480" w:lineRule="auto"/>
        <w:jc w:val="both"/>
        <w:outlineLvl w:val="8"/>
        <w:rPr>
          <w:rFonts w:ascii="Calibri" w:hAnsi="Calibri" w:cs="Calibri"/>
        </w:rPr>
      </w:pPr>
      <w:r>
        <w:rPr>
          <w:rFonts w:ascii="Calibri" w:hAnsi="Calibri" w:cs="Calibri"/>
        </w:rPr>
        <w:t>The Bible teaches that one who is free of sin can pay the penalty for sin.  </w:t>
      </w:r>
    </w:p>
    <w:p w14:paraId="41B096D5" w14:textId="77777777" w:rsidR="009D5782" w:rsidRDefault="009D5782" w:rsidP="009D5782">
      <w:pPr>
        <w:spacing w:after="0" w:line="480" w:lineRule="auto"/>
        <w:jc w:val="both"/>
        <w:outlineLvl w:val="8"/>
        <w:rPr>
          <w:rFonts w:ascii="Calibri" w:hAnsi="Calibri" w:cs="Calibri"/>
        </w:rPr>
      </w:pPr>
      <w:r>
        <w:rPr>
          <w:rFonts w:ascii="Calibri" w:hAnsi="Calibri" w:cs="Calibri"/>
          <w:b/>
          <w:bCs/>
        </w:rPr>
        <w:t>Christ’s Atonement (Death on the Cross).  </w:t>
      </w:r>
    </w:p>
    <w:p w14:paraId="2E974E4F"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The cross is fundamental to the redeeming mission of Christ. The peak of the redemptive mission of Christ on earth was his sacrificial death on the cross. We understand from the Gospel of John 3.16, that, </w:t>
      </w:r>
      <w:r>
        <w:rPr>
          <w:rFonts w:ascii="Calibri" w:hAnsi="Calibri" w:cs="Calibri"/>
          <w:i/>
          <w:iCs/>
        </w:rPr>
        <w:t>'For God so loved the world that he gave his only Son, that whoever believes in him shall not perish but have eternal life'</w:t>
      </w:r>
      <w:r>
        <w:rPr>
          <w:rFonts w:ascii="Calibri" w:hAnsi="Calibri" w:cs="Calibri"/>
        </w:rPr>
        <w:t>. </w:t>
      </w:r>
    </w:p>
    <w:p w14:paraId="7DA3F9DF" w14:textId="77777777" w:rsidR="009D5782" w:rsidRDefault="009D5782" w:rsidP="009D5782">
      <w:pPr>
        <w:spacing w:after="0" w:line="480" w:lineRule="auto"/>
        <w:jc w:val="both"/>
        <w:outlineLvl w:val="8"/>
        <w:rPr>
          <w:rFonts w:ascii="Calibri" w:hAnsi="Calibri" w:cs="Calibri"/>
        </w:rPr>
      </w:pPr>
      <w:r>
        <w:rPr>
          <w:rFonts w:ascii="Calibri" w:hAnsi="Calibri" w:cs="Calibri"/>
        </w:rPr>
        <w:t>Redemption for humanity is fulfilled by the giving of His life as a ransom for humanity. 1 Tim 2.6 states, ‘</w:t>
      </w:r>
      <w:r>
        <w:rPr>
          <w:rFonts w:ascii="Calibri" w:hAnsi="Calibri" w:cs="Calibri"/>
          <w:i/>
          <w:iCs/>
        </w:rPr>
        <w:t>For there is one God and one mankind, the man Christ Jesus, who gave himself as a ransom for all people’</w:t>
      </w:r>
      <w:r>
        <w:rPr>
          <w:rFonts w:ascii="Calibri" w:hAnsi="Calibri" w:cs="Calibri"/>
        </w:rPr>
        <w:t> </w:t>
      </w:r>
    </w:p>
    <w:p w14:paraId="16B5E3AA" w14:textId="77777777" w:rsidR="009D5782" w:rsidRDefault="009D5782" w:rsidP="009D5782">
      <w:pPr>
        <w:spacing w:after="0" w:line="480" w:lineRule="auto"/>
        <w:jc w:val="both"/>
        <w:outlineLvl w:val="8"/>
      </w:pPr>
      <w:r>
        <w:rPr>
          <w:rFonts w:ascii="Calibri" w:hAnsi="Calibri" w:cs="Calibri"/>
        </w:rPr>
        <w:t xml:space="preserve">For Grudem, man has sinned but the justice of God requires that He finds a way to pay the penalty of sin due to him. But because God is righteous in His judgement, He would not accept man into </w:t>
      </w:r>
      <w:r>
        <w:rPr>
          <w:rFonts w:ascii="Calibri" w:hAnsi="Calibri" w:cs="Calibri"/>
        </w:rPr>
        <w:lastRenderedPageBreak/>
        <w:t>fellowship unless the penalty for sin is paid</w:t>
      </w:r>
      <w:r>
        <w:rPr>
          <w:rStyle w:val="InternetLink"/>
          <w:rFonts w:ascii="Calibri" w:hAnsi="Calibri" w:cs="Calibri"/>
          <w:vertAlign w:val="superscript"/>
        </w:rPr>
        <w:t xml:space="preserve"> </w:t>
      </w:r>
      <w:r>
        <w:rPr>
          <w:rStyle w:val="FootnoteAnchor"/>
          <w:rFonts w:ascii="Calibri" w:hAnsi="Calibri" w:cs="Calibri"/>
        </w:rPr>
        <w:footnoteReference w:id="49"/>
      </w:r>
      <w:r>
        <w:rPr>
          <w:rFonts w:ascii="Calibri" w:hAnsi="Calibri" w:cs="Calibri"/>
        </w:rPr>
        <w:t>. Apostle Paul in Romans 3.25 states, ‘‘</w:t>
      </w:r>
      <w:r>
        <w:rPr>
          <w:rFonts w:ascii="Calibri" w:hAnsi="Calibri" w:cs="Calibri"/>
          <w:i/>
          <w:iCs/>
        </w:rPr>
        <w:t>God presented Christ as a sacrifice of atonement through the shedding of his blood … He did this to demonstrate his righteousness’’.</w:t>
      </w:r>
      <w:r>
        <w:rPr>
          <w:rFonts w:ascii="Calibri" w:hAnsi="Calibri" w:cs="Calibri"/>
        </w:rPr>
        <w:t xml:space="preserve"> Christ's incarnation for his redeeming mission is evidenced in Hebrews. 2. 17, ‘</w:t>
      </w:r>
      <w:r>
        <w:rPr>
          <w:rFonts w:ascii="Calibri" w:hAnsi="Calibri" w:cs="Calibri"/>
          <w:i/>
          <w:iCs/>
        </w:rPr>
        <w:t>For this reason he had to be made like them, fully human in every way, so that he might become a merciful and faithful priest in service to God, and that he might make atonement for the sins of the people.’’</w:t>
      </w:r>
      <w:r>
        <w:rPr>
          <w:rFonts w:ascii="Calibri" w:hAnsi="Calibri" w:cs="Calibri"/>
        </w:rPr>
        <w:t xml:space="preserve"> </w:t>
      </w:r>
    </w:p>
    <w:p w14:paraId="5AEBA9C7" w14:textId="77777777" w:rsidR="009D5782" w:rsidRDefault="009D5782" w:rsidP="009D5782">
      <w:pPr>
        <w:spacing w:after="0" w:line="480" w:lineRule="auto"/>
        <w:jc w:val="both"/>
        <w:outlineLvl w:val="8"/>
      </w:pPr>
      <w:r>
        <w:rPr>
          <w:rFonts w:ascii="Calibri" w:hAnsi="Calibri" w:cs="Calibri"/>
        </w:rPr>
        <w:t xml:space="preserve">The Bible teaches us that for Christ to achieve this mandate he had to live in perfect obedience to earn righteousness for man. Theologians sometimes call this ‘Active Obedience’. According to Wayne Grudem, the active obedience of Christ included ‘his faithful obedience throughout his lifetime and his suffering on behalf of man climaxed by his crucifixion on the cross’. </w:t>
      </w:r>
    </w:p>
    <w:p w14:paraId="1DDD19E7" w14:textId="77777777" w:rsidR="009D5782" w:rsidRDefault="009D5782" w:rsidP="009D5782">
      <w:pPr>
        <w:spacing w:after="0" w:line="480" w:lineRule="auto"/>
        <w:jc w:val="both"/>
        <w:outlineLvl w:val="8"/>
        <w:rPr>
          <w:rFonts w:ascii="Calibri" w:hAnsi="Calibri" w:cs="Calibri"/>
        </w:rPr>
      </w:pPr>
      <w:r>
        <w:rPr>
          <w:rFonts w:ascii="Calibri" w:hAnsi="Calibri" w:cs="Calibri"/>
        </w:rPr>
        <w:t>Prophet Isaiah states in 53.4-6, ‘</w:t>
      </w:r>
      <w:r>
        <w:rPr>
          <w:rFonts w:ascii="Calibri" w:hAnsi="Calibri" w:cs="Calibri"/>
          <w:i/>
          <w:iCs/>
        </w:rPr>
        <w:t>Surely he took up our pain and bore our suffering; But he was pierced for our transgressions, he was crushed for our iniquities; the LORD has laid on him the iniquity of us all’</w:t>
      </w:r>
      <w:r>
        <w:rPr>
          <w:rFonts w:ascii="Calibri" w:hAnsi="Calibri" w:cs="Calibri"/>
        </w:rPr>
        <w:t>.  </w:t>
      </w:r>
    </w:p>
    <w:p w14:paraId="463767E4" w14:textId="77777777" w:rsidR="009D5782" w:rsidRDefault="009D5782" w:rsidP="009D5782">
      <w:pPr>
        <w:spacing w:after="0" w:line="480" w:lineRule="auto"/>
        <w:jc w:val="both"/>
        <w:outlineLvl w:val="8"/>
      </w:pPr>
      <w:r>
        <w:rPr>
          <w:rFonts w:ascii="Calibri" w:hAnsi="Calibri" w:cs="Calibri"/>
        </w:rPr>
        <w:t>In the same way as God imputes the sin of Adam on man so God put our sins on Jesus. For Anselm, ‘humanity in the person of Jesus offers God the satisfaction of atonement for sin’.</w:t>
      </w:r>
      <w:r>
        <w:rPr>
          <w:rStyle w:val="FootnoteAnchor"/>
          <w:rFonts w:ascii="Calibri" w:hAnsi="Calibri" w:cs="Calibri"/>
        </w:rPr>
        <w:footnoteReference w:id="50"/>
      </w:r>
    </w:p>
    <w:p w14:paraId="56997FC7" w14:textId="77777777" w:rsidR="009D5782" w:rsidRDefault="009D5782" w:rsidP="009D5782">
      <w:pPr>
        <w:spacing w:after="0" w:line="480" w:lineRule="auto"/>
        <w:jc w:val="both"/>
        <w:outlineLvl w:val="8"/>
      </w:pPr>
      <w:r>
        <w:rPr>
          <w:rFonts w:ascii="Calibri" w:hAnsi="Calibri" w:cs="Calibri"/>
        </w:rPr>
        <w:t xml:space="preserve">Man’s redemption was achieved through the sufferings and death of Jesus Christ. Through his death, Christ atoned for the sins of humanity and opened the way to salvation. This act of selfless sacrifice demonstrated God's love for humanity and fulfilled the prophecies of the Messiah in the Old Testament. </w:t>
      </w:r>
      <w:hyperlink r:id="rId9" w:anchor="_blank" w:history="1">
        <w:r>
          <w:rPr>
            <w:rStyle w:val="InternetLink"/>
            <w:rFonts w:ascii="Calibri" w:hAnsi="Calibri" w:cs="Calibri"/>
            <w:vertAlign w:val="superscript"/>
          </w:rPr>
          <w:t>26</w:t>
        </w:r>
      </w:hyperlink>
      <w:r>
        <w:rPr>
          <w:rFonts w:ascii="Calibri" w:hAnsi="Calibri" w:cs="Calibri"/>
        </w:rPr>
        <w:t>Isaiah 53. 4, ‘</w:t>
      </w:r>
      <w:r>
        <w:rPr>
          <w:rFonts w:ascii="Calibri" w:hAnsi="Calibri" w:cs="Calibri"/>
          <w:i/>
          <w:iCs/>
        </w:rPr>
        <w:t>Surely he took up our pain and bore our suffering’</w:t>
      </w:r>
      <w:r>
        <w:rPr>
          <w:rFonts w:ascii="Calibri" w:hAnsi="Calibri" w:cs="Calibri"/>
        </w:rPr>
        <w:t>, in verse 5, ‘</w:t>
      </w:r>
      <w:r>
        <w:rPr>
          <w:rFonts w:ascii="Calibri" w:hAnsi="Calibri" w:cs="Calibri"/>
          <w:i/>
          <w:iCs/>
        </w:rPr>
        <w:t xml:space="preserve">But </w:t>
      </w:r>
      <w:r>
        <w:rPr>
          <w:rFonts w:ascii="Calibri" w:hAnsi="Calibri" w:cs="Calibri"/>
          <w:i/>
          <w:iCs/>
        </w:rPr>
        <w:lastRenderedPageBreak/>
        <w:t xml:space="preserve">he was pierced for our transgressions, he was crushed for our iniquities’ </w:t>
      </w:r>
      <w:r>
        <w:rPr>
          <w:rFonts w:ascii="Calibri" w:hAnsi="Calibri" w:cs="Calibri"/>
        </w:rPr>
        <w:t>and verse 6 states, ‘</w:t>
      </w:r>
      <w:r>
        <w:rPr>
          <w:rFonts w:ascii="Calibri" w:hAnsi="Calibri" w:cs="Calibri"/>
          <w:i/>
          <w:iCs/>
        </w:rPr>
        <w:t>And the LORD has laid on him the iniquity of us all’.</w:t>
      </w:r>
      <w:r>
        <w:rPr>
          <w:rFonts w:ascii="Calibri" w:hAnsi="Calibri" w:cs="Calibri"/>
        </w:rPr>
        <w:t> </w:t>
      </w:r>
    </w:p>
    <w:p w14:paraId="59C7C8FD"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Romans 3.23, ‘God presented Jesus Christ as a sacrifice of atonement through the shedding of his blood’ </w:t>
      </w:r>
    </w:p>
    <w:p w14:paraId="607667A0" w14:textId="77777777" w:rsidR="009D5782" w:rsidRDefault="009D5782" w:rsidP="009D5782">
      <w:pPr>
        <w:spacing w:after="0" w:line="480" w:lineRule="auto"/>
        <w:jc w:val="both"/>
        <w:outlineLvl w:val="8"/>
        <w:rPr>
          <w:rFonts w:ascii="Calibri" w:hAnsi="Calibri" w:cs="Calibri"/>
        </w:rPr>
      </w:pPr>
      <w:r>
        <w:rPr>
          <w:rFonts w:ascii="Calibri" w:hAnsi="Calibri" w:cs="Calibri"/>
        </w:rPr>
        <w:t>This motif of atonement reflects the Jewish sacrificial system of atonement for sin. Hebrews 9.22, ‘In fact, the law requires that nearly everything be cleansed with blood, and without the shedding of the blood there is no forgiveness.’</w:t>
      </w:r>
    </w:p>
    <w:p w14:paraId="39725D89" w14:textId="77777777" w:rsidR="009D5782" w:rsidRDefault="009D5782" w:rsidP="009D5782">
      <w:pPr>
        <w:spacing w:after="0" w:line="480" w:lineRule="auto"/>
        <w:jc w:val="both"/>
        <w:outlineLvl w:val="8"/>
        <w:rPr>
          <w:rFonts w:ascii="Calibri" w:hAnsi="Calibri" w:cs="Calibri"/>
        </w:rPr>
      </w:pPr>
      <w:r>
        <w:rPr>
          <w:rFonts w:ascii="Calibri" w:hAnsi="Calibri" w:cs="Calibri"/>
          <w:b/>
          <w:bCs/>
        </w:rPr>
        <w:t>Resurrection of Christ </w:t>
      </w:r>
    </w:p>
    <w:p w14:paraId="737B26A2" w14:textId="77777777" w:rsidR="009D5782" w:rsidRDefault="009D5782" w:rsidP="009D5782">
      <w:pPr>
        <w:spacing w:after="0" w:line="480" w:lineRule="auto"/>
        <w:jc w:val="both"/>
        <w:outlineLvl w:val="8"/>
      </w:pPr>
      <w:r>
        <w:rPr>
          <w:rFonts w:ascii="Calibri" w:hAnsi="Calibri" w:cs="Calibri"/>
        </w:rPr>
        <w:t>Christ’s resurrection was not just a coming back from death but that when he rose, he was the ‘first fruit’ of a new kind of human life. According to Col. 1. 18b, ‘</w:t>
      </w:r>
      <w:r>
        <w:rPr>
          <w:rFonts w:ascii="Calibri" w:hAnsi="Calibri" w:cs="Calibri"/>
          <w:i/>
          <w:iCs/>
        </w:rPr>
        <w:t xml:space="preserve">He is the beginning and the first born from among the dead’. </w:t>
      </w:r>
      <w:r>
        <w:rPr>
          <w:rFonts w:ascii="Calibri" w:hAnsi="Calibri" w:cs="Calibri"/>
        </w:rPr>
        <w:t xml:space="preserve">For Boff, the resurrection of Jesus Christ ‘is not an ordinary historical fact but a fact grasped only by faith’. He asserts that there are two modern interpretations of Christ’s resurrection which are, ‘the empty </w:t>
      </w:r>
      <w:proofErr w:type="spellStart"/>
      <w:r>
        <w:rPr>
          <w:rFonts w:ascii="Calibri" w:hAnsi="Calibri" w:cs="Calibri"/>
        </w:rPr>
        <w:t>sepulchre</w:t>
      </w:r>
      <w:proofErr w:type="spellEnd"/>
      <w:r>
        <w:rPr>
          <w:rFonts w:ascii="Calibri" w:hAnsi="Calibri" w:cs="Calibri"/>
        </w:rPr>
        <w:t xml:space="preserve">’ and ‘his apparitions to the disciples’. Quoting the book of Mark 16. 4-5, he asserts that the exegesis on the empty </w:t>
      </w:r>
      <w:proofErr w:type="spellStart"/>
      <w:r>
        <w:rPr>
          <w:rFonts w:ascii="Calibri" w:hAnsi="Calibri" w:cs="Calibri"/>
        </w:rPr>
        <w:t>sepulchre</w:t>
      </w:r>
      <w:proofErr w:type="spellEnd"/>
      <w:r>
        <w:rPr>
          <w:rFonts w:ascii="Calibri" w:hAnsi="Calibri" w:cs="Calibri"/>
        </w:rPr>
        <w:t xml:space="preserve"> did not give rise to faith in Christ’s resurrection but fear. The women in Mark 16. 8 ‘fled from the tomb; because they were afraid’. In verse 6 </w:t>
      </w:r>
      <w:r>
        <w:rPr>
          <w:rFonts w:ascii="Calibri" w:hAnsi="Calibri" w:cs="Calibri"/>
          <w:i/>
          <w:iCs/>
        </w:rPr>
        <w:t xml:space="preserve">’The angel announces to them, ‘He is risen! He is not here. See the place where they laid him’. </w:t>
      </w:r>
      <w:r>
        <w:rPr>
          <w:rFonts w:ascii="Calibri" w:hAnsi="Calibri" w:cs="Calibri"/>
        </w:rPr>
        <w:t>Boff believes that the empty grave is a sign that makes people reflect on the possibility of resurrection and an invitation to faith. He asserts, that what gave origin to the exclamation of faith among the Apostles was the apparitions of Christ</w:t>
      </w:r>
      <w:r>
        <w:rPr>
          <w:rStyle w:val="FootnoteAnchor"/>
          <w:rFonts w:ascii="Calibri" w:hAnsi="Calibri" w:cs="Calibri"/>
        </w:rPr>
        <w:footnoteReference w:id="51"/>
      </w:r>
      <w:r>
        <w:rPr>
          <w:rFonts w:ascii="Calibri" w:hAnsi="Calibri" w:cs="Calibri"/>
        </w:rPr>
        <w:t xml:space="preserve">. The Bible records instances when Jesus appeared to his disciples. In John 20. 16, he appeared to Mary </w:t>
      </w:r>
      <w:r>
        <w:rPr>
          <w:rFonts w:ascii="Calibri" w:hAnsi="Calibri" w:cs="Calibri"/>
        </w:rPr>
        <w:lastRenderedPageBreak/>
        <w:t xml:space="preserve">Magdalene. He also appeared to two disciples on their way to Emmaus in Luke 24. 13-32. In Luke 24. 33, he appeared to his eleven disciples and ate with them. Boff reflects on the manner of apparitions the gospel relays as the ‘real and bodily presence of Jesus who walks with his friends, eats, allows himself to be touched, listens and converses’. He also appears, disappears and goes through walls. For Boff, this shows a spiritualized representation of his resurrection as found in 1 Corin.15. 5. </w:t>
      </w:r>
      <w:hyperlink r:id="rId10" w:anchor="_blank" w:history="1">
        <w:r>
          <w:rPr>
            <w:rStyle w:val="InternetLink"/>
            <w:rFonts w:ascii="Calibri" w:hAnsi="Calibri" w:cs="Calibri"/>
            <w:vertAlign w:val="superscript"/>
          </w:rPr>
          <w:t>29</w:t>
        </w:r>
      </w:hyperlink>
      <w:r>
        <w:rPr>
          <w:rFonts w:ascii="Calibri" w:hAnsi="Calibri" w:cs="Calibri"/>
        </w:rPr>
        <w:t>But Murry Harris argues that the same body of Jesus that died was raised and transformed into a ‘spiritual body’ with new properties. For Grudem, the physical resurrection of Jesus and his eternal possession of a physical resurrection body, gives clear affirmation, of the goodness of the material creation that God originally made man. Gen. 1. 31 states, ‘</w:t>
      </w:r>
      <w:r>
        <w:rPr>
          <w:rFonts w:ascii="Calibri" w:hAnsi="Calibri" w:cs="Calibri"/>
          <w:i/>
          <w:iCs/>
        </w:rPr>
        <w:t>God saw all that he made, and it was very good’</w:t>
      </w:r>
      <w:r>
        <w:rPr>
          <w:rFonts w:ascii="Calibri" w:hAnsi="Calibri" w:cs="Calibri"/>
        </w:rPr>
        <w:t>. Grudem argues, that in the same physical resurrection body will believers live in God’s renewed physical creation. In a perfected physical body that Jesus rose from the dead, now reigns in heaven and will return and take his children to be with him.  </w:t>
      </w:r>
    </w:p>
    <w:p w14:paraId="56861B32" w14:textId="77777777" w:rsidR="009D5782" w:rsidRDefault="009D5782" w:rsidP="009D5782">
      <w:pPr>
        <w:spacing w:after="0" w:line="480" w:lineRule="auto"/>
        <w:jc w:val="both"/>
        <w:outlineLvl w:val="8"/>
      </w:pPr>
      <w:r>
        <w:rPr>
          <w:rFonts w:ascii="Calibri" w:hAnsi="Calibri" w:cs="Calibri"/>
        </w:rPr>
        <w:t> </w:t>
      </w:r>
      <w:r>
        <w:rPr>
          <w:rFonts w:ascii="Calibri" w:hAnsi="Calibri" w:cs="Calibri"/>
          <w:b/>
          <w:bCs/>
        </w:rPr>
        <w:t>Significance of Christ’s Resurrection</w:t>
      </w:r>
      <w:r>
        <w:rPr>
          <w:rFonts w:ascii="Calibri" w:hAnsi="Calibri" w:cs="Calibri"/>
        </w:rPr>
        <w:t> </w:t>
      </w:r>
    </w:p>
    <w:p w14:paraId="71CE413A" w14:textId="77777777" w:rsidR="009D5782" w:rsidRDefault="009D5782" w:rsidP="009D5782">
      <w:pPr>
        <w:spacing w:after="0" w:line="480" w:lineRule="auto"/>
        <w:jc w:val="both"/>
        <w:outlineLvl w:val="8"/>
      </w:pPr>
      <w:r>
        <w:rPr>
          <w:rFonts w:ascii="Calibri" w:hAnsi="Calibri" w:cs="Calibri"/>
        </w:rPr>
        <w:t>According to Grudem, the resurrection of Jesus Christ ensures mankind’s regeneration. In  Peter 1.3, the Bible connects the resurrection of Christ to our new birth, ‘</w:t>
      </w:r>
      <w:r>
        <w:rPr>
          <w:rFonts w:ascii="Calibri" w:hAnsi="Calibri" w:cs="Calibri"/>
          <w:i/>
          <w:iCs/>
        </w:rPr>
        <w:t>In his great mercy he has given us new birth into a living hope through the resurrection of Jesus Christ’</w:t>
      </w:r>
      <w:r>
        <w:rPr>
          <w:rFonts w:ascii="Calibri" w:hAnsi="Calibri" w:cs="Calibri"/>
        </w:rPr>
        <w:t>. Jesus Christ earned new life for humanity, just like his when they are ‘born again’. </w:t>
      </w:r>
    </w:p>
    <w:p w14:paraId="10A935C6" w14:textId="77777777" w:rsidR="009D5782" w:rsidRDefault="009D5782" w:rsidP="009D5782">
      <w:pPr>
        <w:spacing w:after="0" w:line="480" w:lineRule="auto"/>
        <w:jc w:val="both"/>
        <w:outlineLvl w:val="8"/>
      </w:pPr>
      <w:r>
        <w:rPr>
          <w:rFonts w:ascii="Calibri" w:hAnsi="Calibri" w:cs="Calibri"/>
        </w:rPr>
        <w:t>Second, the resurrection of Christ ensures justification for man. By raising Christ from the dead, God the Father was affirming his endorsement of Christ’s work of sacrifice, in dying and paying the penalty for the sins of humanity. Romans 4. 25 states, ‘</w:t>
      </w:r>
      <w:r>
        <w:rPr>
          <w:rFonts w:ascii="Calibri" w:hAnsi="Calibri" w:cs="Calibri"/>
          <w:i/>
          <w:iCs/>
        </w:rPr>
        <w:t>He was delivered over to death for our sins and was raised to life for our justification’.</w:t>
      </w:r>
      <w:r>
        <w:rPr>
          <w:rFonts w:ascii="Calibri" w:hAnsi="Calibri" w:cs="Calibri"/>
        </w:rPr>
        <w:t> </w:t>
      </w:r>
    </w:p>
    <w:p w14:paraId="4680AF64" w14:textId="77777777" w:rsidR="009D5782" w:rsidRDefault="009D5782" w:rsidP="009D5782">
      <w:pPr>
        <w:spacing w:after="0" w:line="480" w:lineRule="auto"/>
        <w:jc w:val="both"/>
        <w:outlineLvl w:val="8"/>
      </w:pPr>
      <w:r>
        <w:rPr>
          <w:rFonts w:ascii="Calibri" w:hAnsi="Calibri" w:cs="Calibri"/>
        </w:rPr>
        <w:lastRenderedPageBreak/>
        <w:t>Thirdly, Christ’s resurrection ensures that man will receive a perfect resurrection body. In 1 Corinthians 15. 20, the Bible states, ‘But Christ has indeed been raised from the dead, the first fruits of those who have fallen asleep’. The Bible connects the resurrection of Jesus Christ to man’s final bodily resurrection. Just as Christ was raised the Bible states in 2 Cor.4.14, ‘we know that the one who raised the Lord Jesus from the dead will also raise us with Jesus and present us with you to himself’.</w:t>
      </w:r>
    </w:p>
    <w:p w14:paraId="51D56D96" w14:textId="77777777" w:rsidR="009D5782" w:rsidRDefault="009D5782" w:rsidP="009D5782">
      <w:pPr>
        <w:spacing w:after="0" w:line="480" w:lineRule="auto"/>
        <w:jc w:val="both"/>
        <w:outlineLvl w:val="8"/>
        <w:rPr>
          <w:rFonts w:ascii="Calibri" w:hAnsi="Calibri" w:cs="Calibri"/>
        </w:rPr>
      </w:pPr>
      <w:r>
        <w:rPr>
          <w:rFonts w:ascii="Calibri" w:hAnsi="Calibri" w:cs="Calibri"/>
          <w:b/>
          <w:bCs/>
        </w:rPr>
        <w:t>Christ’s Ascension </w:t>
      </w:r>
    </w:p>
    <w:p w14:paraId="03DA00AB" w14:textId="77777777" w:rsidR="009D5782" w:rsidRDefault="009D5782" w:rsidP="009D5782">
      <w:pPr>
        <w:spacing w:after="0" w:line="480" w:lineRule="auto"/>
        <w:jc w:val="both"/>
        <w:outlineLvl w:val="8"/>
      </w:pPr>
      <w:r>
        <w:rPr>
          <w:rFonts w:ascii="Calibri" w:hAnsi="Calibri" w:cs="Calibri"/>
        </w:rPr>
        <w:t xml:space="preserve">The Bible gives an account of the ascension of Christ in Acts 1. 9-11. Before his ascension, Jesus Christ was physically present on earth for 40 days, after which he led his disciples and others to Bethany located outside of Jerusalem where he ascended into heaven. Christian tradition believes that when Jesus Christ ascended, he was exalted by the Father with the glory he shared with the Father before the world was made as Peter asserts </w:t>
      </w:r>
      <w:hyperlink r:id="rId11" w:anchor="_blank" w:history="1">
        <w:r>
          <w:rPr>
            <w:rStyle w:val="InternetLink"/>
            <w:rFonts w:ascii="Calibri" w:hAnsi="Calibri" w:cs="Calibri"/>
            <w:vertAlign w:val="superscript"/>
          </w:rPr>
          <w:t>33</w:t>
        </w:r>
      </w:hyperlink>
      <w:r>
        <w:rPr>
          <w:rFonts w:ascii="Calibri" w:hAnsi="Calibri" w:cs="Calibri"/>
        </w:rPr>
        <w:t>in Acts. 2. 33, ‘</w:t>
      </w:r>
      <w:r>
        <w:rPr>
          <w:rFonts w:ascii="Calibri" w:hAnsi="Calibri" w:cs="Calibri"/>
          <w:i/>
          <w:iCs/>
        </w:rPr>
        <w:t>Exalted to the right hand of God, he has received from the Father the promised Holy Spirit’</w:t>
      </w:r>
      <w:r>
        <w:rPr>
          <w:rFonts w:ascii="Calibri" w:hAnsi="Calibri" w:cs="Calibri"/>
        </w:rPr>
        <w:t>. </w:t>
      </w:r>
    </w:p>
    <w:p w14:paraId="5D58462F" w14:textId="77777777" w:rsidR="009D5782" w:rsidRDefault="009D5782" w:rsidP="009D5782">
      <w:pPr>
        <w:spacing w:after="0" w:line="480" w:lineRule="auto"/>
        <w:jc w:val="both"/>
        <w:outlineLvl w:val="8"/>
      </w:pPr>
      <w:r>
        <w:rPr>
          <w:rFonts w:ascii="Calibri" w:hAnsi="Calibri" w:cs="Calibri"/>
        </w:rPr>
        <w:t>Another aspect of Christ’s ascension and honour is, that Jesus is sat at the right hand of the Father. The receiving into the presence of the Father and the positioning at the Father’s right hand is a demonstration of the fulfilment of the mission of Christ’s redemption.  </w:t>
      </w:r>
    </w:p>
    <w:p w14:paraId="1E895D68" w14:textId="77777777" w:rsidR="009D5782" w:rsidRDefault="009D5782" w:rsidP="009D5782">
      <w:pPr>
        <w:spacing w:after="0" w:line="480" w:lineRule="auto"/>
        <w:jc w:val="both"/>
        <w:outlineLvl w:val="8"/>
        <w:rPr>
          <w:rFonts w:ascii="Calibri" w:hAnsi="Calibri" w:cs="Calibri"/>
        </w:rPr>
      </w:pPr>
      <w:r>
        <w:rPr>
          <w:rFonts w:ascii="Calibri" w:hAnsi="Calibri" w:cs="Calibri"/>
          <w:b/>
          <w:bCs/>
        </w:rPr>
        <w:t>Significance of Christ’s Ascension </w:t>
      </w:r>
    </w:p>
    <w:p w14:paraId="16D11A94" w14:textId="77777777" w:rsidR="009D5782" w:rsidRDefault="009D5782" w:rsidP="009D5782">
      <w:pPr>
        <w:spacing w:after="0" w:line="480" w:lineRule="auto"/>
        <w:jc w:val="both"/>
        <w:outlineLvl w:val="8"/>
        <w:rPr>
          <w:rFonts w:ascii="Calibri" w:hAnsi="Calibri" w:cs="Calibri"/>
        </w:rPr>
      </w:pPr>
      <w:r>
        <w:rPr>
          <w:rFonts w:ascii="Calibri" w:hAnsi="Calibri" w:cs="Calibri"/>
        </w:rPr>
        <w:t>The resurrection of Christ has considerable implications for the Christian, so also, Christ’s ascension has notable significance for believers.  </w:t>
      </w:r>
    </w:p>
    <w:p w14:paraId="6EF5514A" w14:textId="77777777" w:rsidR="009D5782" w:rsidRDefault="009D5782" w:rsidP="009D5782">
      <w:pPr>
        <w:spacing w:after="0" w:line="480" w:lineRule="auto"/>
        <w:jc w:val="both"/>
        <w:outlineLvl w:val="8"/>
      </w:pPr>
      <w:r>
        <w:rPr>
          <w:rFonts w:ascii="Calibri" w:hAnsi="Calibri" w:cs="Calibri"/>
        </w:rPr>
        <w:t>For Leonard, as mankind unites with Christ in all aspects of his redemption work. His ascension into heaven indicates the ascension of believers with Christ into heaven in the future. The Bible in 1 Thess. 4.17 states, ‘</w:t>
      </w:r>
      <w:r>
        <w:rPr>
          <w:rFonts w:ascii="Calibri" w:hAnsi="Calibri" w:cs="Calibri"/>
          <w:i/>
          <w:iCs/>
        </w:rPr>
        <w:t xml:space="preserve">Then we who are alive, who are left, will be caught up together with them </w:t>
      </w:r>
      <w:r>
        <w:rPr>
          <w:rFonts w:ascii="Calibri" w:hAnsi="Calibri" w:cs="Calibri"/>
          <w:i/>
          <w:iCs/>
        </w:rPr>
        <w:lastRenderedPageBreak/>
        <w:t>in the clouds to meet the Lord in the air, and so we will always be with the Lord’.</w:t>
      </w:r>
      <w:r>
        <w:rPr>
          <w:rFonts w:ascii="Calibri" w:hAnsi="Calibri" w:cs="Calibri"/>
        </w:rPr>
        <w:t xml:space="preserve"> Jesus himself says in John 14. 3, ‘</w:t>
      </w:r>
      <w:r>
        <w:rPr>
          <w:rFonts w:ascii="Calibri" w:hAnsi="Calibri" w:cs="Calibri"/>
          <w:i/>
          <w:iCs/>
        </w:rPr>
        <w:t>And if I go and prepare a place for you, I will come again and will take you to myself, that where I am you may be also’</w:t>
      </w:r>
      <w:r>
        <w:rPr>
          <w:rFonts w:ascii="Calibri" w:hAnsi="Calibri" w:cs="Calibri"/>
        </w:rPr>
        <w:t>. </w:t>
      </w:r>
    </w:p>
    <w:p w14:paraId="543C868F" w14:textId="77777777" w:rsidR="009D5782" w:rsidRDefault="009D5782" w:rsidP="009D5782">
      <w:pPr>
        <w:spacing w:after="0" w:line="480" w:lineRule="auto"/>
        <w:jc w:val="both"/>
        <w:outlineLvl w:val="8"/>
      </w:pPr>
      <w:r>
        <w:rPr>
          <w:rFonts w:ascii="Calibri" w:hAnsi="Calibri" w:cs="Calibri"/>
        </w:rPr>
        <w:t xml:space="preserve">Second, the ascension of Christ reassures believers that their final home will be heaven. Grudem asserts that ‘since Jesus has already ascended into heaven and achieved the goal set before him, this gives great assurance to believers that they will eventually go there’. </w:t>
      </w:r>
      <w:hyperlink r:id="rId12" w:anchor="_blank" w:history="1">
        <w:r>
          <w:rPr>
            <w:rStyle w:val="InternetLink"/>
            <w:rFonts w:ascii="Calibri" w:hAnsi="Calibri" w:cs="Calibri"/>
            <w:vertAlign w:val="superscript"/>
          </w:rPr>
          <w:t>36</w:t>
        </w:r>
      </w:hyperlink>
      <w:r>
        <w:rPr>
          <w:rFonts w:ascii="Calibri" w:hAnsi="Calibri" w:cs="Calibri"/>
        </w:rPr>
        <w:t>Jesus states in John 14. 2, ‘</w:t>
      </w:r>
      <w:r>
        <w:rPr>
          <w:rFonts w:ascii="Calibri" w:hAnsi="Calibri" w:cs="Calibri"/>
          <w:i/>
          <w:iCs/>
        </w:rPr>
        <w:t>In my Father’s house are many rooms. If it were not so, would I have told you that I go to prepare a place for you?</w:t>
      </w:r>
      <w:r>
        <w:rPr>
          <w:rFonts w:ascii="Calibri" w:hAnsi="Calibri" w:cs="Calibri"/>
        </w:rPr>
        <w:t> </w:t>
      </w:r>
    </w:p>
    <w:p w14:paraId="3102ED66" w14:textId="77777777" w:rsidR="009D5782" w:rsidRDefault="009D5782" w:rsidP="009D5782">
      <w:pPr>
        <w:spacing w:after="0" w:line="480" w:lineRule="auto"/>
        <w:jc w:val="both"/>
        <w:outlineLvl w:val="8"/>
      </w:pPr>
      <w:r>
        <w:rPr>
          <w:rFonts w:ascii="Calibri" w:hAnsi="Calibri" w:cs="Calibri"/>
        </w:rPr>
        <w:t xml:space="preserve">Third, due to the union with Christ in his ascension, the Christian believer can share in Christ’s dominion over the universe. </w:t>
      </w:r>
      <w:hyperlink r:id="rId13" w:anchor="_blank" w:history="1">
        <w:r>
          <w:rPr>
            <w:rStyle w:val="InternetLink"/>
            <w:rFonts w:ascii="Calibri" w:hAnsi="Calibri" w:cs="Calibri"/>
            <w:vertAlign w:val="superscript"/>
          </w:rPr>
          <w:t>37</w:t>
        </w:r>
      </w:hyperlink>
      <w:r>
        <w:rPr>
          <w:rFonts w:ascii="Calibri" w:hAnsi="Calibri" w:cs="Calibri"/>
        </w:rPr>
        <w:t>In Ephesians 2.6, the apostle Paul states, ‘</w:t>
      </w:r>
      <w:r>
        <w:rPr>
          <w:rFonts w:ascii="Calibri" w:hAnsi="Calibri" w:cs="Calibri"/>
          <w:i/>
          <w:iCs/>
        </w:rPr>
        <w:t xml:space="preserve">And raised us up with him and seated us with him in the heavenly places in Christ Jesus’. </w:t>
      </w:r>
      <w:r>
        <w:rPr>
          <w:rFonts w:ascii="Calibri" w:hAnsi="Calibri" w:cs="Calibri"/>
        </w:rPr>
        <w:t>According to Grudem, ‘the sharing in Christ’s authority will be made fully in the age to come’</w:t>
      </w:r>
      <w:hyperlink r:id="rId14" w:anchor="_blank" w:history="1">
        <w:r>
          <w:rPr>
            <w:rStyle w:val="InternetLink"/>
            <w:rFonts w:ascii="Calibri" w:hAnsi="Calibri" w:cs="Calibri"/>
            <w:vertAlign w:val="superscript"/>
          </w:rPr>
          <w:t>38</w:t>
        </w:r>
      </w:hyperlink>
      <w:r>
        <w:rPr>
          <w:rFonts w:ascii="Calibri" w:hAnsi="Calibri" w:cs="Calibri"/>
        </w:rPr>
        <w:t>.  </w:t>
      </w:r>
    </w:p>
    <w:p w14:paraId="585A268A" w14:textId="77777777" w:rsidR="009D5782" w:rsidRDefault="009D5782" w:rsidP="009D5782">
      <w:pPr>
        <w:spacing w:after="0" w:line="480" w:lineRule="auto"/>
        <w:jc w:val="both"/>
        <w:outlineLvl w:val="8"/>
      </w:pPr>
      <w:r>
        <w:rPr>
          <w:rFonts w:ascii="Calibri" w:hAnsi="Calibri" w:cs="Calibri"/>
        </w:rPr>
        <w:t>The book of Ephesians 1. 9-10, tells us that the eternal purpose of God is "</w:t>
      </w:r>
      <w:r>
        <w:rPr>
          <w:rFonts w:ascii="Calibri" w:hAnsi="Calibri" w:cs="Calibri"/>
          <w:i/>
          <w:iCs/>
        </w:rPr>
        <w:t>to gather up all things in Christ’’.</w:t>
      </w:r>
      <w:r>
        <w:rPr>
          <w:rFonts w:ascii="Calibri" w:hAnsi="Calibri" w:cs="Calibri"/>
        </w:rPr>
        <w:t xml:space="preserve"> This presents Christ's redeeming mission as being the restoration of the whole of creation by placing it under the kingship of Christ Jesus as its leader and head. </w:t>
      </w:r>
      <w:hyperlink r:id="rId15" w:anchor="_blank" w:history="1">
        <w:r>
          <w:rPr>
            <w:rStyle w:val="InternetLink"/>
            <w:rFonts w:ascii="Calibri" w:hAnsi="Calibri" w:cs="Calibri"/>
            <w:vertAlign w:val="superscript"/>
          </w:rPr>
          <w:t>39</w:t>
        </w:r>
      </w:hyperlink>
      <w:r>
        <w:rPr>
          <w:rFonts w:ascii="Calibri" w:hAnsi="Calibri" w:cs="Calibri"/>
        </w:rPr>
        <w:t> </w:t>
      </w:r>
    </w:p>
    <w:p w14:paraId="158556B9" w14:textId="77777777" w:rsidR="009D5782" w:rsidRDefault="009D5782" w:rsidP="009D5782">
      <w:pPr>
        <w:spacing w:after="0" w:line="480" w:lineRule="auto"/>
        <w:jc w:val="both"/>
        <w:outlineLvl w:val="8"/>
        <w:rPr>
          <w:rFonts w:ascii="Calibri" w:hAnsi="Calibri" w:cs="Calibri"/>
        </w:rPr>
      </w:pPr>
      <w:r>
        <w:rPr>
          <w:rFonts w:ascii="Calibri" w:hAnsi="Calibri" w:cs="Calibri"/>
        </w:rPr>
        <w:t>Due to sin, there was nothing sufficient man could do to come before God, no amount of righteousness or good works could bring man close to God. The atonement of our sins by Jesus qualifies him to be the mediator between man and God. The Bible in 1 Timothy 2.5, ‘For there is one God and one mediator between God and mankind, the man Christ Jesus.’</w:t>
      </w:r>
    </w:p>
    <w:p w14:paraId="375CC1D6" w14:textId="77777777" w:rsidR="009D5782" w:rsidRDefault="009D5782" w:rsidP="009D5782">
      <w:pPr>
        <w:spacing w:after="0" w:line="480" w:lineRule="auto"/>
        <w:jc w:val="both"/>
        <w:outlineLvl w:val="8"/>
      </w:pPr>
      <w:r>
        <w:rPr>
          <w:rFonts w:ascii="Calibri" w:hAnsi="Calibri" w:cs="Calibri"/>
          <w:b/>
          <w:bCs/>
          <w:sz w:val="28"/>
          <w:szCs w:val="28"/>
        </w:rPr>
        <w:t>Historical -Theological Development</w:t>
      </w:r>
    </w:p>
    <w:p w14:paraId="7C850548" w14:textId="77777777" w:rsidR="009D5782" w:rsidRDefault="009D5782" w:rsidP="009D5782">
      <w:pPr>
        <w:spacing w:after="0" w:line="480" w:lineRule="auto"/>
        <w:jc w:val="both"/>
        <w:outlineLvl w:val="8"/>
      </w:pPr>
      <w:r>
        <w:rPr>
          <w:rFonts w:ascii="Calibri" w:hAnsi="Calibri" w:cs="Calibri"/>
        </w:rPr>
        <w:t>Throughout history,  theologians have come up with various theological models to understand the significance of the redemptive work of Jesus.</w:t>
      </w:r>
    </w:p>
    <w:p w14:paraId="1628937E" w14:textId="77777777" w:rsidR="009D5782" w:rsidRDefault="009D5782" w:rsidP="009D5782">
      <w:pPr>
        <w:spacing w:after="0" w:line="480" w:lineRule="auto"/>
        <w:jc w:val="both"/>
        <w:outlineLvl w:val="8"/>
      </w:pPr>
      <w:r>
        <w:rPr>
          <w:rFonts w:ascii="Calibri" w:hAnsi="Calibri" w:cs="Calibri"/>
        </w:rPr>
        <w:lastRenderedPageBreak/>
        <w:t xml:space="preserve">This model was first put forward by early church fathers, Irenaeus but was advanced by Augustine, Origen, Gregory and Lombardo. This model viewed Jesus as giving his life as a ransom sacrifice to free humanity from the slavery of sin and Satan. In this case, Jesus's perfect life is swapped for man's imperfect life. Similarly, in </w:t>
      </w:r>
      <w:proofErr w:type="spellStart"/>
      <w:r>
        <w:rPr>
          <w:rFonts w:ascii="Calibri" w:hAnsi="Calibri" w:cs="Calibri"/>
        </w:rPr>
        <w:t>Pannenberg’s</w:t>
      </w:r>
      <w:proofErr w:type="spellEnd"/>
      <w:r>
        <w:rPr>
          <w:rFonts w:ascii="Calibri" w:hAnsi="Calibri" w:cs="Calibri"/>
        </w:rPr>
        <w:t xml:space="preserve"> writing on ‘</w:t>
      </w:r>
      <w:r>
        <w:rPr>
          <w:rFonts w:ascii="Calibri" w:hAnsi="Calibri" w:cs="Calibri"/>
          <w:i/>
          <w:iCs/>
        </w:rPr>
        <w:t>Christology and Soteriology’</w:t>
      </w:r>
      <w:r>
        <w:rPr>
          <w:rFonts w:ascii="Calibri" w:hAnsi="Calibri" w:cs="Calibri"/>
        </w:rPr>
        <w:t>, quotes Luther as stating that Jesus is not viewed to play ‘an active role as one who offers work to God but rather passively as the one whom God’s wrath on sin has in our place’.</w:t>
      </w:r>
    </w:p>
    <w:p w14:paraId="2DAF17D3" w14:textId="77777777" w:rsidR="009D5782" w:rsidRDefault="009D5782" w:rsidP="009D5782">
      <w:pPr>
        <w:spacing w:after="0" w:line="480" w:lineRule="auto"/>
        <w:jc w:val="both"/>
        <w:outlineLvl w:val="8"/>
        <w:rPr>
          <w:rFonts w:ascii="Calibri" w:hAnsi="Calibri" w:cs="Calibri"/>
        </w:rPr>
      </w:pPr>
      <w:r>
        <w:rPr>
          <w:rFonts w:ascii="Calibri" w:hAnsi="Calibri" w:cs="Calibri"/>
        </w:rPr>
        <w:t>It interprets Jesus Christ's death as a ransom paid to Satan to liberate humanity from bondage. This theory could be seen to line up with the book of Matthew 20.28, ‘’For even the Son of Man came not to be served but to serve others and to give his life as a ransom for many.’</w:t>
      </w:r>
    </w:p>
    <w:p w14:paraId="3131C555" w14:textId="77777777" w:rsidR="009D5782" w:rsidRDefault="009D5782" w:rsidP="009D5782">
      <w:pPr>
        <w:spacing w:after="0" w:line="480" w:lineRule="auto"/>
        <w:jc w:val="both"/>
        <w:outlineLvl w:val="8"/>
        <w:rPr>
          <w:rFonts w:ascii="Calibri" w:hAnsi="Calibri" w:cs="Calibri"/>
        </w:rPr>
      </w:pPr>
      <w:r>
        <w:rPr>
          <w:rFonts w:ascii="Calibri" w:hAnsi="Calibri" w:cs="Calibri"/>
          <w:b/>
          <w:bCs/>
        </w:rPr>
        <w:t>Satisfaction Theory</w:t>
      </w:r>
    </w:p>
    <w:p w14:paraId="5D6C12E3" w14:textId="77777777" w:rsidR="009D5782" w:rsidRDefault="009D5782" w:rsidP="009D5782">
      <w:pPr>
        <w:spacing w:after="0" w:line="480" w:lineRule="auto"/>
        <w:jc w:val="both"/>
        <w:outlineLvl w:val="8"/>
        <w:rPr>
          <w:rFonts w:ascii="Calibri" w:hAnsi="Calibri" w:cs="Calibri"/>
        </w:rPr>
      </w:pPr>
      <w:r>
        <w:rPr>
          <w:rFonts w:ascii="Calibri" w:hAnsi="Calibri" w:cs="Calibri"/>
        </w:rPr>
        <w:t>‘According to Grudem, In the 11</w:t>
      </w:r>
      <w:r>
        <w:rPr>
          <w:rFonts w:ascii="Calibri" w:hAnsi="Calibri" w:cs="Calibri"/>
          <w:vertAlign w:val="superscript"/>
        </w:rPr>
        <w:t>th</w:t>
      </w:r>
      <w:r>
        <w:rPr>
          <w:rFonts w:ascii="Calibri" w:hAnsi="Calibri" w:cs="Calibri"/>
        </w:rPr>
        <w:t xml:space="preserve"> century, Anselm put forward the ‘Satisfaction Theory’ Cur </w:t>
      </w:r>
      <w:proofErr w:type="spellStart"/>
      <w:r>
        <w:rPr>
          <w:rFonts w:ascii="Calibri" w:hAnsi="Calibri" w:cs="Calibri"/>
        </w:rPr>
        <w:t>Dieus</w:t>
      </w:r>
      <w:proofErr w:type="spellEnd"/>
      <w:r>
        <w:rPr>
          <w:rFonts w:ascii="Calibri" w:hAnsi="Calibri" w:cs="Calibri"/>
        </w:rPr>
        <w:t xml:space="preserve"> Homo - Anselm believes that man owes God a debt, not Satan and that only a perfect sacrifice could pay the debt. The doctrine would be that Jesus gave himself as a ransom to God for man’s sake. That Jesus’ death satisfied divine justice. The Reformers, Calvin expanded this theory into penal substitution.</w:t>
      </w:r>
    </w:p>
    <w:p w14:paraId="161D7379" w14:textId="77777777" w:rsidR="009D5782" w:rsidRDefault="009D5782" w:rsidP="009D5782">
      <w:pPr>
        <w:spacing w:after="0" w:line="480" w:lineRule="auto"/>
        <w:jc w:val="both"/>
        <w:outlineLvl w:val="8"/>
        <w:rPr>
          <w:rFonts w:ascii="Calibri" w:hAnsi="Calibri" w:cs="Calibri"/>
        </w:rPr>
      </w:pPr>
      <w:r>
        <w:rPr>
          <w:rFonts w:ascii="Calibri" w:hAnsi="Calibri" w:cs="Calibri"/>
          <w:b/>
          <w:bCs/>
        </w:rPr>
        <w:t>Penal Substitution Theory</w:t>
      </w:r>
    </w:p>
    <w:p w14:paraId="02E396BE" w14:textId="77777777" w:rsidR="009D5782" w:rsidRDefault="009D5782" w:rsidP="009D5782">
      <w:pPr>
        <w:spacing w:after="0" w:line="480" w:lineRule="auto"/>
        <w:jc w:val="both"/>
        <w:outlineLvl w:val="8"/>
      </w:pPr>
      <w:r>
        <w:rPr>
          <w:rFonts w:ascii="Calibri" w:hAnsi="Calibri" w:cs="Calibri"/>
        </w:rPr>
        <w:t>Held by evangelical theologians, this theory believes that Christ’s death was ‘penal’ in that he bore a penalty when he died. His death was also a substitution in that he was a substitute for humanity when he died. According to Grudem, this theory is also known as ‘</w:t>
      </w:r>
      <w:r>
        <w:rPr>
          <w:rFonts w:ascii="Calibri" w:hAnsi="Calibri" w:cs="Calibri"/>
          <w:i/>
          <w:iCs/>
        </w:rPr>
        <w:t>Vicarious atonement’</w:t>
      </w:r>
      <w:r>
        <w:rPr>
          <w:rFonts w:ascii="Calibri" w:hAnsi="Calibri" w:cs="Calibri"/>
        </w:rPr>
        <w:t>. This views Jesus as man’s priestly representative just as a vicar stands in place of others.</w:t>
      </w:r>
    </w:p>
    <w:p w14:paraId="701AA9D2" w14:textId="77777777" w:rsidR="009D5782" w:rsidRDefault="009D5782" w:rsidP="009D5782">
      <w:pPr>
        <w:spacing w:after="0" w:line="480" w:lineRule="auto"/>
        <w:jc w:val="both"/>
        <w:outlineLvl w:val="8"/>
        <w:rPr>
          <w:rFonts w:ascii="Calibri" w:hAnsi="Calibri" w:cs="Calibri"/>
        </w:rPr>
      </w:pPr>
      <w:r>
        <w:rPr>
          <w:rFonts w:ascii="Calibri" w:hAnsi="Calibri" w:cs="Calibri"/>
          <w:b/>
          <w:bCs/>
        </w:rPr>
        <w:t>Moral Influence</w:t>
      </w:r>
    </w:p>
    <w:p w14:paraId="49F1E356" w14:textId="77777777" w:rsidR="009D5782" w:rsidRDefault="009D5782" w:rsidP="009D5782">
      <w:pPr>
        <w:spacing w:after="0" w:line="480" w:lineRule="auto"/>
        <w:jc w:val="both"/>
        <w:outlineLvl w:val="8"/>
        <w:rPr>
          <w:rFonts w:ascii="Calibri" w:hAnsi="Calibri" w:cs="Calibri"/>
        </w:rPr>
      </w:pPr>
      <w:r>
        <w:rPr>
          <w:rFonts w:ascii="Calibri" w:hAnsi="Calibri" w:cs="Calibri"/>
        </w:rPr>
        <w:lastRenderedPageBreak/>
        <w:t>The ‘Moral Influence Theory’ is viewed as the most popular. This model was preached by church fathers in the 2</w:t>
      </w:r>
      <w:r>
        <w:rPr>
          <w:rFonts w:ascii="Calibri" w:hAnsi="Calibri" w:cs="Calibri"/>
          <w:vertAlign w:val="superscript"/>
        </w:rPr>
        <w:t>nd</w:t>
      </w:r>
      <w:r>
        <w:rPr>
          <w:rFonts w:ascii="Calibri" w:hAnsi="Calibri" w:cs="Calibri"/>
        </w:rPr>
        <w:t xml:space="preserve"> and 3</w:t>
      </w:r>
      <w:r>
        <w:rPr>
          <w:rFonts w:ascii="Calibri" w:hAnsi="Calibri" w:cs="Calibri"/>
          <w:vertAlign w:val="superscript"/>
        </w:rPr>
        <w:t>rd</w:t>
      </w:r>
      <w:r>
        <w:rPr>
          <w:rFonts w:ascii="Calibri" w:hAnsi="Calibri" w:cs="Calibri"/>
        </w:rPr>
        <w:t xml:space="preserve"> centuries. This is common among liberal Christians today. It is believed that the aim of all Jesus did was to lead man towards moral change which he achieved through his teaching ministry, his death and resurrection. Philosophers like Immanuel Kant, and theologians such as Hastings </w:t>
      </w:r>
      <w:proofErr w:type="spellStart"/>
      <w:r>
        <w:rPr>
          <w:rFonts w:ascii="Calibri" w:hAnsi="Calibri" w:cs="Calibri"/>
        </w:rPr>
        <w:t>Rashdall</w:t>
      </w:r>
      <w:proofErr w:type="spellEnd"/>
      <w:r>
        <w:rPr>
          <w:rFonts w:ascii="Calibri" w:hAnsi="Calibri" w:cs="Calibri"/>
        </w:rPr>
        <w:t xml:space="preserve"> and Paul Tillich have advocated for the theory. </w:t>
      </w:r>
    </w:p>
    <w:p w14:paraId="5FAB495C" w14:textId="77777777" w:rsidR="009D5782" w:rsidRDefault="009D5782" w:rsidP="009D5782">
      <w:pPr>
        <w:spacing w:after="0" w:line="480" w:lineRule="auto"/>
        <w:jc w:val="both"/>
        <w:outlineLvl w:val="8"/>
        <w:rPr>
          <w:rFonts w:ascii="Calibri" w:hAnsi="Calibri" w:cs="Calibri"/>
        </w:rPr>
      </w:pPr>
      <w:r>
        <w:rPr>
          <w:rFonts w:ascii="Calibri" w:hAnsi="Calibri" w:cs="Calibri"/>
          <w:b/>
          <w:bCs/>
        </w:rPr>
        <w:t>Christus Victor Theory</w:t>
      </w:r>
    </w:p>
    <w:p w14:paraId="492A3692" w14:textId="77777777" w:rsidR="009D5782" w:rsidRDefault="009D5782" w:rsidP="009D5782">
      <w:pPr>
        <w:spacing w:after="0" w:line="480" w:lineRule="auto"/>
        <w:jc w:val="both"/>
        <w:outlineLvl w:val="8"/>
      </w:pPr>
      <w:r>
        <w:rPr>
          <w:rFonts w:ascii="Calibri" w:hAnsi="Calibri" w:cs="Calibri"/>
        </w:rPr>
        <w:t xml:space="preserve">This model popularized by Gustaf </w:t>
      </w:r>
      <w:proofErr w:type="spellStart"/>
      <w:r>
        <w:rPr>
          <w:rFonts w:ascii="Calibri" w:hAnsi="Calibri" w:cs="Calibri"/>
        </w:rPr>
        <w:t>Aulen</w:t>
      </w:r>
      <w:proofErr w:type="spellEnd"/>
      <w:r>
        <w:rPr>
          <w:rFonts w:ascii="Calibri" w:hAnsi="Calibri" w:cs="Calibri"/>
        </w:rPr>
        <w:t>, frames the work of Jesus Christ as a comic victory over the powers of sin, death and evil.</w:t>
      </w:r>
      <w:r>
        <w:rPr>
          <w:rStyle w:val="FootnoteAnchor"/>
          <w:rFonts w:ascii="Calibri" w:hAnsi="Calibri" w:cs="Calibri"/>
        </w:rPr>
        <w:footnoteReference w:id="52"/>
      </w:r>
    </w:p>
    <w:p w14:paraId="737C6B4F" w14:textId="77777777" w:rsidR="009D5782" w:rsidRDefault="009D5782" w:rsidP="009D5782">
      <w:pPr>
        <w:spacing w:after="0" w:line="480" w:lineRule="auto"/>
        <w:jc w:val="both"/>
        <w:outlineLvl w:val="8"/>
      </w:pPr>
      <w:r>
        <w:rPr>
          <w:rFonts w:ascii="Calibri" w:hAnsi="Calibri" w:cs="Calibri"/>
          <w:b/>
          <w:bCs/>
          <w:sz w:val="28"/>
          <w:szCs w:val="28"/>
        </w:rPr>
        <w:t>Modern Theological Insight</w:t>
      </w:r>
    </w:p>
    <w:p w14:paraId="072DA19A" w14:textId="77777777" w:rsidR="009D5782" w:rsidRDefault="009D5782" w:rsidP="009D5782">
      <w:pPr>
        <w:spacing w:after="0" w:line="480" w:lineRule="auto"/>
        <w:jc w:val="both"/>
        <w:outlineLvl w:val="8"/>
        <w:rPr>
          <w:rFonts w:ascii="Calibri" w:hAnsi="Calibri" w:cs="Calibri"/>
        </w:rPr>
      </w:pPr>
      <w:r>
        <w:rPr>
          <w:rFonts w:ascii="Calibri" w:hAnsi="Calibri" w:cs="Calibri"/>
        </w:rPr>
        <w:t>Contemporary theology continues to interpret the redemptive work of Jesus in the light of ethical, cultural and social concerns.</w:t>
      </w:r>
    </w:p>
    <w:p w14:paraId="7C9D33A2" w14:textId="77777777" w:rsidR="009D5782" w:rsidRDefault="009D5782" w:rsidP="009D5782">
      <w:pPr>
        <w:spacing w:after="0" w:line="480" w:lineRule="auto"/>
        <w:jc w:val="both"/>
        <w:outlineLvl w:val="8"/>
        <w:rPr>
          <w:rFonts w:ascii="Calibri" w:hAnsi="Calibri" w:cs="Calibri"/>
        </w:rPr>
      </w:pPr>
      <w:r>
        <w:rPr>
          <w:rFonts w:ascii="Calibri" w:hAnsi="Calibri" w:cs="Calibri"/>
          <w:b/>
          <w:bCs/>
        </w:rPr>
        <w:t>Feminist theology</w:t>
      </w:r>
      <w:r>
        <w:rPr>
          <w:rFonts w:ascii="Calibri" w:hAnsi="Calibri" w:cs="Calibri"/>
        </w:rPr>
        <w:t xml:space="preserve"> – Feminist theologians like Kathryn Tanner, </w:t>
      </w:r>
      <w:proofErr w:type="spellStart"/>
      <w:r>
        <w:rPr>
          <w:rFonts w:ascii="Calibri" w:hAnsi="Calibri" w:cs="Calibri"/>
        </w:rPr>
        <w:t>criticise</w:t>
      </w:r>
      <w:proofErr w:type="spellEnd"/>
      <w:r>
        <w:rPr>
          <w:rFonts w:ascii="Calibri" w:hAnsi="Calibri" w:cs="Calibri"/>
        </w:rPr>
        <w:t xml:space="preserve"> traditional atonement theories, particularly penal substitution, for their potential to endorse violence. She proposed a new understanding of sacrifice not as the shedding of blood but as service to the </w:t>
      </w:r>
      <w:proofErr w:type="spellStart"/>
      <w:r>
        <w:rPr>
          <w:rFonts w:ascii="Calibri" w:hAnsi="Calibri" w:cs="Calibri"/>
        </w:rPr>
        <w:t>neighbour</w:t>
      </w:r>
      <w:proofErr w:type="spellEnd"/>
      <w:r>
        <w:rPr>
          <w:rFonts w:ascii="Calibri" w:hAnsi="Calibri" w:cs="Calibri"/>
        </w:rPr>
        <w:t xml:space="preserve">. </w:t>
      </w:r>
    </w:p>
    <w:p w14:paraId="35D2D1E0" w14:textId="77777777" w:rsidR="009D5782" w:rsidRDefault="009D5782" w:rsidP="009D5782">
      <w:pPr>
        <w:spacing w:after="0" w:line="480" w:lineRule="auto"/>
        <w:jc w:val="both"/>
        <w:outlineLvl w:val="8"/>
        <w:rPr>
          <w:rFonts w:ascii="Calibri" w:hAnsi="Calibri" w:cs="Calibri"/>
        </w:rPr>
      </w:pPr>
      <w:r>
        <w:rPr>
          <w:rFonts w:ascii="Calibri" w:hAnsi="Calibri" w:cs="Calibri"/>
          <w:b/>
          <w:bCs/>
        </w:rPr>
        <w:t>Liberation Theology</w:t>
      </w:r>
    </w:p>
    <w:p w14:paraId="73CA5A4F" w14:textId="77777777" w:rsidR="009D5782" w:rsidRDefault="009D5782" w:rsidP="009D5782">
      <w:pPr>
        <w:spacing w:after="0" w:line="480" w:lineRule="auto"/>
        <w:jc w:val="both"/>
        <w:outlineLvl w:val="8"/>
        <w:rPr>
          <w:rFonts w:ascii="Calibri" w:hAnsi="Calibri" w:cs="Calibri"/>
        </w:rPr>
      </w:pPr>
      <w:r>
        <w:rPr>
          <w:rFonts w:ascii="Calibri" w:hAnsi="Calibri" w:cs="Calibri"/>
        </w:rPr>
        <w:t>Scholars like Gustavo Gutierrez emphasize Jesus' solidarity with the oppressed, framing redemption as liberation from structural sin.</w:t>
      </w:r>
    </w:p>
    <w:p w14:paraId="34F78408" w14:textId="77777777" w:rsidR="009D5782" w:rsidRDefault="009D5782" w:rsidP="009D5782">
      <w:pPr>
        <w:spacing w:after="0" w:line="480" w:lineRule="auto"/>
        <w:jc w:val="both"/>
        <w:outlineLvl w:val="8"/>
        <w:rPr>
          <w:rFonts w:ascii="Calibri" w:hAnsi="Calibri" w:cs="Calibri"/>
        </w:rPr>
      </w:pPr>
      <w:r>
        <w:rPr>
          <w:rFonts w:ascii="Calibri" w:hAnsi="Calibri" w:cs="Calibri"/>
          <w:b/>
          <w:bCs/>
        </w:rPr>
        <w:t>Ecological Theology</w:t>
      </w:r>
    </w:p>
    <w:p w14:paraId="16910026"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Ecological theologians explore the redemptive work of Jesus as a reconciliation between humanity and creation. </w:t>
      </w:r>
    </w:p>
    <w:p w14:paraId="53BF7218" w14:textId="77777777" w:rsidR="009D5782" w:rsidRDefault="009D5782" w:rsidP="009D5782">
      <w:pPr>
        <w:spacing w:after="0" w:line="480" w:lineRule="auto"/>
        <w:jc w:val="both"/>
        <w:outlineLvl w:val="8"/>
        <w:rPr>
          <w:b/>
          <w:bCs/>
          <w:sz w:val="28"/>
          <w:szCs w:val="28"/>
        </w:rPr>
      </w:pPr>
      <w:r>
        <w:rPr>
          <w:rFonts w:ascii="Calibri" w:hAnsi="Calibri" w:cs="Calibri"/>
          <w:b/>
          <w:bCs/>
          <w:sz w:val="28"/>
          <w:szCs w:val="28"/>
        </w:rPr>
        <w:lastRenderedPageBreak/>
        <w:t>Critiques</w:t>
      </w:r>
    </w:p>
    <w:p w14:paraId="7288D6B6" w14:textId="77777777" w:rsidR="009D5782" w:rsidRDefault="009D5782" w:rsidP="009D5782">
      <w:pPr>
        <w:spacing w:after="0" w:line="480" w:lineRule="auto"/>
        <w:jc w:val="both"/>
        <w:outlineLvl w:val="8"/>
      </w:pPr>
      <w:r>
        <w:rPr>
          <w:rFonts w:ascii="Calibri" w:hAnsi="Calibri" w:cs="Calibri"/>
          <w:b/>
          <w:bCs/>
        </w:rPr>
        <w:t xml:space="preserve">Violence - </w:t>
      </w:r>
      <w:r>
        <w:rPr>
          <w:rFonts w:ascii="Calibri" w:hAnsi="Calibri" w:cs="Calibri"/>
        </w:rPr>
        <w:t xml:space="preserve">Theories like Penal substitution have been criticized for portraying God as requiring violence to achieve redemption. Some feminist theories also fall into this group. </w:t>
      </w:r>
    </w:p>
    <w:p w14:paraId="06A1F5B6"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I submit that the redemptive work of God was initiated out of God’s love to free man from the consequences of sin. John 3.16, ‘ For God so loved the world that He gave His Only Begotten Son that whosoever believed in him will not perish but have everlasting life.’ </w:t>
      </w:r>
    </w:p>
    <w:p w14:paraId="0E5C08AF" w14:textId="77777777" w:rsidR="009D5782" w:rsidRDefault="009D5782" w:rsidP="009D5782">
      <w:pPr>
        <w:spacing w:after="0" w:line="480" w:lineRule="auto"/>
        <w:jc w:val="both"/>
        <w:outlineLvl w:val="8"/>
      </w:pPr>
      <w:r>
        <w:rPr>
          <w:rFonts w:ascii="Calibri" w:hAnsi="Calibri" w:cs="Calibri"/>
          <w:b/>
          <w:bCs/>
        </w:rPr>
        <w:t xml:space="preserve">Pluralism - </w:t>
      </w:r>
      <w:r>
        <w:rPr>
          <w:rFonts w:ascii="Calibri" w:hAnsi="Calibri" w:cs="Calibri"/>
        </w:rPr>
        <w:t xml:space="preserve">In this modern world, where there is religious pluralism. It is believed that all religion are equal. The believe that Jesus Christ is the sole redeemer of the world faces scrutiny. </w:t>
      </w:r>
    </w:p>
    <w:p w14:paraId="7BC5D293" w14:textId="77777777" w:rsidR="009D5782" w:rsidRDefault="009D5782" w:rsidP="009D5782">
      <w:pPr>
        <w:spacing w:after="0" w:line="480" w:lineRule="auto"/>
        <w:jc w:val="both"/>
        <w:outlineLvl w:val="8"/>
      </w:pPr>
      <w:r>
        <w:rPr>
          <w:rFonts w:ascii="Calibri" w:hAnsi="Calibri" w:cs="Calibri"/>
          <w:b/>
          <w:bCs/>
        </w:rPr>
        <w:t xml:space="preserve">Exclusivism </w:t>
      </w:r>
      <w:r>
        <w:rPr>
          <w:rFonts w:ascii="Calibri" w:hAnsi="Calibri" w:cs="Calibri"/>
        </w:rPr>
        <w:t xml:space="preserve">– Christianity is the only true religion and only through Jesus Christ that one is saved. Other religions cannot lead people to salvation. Christians believe that Jesus Christ died for the sin of humanity, if you </w:t>
      </w:r>
      <w:proofErr w:type="spellStart"/>
      <w:r>
        <w:rPr>
          <w:rFonts w:ascii="Calibri" w:hAnsi="Calibri" w:cs="Calibri"/>
        </w:rPr>
        <w:t>co</w:t>
      </w:r>
      <w:proofErr w:type="spellEnd"/>
      <w:r>
        <w:rPr>
          <w:rFonts w:ascii="Calibri" w:hAnsi="Calibri" w:cs="Calibri"/>
        </w:rPr>
        <w:t xml:space="preserve"> not believe in him then you do not believe in the sacrifice he made for you. This can only come by faith. In John 14.6, ‘Jesus answered, I am the way and the truth and the life. No one comes to the Father except by me.’ This verse however, could only suggest that Jesus is the only way to salvation, not that believe in him is key to salvation. This sounds compactible with inclusivism. In John 3.18, ‘Whosoever believes in him is not condemned, but whoever does not believe stands condemned already because they have not believed in the name of God’ one and only Son’. In the historical context of Judaism the word believe means to obey. The Bible makes clear that only those who believe will be saved. The orthodox church affirms that believe goes </w:t>
      </w:r>
      <w:proofErr w:type="spellStart"/>
      <w:r>
        <w:rPr>
          <w:rFonts w:ascii="Calibri" w:hAnsi="Calibri" w:cs="Calibri"/>
        </w:rPr>
        <w:t>beyound</w:t>
      </w:r>
      <w:proofErr w:type="spellEnd"/>
      <w:r>
        <w:rPr>
          <w:rFonts w:ascii="Calibri" w:hAnsi="Calibri" w:cs="Calibri"/>
        </w:rPr>
        <w:t xml:space="preserve"> having faith but also include </w:t>
      </w:r>
      <w:proofErr w:type="spellStart"/>
      <w:r>
        <w:rPr>
          <w:rFonts w:ascii="Calibri" w:hAnsi="Calibri" w:cs="Calibri"/>
        </w:rPr>
        <w:t>folloing</w:t>
      </w:r>
      <w:proofErr w:type="spellEnd"/>
      <w:r>
        <w:rPr>
          <w:rFonts w:ascii="Calibri" w:hAnsi="Calibri" w:cs="Calibri"/>
        </w:rPr>
        <w:t xml:space="preserve"> the teaching of God and doing good works.</w:t>
      </w:r>
      <w:r>
        <w:rPr>
          <w:rStyle w:val="FootnoteAnchor"/>
          <w:rFonts w:ascii="Calibri" w:hAnsi="Calibri" w:cs="Calibri"/>
        </w:rPr>
        <w:footnoteReference w:id="53"/>
      </w:r>
    </w:p>
    <w:p w14:paraId="6F2C49A9" w14:textId="77777777" w:rsidR="009D5782" w:rsidRDefault="009D5782" w:rsidP="009D5782">
      <w:pPr>
        <w:spacing w:after="0" w:line="480" w:lineRule="auto"/>
        <w:jc w:val="both"/>
        <w:outlineLvl w:val="8"/>
      </w:pPr>
      <w:r>
        <w:rPr>
          <w:rFonts w:ascii="Calibri" w:hAnsi="Calibri" w:cs="Calibri"/>
          <w:b/>
          <w:bCs/>
        </w:rPr>
        <w:lastRenderedPageBreak/>
        <w:t xml:space="preserve">Cultural relevance - </w:t>
      </w:r>
      <w:r>
        <w:rPr>
          <w:rFonts w:ascii="Calibri" w:hAnsi="Calibri" w:cs="Calibri"/>
        </w:rPr>
        <w:t>In some non-western contexts where traditional models may not be well understood. The universal applicability of the redemptive work of Jesus may be questioned</w:t>
      </w:r>
    </w:p>
    <w:p w14:paraId="1112C6C4" w14:textId="77777777" w:rsidR="009D5782" w:rsidRDefault="009D5782" w:rsidP="009D5782">
      <w:pPr>
        <w:spacing w:after="0" w:line="480" w:lineRule="auto"/>
        <w:jc w:val="both"/>
        <w:outlineLvl w:val="8"/>
        <w:rPr>
          <w:rFonts w:ascii="Calibri" w:hAnsi="Calibri" w:cs="Calibri"/>
        </w:rPr>
      </w:pPr>
      <w:r>
        <w:rPr>
          <w:rFonts w:ascii="Calibri" w:hAnsi="Calibri" w:cs="Calibri"/>
          <w:b/>
          <w:bCs/>
          <w:sz w:val="28"/>
          <w:szCs w:val="28"/>
        </w:rPr>
        <w:t>Practical implications of the Work of Jesus</w:t>
      </w:r>
    </w:p>
    <w:p w14:paraId="1860161C" w14:textId="77777777" w:rsidR="009D5782" w:rsidRDefault="009D5782" w:rsidP="009D5782">
      <w:pPr>
        <w:spacing w:after="0" w:line="480" w:lineRule="auto"/>
        <w:jc w:val="both"/>
        <w:outlineLvl w:val="8"/>
      </w:pPr>
      <w:r>
        <w:rPr>
          <w:rFonts w:ascii="Calibri" w:hAnsi="Calibri" w:cs="Calibri"/>
          <w:b/>
          <w:bCs/>
        </w:rPr>
        <w:t>Evangelism and Mission</w:t>
      </w:r>
      <w:r>
        <w:rPr>
          <w:rFonts w:ascii="Calibri" w:hAnsi="Calibri" w:cs="Calibri"/>
        </w:rPr>
        <w:t xml:space="preserve"> – Jesus commissioned his disciples in Matthew 28.19. ‘Therefore go and make disciples of all nations, baptizing them in the name in the name of the Father and of the Son and the Holy Spirit and teaching them to obey everything I have commanded you.’  From then on, the mission work of God continues through teaching, preaching and  evangelism </w:t>
      </w:r>
    </w:p>
    <w:p w14:paraId="393CFFE5" w14:textId="77777777" w:rsidR="009D5782" w:rsidRDefault="009D5782" w:rsidP="009D5782">
      <w:pPr>
        <w:spacing w:after="0" w:line="480" w:lineRule="auto"/>
        <w:jc w:val="both"/>
        <w:outlineLvl w:val="8"/>
      </w:pPr>
      <w:r>
        <w:rPr>
          <w:rFonts w:ascii="Calibri" w:hAnsi="Calibri" w:cs="Calibri"/>
          <w:b/>
          <w:bCs/>
        </w:rPr>
        <w:t xml:space="preserve">Hope - </w:t>
      </w:r>
      <w:r>
        <w:rPr>
          <w:rFonts w:ascii="Calibri" w:hAnsi="Calibri" w:cs="Calibri"/>
        </w:rPr>
        <w:t>The hope for Christians is that Jesus' death on the cross satisfied God’s justice and man is no longer guilty. His resurrection proves to Christians that they will live forever. John 3. 16b, ‘whosoever believes in him shall not die but have eternal life.’</w:t>
      </w:r>
    </w:p>
    <w:p w14:paraId="7431D838" w14:textId="77777777" w:rsidR="009D5782" w:rsidRDefault="009D5782" w:rsidP="009D5782">
      <w:pPr>
        <w:spacing w:after="0" w:line="480" w:lineRule="auto"/>
        <w:jc w:val="both"/>
        <w:outlineLvl w:val="8"/>
        <w:rPr>
          <w:rFonts w:ascii="Calibri" w:hAnsi="Calibri" w:cs="Calibri"/>
        </w:rPr>
      </w:pPr>
      <w:r>
        <w:rPr>
          <w:rFonts w:ascii="Calibri" w:hAnsi="Calibri" w:cs="Calibri"/>
        </w:rPr>
        <w:t>As a result of man’s justification by faith, Romans 5’ we have peace with God’.</w:t>
      </w:r>
    </w:p>
    <w:p w14:paraId="3740C8FE" w14:textId="77777777" w:rsidR="009D5782" w:rsidRDefault="009D5782" w:rsidP="009D5782">
      <w:pPr>
        <w:spacing w:after="0" w:line="480" w:lineRule="auto"/>
        <w:jc w:val="both"/>
        <w:outlineLvl w:val="8"/>
        <w:rPr>
          <w:rFonts w:ascii="Calibri" w:hAnsi="Calibri" w:cs="Calibri"/>
        </w:rPr>
      </w:pPr>
    </w:p>
    <w:p w14:paraId="4B6B7A6F" w14:textId="77777777" w:rsidR="009D5782" w:rsidRDefault="009D5782" w:rsidP="009D5782">
      <w:pPr>
        <w:spacing w:after="0" w:line="480" w:lineRule="auto"/>
        <w:jc w:val="both"/>
        <w:outlineLvl w:val="8"/>
        <w:rPr>
          <w:rFonts w:ascii="Calibri" w:hAnsi="Calibri" w:cs="Calibri"/>
        </w:rPr>
      </w:pPr>
    </w:p>
    <w:p w14:paraId="7544DD12" w14:textId="77777777" w:rsidR="009D5782" w:rsidRDefault="009D5782" w:rsidP="009D5782">
      <w:pPr>
        <w:spacing w:after="0" w:line="480" w:lineRule="auto"/>
        <w:jc w:val="both"/>
        <w:outlineLvl w:val="8"/>
        <w:rPr>
          <w:rFonts w:ascii="Calibri" w:hAnsi="Calibri" w:cs="Calibri"/>
        </w:rPr>
      </w:pPr>
      <w:r>
        <w:rPr>
          <w:rFonts w:ascii="Calibri" w:hAnsi="Calibri" w:cs="Calibri"/>
          <w:b/>
          <w:bCs/>
          <w:sz w:val="28"/>
          <w:szCs w:val="28"/>
        </w:rPr>
        <w:t>Conclusion</w:t>
      </w:r>
    </w:p>
    <w:p w14:paraId="6DE1F931"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The Redemptive Work of Jesus Christ is a multifaceted doctrine that will continue to inspire debates and theological reflection. This doctrine encompasses his divine presence in his pre-incarnate state and incarnation, his redemptive work during his earthly life, his death and atonement on the cross, and his influence and guidance in the lives of believers. The life of Christ Jesus as well as his teachings will continue to fire with enthusiasm the lives of Christian believers all over the world, offering them hope of salvation, righteousness and the promise of eternal life. His mission was also a call to the spiritual transformation of mankind. Jesus Christ came to offer man through his blood, a new birth. Man is offered a rebirth not of the flesh, but of the spirit, </w:t>
      </w:r>
      <w:r>
        <w:rPr>
          <w:rFonts w:ascii="Calibri" w:hAnsi="Calibri" w:cs="Calibri"/>
        </w:rPr>
        <w:lastRenderedPageBreak/>
        <w:t>putting the man in line with the divine nature of God as referenced in (John 3.3-6). Jesus Christ gave man a living hope. In his resurrection, Jesus Christ was victorious over death. This signifies the Father’s approval of his atoning sacrifice. This victory signifies God’s promise for man’s future resurrection, the affirmation that death does not prevail in the lives of believers. The summary of Christ’s mission on earth was to save and redeem man from eternal damnation thereby reconciling man to God and restoring humanity to its original glory.  </w:t>
      </w:r>
    </w:p>
    <w:p w14:paraId="1121BE2C"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                                                                                                                 Word count: 4,052</w:t>
      </w:r>
    </w:p>
    <w:p w14:paraId="56894AB7" w14:textId="77777777" w:rsidR="009D5782" w:rsidRDefault="009D5782" w:rsidP="009D5782">
      <w:pPr>
        <w:spacing w:before="120" w:after="0" w:line="480" w:lineRule="auto"/>
        <w:jc w:val="both"/>
        <w:outlineLvl w:val="8"/>
        <w:rPr>
          <w:b/>
          <w:bCs/>
          <w:sz w:val="28"/>
          <w:szCs w:val="28"/>
        </w:rPr>
      </w:pPr>
      <w:r>
        <w:rPr>
          <w:rFonts w:ascii="Calibri" w:hAnsi="Calibri" w:cs="Calibri"/>
          <w:b/>
          <w:bCs/>
          <w:sz w:val="28"/>
          <w:szCs w:val="28"/>
        </w:rPr>
        <w:t>References</w:t>
      </w:r>
    </w:p>
    <w:p w14:paraId="6C04392D" w14:textId="77777777" w:rsidR="009D5782" w:rsidRDefault="009D5782" w:rsidP="009D5782">
      <w:pPr>
        <w:spacing w:after="0" w:line="480" w:lineRule="auto"/>
        <w:jc w:val="both"/>
        <w:outlineLvl w:val="8"/>
        <w:rPr>
          <w:rFonts w:ascii="Calibri" w:hAnsi="Calibri" w:cs="Calibri"/>
        </w:rPr>
      </w:pPr>
      <w:r>
        <w:rPr>
          <w:rFonts w:ascii="Calibri" w:hAnsi="Calibri" w:cs="Calibri"/>
        </w:rPr>
        <w:t>Aquinas Thomas, “</w:t>
      </w:r>
      <w:r>
        <w:rPr>
          <w:rFonts w:ascii="Calibri" w:hAnsi="Calibri" w:cs="Calibri"/>
          <w:i/>
          <w:iCs/>
        </w:rPr>
        <w:t>Christ’s Incarnation</w:t>
      </w:r>
      <w:r>
        <w:rPr>
          <w:rFonts w:ascii="Calibri" w:hAnsi="Calibri" w:cs="Calibri"/>
        </w:rPr>
        <w:t>”, Compendium of Theology, trans. Richard J. Regan, (OUP, 2009). </w:t>
      </w:r>
    </w:p>
    <w:p w14:paraId="7912665C" w14:textId="77777777" w:rsidR="009D5782" w:rsidRDefault="009D5782" w:rsidP="009D5782">
      <w:pPr>
        <w:spacing w:after="0" w:line="480" w:lineRule="auto"/>
        <w:jc w:val="both"/>
        <w:outlineLvl w:val="8"/>
        <w:rPr>
          <w:rFonts w:ascii="Calibri" w:hAnsi="Calibri" w:cs="Calibri"/>
        </w:rPr>
      </w:pPr>
      <w:r>
        <w:rPr>
          <w:rFonts w:ascii="Calibri" w:hAnsi="Calibri" w:cs="Calibri"/>
        </w:rPr>
        <w:t>Boff Leonardo, ‘</w:t>
      </w:r>
      <w:r>
        <w:rPr>
          <w:rFonts w:ascii="Calibri" w:hAnsi="Calibri" w:cs="Calibri"/>
          <w:i/>
          <w:iCs/>
        </w:rPr>
        <w:t>Resurrection’: The Realization of a Human Utopia, Jesus Christ Liberator</w:t>
      </w:r>
      <w:r>
        <w:rPr>
          <w:rFonts w:ascii="Calibri" w:hAnsi="Calibri" w:cs="Calibri"/>
        </w:rPr>
        <w:t>, (Maryknoll, NY: Orbis Books, 1998).  </w:t>
      </w:r>
    </w:p>
    <w:p w14:paraId="51EDD0BB" w14:textId="77777777" w:rsidR="009D5782" w:rsidRDefault="009D5782" w:rsidP="009D5782">
      <w:pPr>
        <w:spacing w:after="0" w:line="480" w:lineRule="auto"/>
        <w:jc w:val="both"/>
        <w:outlineLvl w:val="8"/>
        <w:rPr>
          <w:rFonts w:ascii="Calibri" w:hAnsi="Calibri" w:cs="Calibri"/>
        </w:rPr>
      </w:pPr>
      <w:r>
        <w:rPr>
          <w:rFonts w:ascii="Calibri" w:hAnsi="Calibri" w:cs="Calibri"/>
        </w:rPr>
        <w:t>Clement of Alexandria, ‘</w:t>
      </w:r>
      <w:r>
        <w:rPr>
          <w:rFonts w:ascii="Calibri" w:hAnsi="Calibri" w:cs="Calibri"/>
          <w:i/>
          <w:iCs/>
        </w:rPr>
        <w:t>Christ the Educator’</w:t>
      </w:r>
      <w:r>
        <w:rPr>
          <w:rFonts w:ascii="Calibri" w:hAnsi="Calibri" w:cs="Calibri"/>
        </w:rPr>
        <w:t>, trans. Simon P. Wood, (Crestwood, NY: St Vladimir’s Seminary). </w:t>
      </w:r>
    </w:p>
    <w:p w14:paraId="2B6D72C5" w14:textId="77777777" w:rsidR="009D5782" w:rsidRDefault="009D5782" w:rsidP="009D5782">
      <w:pPr>
        <w:spacing w:after="0" w:line="480" w:lineRule="auto"/>
        <w:jc w:val="both"/>
        <w:outlineLvl w:val="8"/>
        <w:rPr>
          <w:rFonts w:ascii="Calibri" w:hAnsi="Calibri" w:cs="Calibri"/>
        </w:rPr>
      </w:pPr>
      <w:r>
        <w:rPr>
          <w:rFonts w:ascii="Calibri" w:hAnsi="Calibri" w:cs="Calibri"/>
        </w:rPr>
        <w:t>Grudem Wayne, ‘Systematic Theology: An Introduction to Biblical Doctrine, (USA: Zondervan,1994) </w:t>
      </w:r>
    </w:p>
    <w:p w14:paraId="20D8CB6E" w14:textId="77777777" w:rsidR="009D5782" w:rsidRDefault="009D5782" w:rsidP="009D5782">
      <w:pPr>
        <w:spacing w:after="0" w:line="480" w:lineRule="auto"/>
        <w:jc w:val="both"/>
        <w:outlineLvl w:val="8"/>
        <w:rPr>
          <w:rFonts w:ascii="Calibri" w:hAnsi="Calibri" w:cs="Calibri"/>
        </w:rPr>
      </w:pPr>
      <w:proofErr w:type="spellStart"/>
      <w:r>
        <w:rPr>
          <w:rFonts w:ascii="Calibri" w:hAnsi="Calibri" w:cs="Calibri"/>
        </w:rPr>
        <w:t>Harnack</w:t>
      </w:r>
      <w:proofErr w:type="spellEnd"/>
      <w:r>
        <w:rPr>
          <w:rFonts w:ascii="Calibri" w:hAnsi="Calibri" w:cs="Calibri"/>
        </w:rPr>
        <w:t xml:space="preserve"> </w:t>
      </w:r>
      <w:proofErr w:type="spellStart"/>
      <w:r>
        <w:rPr>
          <w:rFonts w:ascii="Calibri" w:hAnsi="Calibri" w:cs="Calibri"/>
        </w:rPr>
        <w:t>Aldof</w:t>
      </w:r>
      <w:proofErr w:type="spellEnd"/>
      <w:r>
        <w:rPr>
          <w:rFonts w:ascii="Calibri" w:hAnsi="Calibri" w:cs="Calibri"/>
        </w:rPr>
        <w:t xml:space="preserve"> von , ‘</w:t>
      </w:r>
      <w:r>
        <w:rPr>
          <w:rFonts w:ascii="Calibri" w:hAnsi="Calibri" w:cs="Calibri"/>
          <w:i/>
          <w:iCs/>
        </w:rPr>
        <w:t>What is Christianity’</w:t>
      </w:r>
      <w:r>
        <w:rPr>
          <w:rFonts w:ascii="Calibri" w:hAnsi="Calibri" w:cs="Calibri"/>
        </w:rPr>
        <w:t>, Supplementary </w:t>
      </w:r>
    </w:p>
    <w:p w14:paraId="380108F6" w14:textId="77777777" w:rsidR="009D5782" w:rsidRDefault="009D5782" w:rsidP="009D5782">
      <w:pPr>
        <w:spacing w:after="0" w:line="480" w:lineRule="auto"/>
        <w:jc w:val="both"/>
        <w:outlineLvl w:val="8"/>
        <w:rPr>
          <w:rFonts w:ascii="Calibri" w:hAnsi="Calibri" w:cs="Calibri"/>
        </w:rPr>
      </w:pPr>
      <w:r>
        <w:rPr>
          <w:rFonts w:ascii="Calibri" w:hAnsi="Calibri" w:cs="Calibri"/>
        </w:rPr>
        <w:t>Harris Murray, ‘</w:t>
      </w:r>
      <w:r>
        <w:rPr>
          <w:rFonts w:ascii="Calibri" w:hAnsi="Calibri" w:cs="Calibri"/>
          <w:i/>
          <w:iCs/>
        </w:rPr>
        <w:t xml:space="preserve">From Grave to Glory’: Resurrection in the New Testament </w:t>
      </w:r>
      <w:r>
        <w:rPr>
          <w:rFonts w:ascii="Calibri" w:hAnsi="Calibri" w:cs="Calibri"/>
        </w:rPr>
        <w:t>(Grand Rapids: Zondervan, 1990). </w:t>
      </w:r>
    </w:p>
    <w:p w14:paraId="1AC1A295" w14:textId="77777777" w:rsidR="009D5782" w:rsidRDefault="009D5782" w:rsidP="009D5782">
      <w:pPr>
        <w:spacing w:after="0" w:line="480" w:lineRule="auto"/>
        <w:jc w:val="both"/>
        <w:outlineLvl w:val="8"/>
        <w:rPr>
          <w:rFonts w:ascii="Calibri" w:hAnsi="Calibri" w:cs="Calibri"/>
        </w:rPr>
      </w:pPr>
      <w:proofErr w:type="spellStart"/>
      <w:r>
        <w:rPr>
          <w:rFonts w:ascii="Calibri" w:hAnsi="Calibri" w:cs="Calibri"/>
        </w:rPr>
        <w:t>Pannenberg</w:t>
      </w:r>
      <w:proofErr w:type="spellEnd"/>
      <w:r>
        <w:rPr>
          <w:rFonts w:ascii="Calibri" w:hAnsi="Calibri" w:cs="Calibri"/>
        </w:rPr>
        <w:t xml:space="preserve"> </w:t>
      </w:r>
      <w:proofErr w:type="spellStart"/>
      <w:r>
        <w:rPr>
          <w:rFonts w:ascii="Calibri" w:hAnsi="Calibri" w:cs="Calibri"/>
        </w:rPr>
        <w:t>Wolfhart</w:t>
      </w:r>
      <w:proofErr w:type="spellEnd"/>
      <w:r>
        <w:rPr>
          <w:rFonts w:ascii="Calibri" w:hAnsi="Calibri" w:cs="Calibri"/>
        </w:rPr>
        <w:t>, “</w:t>
      </w:r>
      <w:r>
        <w:rPr>
          <w:rFonts w:ascii="Calibri" w:hAnsi="Calibri" w:cs="Calibri"/>
          <w:i/>
          <w:iCs/>
        </w:rPr>
        <w:t>Christology and Soteriology</w:t>
      </w:r>
      <w:r>
        <w:rPr>
          <w:rFonts w:ascii="Calibri" w:hAnsi="Calibri" w:cs="Calibri"/>
        </w:rPr>
        <w:t>”, Jesus — God and Man, 2nd Edition, trans. Lewis L. Wilkins and Duane A. Priebe, (Philadelphia: Westminster Press, 1977). </w:t>
      </w:r>
    </w:p>
    <w:p w14:paraId="1186E01C" w14:textId="77777777" w:rsidR="009D5782" w:rsidRDefault="009D5782" w:rsidP="009D5782">
      <w:pPr>
        <w:spacing w:after="0" w:line="480" w:lineRule="auto"/>
        <w:jc w:val="both"/>
        <w:outlineLvl w:val="8"/>
        <w:rPr>
          <w:rFonts w:ascii="Calibri" w:hAnsi="Calibri" w:cs="Calibri"/>
        </w:rPr>
      </w:pPr>
      <w:r>
        <w:rPr>
          <w:rFonts w:ascii="Calibri" w:hAnsi="Calibri" w:cs="Calibri"/>
        </w:rPr>
        <w:t>St Augustine, ‘</w:t>
      </w:r>
      <w:r>
        <w:rPr>
          <w:rFonts w:ascii="Calibri" w:hAnsi="Calibri" w:cs="Calibri"/>
          <w:i/>
          <w:iCs/>
        </w:rPr>
        <w:t>The Trinity’</w:t>
      </w:r>
      <w:r>
        <w:rPr>
          <w:rFonts w:ascii="Calibri" w:hAnsi="Calibri" w:cs="Calibri"/>
        </w:rPr>
        <w:t>, 2nd Edition, trans. Edmund Hill, O.P., (New York: New City Press, 1991).</w:t>
      </w:r>
    </w:p>
    <w:p w14:paraId="7E504B90" w14:textId="77777777" w:rsidR="009D5782" w:rsidRDefault="009D5782" w:rsidP="009D5782">
      <w:pPr>
        <w:spacing w:after="0" w:line="480" w:lineRule="auto"/>
        <w:jc w:val="both"/>
        <w:outlineLvl w:val="8"/>
        <w:rPr>
          <w:rFonts w:ascii="Calibri" w:hAnsi="Calibri" w:cs="Calibri"/>
        </w:rPr>
      </w:pPr>
    </w:p>
    <w:p w14:paraId="696FD8C2" w14:textId="77777777" w:rsidR="009D5782" w:rsidRDefault="009D5782" w:rsidP="009D5782">
      <w:pPr>
        <w:spacing w:after="0" w:line="480" w:lineRule="auto"/>
        <w:jc w:val="both"/>
        <w:outlineLvl w:val="8"/>
        <w:rPr>
          <w:rFonts w:ascii="Calibri" w:hAnsi="Calibri" w:cs="Calibri"/>
        </w:rPr>
      </w:pPr>
      <w:r>
        <w:rPr>
          <w:rFonts w:ascii="Calibri" w:hAnsi="Calibri" w:cs="Calibri"/>
        </w:rPr>
        <w:t xml:space="preserve">Tanner, </w:t>
      </w:r>
      <w:proofErr w:type="spellStart"/>
      <w:r>
        <w:rPr>
          <w:rFonts w:ascii="Calibri" w:hAnsi="Calibri" w:cs="Calibri"/>
        </w:rPr>
        <w:t>Karthyrn</w:t>
      </w:r>
      <w:proofErr w:type="spellEnd"/>
      <w:r>
        <w:rPr>
          <w:rFonts w:ascii="Calibri" w:hAnsi="Calibri" w:cs="Calibri"/>
        </w:rPr>
        <w:t>., ‘Incarnation, cross and sacrifice: A feminist- inspired reappraisal. Evanston. IL: Anglican Theological Review: Anglican theological review: 2004-02, vol.86,</w:t>
      </w:r>
    </w:p>
    <w:p w14:paraId="02DB77A7" w14:textId="77777777" w:rsidR="009D5782" w:rsidRDefault="009D5782" w:rsidP="009D5782">
      <w:pPr>
        <w:spacing w:after="0" w:line="480" w:lineRule="auto"/>
        <w:jc w:val="both"/>
        <w:outlineLvl w:val="8"/>
      </w:pPr>
      <w:hyperlink r:id="rId16" w:tgtFrame="_blank">
        <w:r>
          <w:rPr>
            <w:rStyle w:val="InternetLink"/>
            <w:rFonts w:ascii="Calibri" w:hAnsi="Calibri" w:cs="Calibri"/>
          </w:rPr>
          <w:t>https://www.encyclopedia.com/religion/encyclopedias-almanacs-transcripts-and-maps/redemption-theology</w:t>
        </w:r>
      </w:hyperlink>
      <w:r>
        <w:rPr>
          <w:rFonts w:ascii="Calibri" w:hAnsi="Calibri" w:cs="Calibri"/>
        </w:rPr>
        <w:t> </w:t>
      </w:r>
    </w:p>
    <w:p w14:paraId="3889E7BB" w14:textId="77777777" w:rsidR="009D5782" w:rsidRDefault="009D5782" w:rsidP="009D5782">
      <w:pPr>
        <w:spacing w:after="0" w:line="480" w:lineRule="auto"/>
        <w:jc w:val="both"/>
        <w:outlineLvl w:val="8"/>
      </w:pPr>
      <w:hyperlink r:id="rId17" w:tgtFrame="_blank">
        <w:r>
          <w:rPr>
            <w:rStyle w:val="InternetLink"/>
            <w:rFonts w:ascii="Calibri" w:hAnsi="Calibri" w:cs="Calibri"/>
          </w:rPr>
          <w:t>https://archive.org/download/stathanasiusonth00athauoft/stathanasiusonth00athauoft.pdf</w:t>
        </w:r>
      </w:hyperlink>
      <w:r>
        <w:rPr>
          <w:rFonts w:ascii="Calibri" w:hAnsi="Calibri" w:cs="Calibri"/>
        </w:rPr>
        <w:t> </w:t>
      </w:r>
    </w:p>
    <w:p w14:paraId="1D8BD544" w14:textId="77777777" w:rsidR="009D5782" w:rsidRDefault="009D5782" w:rsidP="009D5782">
      <w:pPr>
        <w:spacing w:after="0" w:line="480" w:lineRule="auto"/>
        <w:jc w:val="both"/>
        <w:outlineLvl w:val="8"/>
      </w:pPr>
      <w:hyperlink r:id="rId18" w:tgtFrame="_blank">
        <w:r>
          <w:rPr>
            <w:rStyle w:val="InternetLink"/>
            <w:rFonts w:ascii="Calibri" w:hAnsi="Calibri" w:cs="Calibri"/>
          </w:rPr>
          <w:t>https://www.crcna.org/welcome/beliefs/creeds/nicene-creed</w:t>
        </w:r>
      </w:hyperlink>
      <w:hyperlink r:id="rId19" w:tgtFrame="_blank">
        <w:r>
          <w:rPr>
            <w:rStyle w:val="InternetLink"/>
            <w:rFonts w:ascii="Calibri" w:hAnsi="Calibri" w:cs="Calibri"/>
            <w:b/>
            <w:bCs/>
          </w:rPr>
          <w:t>S</w:t>
        </w:r>
      </w:hyperlink>
      <w:r>
        <w:rPr>
          <w:rFonts w:ascii="Calibri" w:hAnsi="Calibri" w:cs="Calibri"/>
          <w:b/>
          <w:bCs/>
        </w:rPr>
        <w:t xml:space="preserve">. </w:t>
      </w:r>
      <w:r>
        <w:rPr>
          <w:rFonts w:ascii="Calibri" w:hAnsi="Calibri" w:cs="Calibri"/>
        </w:rPr>
        <w:t> </w:t>
      </w:r>
    </w:p>
    <w:p w14:paraId="18816480" w14:textId="77777777" w:rsidR="009D5782" w:rsidRDefault="009D5782" w:rsidP="009D5782">
      <w:pPr>
        <w:spacing w:before="240" w:after="240" w:line="480" w:lineRule="auto"/>
        <w:jc w:val="both"/>
        <w:outlineLvl w:val="8"/>
      </w:pPr>
      <w:r>
        <w:rPr>
          <w:rFonts w:ascii="Calibri" w:hAnsi="Calibri" w:cs="Calibri"/>
        </w:rPr>
        <w:t>en.m.wikipedia.org </w:t>
      </w:r>
    </w:p>
    <w:p w14:paraId="36F95153" w14:textId="77777777" w:rsidR="009D5782" w:rsidRDefault="009D5782" w:rsidP="009D5782">
      <w:pPr>
        <w:spacing w:after="0" w:line="480" w:lineRule="auto"/>
        <w:jc w:val="both"/>
        <w:outlineLvl w:val="8"/>
        <w:rPr>
          <w:rFonts w:ascii="Calibri" w:hAnsi="Calibri" w:cs="Calibri"/>
        </w:rPr>
      </w:pPr>
      <w:r>
        <w:rPr>
          <w:rFonts w:ascii="Calibri" w:hAnsi="Calibri" w:cs="Calibri"/>
        </w:rPr>
        <w:t> </w:t>
      </w:r>
    </w:p>
    <w:p w14:paraId="15B1BA4B" w14:textId="77777777" w:rsidR="009D5782" w:rsidRDefault="009D5782" w:rsidP="009D5782">
      <w:pPr>
        <w:spacing w:after="0" w:line="480" w:lineRule="auto"/>
        <w:jc w:val="both"/>
        <w:outlineLvl w:val="8"/>
        <w:rPr>
          <w:rFonts w:ascii="Calibri" w:hAnsi="Calibri" w:cs="Calibri"/>
        </w:rPr>
      </w:pPr>
      <w:r>
        <w:rPr>
          <w:rFonts w:ascii="Calibri" w:hAnsi="Calibri" w:cs="Calibri"/>
        </w:rPr>
        <w:t> </w:t>
      </w:r>
    </w:p>
    <w:p w14:paraId="5E447A41" w14:textId="77777777" w:rsidR="009D5782" w:rsidRDefault="009D5782" w:rsidP="009D5782">
      <w:pPr>
        <w:spacing w:after="0" w:line="480" w:lineRule="auto"/>
        <w:jc w:val="both"/>
        <w:outlineLvl w:val="8"/>
        <w:rPr>
          <w:rFonts w:ascii="Calibri" w:hAnsi="Calibri" w:cs="Calibri"/>
        </w:rPr>
      </w:pPr>
      <w:r>
        <w:rPr>
          <w:rFonts w:ascii="Calibri" w:hAnsi="Calibri" w:cs="Calibri"/>
        </w:rPr>
        <w:t> </w:t>
      </w:r>
    </w:p>
    <w:p w14:paraId="0412F37F" w14:textId="77777777" w:rsidR="009D5782" w:rsidRDefault="009D5782" w:rsidP="009D5782">
      <w:pPr>
        <w:spacing w:after="0" w:line="480" w:lineRule="auto"/>
        <w:jc w:val="both"/>
        <w:outlineLvl w:val="8"/>
        <w:rPr>
          <w:rFonts w:ascii="Calibri" w:hAnsi="Calibri" w:cs="Calibri"/>
        </w:rPr>
      </w:pPr>
    </w:p>
    <w:p w14:paraId="6614077B" w14:textId="77777777" w:rsidR="009D5782" w:rsidRDefault="009D5782" w:rsidP="009D5782">
      <w:pPr>
        <w:spacing w:after="0" w:line="480" w:lineRule="auto"/>
        <w:jc w:val="both"/>
        <w:outlineLvl w:val="8"/>
      </w:pPr>
    </w:p>
    <w:p w14:paraId="4C1949A0" w14:textId="012A5539" w:rsidR="009D5782" w:rsidRDefault="009D5782" w:rsidP="009D5782">
      <w:pPr>
        <w:pStyle w:val="FootnoteText"/>
        <w:spacing w:line="360" w:lineRule="auto"/>
        <w:rPr>
          <w:rFonts w:asciiTheme="minorHAnsi" w:hAnsiTheme="minorHAnsi" w:cstheme="minorHAnsi"/>
          <w:color w:val="000000"/>
          <w:sz w:val="24"/>
          <w:szCs w:val="24"/>
        </w:rPr>
      </w:pPr>
    </w:p>
    <w:p w14:paraId="501413DE" w14:textId="77777777" w:rsidR="009D5782" w:rsidRPr="00E559C0" w:rsidRDefault="009D5782" w:rsidP="009D5782">
      <w:pPr>
        <w:pStyle w:val="FootnoteText"/>
        <w:spacing w:line="360" w:lineRule="auto"/>
        <w:rPr>
          <w:rFonts w:asciiTheme="minorHAnsi" w:hAnsiTheme="minorHAnsi" w:cstheme="minorHAnsi"/>
          <w:color w:val="000000"/>
          <w:sz w:val="24"/>
          <w:szCs w:val="24"/>
        </w:rPr>
      </w:pPr>
    </w:p>
    <w:p w14:paraId="3A574FC2" w14:textId="77777777" w:rsidR="009D5782" w:rsidRDefault="009D5782" w:rsidP="009D5782">
      <w:pPr>
        <w:spacing w:line="360" w:lineRule="auto"/>
        <w:rPr>
          <w:rFonts w:ascii="Calibri" w:eastAsia="Aptos" w:hAnsi="Calibri" w:cs="Calibri"/>
          <w:color w:val="000000"/>
        </w:rPr>
      </w:pPr>
    </w:p>
    <w:p w14:paraId="429B8DB5" w14:textId="77777777" w:rsidR="009D5782" w:rsidRDefault="009D5782" w:rsidP="009D5782">
      <w:pPr>
        <w:spacing w:line="360" w:lineRule="auto"/>
      </w:pPr>
    </w:p>
    <w:p w14:paraId="6498367D" w14:textId="77777777" w:rsidR="009D5782" w:rsidRDefault="009D5782"/>
    <w:sectPr w:rsidR="009D5782">
      <w:headerReference w:type="default" r:id="rId20"/>
      <w:footerReference w:type="default" r:id="rId21"/>
      <w:pgSz w:w="12240" w:h="15840"/>
      <w:pgMar w:top="1440" w:right="1440" w:bottom="1440" w:left="1440" w:header="72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9E1EB" w14:textId="77777777" w:rsidR="006D3733" w:rsidRDefault="006D3733" w:rsidP="009D5782">
      <w:pPr>
        <w:spacing w:after="0" w:line="240" w:lineRule="auto"/>
      </w:pPr>
      <w:r>
        <w:separator/>
      </w:r>
    </w:p>
  </w:endnote>
  <w:endnote w:type="continuationSeparator" w:id="0">
    <w:p w14:paraId="2457F314" w14:textId="77777777" w:rsidR="006D3733" w:rsidRDefault="006D3733" w:rsidP="009D5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C3C66" w14:textId="77777777" w:rsidR="002F57D5" w:rsidRDefault="006D3733">
    <w:pPr>
      <w:pStyle w:val="Footer"/>
    </w:pPr>
    <w:r>
      <w:rPr>
        <w:noProof/>
        <w:lang w:val="en-GB" w:eastAsia="en-GB"/>
      </w:rPr>
      <mc:AlternateContent>
        <mc:Choice Requires="wps">
          <w:drawing>
            <wp:anchor distT="0" distB="0" distL="114300" distR="114300" simplePos="0" relativeHeight="251659264" behindDoc="0" locked="0" layoutInCell="0" allowOverlap="1" wp14:anchorId="18C2CA94" wp14:editId="03E24D23">
              <wp:simplePos x="0" y="0"/>
              <wp:positionH relativeFrom="page">
                <wp:posOffset>0</wp:posOffset>
              </wp:positionH>
              <wp:positionV relativeFrom="page">
                <wp:posOffset>9594215</wp:posOffset>
              </wp:positionV>
              <wp:extent cx="7772400" cy="273685"/>
              <wp:effectExtent l="0" t="2540" r="0" b="0"/>
              <wp:wrapNone/>
              <wp:docPr id="5" name="MSIPCM17c24cd2ae61c778dd010459" descr="{&quot;HashCode&quot;:1478213980,&quot;Height&quot;:792.0,&quot;Width&quot;:612.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DAB8A" w14:textId="77777777" w:rsidR="00A253F1" w:rsidRPr="00A253F1" w:rsidRDefault="006D3733" w:rsidP="00A253F1">
                          <w:pPr>
                            <w:spacing w:after="0"/>
                            <w:jc w:val="center"/>
                            <w:rPr>
                              <w:rFonts w:ascii="Calibri" w:hAnsi="Calibri" w:cs="Calibri"/>
                              <w:color w:val="000000"/>
                              <w:sz w:val="20"/>
                            </w:rPr>
                          </w:pPr>
                          <w:r w:rsidRPr="00A253F1">
                            <w:rPr>
                              <w:rFonts w:ascii="Calibri" w:hAnsi="Calibri" w:cs="Calibri"/>
                              <w:color w:val="000000"/>
                              <w:sz w:val="20"/>
                            </w:rPr>
                            <w:t>Business Use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18C2CA94" id="_x0000_t202" coordsize="21600,21600" o:spt="202" path="m,l,21600r21600,l21600,xe">
              <v:stroke joinstyle="miter"/>
              <v:path gradientshapeok="t" o:connecttype="rect"/>
            </v:shapetype>
            <v:shape id="MSIPCM17c24cd2ae61c778dd010459" o:spid="_x0000_s1026" type="#_x0000_t202" alt="{&quot;HashCode&quot;:1478213980,&quot;Height&quot;:792.0,&quot;Width&quot;:612.0,&quot;Placement&quot;:&quot;Footer&quot;,&quot;Index&quot;:&quot;Primary&quot;,&quot;Section&quot;:1,&quot;Top&quot;:0.0,&quot;Left&quot;:0.0}" style="position:absolute;margin-left:0;margin-top:755.45pt;width:612pt;height:2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" o:allowincell="f" filled="f" stroked="f">
              <v:textbox inset=",0,,0">
                <w:txbxContent>
                  <w:p w14:paraId="665DAB8A" w14:textId="77777777" w:rsidR="00A253F1" w:rsidRPr="00A253F1" w:rsidRDefault="006D3733" w:rsidP="00A253F1">
                    <w:pPr>
                      <w:spacing w:after="0"/>
                      <w:jc w:val="center"/>
                      <w:rPr>
                        <w:rFonts w:ascii="Calibri" w:hAnsi="Calibri" w:cs="Calibri"/>
                        <w:color w:val="000000"/>
                        <w:sz w:val="20"/>
                      </w:rPr>
                    </w:pPr>
                    <w:r w:rsidRPr="00A253F1">
                      <w:rPr>
                        <w:rFonts w:ascii="Calibri" w:hAnsi="Calibri" w:cs="Calibri"/>
                        <w:color w:val="000000"/>
                        <w:sz w:val="20"/>
                      </w:rPr>
                      <w:t>Business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429DB" w14:textId="77777777" w:rsidR="006D3733" w:rsidRDefault="006D3733" w:rsidP="009D5782">
      <w:pPr>
        <w:spacing w:after="0" w:line="240" w:lineRule="auto"/>
      </w:pPr>
      <w:r>
        <w:separator/>
      </w:r>
    </w:p>
  </w:footnote>
  <w:footnote w:type="continuationSeparator" w:id="0">
    <w:p w14:paraId="1AA07120" w14:textId="77777777" w:rsidR="006D3733" w:rsidRDefault="006D3733" w:rsidP="009D5782">
      <w:pPr>
        <w:spacing w:after="0" w:line="240" w:lineRule="auto"/>
      </w:pPr>
      <w:r>
        <w:continuationSeparator/>
      </w:r>
    </w:p>
  </w:footnote>
  <w:footnote w:id="1">
    <w:p w14:paraId="1BB5E220" w14:textId="77777777" w:rsidR="009D5782" w:rsidRPr="00434411" w:rsidRDefault="009D5782" w:rsidP="009D5782">
      <w:pPr>
        <w:pStyle w:val="FootnoteText"/>
        <w:rPr>
          <w:rFonts w:ascii="Calibri" w:hAnsi="Calibri" w:cs="Calibri"/>
          <w:sz w:val="16"/>
          <w:szCs w:val="16"/>
          <w:lang w:val="en-GB"/>
        </w:rPr>
      </w:pPr>
      <w:r w:rsidRPr="00434411">
        <w:rPr>
          <w:rStyle w:val="FootnoteReference"/>
          <w:rFonts w:ascii="Calibri" w:hAnsi="Calibri" w:cs="Calibri"/>
          <w:sz w:val="16"/>
          <w:szCs w:val="16"/>
        </w:rPr>
        <w:footnoteRef/>
      </w:r>
      <w:r w:rsidRPr="00434411">
        <w:rPr>
          <w:rFonts w:ascii="Calibri" w:hAnsi="Calibri" w:cs="Calibri"/>
          <w:sz w:val="16"/>
          <w:szCs w:val="16"/>
        </w:rPr>
        <w:t xml:space="preserve"> https://www.bookey.app/book/on-the-unity-of-christ</w:t>
      </w:r>
    </w:p>
  </w:footnote>
  <w:footnote w:id="2">
    <w:p w14:paraId="2BB0B81F" w14:textId="77777777" w:rsidR="009D5782" w:rsidRPr="00434411" w:rsidRDefault="009D5782" w:rsidP="009D5782">
      <w:pPr>
        <w:pStyle w:val="FootnoteText"/>
        <w:rPr>
          <w:rFonts w:ascii="Calibri" w:hAnsi="Calibri" w:cs="Calibri"/>
          <w:sz w:val="16"/>
          <w:szCs w:val="16"/>
          <w:lang w:val="en-GB"/>
        </w:rPr>
      </w:pPr>
      <w:r w:rsidRPr="00434411">
        <w:rPr>
          <w:rStyle w:val="FootnoteReference"/>
          <w:rFonts w:ascii="Calibri" w:hAnsi="Calibri" w:cs="Calibri"/>
          <w:sz w:val="16"/>
          <w:szCs w:val="16"/>
        </w:rPr>
        <w:footnoteRef/>
      </w:r>
      <w:r w:rsidRPr="00434411">
        <w:rPr>
          <w:rFonts w:ascii="Calibri" w:hAnsi="Calibri" w:cs="Calibri"/>
          <w:sz w:val="16"/>
          <w:szCs w:val="16"/>
        </w:rPr>
        <w:t xml:space="preserve"> St. Cyril of Alexandria., ‘</w:t>
      </w:r>
      <w:r w:rsidRPr="00434411">
        <w:rPr>
          <w:rFonts w:ascii="Calibri" w:hAnsi="Calibri" w:cs="Calibri"/>
          <w:i/>
          <w:sz w:val="16"/>
          <w:szCs w:val="16"/>
        </w:rPr>
        <w:t xml:space="preserve">On the Unity of Christ’  </w:t>
      </w:r>
      <w:r w:rsidRPr="00434411">
        <w:rPr>
          <w:rFonts w:ascii="Calibri" w:hAnsi="Calibri" w:cs="Calibri"/>
          <w:sz w:val="16"/>
          <w:szCs w:val="16"/>
        </w:rPr>
        <w:t>Trans.McGuckin. (St. Vladimir’s Seminary Press: Crestwood, New York)</w:t>
      </w:r>
    </w:p>
  </w:footnote>
  <w:footnote w:id="3">
    <w:p w14:paraId="35945694" w14:textId="77777777" w:rsidR="009D5782" w:rsidRPr="009D5782" w:rsidRDefault="009D5782" w:rsidP="009D5782">
      <w:pPr>
        <w:pStyle w:val="FootnoteText"/>
        <w:rPr>
          <w:rFonts w:ascii="Calibri" w:hAnsi="Calibri" w:cs="Calibri"/>
          <w:sz w:val="16"/>
          <w:szCs w:val="16"/>
          <w:lang w:val="es-ES"/>
        </w:rPr>
      </w:pPr>
      <w:r w:rsidRPr="00434411">
        <w:rPr>
          <w:rStyle w:val="FootnoteReference"/>
          <w:rFonts w:ascii="Calibri" w:hAnsi="Calibri" w:cs="Calibri"/>
          <w:sz w:val="16"/>
          <w:szCs w:val="16"/>
        </w:rPr>
        <w:footnoteRef/>
      </w:r>
      <w:r w:rsidRPr="009D5782">
        <w:rPr>
          <w:rFonts w:ascii="Calibri" w:hAnsi="Calibri" w:cs="Calibri"/>
          <w:sz w:val="16"/>
          <w:szCs w:val="16"/>
          <w:lang w:val="es-ES"/>
        </w:rPr>
        <w:t xml:space="preserve"> https://www.dictionary.com</w:t>
      </w:r>
    </w:p>
  </w:footnote>
  <w:footnote w:id="4">
    <w:p w14:paraId="16CA3306" w14:textId="77777777" w:rsidR="009D5782" w:rsidRPr="009D5782" w:rsidRDefault="009D5782" w:rsidP="009D5782">
      <w:pPr>
        <w:pStyle w:val="FootnoteText"/>
        <w:rPr>
          <w:rFonts w:ascii="Calibri" w:hAnsi="Calibri" w:cs="Calibri"/>
          <w:sz w:val="16"/>
          <w:szCs w:val="16"/>
          <w:lang w:val="es-ES"/>
        </w:rPr>
      </w:pPr>
      <w:r w:rsidRPr="00434411">
        <w:rPr>
          <w:rStyle w:val="FootnoteCharacters"/>
          <w:rFonts w:ascii="Calibri" w:hAnsi="Calibri" w:cs="Calibri"/>
          <w:sz w:val="16"/>
          <w:szCs w:val="16"/>
        </w:rPr>
        <w:footnoteRef/>
      </w:r>
      <w:r w:rsidRPr="009D5782">
        <w:rPr>
          <w:rFonts w:ascii="Calibri" w:hAnsi="Calibri" w:cs="Calibri"/>
          <w:sz w:val="16"/>
          <w:szCs w:val="16"/>
          <w:lang w:val="es-ES"/>
        </w:rPr>
        <w:t xml:space="preserve"> Ibid., 72</w:t>
      </w:r>
    </w:p>
  </w:footnote>
  <w:footnote w:id="5">
    <w:p w14:paraId="66143D0D"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Morgan J., ‘</w:t>
      </w:r>
      <w:r w:rsidRPr="00DA1F5A">
        <w:rPr>
          <w:rFonts w:asciiTheme="minorHAnsi" w:hAnsiTheme="minorHAnsi" w:cstheme="minorHAnsi"/>
          <w:i/>
          <w:sz w:val="16"/>
          <w:szCs w:val="16"/>
        </w:rPr>
        <w:t>The Unity of Christ in Cyril of Alexandria’s Festal Letters’</w:t>
      </w:r>
      <w:r w:rsidRPr="00DA1F5A">
        <w:rPr>
          <w:rFonts w:asciiTheme="minorHAnsi" w:hAnsiTheme="minorHAnsi" w:cstheme="minorHAnsi"/>
          <w:sz w:val="16"/>
          <w:szCs w:val="16"/>
        </w:rPr>
        <w:t xml:space="preserve">. (Cambridge University Press:2023) </w:t>
      </w:r>
    </w:p>
  </w:footnote>
  <w:footnote w:id="6">
    <w:p w14:paraId="31770DB1" w14:textId="77777777" w:rsidR="009D5782" w:rsidRPr="00840D41" w:rsidRDefault="009D5782" w:rsidP="009D5782">
      <w:pPr>
        <w:pStyle w:val="FootnoteText"/>
        <w:rPr>
          <w:rFonts w:asciiTheme="minorHAnsi" w:hAnsiTheme="minorHAnsi" w:cstheme="minorHAnsi"/>
          <w:sz w:val="16"/>
          <w:szCs w:val="16"/>
          <w:lang w:val="en-GB"/>
        </w:rPr>
      </w:pPr>
      <w:r w:rsidRPr="00840D41">
        <w:rPr>
          <w:rStyle w:val="FootnoteReference"/>
          <w:rFonts w:asciiTheme="minorHAnsi" w:hAnsiTheme="minorHAnsi" w:cstheme="minorHAnsi"/>
          <w:sz w:val="16"/>
          <w:szCs w:val="16"/>
        </w:rPr>
        <w:footnoteRef/>
      </w:r>
      <w:r w:rsidRPr="00840D41">
        <w:rPr>
          <w:rFonts w:asciiTheme="minorHAnsi" w:hAnsiTheme="minorHAnsi" w:cstheme="minorHAnsi"/>
          <w:sz w:val="16"/>
          <w:szCs w:val="16"/>
        </w:rPr>
        <w:t xml:space="preserve"> </w:t>
      </w:r>
      <w:r w:rsidRPr="00840D41">
        <w:rPr>
          <w:rFonts w:asciiTheme="minorHAnsi" w:hAnsiTheme="minorHAnsi" w:cstheme="minorHAnsi"/>
          <w:sz w:val="16"/>
          <w:szCs w:val="16"/>
          <w:lang w:val="en-GB"/>
        </w:rPr>
        <w:t>https://dacb.org/stories/egypt/cyril-alexandria2/</w:t>
      </w:r>
    </w:p>
  </w:footnote>
  <w:footnote w:id="7">
    <w:p w14:paraId="3F54FD57"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color w:val="333333"/>
          <w:sz w:val="16"/>
          <w:szCs w:val="16"/>
        </w:rPr>
        <w:t xml:space="preserve"> McGuckin J.A, ‘</w:t>
      </w:r>
      <w:r w:rsidRPr="00DA1F5A">
        <w:rPr>
          <w:rFonts w:asciiTheme="minorHAnsi" w:hAnsiTheme="minorHAnsi" w:cstheme="minorHAnsi"/>
          <w:i/>
          <w:iCs/>
          <w:color w:val="333333"/>
          <w:sz w:val="16"/>
          <w:szCs w:val="16"/>
        </w:rPr>
        <w:t xml:space="preserve">St. Cyril of Alexandria: Christological Controversy’, its History, Theology, and Texts </w:t>
      </w:r>
      <w:r w:rsidRPr="00DA1F5A">
        <w:rPr>
          <w:rFonts w:asciiTheme="minorHAnsi" w:hAnsiTheme="minorHAnsi" w:cstheme="minorHAnsi"/>
          <w:color w:val="333333"/>
          <w:sz w:val="16"/>
          <w:szCs w:val="16"/>
        </w:rPr>
        <w:t>(New York: E.J. Brill, 1994)</w:t>
      </w:r>
    </w:p>
  </w:footnote>
  <w:footnote w:id="8">
    <w:p w14:paraId="3A87DBBB" w14:textId="77777777" w:rsidR="009D5782" w:rsidRPr="009D5782" w:rsidRDefault="009D5782" w:rsidP="009D5782">
      <w:pPr>
        <w:pStyle w:val="FootnoteText"/>
        <w:rPr>
          <w:rFonts w:asciiTheme="minorHAnsi" w:hAnsiTheme="minorHAnsi" w:cstheme="minorHAnsi"/>
          <w:sz w:val="16"/>
          <w:szCs w:val="16"/>
          <w:lang w:val="es-ES"/>
        </w:rPr>
      </w:pPr>
      <w:r w:rsidRPr="00DA1F5A">
        <w:rPr>
          <w:rStyle w:val="FootnoteCharacters"/>
          <w:rFonts w:asciiTheme="minorHAnsi" w:hAnsiTheme="minorHAnsi" w:cstheme="minorHAnsi"/>
          <w:sz w:val="16"/>
          <w:szCs w:val="16"/>
        </w:rPr>
        <w:footnoteRef/>
      </w:r>
      <w:r w:rsidRPr="009D5782">
        <w:rPr>
          <w:rFonts w:asciiTheme="minorHAnsi" w:hAnsiTheme="minorHAnsi" w:cstheme="minorHAnsi"/>
          <w:sz w:val="16"/>
          <w:szCs w:val="16"/>
          <w:lang w:val="es-ES"/>
        </w:rPr>
        <w:t xml:space="preserve"> Ibid., 69</w:t>
      </w:r>
    </w:p>
  </w:footnote>
  <w:footnote w:id="9">
    <w:p w14:paraId="090568B5" w14:textId="77777777" w:rsidR="009D5782" w:rsidRPr="009D5782" w:rsidRDefault="009D5782" w:rsidP="009D5782">
      <w:pPr>
        <w:pStyle w:val="FootnoteText"/>
        <w:rPr>
          <w:rFonts w:asciiTheme="minorHAnsi" w:hAnsiTheme="minorHAnsi" w:cstheme="minorHAnsi"/>
          <w:sz w:val="16"/>
          <w:szCs w:val="16"/>
          <w:lang w:val="es-ES"/>
        </w:rPr>
      </w:pPr>
      <w:r w:rsidRPr="00DA1F5A">
        <w:rPr>
          <w:rStyle w:val="FootnoteCharacters"/>
          <w:rFonts w:asciiTheme="minorHAnsi" w:hAnsiTheme="minorHAnsi" w:cstheme="minorHAnsi"/>
          <w:sz w:val="16"/>
          <w:szCs w:val="16"/>
        </w:rPr>
        <w:footnoteRef/>
      </w:r>
      <w:r w:rsidRPr="009D5782">
        <w:rPr>
          <w:rFonts w:asciiTheme="minorHAnsi" w:hAnsiTheme="minorHAnsi" w:cstheme="minorHAnsi"/>
          <w:sz w:val="16"/>
          <w:szCs w:val="16"/>
          <w:lang w:val="es-ES"/>
        </w:rPr>
        <w:t xml:space="preserve">  https://en.wikipedia.org/wiki/Cyril_of_Alexandria</w:t>
      </w:r>
    </w:p>
  </w:footnote>
  <w:footnote w:id="10">
    <w:p w14:paraId="2F8E9E14"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St. Gregory of Nazianzus, ‘</w:t>
      </w:r>
      <w:r w:rsidRPr="00DA1F5A">
        <w:rPr>
          <w:rFonts w:asciiTheme="minorHAnsi" w:hAnsiTheme="minorHAnsi" w:cstheme="minorHAnsi"/>
          <w:i/>
          <w:sz w:val="16"/>
          <w:szCs w:val="16"/>
        </w:rPr>
        <w:t xml:space="preserve">On God and Christ’. ‘The five theological Orations and Two Letters to Cledonius. </w:t>
      </w:r>
      <w:r w:rsidRPr="00DA1F5A">
        <w:rPr>
          <w:rFonts w:asciiTheme="minorHAnsi" w:hAnsiTheme="minorHAnsi" w:cstheme="minorHAnsi"/>
          <w:sz w:val="16"/>
          <w:szCs w:val="16"/>
        </w:rPr>
        <w:t xml:space="preserve">Trans. Fredrick Williams (New York: St. Vladimir’s Seminary press, Crestwood) </w:t>
      </w:r>
    </w:p>
  </w:footnote>
  <w:footnote w:id="11">
    <w:p w14:paraId="0D533332"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Morgan J., ‘</w:t>
      </w:r>
      <w:r w:rsidRPr="00DA1F5A">
        <w:rPr>
          <w:rFonts w:asciiTheme="minorHAnsi" w:hAnsiTheme="minorHAnsi" w:cstheme="minorHAnsi"/>
          <w:i/>
          <w:sz w:val="16"/>
          <w:szCs w:val="16"/>
        </w:rPr>
        <w:t>The Unity of Christ in Cyril of Alexandria’s Festal Letters’</w:t>
      </w:r>
      <w:r w:rsidRPr="00DA1F5A">
        <w:rPr>
          <w:rFonts w:asciiTheme="minorHAnsi" w:hAnsiTheme="minorHAnsi" w:cstheme="minorHAnsi"/>
          <w:sz w:val="16"/>
          <w:szCs w:val="16"/>
        </w:rPr>
        <w:t xml:space="preserve">. (Cambridge University Press:2023) </w:t>
      </w:r>
    </w:p>
  </w:footnote>
  <w:footnote w:id="12">
    <w:p w14:paraId="4BDFB50B" w14:textId="77777777" w:rsidR="009D5782" w:rsidRPr="00434411" w:rsidRDefault="009D5782" w:rsidP="009D5782">
      <w:pPr>
        <w:pStyle w:val="FootnoteText"/>
        <w:rPr>
          <w:rFonts w:asciiTheme="minorHAnsi" w:hAnsiTheme="minorHAnsi" w:cstheme="minorHAnsi"/>
          <w:sz w:val="16"/>
          <w:szCs w:val="16"/>
          <w:lang w:val="en-GB"/>
        </w:rPr>
      </w:pPr>
      <w:r w:rsidRPr="00434411">
        <w:rPr>
          <w:rStyle w:val="FootnoteReference"/>
          <w:rFonts w:asciiTheme="minorHAnsi" w:hAnsiTheme="minorHAnsi" w:cstheme="minorHAnsi"/>
          <w:sz w:val="16"/>
          <w:szCs w:val="16"/>
        </w:rPr>
        <w:footnoteRef/>
      </w:r>
      <w:r w:rsidRPr="00434411">
        <w:rPr>
          <w:rFonts w:asciiTheme="minorHAnsi" w:hAnsiTheme="minorHAnsi" w:cstheme="minorHAnsi"/>
          <w:sz w:val="16"/>
          <w:szCs w:val="16"/>
        </w:rPr>
        <w:t xml:space="preserve"> </w:t>
      </w:r>
      <w:r w:rsidRPr="00434411">
        <w:rPr>
          <w:rFonts w:asciiTheme="minorHAnsi" w:hAnsiTheme="minorHAnsi" w:cstheme="minorHAnsi"/>
          <w:sz w:val="16"/>
          <w:szCs w:val="16"/>
          <w:lang w:val="en-GB"/>
        </w:rPr>
        <w:t>Ibid., 53</w:t>
      </w:r>
    </w:p>
  </w:footnote>
  <w:footnote w:id="13">
    <w:p w14:paraId="60314375" w14:textId="77777777" w:rsidR="009D5782" w:rsidRPr="004754AB" w:rsidRDefault="009D5782" w:rsidP="009D5782">
      <w:pPr>
        <w:pStyle w:val="FootnoteText"/>
        <w:rPr>
          <w:lang w:val="en-GB"/>
        </w:rPr>
      </w:pPr>
      <w:r w:rsidRPr="00434411">
        <w:rPr>
          <w:rStyle w:val="FootnoteReference"/>
          <w:rFonts w:asciiTheme="minorHAnsi" w:hAnsiTheme="minorHAnsi" w:cstheme="minorHAnsi"/>
          <w:sz w:val="16"/>
          <w:szCs w:val="16"/>
        </w:rPr>
        <w:footnoteRef/>
      </w:r>
      <w:r w:rsidRPr="00434411">
        <w:rPr>
          <w:rFonts w:asciiTheme="minorHAnsi" w:hAnsiTheme="minorHAnsi" w:cstheme="minorHAnsi"/>
          <w:sz w:val="16"/>
          <w:szCs w:val="16"/>
        </w:rPr>
        <w:t xml:space="preserve"> </w:t>
      </w:r>
      <w:r w:rsidRPr="00434411">
        <w:rPr>
          <w:rFonts w:asciiTheme="minorHAnsi" w:hAnsiTheme="minorHAnsi" w:cstheme="minorHAnsi"/>
          <w:sz w:val="16"/>
          <w:szCs w:val="16"/>
          <w:lang w:val="en-GB"/>
        </w:rPr>
        <w:t>Ibid., 53</w:t>
      </w:r>
    </w:p>
  </w:footnote>
  <w:footnote w:id="14">
    <w:p w14:paraId="5CF5BEE3" w14:textId="77777777" w:rsidR="009D5782" w:rsidRPr="00434411" w:rsidRDefault="009D5782" w:rsidP="009D5782">
      <w:pPr>
        <w:pStyle w:val="FootnoteText"/>
        <w:rPr>
          <w:rFonts w:asciiTheme="minorHAnsi" w:hAnsiTheme="minorHAnsi" w:cstheme="minorHAnsi"/>
          <w:sz w:val="16"/>
          <w:szCs w:val="16"/>
          <w:lang w:val="en-GB"/>
        </w:rPr>
      </w:pPr>
      <w:r w:rsidRPr="00434411">
        <w:rPr>
          <w:rStyle w:val="FootnoteReference"/>
          <w:rFonts w:asciiTheme="minorHAnsi" w:hAnsiTheme="minorHAnsi" w:cstheme="minorHAnsi"/>
          <w:sz w:val="16"/>
          <w:szCs w:val="16"/>
        </w:rPr>
        <w:footnoteRef/>
      </w:r>
      <w:r w:rsidRPr="00434411">
        <w:rPr>
          <w:rFonts w:asciiTheme="minorHAnsi" w:hAnsiTheme="minorHAnsi" w:cstheme="minorHAnsi"/>
          <w:sz w:val="16"/>
          <w:szCs w:val="16"/>
        </w:rPr>
        <w:t xml:space="preserve"> </w:t>
      </w:r>
      <w:r w:rsidRPr="00434411">
        <w:rPr>
          <w:rFonts w:asciiTheme="minorHAnsi" w:hAnsiTheme="minorHAnsi" w:cstheme="minorHAnsi"/>
          <w:sz w:val="16"/>
          <w:szCs w:val="16"/>
          <w:lang w:val="en-GB"/>
        </w:rPr>
        <w:t>Ibid., 55</w:t>
      </w:r>
    </w:p>
  </w:footnote>
  <w:footnote w:id="15">
    <w:p w14:paraId="5AA8ED12" w14:textId="77777777" w:rsidR="009D5782" w:rsidRPr="00434411" w:rsidRDefault="009D5782" w:rsidP="009D5782">
      <w:pPr>
        <w:pStyle w:val="FootnoteText"/>
        <w:rPr>
          <w:rFonts w:asciiTheme="minorHAnsi" w:hAnsiTheme="minorHAnsi" w:cstheme="minorHAnsi"/>
          <w:sz w:val="16"/>
          <w:szCs w:val="16"/>
          <w:lang w:val="en-GB"/>
        </w:rPr>
      </w:pPr>
      <w:r w:rsidRPr="00434411">
        <w:rPr>
          <w:rStyle w:val="FootnoteReference"/>
          <w:rFonts w:asciiTheme="minorHAnsi" w:hAnsiTheme="minorHAnsi" w:cstheme="minorHAnsi"/>
          <w:sz w:val="16"/>
          <w:szCs w:val="16"/>
        </w:rPr>
        <w:footnoteRef/>
      </w:r>
      <w:r w:rsidRPr="00434411">
        <w:rPr>
          <w:rFonts w:asciiTheme="minorHAnsi" w:hAnsiTheme="minorHAnsi" w:cstheme="minorHAnsi"/>
          <w:sz w:val="16"/>
          <w:szCs w:val="16"/>
        </w:rPr>
        <w:t xml:space="preserve"> </w:t>
      </w:r>
      <w:r w:rsidRPr="00434411">
        <w:rPr>
          <w:rFonts w:asciiTheme="minorHAnsi" w:hAnsiTheme="minorHAnsi" w:cstheme="minorHAnsi"/>
          <w:sz w:val="16"/>
          <w:szCs w:val="16"/>
          <w:lang w:val="en-GB"/>
        </w:rPr>
        <w:t>Ibid.,</w:t>
      </w:r>
    </w:p>
  </w:footnote>
  <w:footnote w:id="16">
    <w:p w14:paraId="1D9BA6E1" w14:textId="77777777" w:rsidR="009D5782" w:rsidRPr="0028276C" w:rsidRDefault="009D5782" w:rsidP="009D5782">
      <w:pPr>
        <w:pStyle w:val="FootnoteText"/>
        <w:rPr>
          <w:rFonts w:asciiTheme="minorHAnsi" w:hAnsiTheme="minorHAnsi" w:cstheme="minorHAnsi"/>
          <w:sz w:val="16"/>
          <w:szCs w:val="16"/>
        </w:rPr>
      </w:pPr>
      <w:r w:rsidRPr="00434411">
        <w:rPr>
          <w:rStyle w:val="FootnoteCharacters"/>
          <w:rFonts w:asciiTheme="minorHAnsi" w:hAnsiTheme="minorHAnsi" w:cstheme="minorHAnsi"/>
          <w:sz w:val="16"/>
          <w:szCs w:val="16"/>
        </w:rPr>
        <w:footnoteRef/>
      </w:r>
      <w:r w:rsidRPr="00434411">
        <w:rPr>
          <w:rFonts w:asciiTheme="minorHAnsi" w:hAnsiTheme="minorHAnsi" w:cstheme="minorHAnsi"/>
          <w:sz w:val="16"/>
          <w:szCs w:val="16"/>
        </w:rPr>
        <w:t xml:space="preserve"> https://dacb.org/stories/egypt/cyril-alexandria2/</w:t>
      </w:r>
    </w:p>
  </w:footnote>
  <w:footnote w:id="17">
    <w:p w14:paraId="775DC952" w14:textId="77777777" w:rsidR="009D5782" w:rsidRPr="00434411" w:rsidRDefault="009D5782" w:rsidP="009D5782">
      <w:pPr>
        <w:pStyle w:val="FootnoteText"/>
        <w:rPr>
          <w:rFonts w:asciiTheme="minorHAnsi" w:hAnsiTheme="minorHAnsi" w:cstheme="minorHAnsi"/>
          <w:sz w:val="16"/>
          <w:szCs w:val="16"/>
          <w:lang w:val="en-GB"/>
        </w:rPr>
      </w:pPr>
      <w:r w:rsidRPr="00434411">
        <w:rPr>
          <w:rStyle w:val="FootnoteReference"/>
          <w:rFonts w:asciiTheme="minorHAnsi" w:hAnsiTheme="minorHAnsi" w:cstheme="minorHAnsi"/>
          <w:sz w:val="16"/>
          <w:szCs w:val="16"/>
        </w:rPr>
        <w:footnoteRef/>
      </w:r>
      <w:r w:rsidRPr="00434411">
        <w:rPr>
          <w:rFonts w:asciiTheme="minorHAnsi" w:hAnsiTheme="minorHAnsi" w:cstheme="minorHAnsi"/>
          <w:sz w:val="16"/>
          <w:szCs w:val="16"/>
        </w:rPr>
        <w:t xml:space="preserve"> </w:t>
      </w:r>
      <w:r w:rsidRPr="00434411">
        <w:rPr>
          <w:rFonts w:asciiTheme="minorHAnsi" w:hAnsiTheme="minorHAnsi" w:cstheme="minorHAnsi"/>
          <w:sz w:val="16"/>
          <w:szCs w:val="16"/>
          <w:lang w:val="en-GB"/>
        </w:rPr>
        <w:t>Ibid.,</w:t>
      </w:r>
    </w:p>
  </w:footnote>
  <w:footnote w:id="18">
    <w:p w14:paraId="640148D8" w14:textId="77777777" w:rsidR="009D5782" w:rsidRPr="00434411" w:rsidRDefault="009D5782" w:rsidP="009D5782">
      <w:pPr>
        <w:pStyle w:val="FootnoteText"/>
        <w:rPr>
          <w:rFonts w:asciiTheme="minorHAnsi" w:hAnsiTheme="minorHAnsi" w:cstheme="minorHAnsi"/>
          <w:sz w:val="16"/>
          <w:szCs w:val="16"/>
          <w:lang w:val="en-GB"/>
        </w:rPr>
      </w:pPr>
      <w:r w:rsidRPr="00434411">
        <w:rPr>
          <w:rStyle w:val="FootnoteReference"/>
          <w:rFonts w:asciiTheme="minorHAnsi" w:hAnsiTheme="minorHAnsi" w:cstheme="minorHAnsi"/>
          <w:sz w:val="16"/>
          <w:szCs w:val="16"/>
        </w:rPr>
        <w:footnoteRef/>
      </w:r>
      <w:r w:rsidRPr="00434411">
        <w:rPr>
          <w:rFonts w:asciiTheme="minorHAnsi" w:hAnsiTheme="minorHAnsi" w:cstheme="minorHAnsi"/>
          <w:sz w:val="16"/>
          <w:szCs w:val="16"/>
        </w:rPr>
        <w:t xml:space="preserve"> </w:t>
      </w:r>
      <w:r w:rsidRPr="00434411">
        <w:rPr>
          <w:rFonts w:asciiTheme="minorHAnsi" w:hAnsiTheme="minorHAnsi" w:cstheme="minorHAnsi"/>
          <w:sz w:val="16"/>
          <w:szCs w:val="16"/>
          <w:lang w:val="en-GB"/>
        </w:rPr>
        <w:t>Ibid.,</w:t>
      </w:r>
    </w:p>
  </w:footnote>
  <w:footnote w:id="19">
    <w:p w14:paraId="205482A1" w14:textId="77777777" w:rsidR="009D5782" w:rsidRPr="00434411" w:rsidRDefault="009D5782" w:rsidP="009D5782">
      <w:pPr>
        <w:pStyle w:val="FootnoteText"/>
        <w:rPr>
          <w:rFonts w:asciiTheme="minorHAnsi" w:hAnsiTheme="minorHAnsi" w:cstheme="minorHAnsi"/>
          <w:sz w:val="16"/>
          <w:szCs w:val="16"/>
        </w:rPr>
      </w:pPr>
      <w:r w:rsidRPr="00434411">
        <w:rPr>
          <w:rStyle w:val="FootnoteCharacters"/>
          <w:rFonts w:asciiTheme="minorHAnsi" w:hAnsiTheme="minorHAnsi" w:cstheme="minorHAnsi"/>
          <w:sz w:val="16"/>
          <w:szCs w:val="16"/>
        </w:rPr>
        <w:footnoteRef/>
      </w:r>
      <w:r w:rsidRPr="00434411">
        <w:rPr>
          <w:rFonts w:asciiTheme="minorHAnsi" w:hAnsiTheme="minorHAnsi" w:cstheme="minorHAnsi"/>
          <w:sz w:val="16"/>
          <w:szCs w:val="16"/>
        </w:rPr>
        <w:t xml:space="preserve"> Ibid., 83</w:t>
      </w:r>
    </w:p>
  </w:footnote>
  <w:footnote w:id="20">
    <w:p w14:paraId="65240D23"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Ibid., 73</w:t>
      </w:r>
    </w:p>
  </w:footnote>
  <w:footnote w:id="21">
    <w:p w14:paraId="3318EFD3"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NIV. John 1. 14</w:t>
      </w:r>
    </w:p>
  </w:footnote>
  <w:footnote w:id="22">
    <w:p w14:paraId="5EB55202"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https://dacb.org/stories/egypt/cyril-alexandria2/</w:t>
      </w:r>
    </w:p>
  </w:footnote>
  <w:footnote w:id="23">
    <w:p w14:paraId="6D180731"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Thomas, Aquinas., ‘Christ Incarnation’, Compendium of Theology. Trans Richard J. Regan (Oxford University Press. 2009)</w:t>
      </w:r>
    </w:p>
  </w:footnote>
  <w:footnote w:id="24">
    <w:p w14:paraId="4DD8D54A"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NIV. Hebrews 1. 3</w:t>
      </w:r>
    </w:p>
  </w:footnote>
  <w:footnote w:id="25">
    <w:p w14:paraId="127B66B4"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Pr>
          <w:rFonts w:asciiTheme="minorHAnsi" w:hAnsiTheme="minorHAnsi" w:cstheme="minorHAnsi"/>
          <w:sz w:val="16"/>
          <w:szCs w:val="16"/>
        </w:rPr>
        <w:t xml:space="preserve"> </w:t>
      </w:r>
      <w:r w:rsidRPr="00DA1F5A">
        <w:rPr>
          <w:rFonts w:asciiTheme="minorHAnsi" w:hAnsiTheme="minorHAnsi" w:cstheme="minorHAnsi"/>
          <w:sz w:val="16"/>
          <w:szCs w:val="16"/>
        </w:rPr>
        <w:t>NIV. Philippians 2. 5-8</w:t>
      </w:r>
    </w:p>
  </w:footnote>
  <w:footnote w:id="26">
    <w:p w14:paraId="231FD3AB"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Morgan J., ‘</w:t>
      </w:r>
      <w:r w:rsidRPr="00DA1F5A">
        <w:rPr>
          <w:rFonts w:asciiTheme="minorHAnsi" w:hAnsiTheme="minorHAnsi" w:cstheme="minorHAnsi"/>
          <w:i/>
          <w:sz w:val="16"/>
          <w:szCs w:val="16"/>
        </w:rPr>
        <w:t>The Unity of Christ in Cyril of Alexandria’s Festal Letters’</w:t>
      </w:r>
      <w:r w:rsidRPr="00DA1F5A">
        <w:rPr>
          <w:rFonts w:asciiTheme="minorHAnsi" w:hAnsiTheme="minorHAnsi" w:cstheme="minorHAnsi"/>
          <w:sz w:val="16"/>
          <w:szCs w:val="16"/>
        </w:rPr>
        <w:t xml:space="preserve">. (Cambridge University Press:2023) </w:t>
      </w:r>
    </w:p>
  </w:footnote>
  <w:footnote w:id="27">
    <w:p w14:paraId="17081D84" w14:textId="77777777" w:rsidR="009D5782" w:rsidRPr="00C02450" w:rsidRDefault="009D5782" w:rsidP="009D5782">
      <w:pPr>
        <w:pStyle w:val="FootnoteText"/>
        <w:rPr>
          <w:rFonts w:asciiTheme="minorHAnsi" w:hAnsiTheme="minorHAnsi" w:cstheme="minorHAnsi"/>
          <w:sz w:val="16"/>
          <w:szCs w:val="16"/>
          <w:lang w:val="en-GB"/>
        </w:rPr>
      </w:pPr>
      <w:r w:rsidRPr="00C02450">
        <w:rPr>
          <w:rStyle w:val="FootnoteReference"/>
          <w:rFonts w:asciiTheme="minorHAnsi" w:hAnsiTheme="minorHAnsi" w:cstheme="minorHAnsi"/>
          <w:sz w:val="16"/>
          <w:szCs w:val="16"/>
        </w:rPr>
        <w:footnoteRef/>
      </w:r>
      <w:r w:rsidRPr="00C02450">
        <w:rPr>
          <w:rFonts w:asciiTheme="minorHAnsi" w:hAnsiTheme="minorHAnsi" w:cstheme="minorHAnsi"/>
          <w:sz w:val="16"/>
          <w:szCs w:val="16"/>
        </w:rPr>
        <w:t xml:space="preserve"> </w:t>
      </w:r>
      <w:r w:rsidRPr="00C02450">
        <w:rPr>
          <w:rFonts w:asciiTheme="minorHAnsi" w:hAnsiTheme="minorHAnsi" w:cstheme="minorHAnsi"/>
          <w:sz w:val="16"/>
          <w:szCs w:val="16"/>
          <w:lang w:val="en-GB"/>
        </w:rPr>
        <w:t>Ibid.,</w:t>
      </w:r>
      <w:r>
        <w:rPr>
          <w:rFonts w:asciiTheme="minorHAnsi" w:hAnsiTheme="minorHAnsi" w:cstheme="minorHAnsi"/>
          <w:sz w:val="16"/>
          <w:szCs w:val="16"/>
          <w:lang w:val="en-GB"/>
        </w:rPr>
        <w:t xml:space="preserve"> 59</w:t>
      </w:r>
    </w:p>
  </w:footnote>
  <w:footnote w:id="28">
    <w:p w14:paraId="2D6114FD" w14:textId="77777777" w:rsidR="009D5782" w:rsidRPr="00E401D3" w:rsidRDefault="009D5782" w:rsidP="009D5782">
      <w:pPr>
        <w:pStyle w:val="FootnoteText"/>
        <w:rPr>
          <w:rFonts w:asciiTheme="minorHAnsi" w:hAnsiTheme="minorHAnsi" w:cstheme="minorHAnsi"/>
          <w:sz w:val="16"/>
          <w:szCs w:val="16"/>
          <w:lang w:val="en-GB"/>
        </w:rPr>
      </w:pPr>
      <w:r w:rsidRPr="00E401D3">
        <w:rPr>
          <w:rStyle w:val="FootnoteReference"/>
          <w:rFonts w:asciiTheme="minorHAnsi" w:hAnsiTheme="minorHAnsi" w:cstheme="minorHAnsi"/>
          <w:sz w:val="16"/>
          <w:szCs w:val="16"/>
        </w:rPr>
        <w:footnoteRef/>
      </w:r>
      <w:r w:rsidRPr="00E401D3">
        <w:rPr>
          <w:rFonts w:asciiTheme="minorHAnsi" w:hAnsiTheme="minorHAnsi" w:cstheme="minorHAnsi"/>
          <w:sz w:val="16"/>
          <w:szCs w:val="16"/>
        </w:rPr>
        <w:t xml:space="preserve"> </w:t>
      </w:r>
      <w:r w:rsidRPr="00E401D3">
        <w:rPr>
          <w:rFonts w:asciiTheme="minorHAnsi" w:hAnsiTheme="minorHAnsi" w:cstheme="minorHAnsi"/>
          <w:sz w:val="16"/>
          <w:szCs w:val="16"/>
          <w:lang w:val="en-GB"/>
        </w:rPr>
        <w:t>Ibid</w:t>
      </w:r>
      <w:r>
        <w:rPr>
          <w:rFonts w:asciiTheme="minorHAnsi" w:hAnsiTheme="minorHAnsi" w:cstheme="minorHAnsi"/>
          <w:sz w:val="16"/>
          <w:szCs w:val="16"/>
          <w:lang w:val="en-GB"/>
        </w:rPr>
        <w:t>., 60</w:t>
      </w:r>
    </w:p>
  </w:footnote>
  <w:footnote w:id="29">
    <w:p w14:paraId="006F050E" w14:textId="77777777" w:rsidR="009D5782" w:rsidRPr="0028276C" w:rsidRDefault="009D5782" w:rsidP="009D5782">
      <w:pPr>
        <w:pStyle w:val="FootnoteText"/>
        <w:rPr>
          <w:rFonts w:asciiTheme="minorHAnsi" w:hAnsiTheme="minorHAnsi" w:cstheme="minorHAnsi"/>
          <w:sz w:val="16"/>
          <w:szCs w:val="16"/>
        </w:rPr>
      </w:pPr>
      <w:r w:rsidRPr="0028276C">
        <w:rPr>
          <w:rStyle w:val="FootnoteCharacters"/>
          <w:rFonts w:asciiTheme="minorHAnsi" w:hAnsiTheme="minorHAnsi" w:cstheme="minorHAnsi"/>
          <w:sz w:val="16"/>
          <w:szCs w:val="16"/>
        </w:rPr>
        <w:footnoteRef/>
      </w:r>
      <w:r w:rsidRPr="0028276C">
        <w:rPr>
          <w:rFonts w:asciiTheme="minorHAnsi" w:hAnsiTheme="minorHAnsi" w:cstheme="minorHAnsi"/>
          <w:sz w:val="16"/>
          <w:szCs w:val="16"/>
        </w:rPr>
        <w:tab/>
        <w:t>Ibid,, 59</w:t>
      </w:r>
    </w:p>
  </w:footnote>
  <w:footnote w:id="30">
    <w:p w14:paraId="3E21A714"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ab/>
        <w:t>NIV. Matthew 1. 23</w:t>
      </w:r>
    </w:p>
  </w:footnote>
  <w:footnote w:id="31">
    <w:p w14:paraId="2C137E90"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 xml:space="preserve"> Artemi E, ‘</w:t>
      </w:r>
      <w:r w:rsidRPr="00DA1F5A">
        <w:rPr>
          <w:rFonts w:asciiTheme="minorHAnsi" w:hAnsiTheme="minorHAnsi" w:cstheme="minorHAnsi"/>
          <w:i/>
          <w:sz w:val="16"/>
          <w:szCs w:val="16"/>
        </w:rPr>
        <w:t>The Virgin Mary, Theotokos, and Christ, true God and true man. The Mystery of Incarnation</w:t>
      </w:r>
      <w:r w:rsidRPr="00DA1F5A">
        <w:rPr>
          <w:rFonts w:asciiTheme="minorHAnsi" w:hAnsiTheme="minorHAnsi" w:cstheme="minorHAnsi"/>
          <w:sz w:val="16"/>
          <w:szCs w:val="16"/>
        </w:rPr>
        <w:t xml:space="preserve"> according to Cyril of Alexandria. (Mirabilia Electronic Journal of Antiquity and Middle Ages. 2013) </w:t>
      </w:r>
    </w:p>
  </w:footnote>
  <w:footnote w:id="32">
    <w:p w14:paraId="02EB2685" w14:textId="77777777" w:rsidR="009D5782" w:rsidRPr="00DA1F5A" w:rsidRDefault="009D5782" w:rsidP="009D5782">
      <w:pPr>
        <w:pStyle w:val="FootnoteText"/>
        <w:rPr>
          <w:rFonts w:asciiTheme="minorHAnsi" w:hAnsiTheme="minorHAnsi" w:cstheme="minorHAnsi"/>
          <w:sz w:val="16"/>
          <w:szCs w:val="16"/>
        </w:rPr>
      </w:pPr>
      <w:r w:rsidRPr="00DA1F5A">
        <w:rPr>
          <w:rStyle w:val="FootnoteCharacters"/>
          <w:rFonts w:asciiTheme="minorHAnsi" w:hAnsiTheme="minorHAnsi" w:cstheme="minorHAnsi"/>
          <w:sz w:val="16"/>
          <w:szCs w:val="16"/>
        </w:rPr>
        <w:footnoteRef/>
      </w:r>
      <w:r w:rsidRPr="00DA1F5A">
        <w:rPr>
          <w:rFonts w:asciiTheme="minorHAnsi" w:hAnsiTheme="minorHAnsi" w:cstheme="minorHAnsi"/>
          <w:sz w:val="16"/>
          <w:szCs w:val="16"/>
        </w:rPr>
        <w:tab/>
        <w:t>Ibid., 62</w:t>
      </w:r>
    </w:p>
  </w:footnote>
  <w:footnote w:id="33">
    <w:p w14:paraId="12316561" w14:textId="77777777" w:rsidR="009D5782" w:rsidRPr="0028276C" w:rsidRDefault="009D5782" w:rsidP="009D5782">
      <w:pPr>
        <w:pStyle w:val="FootnoteText"/>
        <w:rPr>
          <w:rFonts w:asciiTheme="minorHAnsi" w:hAnsiTheme="minorHAnsi" w:cstheme="minorHAnsi"/>
          <w:sz w:val="16"/>
          <w:szCs w:val="16"/>
        </w:rPr>
      </w:pPr>
      <w:r w:rsidRPr="0028276C">
        <w:rPr>
          <w:rStyle w:val="FootnoteCharacters"/>
          <w:rFonts w:asciiTheme="minorHAnsi" w:hAnsiTheme="minorHAnsi" w:cstheme="minorHAnsi"/>
          <w:sz w:val="16"/>
          <w:szCs w:val="16"/>
        </w:rPr>
        <w:footnoteRef/>
      </w:r>
      <w:r w:rsidRPr="0028276C">
        <w:rPr>
          <w:rFonts w:asciiTheme="minorHAnsi" w:hAnsiTheme="minorHAnsi" w:cstheme="minorHAnsi"/>
          <w:sz w:val="16"/>
          <w:szCs w:val="16"/>
        </w:rPr>
        <w:t xml:space="preserve"> St. Gregory of Nazianzus, ‘</w:t>
      </w:r>
      <w:r w:rsidRPr="0028276C">
        <w:rPr>
          <w:rFonts w:asciiTheme="minorHAnsi" w:hAnsiTheme="minorHAnsi" w:cstheme="minorHAnsi"/>
          <w:i/>
          <w:sz w:val="16"/>
          <w:szCs w:val="16"/>
        </w:rPr>
        <w:t xml:space="preserve">On God and Christ’. ‘The five theological Orations and Two Letters to Cledonius. </w:t>
      </w:r>
      <w:r w:rsidRPr="0028276C">
        <w:rPr>
          <w:rFonts w:asciiTheme="minorHAnsi" w:hAnsiTheme="minorHAnsi" w:cstheme="minorHAnsi"/>
          <w:sz w:val="16"/>
          <w:szCs w:val="16"/>
        </w:rPr>
        <w:t xml:space="preserve">Trans. Fredrick Williams (New York 10707: St. Vladimir’s Seminary press, Crestwood) </w:t>
      </w:r>
    </w:p>
  </w:footnote>
  <w:footnote w:id="34">
    <w:p w14:paraId="0C0B0266" w14:textId="77777777" w:rsidR="009D5782" w:rsidRDefault="009D5782" w:rsidP="009D5782">
      <w:pPr>
        <w:pStyle w:val="FootnoteText"/>
      </w:pPr>
      <w:r w:rsidRPr="0028276C">
        <w:rPr>
          <w:rStyle w:val="FootnoteCharacters"/>
          <w:rFonts w:asciiTheme="minorHAnsi" w:hAnsiTheme="minorHAnsi" w:cstheme="minorHAnsi"/>
          <w:sz w:val="16"/>
          <w:szCs w:val="16"/>
        </w:rPr>
        <w:footnoteRef/>
      </w:r>
      <w:r>
        <w:rPr>
          <w:rFonts w:asciiTheme="minorHAnsi" w:hAnsiTheme="minorHAnsi" w:cstheme="minorHAnsi"/>
          <w:sz w:val="16"/>
          <w:szCs w:val="16"/>
        </w:rPr>
        <w:t xml:space="preserve"> </w:t>
      </w:r>
      <w:r w:rsidRPr="0028276C">
        <w:rPr>
          <w:rFonts w:asciiTheme="minorHAnsi" w:hAnsiTheme="minorHAnsi" w:cstheme="minorHAnsi"/>
          <w:sz w:val="16"/>
          <w:szCs w:val="16"/>
        </w:rPr>
        <w:t>Ibid</w:t>
      </w:r>
      <w:r>
        <w:rPr>
          <w:rFonts w:ascii="Calibri" w:hAnsi="Calibri"/>
          <w:sz w:val="18"/>
          <w:szCs w:val="18"/>
        </w:rPr>
        <w:t>., 115</w:t>
      </w:r>
    </w:p>
  </w:footnote>
  <w:footnote w:id="35">
    <w:p w14:paraId="1D67CA77" w14:textId="77777777" w:rsidR="009D5782" w:rsidRPr="0028276C" w:rsidRDefault="009D5782" w:rsidP="009D5782">
      <w:pPr>
        <w:pStyle w:val="FootnoteText"/>
        <w:rPr>
          <w:rFonts w:asciiTheme="minorHAnsi" w:hAnsiTheme="minorHAnsi" w:cstheme="minorHAnsi"/>
          <w:sz w:val="16"/>
          <w:szCs w:val="16"/>
        </w:rPr>
      </w:pPr>
      <w:r w:rsidRPr="0028276C">
        <w:rPr>
          <w:rStyle w:val="FootnoteCharacters"/>
          <w:rFonts w:asciiTheme="minorHAnsi" w:hAnsiTheme="minorHAnsi" w:cstheme="minorHAnsi"/>
          <w:sz w:val="16"/>
          <w:szCs w:val="16"/>
        </w:rPr>
        <w:footnoteRef/>
      </w:r>
      <w:r>
        <w:rPr>
          <w:rFonts w:asciiTheme="minorHAnsi" w:hAnsiTheme="minorHAnsi" w:cstheme="minorHAnsi"/>
          <w:sz w:val="16"/>
          <w:szCs w:val="16"/>
        </w:rPr>
        <w:t xml:space="preserve"> </w:t>
      </w:r>
      <w:r w:rsidRPr="0028276C">
        <w:rPr>
          <w:rFonts w:asciiTheme="minorHAnsi" w:hAnsiTheme="minorHAnsi" w:cstheme="minorHAnsi"/>
          <w:sz w:val="16"/>
          <w:szCs w:val="16"/>
        </w:rPr>
        <w:t>1 Corinthians. 15. 45</w:t>
      </w:r>
    </w:p>
  </w:footnote>
  <w:footnote w:id="36">
    <w:p w14:paraId="31CEEEAE" w14:textId="77777777" w:rsidR="009D5782" w:rsidRPr="0028276C" w:rsidRDefault="009D5782" w:rsidP="009D5782">
      <w:pPr>
        <w:pStyle w:val="FootnoteText"/>
        <w:rPr>
          <w:rFonts w:asciiTheme="minorHAnsi" w:hAnsiTheme="minorHAnsi" w:cstheme="minorHAnsi"/>
          <w:sz w:val="16"/>
          <w:szCs w:val="16"/>
        </w:rPr>
      </w:pPr>
      <w:r w:rsidRPr="0028276C">
        <w:rPr>
          <w:rStyle w:val="FootnoteCharacters"/>
          <w:rFonts w:asciiTheme="minorHAnsi" w:hAnsiTheme="minorHAnsi" w:cstheme="minorHAnsi"/>
          <w:sz w:val="16"/>
          <w:szCs w:val="16"/>
        </w:rPr>
        <w:footnoteRef/>
      </w:r>
      <w:r w:rsidRPr="0028276C">
        <w:rPr>
          <w:rFonts w:asciiTheme="minorHAnsi" w:hAnsiTheme="minorHAnsi" w:cstheme="minorHAnsi"/>
          <w:sz w:val="16"/>
          <w:szCs w:val="16"/>
        </w:rPr>
        <w:t xml:space="preserve"> St. Gregory of Nazianzus, ‘</w:t>
      </w:r>
      <w:r w:rsidRPr="0028276C">
        <w:rPr>
          <w:rFonts w:asciiTheme="minorHAnsi" w:hAnsiTheme="minorHAnsi" w:cstheme="minorHAnsi"/>
          <w:i/>
          <w:sz w:val="16"/>
          <w:szCs w:val="16"/>
        </w:rPr>
        <w:t xml:space="preserve">On God and Christ’. ‘The five theological Orations and Two Letters to Cledonius. </w:t>
      </w:r>
      <w:r w:rsidRPr="0028276C">
        <w:rPr>
          <w:rFonts w:asciiTheme="minorHAnsi" w:hAnsiTheme="minorHAnsi" w:cstheme="minorHAnsi"/>
          <w:sz w:val="16"/>
          <w:szCs w:val="16"/>
        </w:rPr>
        <w:t xml:space="preserve">Trans. Fredrick Williams (New York 10707: St. Vladimir’s Seminary press, Crestwood) </w:t>
      </w:r>
    </w:p>
  </w:footnote>
  <w:footnote w:id="37">
    <w:p w14:paraId="6AA74C92" w14:textId="77777777" w:rsidR="009D5782" w:rsidRPr="00E559C0" w:rsidRDefault="009D5782" w:rsidP="009D5782">
      <w:pPr>
        <w:pStyle w:val="FootnoteText"/>
        <w:rPr>
          <w:rFonts w:asciiTheme="minorHAnsi" w:hAnsiTheme="minorHAnsi" w:cstheme="minorHAnsi"/>
          <w:sz w:val="16"/>
          <w:szCs w:val="16"/>
        </w:rPr>
      </w:pPr>
      <w:r w:rsidRPr="00E559C0">
        <w:rPr>
          <w:rStyle w:val="FootnoteCharacters"/>
          <w:rFonts w:asciiTheme="minorHAnsi" w:hAnsiTheme="minorHAnsi" w:cstheme="minorHAnsi"/>
          <w:sz w:val="16"/>
          <w:szCs w:val="16"/>
        </w:rPr>
        <w:footnoteRef/>
      </w:r>
      <w:r w:rsidRPr="00E559C0">
        <w:rPr>
          <w:rFonts w:asciiTheme="minorHAnsi" w:hAnsiTheme="minorHAnsi" w:cstheme="minorHAnsi"/>
          <w:sz w:val="16"/>
          <w:szCs w:val="16"/>
        </w:rPr>
        <w:t xml:space="preserve"> NIV. Galatians 4. 4</w:t>
      </w:r>
    </w:p>
  </w:footnote>
  <w:footnote w:id="38">
    <w:p w14:paraId="2F316232" w14:textId="77777777" w:rsidR="009D5782" w:rsidRPr="00E559C0" w:rsidRDefault="009D5782" w:rsidP="009D5782">
      <w:pPr>
        <w:pStyle w:val="FootnoteText"/>
        <w:rPr>
          <w:rFonts w:asciiTheme="minorHAnsi" w:hAnsiTheme="minorHAnsi" w:cstheme="minorHAnsi"/>
          <w:sz w:val="16"/>
          <w:szCs w:val="16"/>
        </w:rPr>
      </w:pPr>
      <w:r w:rsidRPr="00E559C0">
        <w:rPr>
          <w:rStyle w:val="FootnoteCharacters"/>
          <w:rFonts w:asciiTheme="minorHAnsi" w:hAnsiTheme="minorHAnsi" w:cstheme="minorHAnsi"/>
          <w:sz w:val="16"/>
          <w:szCs w:val="16"/>
        </w:rPr>
        <w:footnoteRef/>
      </w:r>
      <w:r w:rsidRPr="00E559C0">
        <w:rPr>
          <w:rFonts w:asciiTheme="minorHAnsi" w:hAnsiTheme="minorHAnsi" w:cstheme="minorHAnsi"/>
          <w:sz w:val="16"/>
          <w:szCs w:val="16"/>
        </w:rPr>
        <w:t>John. 1. 12</w:t>
      </w:r>
    </w:p>
  </w:footnote>
  <w:footnote w:id="39">
    <w:p w14:paraId="1490D3E3" w14:textId="77777777" w:rsidR="009D5782" w:rsidRPr="00E559C0" w:rsidRDefault="009D5782" w:rsidP="009D5782">
      <w:pPr>
        <w:pStyle w:val="FootnoteText"/>
        <w:rPr>
          <w:rFonts w:asciiTheme="minorHAnsi" w:hAnsiTheme="minorHAnsi" w:cstheme="minorHAnsi"/>
          <w:sz w:val="16"/>
          <w:szCs w:val="16"/>
          <w:lang w:val="en-GB"/>
        </w:rPr>
      </w:pPr>
      <w:r w:rsidRPr="00E559C0">
        <w:rPr>
          <w:rStyle w:val="FootnoteReference"/>
          <w:rFonts w:asciiTheme="minorHAnsi" w:hAnsiTheme="minorHAnsi" w:cstheme="minorHAnsi"/>
          <w:sz w:val="16"/>
          <w:szCs w:val="16"/>
        </w:rPr>
        <w:footnoteRef/>
      </w:r>
      <w:r w:rsidRPr="00E559C0">
        <w:rPr>
          <w:rFonts w:asciiTheme="minorHAnsi" w:hAnsiTheme="minorHAnsi" w:cstheme="minorHAnsi"/>
          <w:sz w:val="16"/>
          <w:szCs w:val="16"/>
        </w:rPr>
        <w:t xml:space="preserve"> </w:t>
      </w:r>
      <w:r w:rsidRPr="00E559C0">
        <w:rPr>
          <w:rFonts w:asciiTheme="minorHAnsi" w:hAnsiTheme="minorHAnsi" w:cstheme="minorHAnsi"/>
          <w:sz w:val="16"/>
          <w:szCs w:val="16"/>
          <w:lang w:val="en-GB"/>
        </w:rPr>
        <w:t>Ibid, 110</w:t>
      </w:r>
    </w:p>
  </w:footnote>
  <w:footnote w:id="40">
    <w:p w14:paraId="131D5607" w14:textId="77777777" w:rsidR="009D5782" w:rsidRPr="00E559C0" w:rsidRDefault="009D5782" w:rsidP="009D5782">
      <w:pPr>
        <w:pStyle w:val="FootnoteText"/>
        <w:rPr>
          <w:rFonts w:asciiTheme="minorHAnsi" w:hAnsiTheme="minorHAnsi" w:cstheme="minorHAnsi"/>
          <w:sz w:val="16"/>
          <w:szCs w:val="16"/>
        </w:rPr>
      </w:pPr>
      <w:r w:rsidRPr="00E559C0">
        <w:rPr>
          <w:rStyle w:val="FootnoteCharacters"/>
          <w:rFonts w:asciiTheme="minorHAnsi" w:hAnsiTheme="minorHAnsi" w:cstheme="minorHAnsi"/>
          <w:sz w:val="16"/>
          <w:szCs w:val="16"/>
        </w:rPr>
        <w:footnoteRef/>
      </w:r>
      <w:r w:rsidRPr="00E559C0">
        <w:rPr>
          <w:rFonts w:asciiTheme="minorHAnsi" w:hAnsiTheme="minorHAnsi" w:cstheme="minorHAnsi"/>
          <w:sz w:val="16"/>
          <w:szCs w:val="16"/>
        </w:rPr>
        <w:t>Hebrews. 2. 14-17</w:t>
      </w:r>
    </w:p>
  </w:footnote>
  <w:footnote w:id="41">
    <w:p w14:paraId="677A049C" w14:textId="77777777" w:rsidR="009D5782" w:rsidRPr="00E559C0" w:rsidRDefault="009D5782" w:rsidP="009D5782">
      <w:pPr>
        <w:pStyle w:val="FootnoteText"/>
        <w:rPr>
          <w:rFonts w:asciiTheme="minorHAnsi" w:hAnsiTheme="minorHAnsi" w:cstheme="minorHAnsi"/>
          <w:sz w:val="16"/>
          <w:szCs w:val="16"/>
          <w:lang w:val="en-GB"/>
        </w:rPr>
      </w:pPr>
      <w:r w:rsidRPr="00E559C0">
        <w:rPr>
          <w:rStyle w:val="FootnoteReference"/>
          <w:rFonts w:asciiTheme="minorHAnsi" w:hAnsiTheme="minorHAnsi" w:cstheme="minorHAnsi"/>
          <w:sz w:val="16"/>
          <w:szCs w:val="16"/>
        </w:rPr>
        <w:footnoteRef/>
      </w:r>
      <w:r w:rsidRPr="00E559C0">
        <w:rPr>
          <w:rFonts w:asciiTheme="minorHAnsi" w:hAnsiTheme="minorHAnsi" w:cstheme="minorHAnsi"/>
          <w:sz w:val="16"/>
          <w:szCs w:val="16"/>
        </w:rPr>
        <w:t xml:space="preserve"> </w:t>
      </w:r>
      <w:r w:rsidRPr="00E559C0">
        <w:rPr>
          <w:rFonts w:asciiTheme="minorHAnsi" w:hAnsiTheme="minorHAnsi" w:cstheme="minorHAnsi"/>
          <w:sz w:val="16"/>
          <w:szCs w:val="16"/>
          <w:lang w:val="en-GB"/>
        </w:rPr>
        <w:t>Ibid., 130</w:t>
      </w:r>
    </w:p>
  </w:footnote>
  <w:footnote w:id="42">
    <w:p w14:paraId="4F0FCC1B" w14:textId="77777777" w:rsidR="009D5782" w:rsidRPr="00E559C0" w:rsidRDefault="009D5782" w:rsidP="009D5782">
      <w:pPr>
        <w:pStyle w:val="FootnoteText"/>
        <w:rPr>
          <w:rFonts w:asciiTheme="minorHAnsi" w:hAnsiTheme="minorHAnsi" w:cstheme="minorHAnsi"/>
          <w:sz w:val="16"/>
          <w:szCs w:val="16"/>
        </w:rPr>
      </w:pPr>
      <w:r w:rsidRPr="00E559C0">
        <w:rPr>
          <w:rStyle w:val="FootnoteCharacters"/>
          <w:rFonts w:asciiTheme="minorHAnsi" w:hAnsiTheme="minorHAnsi" w:cstheme="minorHAnsi"/>
          <w:sz w:val="16"/>
          <w:szCs w:val="16"/>
        </w:rPr>
        <w:footnoteRef/>
      </w:r>
      <w:r w:rsidRPr="00E559C0">
        <w:rPr>
          <w:rFonts w:asciiTheme="minorHAnsi" w:hAnsiTheme="minorHAnsi" w:cstheme="minorHAnsi"/>
          <w:sz w:val="16"/>
          <w:szCs w:val="16"/>
        </w:rPr>
        <w:t>Ibid., 61</w:t>
      </w:r>
    </w:p>
  </w:footnote>
  <w:footnote w:id="43">
    <w:p w14:paraId="296FEA4D" w14:textId="77777777" w:rsidR="009D5782" w:rsidRDefault="009D5782" w:rsidP="009D5782">
      <w:pPr>
        <w:spacing w:before="240" w:after="240" w:line="480" w:lineRule="auto"/>
        <w:jc w:val="both"/>
        <w:outlineLvl w:val="8"/>
        <w:rPr>
          <w:rFonts w:ascii="Calibri" w:hAnsi="Calibri" w:cs="Calibri"/>
          <w:sz w:val="16"/>
          <w:szCs w:val="16"/>
        </w:rPr>
      </w:pPr>
      <w:r>
        <w:rPr>
          <w:rStyle w:val="FootnoteCharacters"/>
        </w:rPr>
        <w:footnoteRef/>
      </w:r>
      <w:r>
        <w:t xml:space="preserve"> </w:t>
      </w:r>
      <w:r>
        <w:rPr>
          <w:rFonts w:ascii="Calibri" w:hAnsi="Calibri" w:cs="Calibri"/>
          <w:sz w:val="16"/>
          <w:szCs w:val="16"/>
        </w:rPr>
        <w:t>en.m.wikipedia.org </w:t>
      </w:r>
    </w:p>
    <w:p w14:paraId="457C6609" w14:textId="77777777" w:rsidR="009D5782" w:rsidRDefault="009D5782" w:rsidP="009D5782">
      <w:pPr>
        <w:pStyle w:val="FootnoteText"/>
      </w:pPr>
    </w:p>
  </w:footnote>
  <w:footnote w:id="44">
    <w:p w14:paraId="50634DD8" w14:textId="77777777" w:rsidR="009D5782" w:rsidRDefault="009D5782" w:rsidP="009D5782">
      <w:pPr>
        <w:pStyle w:val="FootnoteText"/>
      </w:pPr>
      <w:r>
        <w:rPr>
          <w:rStyle w:val="FootnoteCharacters"/>
        </w:rPr>
        <w:footnoteRef/>
      </w:r>
      <w:r>
        <w:t xml:space="preserve">  </w:t>
      </w:r>
      <w:r>
        <w:rPr>
          <w:rFonts w:ascii="Calibri" w:hAnsi="Calibri" w:cs="Calibri"/>
          <w:sz w:val="16"/>
          <w:szCs w:val="16"/>
        </w:rPr>
        <w:t>www.encyclopedia.</w:t>
      </w:r>
      <w:r>
        <w:rPr>
          <w:rFonts w:ascii="Calibri" w:hAnsi="Calibri" w:cs="Calibri"/>
        </w:rPr>
        <w:t>com</w:t>
      </w:r>
    </w:p>
  </w:footnote>
  <w:footnote w:id="45">
    <w:p w14:paraId="0CAE4ADD" w14:textId="77777777" w:rsidR="009D5782" w:rsidRDefault="009D5782" w:rsidP="009D5782">
      <w:pPr>
        <w:pStyle w:val="FootnoteText"/>
      </w:pPr>
      <w:r>
        <w:rPr>
          <w:rStyle w:val="FootnoteCharacters"/>
        </w:rPr>
        <w:footnoteRef/>
      </w:r>
      <w:r>
        <w:t xml:space="preserve">     </w:t>
      </w:r>
      <w:r>
        <w:rPr>
          <w:rFonts w:ascii="Calibri" w:hAnsi="Calibri" w:cs="Calibri"/>
          <w:sz w:val="16"/>
          <w:szCs w:val="16"/>
        </w:rPr>
        <w:t>en.m.wikipedia.org </w:t>
      </w:r>
    </w:p>
  </w:footnote>
  <w:footnote w:id="46">
    <w:p w14:paraId="157AA946" w14:textId="77777777" w:rsidR="009D5782" w:rsidRDefault="009D5782" w:rsidP="009D5782">
      <w:pPr>
        <w:spacing w:after="0" w:line="480" w:lineRule="auto"/>
        <w:jc w:val="both"/>
        <w:outlineLvl w:val="8"/>
        <w:rPr>
          <w:rFonts w:ascii="Calibri" w:hAnsi="Calibri" w:cs="Calibri"/>
          <w:sz w:val="16"/>
          <w:szCs w:val="16"/>
        </w:rPr>
      </w:pPr>
      <w:r>
        <w:rPr>
          <w:rStyle w:val="FootnoteCharacters"/>
        </w:rPr>
        <w:footnoteRef/>
      </w:r>
      <w:r>
        <w:t xml:space="preserve">    </w:t>
      </w:r>
      <w:r>
        <w:rPr>
          <w:rFonts w:ascii="Calibri" w:hAnsi="Calibri" w:cs="Calibri"/>
          <w:sz w:val="16"/>
          <w:szCs w:val="16"/>
        </w:rPr>
        <w:t>St Augustine, ‘</w:t>
      </w:r>
      <w:r>
        <w:rPr>
          <w:rFonts w:ascii="Calibri" w:hAnsi="Calibri" w:cs="Calibri"/>
          <w:i/>
          <w:iCs/>
          <w:sz w:val="16"/>
          <w:szCs w:val="16"/>
        </w:rPr>
        <w:t>The Trinity’</w:t>
      </w:r>
      <w:r>
        <w:rPr>
          <w:rFonts w:ascii="Calibri" w:hAnsi="Calibri" w:cs="Calibri"/>
          <w:sz w:val="16"/>
          <w:szCs w:val="16"/>
        </w:rPr>
        <w:t>, 2nd Edition, trans. Edmund Hill, O.P., (New York: New City Press, 1991).</w:t>
      </w:r>
    </w:p>
    <w:p w14:paraId="1DBCA39F" w14:textId="77777777" w:rsidR="009D5782" w:rsidRDefault="009D5782" w:rsidP="009D5782">
      <w:pPr>
        <w:pStyle w:val="FootnoteText"/>
      </w:pPr>
    </w:p>
  </w:footnote>
  <w:footnote w:id="47">
    <w:p w14:paraId="68DDBF49" w14:textId="77777777" w:rsidR="009D5782" w:rsidRDefault="009D5782" w:rsidP="009D5782">
      <w:pPr>
        <w:spacing w:after="0" w:line="480" w:lineRule="auto"/>
        <w:jc w:val="both"/>
        <w:outlineLvl w:val="8"/>
        <w:rPr>
          <w:rFonts w:ascii="Calibri" w:hAnsi="Calibri" w:cs="Calibri"/>
          <w:sz w:val="16"/>
          <w:szCs w:val="16"/>
        </w:rPr>
      </w:pPr>
      <w:r>
        <w:rPr>
          <w:rStyle w:val="FootnoteCharacters"/>
        </w:rPr>
        <w:footnoteRef/>
      </w:r>
      <w:r>
        <w:rPr>
          <w:rFonts w:ascii="Calibri" w:hAnsi="Calibri" w:cs="Calibri"/>
          <w:sz w:val="16"/>
          <w:szCs w:val="16"/>
        </w:rPr>
        <w:t xml:space="preserve">   Grudem Wayne, ‘Systematic Theology: An Introduction to Biblical Doctrine, (USA: Zondervan,1994) </w:t>
      </w:r>
    </w:p>
    <w:p w14:paraId="1E003A06" w14:textId="77777777" w:rsidR="009D5782" w:rsidRDefault="009D5782" w:rsidP="009D5782">
      <w:pPr>
        <w:pStyle w:val="FootnoteText"/>
      </w:pPr>
    </w:p>
  </w:footnote>
  <w:footnote w:id="48">
    <w:p w14:paraId="09BEBE3E" w14:textId="77777777" w:rsidR="009D5782" w:rsidRDefault="009D5782" w:rsidP="009D5782">
      <w:pPr>
        <w:pStyle w:val="FootnoteText"/>
      </w:pPr>
      <w:r>
        <w:rPr>
          <w:rStyle w:val="FootnoteCharacters"/>
        </w:rPr>
        <w:footnoteRef/>
      </w:r>
      <w:r>
        <w:t xml:space="preserve">     </w:t>
      </w:r>
      <w:hyperlink r:id="rId1" w:tgtFrame="_blank">
        <w:r>
          <w:rPr>
            <w:rStyle w:val="InternetLink"/>
            <w:rFonts w:ascii="Calibri" w:hAnsi="Calibri" w:cs="Calibri"/>
            <w:sz w:val="16"/>
            <w:szCs w:val="16"/>
          </w:rPr>
          <w:t>https://archive.org/download/stathanasiusonth00athauoft/stathanasiusonth00athauoft.pdf</w:t>
        </w:r>
      </w:hyperlink>
      <w:r>
        <w:rPr>
          <w:rFonts w:ascii="Calibri" w:hAnsi="Calibri" w:cs="Calibri"/>
          <w:sz w:val="16"/>
          <w:szCs w:val="16"/>
        </w:rPr>
        <w:t> </w:t>
      </w:r>
    </w:p>
  </w:footnote>
  <w:footnote w:id="49">
    <w:p w14:paraId="7594FDA1" w14:textId="77777777" w:rsidR="009D5782" w:rsidRDefault="009D5782" w:rsidP="009D5782">
      <w:pPr>
        <w:pStyle w:val="FootnoteText"/>
      </w:pPr>
      <w:r>
        <w:rPr>
          <w:rStyle w:val="FootnoteCharacters"/>
        </w:rPr>
        <w:footnoteRef/>
      </w:r>
      <w:r>
        <w:t xml:space="preserve">     </w:t>
      </w:r>
      <w:r>
        <w:rPr>
          <w:rFonts w:ascii="Calibri" w:hAnsi="Calibri" w:cs="Calibri"/>
          <w:sz w:val="16"/>
          <w:szCs w:val="16"/>
        </w:rPr>
        <w:t>Grudem Wayne, ‘Systematic Theology: An Introduction to Biblical Doctrine, (USA: Zondervan,1994) </w:t>
      </w:r>
    </w:p>
  </w:footnote>
  <w:footnote w:id="50">
    <w:p w14:paraId="6FD2F0A9" w14:textId="77777777" w:rsidR="009D5782" w:rsidRDefault="009D5782" w:rsidP="009D5782">
      <w:pPr>
        <w:pStyle w:val="FootnoteText"/>
      </w:pPr>
      <w:r>
        <w:rPr>
          <w:rStyle w:val="FootnoteCharacters"/>
        </w:rPr>
        <w:footnoteRef/>
      </w:r>
      <w:r>
        <w:t xml:space="preserve">        </w:t>
      </w:r>
    </w:p>
  </w:footnote>
  <w:footnote w:id="51">
    <w:p w14:paraId="0A67883F" w14:textId="77777777" w:rsidR="009D5782" w:rsidRDefault="009D5782" w:rsidP="009D5782">
      <w:pPr>
        <w:pStyle w:val="FootnoteText"/>
      </w:pPr>
      <w:r>
        <w:rPr>
          <w:rStyle w:val="FootnoteCharacters"/>
        </w:rPr>
        <w:footnoteRef/>
      </w:r>
      <w:r>
        <w:t xml:space="preserve">   </w:t>
      </w:r>
      <w:r>
        <w:rPr>
          <w:rFonts w:ascii="Calibri" w:hAnsi="Calibri"/>
          <w:sz w:val="16"/>
          <w:szCs w:val="16"/>
        </w:rPr>
        <w:t xml:space="preserve"> </w:t>
      </w:r>
      <w:r>
        <w:rPr>
          <w:rFonts w:ascii="Calibri" w:hAnsi="Calibri" w:cs="Calibri"/>
          <w:sz w:val="16"/>
          <w:szCs w:val="16"/>
        </w:rPr>
        <w:t>Boff Leonardo, ‘</w:t>
      </w:r>
      <w:r>
        <w:rPr>
          <w:rFonts w:ascii="Calibri" w:hAnsi="Calibri" w:cs="Calibri"/>
          <w:i/>
          <w:iCs/>
          <w:sz w:val="16"/>
          <w:szCs w:val="16"/>
        </w:rPr>
        <w:t>Resurrection’: The Realization of a Human Utopia, Jesus Christ Liberator</w:t>
      </w:r>
      <w:r>
        <w:rPr>
          <w:rFonts w:ascii="Calibri" w:hAnsi="Calibri" w:cs="Calibri"/>
          <w:sz w:val="16"/>
          <w:szCs w:val="16"/>
        </w:rPr>
        <w:t>, (Maryknoll, NY: Orbis Books, 1998).  </w:t>
      </w:r>
    </w:p>
  </w:footnote>
  <w:footnote w:id="52">
    <w:p w14:paraId="40E28E50" w14:textId="77777777" w:rsidR="009D5782" w:rsidRDefault="009D5782" w:rsidP="009D5782">
      <w:pPr>
        <w:pStyle w:val="FootnoteText"/>
      </w:pPr>
      <w:r>
        <w:rPr>
          <w:rStyle w:val="FootnoteCharacters"/>
        </w:rPr>
        <w:footnoteRef/>
      </w:r>
      <w:r>
        <w:t xml:space="preserve">   </w:t>
      </w:r>
      <w:r>
        <w:rPr>
          <w:rFonts w:ascii="Calibri" w:hAnsi="Calibri" w:cs="Calibri"/>
          <w:sz w:val="16"/>
          <w:szCs w:val="16"/>
        </w:rPr>
        <w:t>Grudem Wayne, ‘Systematic Theology: An Introduction to Biblical Doctrine, (USA: Zondervan,1994) </w:t>
      </w:r>
    </w:p>
  </w:footnote>
  <w:footnote w:id="53">
    <w:p w14:paraId="4E7A5A18" w14:textId="77777777" w:rsidR="009D5782" w:rsidRDefault="009D5782" w:rsidP="009D5782">
      <w:pPr>
        <w:pStyle w:val="FootnoteText"/>
      </w:pPr>
      <w:r>
        <w:rPr>
          <w:rStyle w:val="FootnoteCharacters"/>
        </w:rPr>
        <w:footnoteRef/>
      </w:r>
      <w:r>
        <w:t xml:space="preserve">  </w:t>
      </w:r>
      <w:r>
        <w:rPr>
          <w:rFonts w:ascii="Calibri" w:hAnsi="Calibri"/>
          <w:sz w:val="16"/>
          <w:szCs w:val="16"/>
        </w:rPr>
        <w:t xml:space="preserve"> https://alevelphilosophyandreligion.com/ocr-religious-studies/ocr-christianity/pluralism-and-theology/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9" w:type="dxa"/>
      <w:tblLook w:val="04A0" w:firstRow="1" w:lastRow="0" w:firstColumn="1" w:lastColumn="0" w:noHBand="0" w:noVBand="1"/>
    </w:tblPr>
    <w:tblGrid>
      <w:gridCol w:w="3119"/>
      <w:gridCol w:w="3118"/>
      <w:gridCol w:w="3122"/>
    </w:tblGrid>
    <w:tr w:rsidR="002A69A0" w14:paraId="5E8E6D06" w14:textId="77777777">
      <w:trPr>
        <w:trHeight w:val="300"/>
      </w:trPr>
      <w:tc>
        <w:tcPr>
          <w:tcW w:w="3119" w:type="dxa"/>
          <w:shd w:val="clear" w:color="auto" w:fill="auto"/>
        </w:tcPr>
        <w:p w14:paraId="4B801C51" w14:textId="77777777" w:rsidR="002A69A0" w:rsidRDefault="006D3733">
          <w:pPr>
            <w:pStyle w:val="Header"/>
            <w:ind w:left="-115"/>
          </w:pPr>
        </w:p>
      </w:tc>
      <w:tc>
        <w:tcPr>
          <w:tcW w:w="3118" w:type="dxa"/>
          <w:shd w:val="clear" w:color="auto" w:fill="auto"/>
        </w:tcPr>
        <w:p w14:paraId="0CCB3B40" w14:textId="77777777" w:rsidR="002A69A0" w:rsidRDefault="006D3733">
          <w:pPr>
            <w:pStyle w:val="Header"/>
            <w:jc w:val="center"/>
          </w:pPr>
        </w:p>
      </w:tc>
      <w:tc>
        <w:tcPr>
          <w:tcW w:w="3122" w:type="dxa"/>
          <w:shd w:val="clear" w:color="auto" w:fill="auto"/>
        </w:tcPr>
        <w:p w14:paraId="6BACC856" w14:textId="77777777" w:rsidR="002A69A0" w:rsidRDefault="006D3733">
          <w:pPr>
            <w:pStyle w:val="Header"/>
            <w:ind w:right="-115"/>
            <w:jc w:val="right"/>
          </w:pPr>
        </w:p>
      </w:tc>
    </w:tr>
  </w:tbl>
  <w:p w14:paraId="18F95AAB" w14:textId="77777777" w:rsidR="002A69A0" w:rsidRDefault="006D37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782"/>
    <w:rsid w:val="006D3733"/>
    <w:rsid w:val="009D57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7C228"/>
  <w15:chartTrackingRefBased/>
  <w15:docId w15:val="{C2B0FC3B-6C64-4492-A93D-BA180E8D6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782"/>
    <w:pPr>
      <w:overflowPunct w:val="0"/>
      <w:spacing w:line="276" w:lineRule="auto"/>
    </w:pPr>
    <w:rPr>
      <w:rFonts w:ascii="Aptos" w:eastAsia="Segoe UI" w:hAnsi="Aptos" w:cs="Tahom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uiPriority w:val="99"/>
    <w:qFormat/>
    <w:rsid w:val="009D5782"/>
  </w:style>
  <w:style w:type="character" w:customStyle="1" w:styleId="FootnoteAnchor">
    <w:name w:val="Footnote Anchor"/>
    <w:rsid w:val="009D5782"/>
    <w:rPr>
      <w:vertAlign w:val="superscript"/>
    </w:rPr>
  </w:style>
  <w:style w:type="paragraph" w:styleId="Header">
    <w:name w:val="header"/>
    <w:basedOn w:val="Normal"/>
    <w:link w:val="HeaderChar"/>
    <w:rsid w:val="009D5782"/>
    <w:pPr>
      <w:tabs>
        <w:tab w:val="center" w:pos="4680"/>
        <w:tab w:val="right" w:pos="9360"/>
      </w:tabs>
      <w:spacing w:after="0" w:line="240" w:lineRule="auto"/>
    </w:pPr>
  </w:style>
  <w:style w:type="character" w:customStyle="1" w:styleId="HeaderChar">
    <w:name w:val="Header Char"/>
    <w:basedOn w:val="DefaultParagraphFont"/>
    <w:link w:val="Header"/>
    <w:rsid w:val="009D5782"/>
    <w:rPr>
      <w:rFonts w:ascii="Aptos" w:eastAsia="Segoe UI" w:hAnsi="Aptos" w:cs="Tahoma"/>
      <w:sz w:val="24"/>
      <w:szCs w:val="24"/>
      <w:lang w:val="en-US" w:eastAsia="ja-JP"/>
    </w:rPr>
  </w:style>
  <w:style w:type="paragraph" w:styleId="Footer">
    <w:name w:val="footer"/>
    <w:basedOn w:val="Normal"/>
    <w:link w:val="FooterChar"/>
    <w:rsid w:val="009D5782"/>
    <w:pPr>
      <w:tabs>
        <w:tab w:val="center" w:pos="4680"/>
        <w:tab w:val="right" w:pos="9360"/>
      </w:tabs>
      <w:spacing w:after="0" w:line="240" w:lineRule="auto"/>
    </w:pPr>
  </w:style>
  <w:style w:type="character" w:customStyle="1" w:styleId="FooterChar">
    <w:name w:val="Footer Char"/>
    <w:basedOn w:val="DefaultParagraphFont"/>
    <w:link w:val="Footer"/>
    <w:rsid w:val="009D5782"/>
    <w:rPr>
      <w:rFonts w:ascii="Aptos" w:eastAsia="Segoe UI" w:hAnsi="Aptos" w:cs="Tahoma"/>
      <w:sz w:val="24"/>
      <w:szCs w:val="24"/>
      <w:lang w:val="en-US" w:eastAsia="ja-JP"/>
    </w:rPr>
  </w:style>
  <w:style w:type="paragraph" w:styleId="FootnoteText">
    <w:name w:val="footnote text"/>
    <w:basedOn w:val="Normal"/>
    <w:link w:val="FootnoteTextChar"/>
    <w:uiPriority w:val="99"/>
    <w:rsid w:val="009D5782"/>
    <w:pPr>
      <w:suppressLineNumbers/>
      <w:ind w:left="339" w:hanging="339"/>
    </w:pPr>
    <w:rPr>
      <w:sz w:val="20"/>
      <w:szCs w:val="20"/>
    </w:rPr>
  </w:style>
  <w:style w:type="character" w:customStyle="1" w:styleId="FootnoteTextChar">
    <w:name w:val="Footnote Text Char"/>
    <w:basedOn w:val="DefaultParagraphFont"/>
    <w:link w:val="FootnoteText"/>
    <w:uiPriority w:val="99"/>
    <w:qFormat/>
    <w:rsid w:val="009D5782"/>
    <w:rPr>
      <w:rFonts w:ascii="Aptos" w:eastAsia="Segoe UI" w:hAnsi="Aptos" w:cs="Tahoma"/>
      <w:sz w:val="20"/>
      <w:szCs w:val="20"/>
      <w:lang w:val="en-US" w:eastAsia="ja-JP"/>
    </w:rPr>
  </w:style>
  <w:style w:type="character" w:styleId="FootnoteReference">
    <w:name w:val="footnote reference"/>
    <w:basedOn w:val="DefaultParagraphFont"/>
    <w:uiPriority w:val="99"/>
    <w:semiHidden/>
    <w:unhideWhenUsed/>
    <w:rsid w:val="009D5782"/>
    <w:rPr>
      <w:vertAlign w:val="superscript"/>
    </w:rPr>
  </w:style>
  <w:style w:type="character" w:styleId="Hyperlink">
    <w:name w:val="Hyperlink"/>
    <w:basedOn w:val="DefaultParagraphFont"/>
    <w:uiPriority w:val="99"/>
    <w:unhideWhenUsed/>
    <w:rsid w:val="009D5782"/>
    <w:rPr>
      <w:color w:val="0563C1" w:themeColor="hyperlink"/>
      <w:u w:val="single"/>
    </w:rPr>
  </w:style>
  <w:style w:type="character" w:styleId="UnresolvedMention">
    <w:name w:val="Unresolved Mention"/>
    <w:basedOn w:val="DefaultParagraphFont"/>
    <w:uiPriority w:val="99"/>
    <w:semiHidden/>
    <w:unhideWhenUsed/>
    <w:rsid w:val="009D5782"/>
    <w:rPr>
      <w:color w:val="605E5C"/>
      <w:shd w:val="clear" w:color="auto" w:fill="E1DFDD"/>
    </w:rPr>
  </w:style>
  <w:style w:type="character" w:customStyle="1" w:styleId="InternetLink">
    <w:name w:val="Internet Link"/>
    <w:basedOn w:val="DefaultParagraphFont"/>
    <w:uiPriority w:val="99"/>
    <w:unhideWhenUsed/>
    <w:rsid w:val="009D57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cb.org/stories/egypt/cyril-alexandria2/" TargetMode="External"/><Relationship Id="rId13"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18" Type="http://schemas.openxmlformats.org/officeDocument/2006/relationships/hyperlink" Target="https://www.crcna.org/welcome/beliefs/creeds/nicene-creed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17" Type="http://schemas.openxmlformats.org/officeDocument/2006/relationships/hyperlink" Target="https://archive.org/download/stathanasiusonth00athauoft/stathanasiusonth00athauoft.pdf" TargetMode="External"/><Relationship Id="rId2" Type="http://schemas.openxmlformats.org/officeDocument/2006/relationships/settings" Target="settings.xml"/><Relationship Id="rId16" Type="http://schemas.openxmlformats.org/officeDocument/2006/relationships/hyperlink" Target="https://www.encyclopedia.com/religion/encyclopedias-almanacs-transcripts-and-maps/redemption-theology"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5" Type="http://schemas.openxmlformats.org/officeDocument/2006/relationships/endnotes" Target="endnotes.xml"/><Relationship Id="rId15"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23" Type="http://schemas.openxmlformats.org/officeDocument/2006/relationships/theme" Target="theme/theme1.xml"/><Relationship Id="rId10"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19" Type="http://schemas.openxmlformats.org/officeDocument/2006/relationships/hyperlink" Target="https://www.crcna.org/welcome/beliefs/creeds/nicene-creedS" TargetMode="External"/><Relationship Id="rId4" Type="http://schemas.openxmlformats.org/officeDocument/2006/relationships/footnotes" Target="footnotes.xml"/><Relationship Id="rId9"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14" Type="http://schemas.openxmlformats.org/officeDocument/2006/relationships/hyperlink" Target="https://ukc-word-edit.officeapps.live.com/we/wordeditorframe.aspx?new=1&amp;ui=en-US&amp;rs=en-US&amp;wopisrc=https%3A%2F%2Fuowtsd-my.sharepoint.com%2Fpersonal%2F2234893_student_uwtsd_ac_uk%2F_vti_bin%2Fwopi.ashx%2Ffiles%2Febdd17a3211b42678d1d114eebb8879c&amp;wdnewandopenct=1732428142246&amp;wdorigin=OFFICECOM-WEB.START.NEW&amp;wdprevioussessionsrc=HarmonyWeb&amp;wdprevioussession=1651dba7-7307-4816-a0cd-d5c27290f589&amp;wdenableroaming=1&amp;wdfr=1&amp;mscc=1&amp;wdodb=1&amp;hid=07EF66A1-403F-A000-79F9-5B5E35ECFA09.0&amp;uih=sharepointcom&amp;wdlcid=en-US&amp;jsapi=1&amp;jsapiver=v2&amp;corrid=9bb1ca0e-0c6d-328c-bf26-442bce4be807&amp;usid=9bb1ca0e-0c6d-328c-bf26-442bce4be807&amp;newsession=1&amp;sftc=1&amp;uihit=docaspx&amp;muv=1&amp;cac=1&amp;sams=1&amp;mtf=1&amp;sfp=1&amp;sdp=1&amp;hch=1&amp;hwfh=1&amp;dchat=1&amp;sc=%7b"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download/stathanasiusonth00athauoft/stathanasiusonth00athauof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8160</Words>
  <Characters>46516</Characters>
  <Application>Microsoft Office Word</Application>
  <DocSecurity>0</DocSecurity>
  <Lines>387</Lines>
  <Paragraphs>109</Paragraphs>
  <ScaleCrop>false</ScaleCrop>
  <Company>University of Wales Trinity Saint David</Company>
  <LinksUpToDate>false</LinksUpToDate>
  <CharactersWithSpaces>54567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Angus Slater</dc:creator>
  <cp:keywords/>
  <dc:description/>
  <cp:lastModifiedBy>Angus Slater</cp:lastModifiedBy>
  <cp:revision>1</cp:revision>
  <dcterms:created xsi:type="dcterms:W3CDTF">2024-11-25T11:01:00Z</dcterms:created>
  <dcterms:modified xsi:type="dcterms:W3CDTF">2024-11-25T11:02:00Z</dcterms:modified>
</cp:coreProperties>
</file>