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51"/>
        <w:gridCol w:w="6935"/>
      </w:tblGrid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</w:rPr>
              <w:t>M5X01045</w:t>
            </w: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TITLE:</w:t>
            </w: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</w:tcPr>
          <w:p w:rsidR="004E4A56" w:rsidRPr="002A1165" w:rsidRDefault="004E4A56" w:rsidP="00450B08">
            <w:pPr>
              <w:pStyle w:val="Heading3"/>
              <w:keepNext w:val="0"/>
              <w:keepLines w:val="0"/>
              <w:spacing w:before="0" w:line="240" w:lineRule="auto"/>
              <w:ind w:left="3600" w:hanging="3600"/>
              <w:outlineLvl w:val="2"/>
            </w:pPr>
            <w:bookmarkStart w:id="0" w:name="_Toc392171836"/>
            <w:r w:rsidRPr="002A1165">
              <w:t>Internet Security</w:t>
            </w:r>
            <w:bookmarkEnd w:id="0"/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DATED:</w:t>
            </w: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194A2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03/06/2014</w:t>
            </w: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5</w:t>
            </w: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10</w:t>
            </w: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4E4A56" w:rsidRPr="002A1165" w:rsidTr="00450B08">
        <w:tc>
          <w:tcPr>
            <w:tcW w:w="1951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JACS CODE:</w:t>
            </w:r>
            <w:r w:rsidRPr="002A1165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4E4A56" w:rsidRPr="002A1165" w:rsidRDefault="004E4A56" w:rsidP="00450B08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1B433E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I160</w:t>
            </w:r>
          </w:p>
        </w:tc>
      </w:tr>
    </w:tbl>
    <w:p w:rsidR="004E4A56" w:rsidRPr="002A1165" w:rsidRDefault="004E4A56" w:rsidP="004E4A56">
      <w:pPr>
        <w:pBdr>
          <w:bottom w:val="single" w:sz="6" w:space="1" w:color="auto"/>
        </w:pBdr>
        <w:rPr>
          <w:rFonts w:cs="Calibri"/>
          <w:color w:val="000000" w:themeColor="text1"/>
          <w:sz w:val="22"/>
          <w:szCs w:val="22"/>
        </w:rPr>
      </w:pPr>
      <w:r w:rsidRPr="002A1165">
        <w:rPr>
          <w:rFonts w:cs="Calibri"/>
          <w:b/>
          <w:color w:val="000000" w:themeColor="text1"/>
          <w:sz w:val="22"/>
          <w:szCs w:val="22"/>
        </w:rPr>
        <w:tab/>
      </w:r>
    </w:p>
    <w:p w:rsidR="004E4A56" w:rsidRPr="002A1165" w:rsidRDefault="004E4A56" w:rsidP="004E4A56">
      <w:pPr>
        <w:pBdr>
          <w:bottom w:val="single" w:sz="6" w:space="1" w:color="auto"/>
        </w:pBdr>
        <w:rPr>
          <w:rFonts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b/>
          <w:color w:val="000000" w:themeColor="text1"/>
          <w:sz w:val="22"/>
          <w:szCs w:val="22"/>
        </w:rPr>
        <w:t>AIM(S)</w:t>
      </w:r>
    </w:p>
    <w:p w:rsidR="004E4A56" w:rsidRPr="002A1165" w:rsidRDefault="004E4A56" w:rsidP="004E4A56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jc w:val="left"/>
        <w:textAlignment w:val="auto"/>
        <w:rPr>
          <w:rFonts w:ascii="Calibri" w:hAnsi="Calibri" w:cs="Calibri"/>
          <w:color w:val="000000" w:themeColor="text1"/>
          <w:sz w:val="22"/>
        </w:rPr>
      </w:pPr>
      <w:r w:rsidRPr="002A1165">
        <w:rPr>
          <w:rFonts w:ascii="Calibri" w:hAnsi="Calibri" w:cs="Calibri"/>
          <w:color w:val="000000" w:themeColor="text1"/>
          <w:sz w:val="22"/>
        </w:rPr>
        <w:t>To analyse the security of an Internet/intranet system, including the transmission of data, with regard to internal and external threats.</w:t>
      </w:r>
    </w:p>
    <w:p w:rsidR="004E4A56" w:rsidRPr="002A1165" w:rsidRDefault="004E4A56" w:rsidP="004E4A56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Calibri" w:hAnsi="Calibri" w:cs="Calibri"/>
          <w:b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b/>
          <w:color w:val="000000" w:themeColor="text1"/>
          <w:sz w:val="22"/>
          <w:szCs w:val="22"/>
        </w:rPr>
        <w:t>LEARNING OUTCOMES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  <w:szCs w:val="22"/>
        </w:rPr>
      </w:pPr>
      <w:r w:rsidRPr="002A1165">
        <w:rPr>
          <w:rFonts w:cs="Calibri"/>
          <w:color w:val="000000" w:themeColor="text1"/>
          <w:sz w:val="22"/>
          <w:szCs w:val="22"/>
        </w:rPr>
        <w:t>Upon the successful completion of this module, the student should be able to demonstrate the ability to: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fixed"/>
        <w:numPr>
          <w:ilvl w:val="0"/>
          <w:numId w:val="2"/>
        </w:numPr>
        <w:rPr>
          <w:rFonts w:ascii="Calibri" w:hAnsi="Calibri" w:cs="Calibri"/>
          <w:b w:val="0"/>
          <w:color w:val="000000" w:themeColor="text1"/>
          <w:sz w:val="22"/>
          <w:szCs w:val="24"/>
        </w:rPr>
      </w:pPr>
      <w:r w:rsidRPr="002A1165">
        <w:rPr>
          <w:rFonts w:ascii="Calibri" w:hAnsi="Calibri" w:cs="Calibri"/>
          <w:b w:val="0"/>
          <w:color w:val="000000" w:themeColor="text1"/>
          <w:sz w:val="22"/>
          <w:szCs w:val="24"/>
        </w:rPr>
        <w:t>Demonstrate systematic understanding of security policies and measures to mitigate internal and external attacks and threats in a network.</w:t>
      </w:r>
    </w:p>
    <w:p w:rsidR="004E4A56" w:rsidRPr="002A1165" w:rsidRDefault="004E4A56" w:rsidP="004E4A56">
      <w:pPr>
        <w:pStyle w:val="fixed"/>
        <w:ind w:left="0" w:firstLine="0"/>
        <w:rPr>
          <w:rFonts w:ascii="Calibri" w:hAnsi="Calibri" w:cs="Calibri"/>
          <w:color w:val="000000" w:themeColor="text1"/>
          <w:sz w:val="22"/>
          <w:szCs w:val="24"/>
        </w:rPr>
      </w:pPr>
    </w:p>
    <w:p w:rsidR="004E4A56" w:rsidRPr="002A1165" w:rsidRDefault="004E4A56" w:rsidP="004E4A56">
      <w:pPr>
        <w:pStyle w:val="fixed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color w:val="000000" w:themeColor="text1"/>
          <w:sz w:val="22"/>
          <w:szCs w:val="22"/>
        </w:rPr>
        <w:t>INDICATIVE CONTENT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Network security and principles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Developing a comprehensive network and self-defending networks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Security policy, standards, guidelines and procedures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 xml:space="preserve">Authentication, </w:t>
      </w:r>
      <w:proofErr w:type="spellStart"/>
      <w:r w:rsidRPr="002A1165">
        <w:rPr>
          <w:color w:val="000000" w:themeColor="text1"/>
          <w:sz w:val="22"/>
          <w:szCs w:val="24"/>
        </w:rPr>
        <w:t>Authorisation</w:t>
      </w:r>
      <w:proofErr w:type="spellEnd"/>
      <w:r w:rsidRPr="002A1165">
        <w:rPr>
          <w:color w:val="000000" w:themeColor="text1"/>
          <w:sz w:val="22"/>
          <w:szCs w:val="24"/>
        </w:rPr>
        <w:t>, and Accounting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Firewall technologies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Fundamentals of cryptography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Intrusion detection system and intrusion prevision system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Web and database attacks – attacking webservers, category of risk, vulnerabilities of Web Servers and applications, permissions, SQL injections, attacking tools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>Database Vulnerabilities – locating databases on the network, database server password cracking, locating vulnerabilities in databases</w:t>
      </w:r>
    </w:p>
    <w:p w:rsidR="004E4A56" w:rsidRPr="002A1165" w:rsidRDefault="004E4A56" w:rsidP="004E4A56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2"/>
          <w:szCs w:val="24"/>
        </w:rPr>
      </w:pPr>
      <w:r w:rsidRPr="002A1165">
        <w:rPr>
          <w:color w:val="000000" w:themeColor="text1"/>
          <w:sz w:val="22"/>
          <w:szCs w:val="24"/>
        </w:rPr>
        <w:t xml:space="preserve">HTML – Vulnerabilities, </w:t>
      </w:r>
      <w:proofErr w:type="spellStart"/>
      <w:r w:rsidRPr="002A1165">
        <w:rPr>
          <w:color w:val="000000" w:themeColor="text1"/>
          <w:sz w:val="22"/>
          <w:szCs w:val="24"/>
        </w:rPr>
        <w:t>analysing</w:t>
      </w:r>
      <w:proofErr w:type="spellEnd"/>
      <w:r w:rsidRPr="002A1165">
        <w:rPr>
          <w:color w:val="000000" w:themeColor="text1"/>
          <w:sz w:val="22"/>
          <w:szCs w:val="24"/>
        </w:rPr>
        <w:t xml:space="preserve"> suspicious sites, MSO4-040 threats</w:t>
      </w: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color w:val="000000" w:themeColor="text1"/>
          <w:sz w:val="22"/>
          <w:lang w:val="en-US"/>
        </w:rPr>
      </w:pPr>
      <w:r w:rsidRPr="002A1165">
        <w:rPr>
          <w:rFonts w:cs="Calibri"/>
          <w:b/>
          <w:color w:val="000000" w:themeColor="text1"/>
          <w:sz w:val="22"/>
          <w:szCs w:val="22"/>
        </w:rPr>
        <w:t>LEARNING AND TEACHING STRATEGY</w:t>
      </w:r>
    </w:p>
    <w:p w:rsidR="004E4A56" w:rsidRPr="002A1165" w:rsidRDefault="004E4A56" w:rsidP="004E4A56">
      <w:pPr>
        <w:shd w:val="clear" w:color="auto" w:fill="FFFFFF"/>
        <w:spacing w:before="120"/>
        <w:rPr>
          <w:rFonts w:cs="Calibri"/>
          <w:color w:val="000000" w:themeColor="text1"/>
          <w:sz w:val="22"/>
          <w:lang w:eastAsia="en-GB"/>
        </w:rPr>
      </w:pPr>
      <w:r w:rsidRPr="002A1165">
        <w:rPr>
          <w:rFonts w:cs="Calibri"/>
          <w:color w:val="000000" w:themeColor="text1"/>
          <w:sz w:val="22"/>
          <w:lang w:eastAsia="en-GB"/>
        </w:rPr>
        <w:t>The majority of factual material will be presented in lectures using hand-outs, guided reading and use of internet and intranet material as required.</w:t>
      </w:r>
    </w:p>
    <w:p w:rsidR="004E4A56" w:rsidRPr="002A1165" w:rsidRDefault="004E4A56" w:rsidP="004E4A56">
      <w:pPr>
        <w:shd w:val="clear" w:color="auto" w:fill="FFFFFF"/>
        <w:spacing w:before="100" w:beforeAutospacing="1" w:after="100" w:afterAutospacing="1"/>
        <w:rPr>
          <w:rFonts w:cs="Calibri"/>
          <w:color w:val="000000" w:themeColor="text1"/>
          <w:sz w:val="22"/>
          <w:lang w:eastAsia="en-GB"/>
        </w:rPr>
      </w:pPr>
      <w:r w:rsidRPr="002A1165">
        <w:rPr>
          <w:rFonts w:cs="Calibri"/>
          <w:color w:val="000000" w:themeColor="text1"/>
          <w:sz w:val="22"/>
        </w:rPr>
        <w:t xml:space="preserve">Tutorial classes will concentrate on the technical design 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</w:rPr>
      </w:pPr>
      <w:r w:rsidRPr="002A1165">
        <w:rPr>
          <w:rFonts w:cs="Calibri"/>
          <w:color w:val="000000" w:themeColor="text1"/>
          <w:sz w:val="22"/>
          <w:lang w:eastAsia="en-GB"/>
        </w:rPr>
        <w:t xml:space="preserve">Laboratories will be used to allow students to gain </w:t>
      </w:r>
      <w:r>
        <w:rPr>
          <w:rFonts w:cs="Calibri"/>
          <w:color w:val="000000" w:themeColor="text1"/>
          <w:sz w:val="22"/>
          <w:lang w:eastAsia="en-GB"/>
        </w:rPr>
        <w:t>network</w:t>
      </w:r>
      <w:r w:rsidRPr="002A1165">
        <w:rPr>
          <w:rFonts w:cs="Calibri"/>
          <w:color w:val="000000" w:themeColor="text1"/>
          <w:sz w:val="22"/>
          <w:lang w:eastAsia="en-GB"/>
        </w:rPr>
        <w:t xml:space="preserve"> and </w:t>
      </w:r>
      <w:r>
        <w:rPr>
          <w:rFonts w:cs="Calibri"/>
          <w:color w:val="000000" w:themeColor="text1"/>
          <w:sz w:val="22"/>
          <w:lang w:eastAsia="en-GB"/>
        </w:rPr>
        <w:t>internet security</w:t>
      </w:r>
      <w:r w:rsidRPr="002A1165">
        <w:rPr>
          <w:rFonts w:cs="Calibri"/>
          <w:color w:val="000000" w:themeColor="text1"/>
          <w:sz w:val="22"/>
          <w:lang w:eastAsia="en-GB"/>
        </w:rPr>
        <w:t xml:space="preserve"> skills with the aid of lab equipment and appropriate software such as VM </w:t>
      </w:r>
      <w:proofErr w:type="spellStart"/>
      <w:r w:rsidRPr="002A1165">
        <w:rPr>
          <w:rFonts w:cs="Calibri"/>
          <w:color w:val="000000" w:themeColor="text1"/>
          <w:sz w:val="22"/>
          <w:lang w:eastAsia="en-GB"/>
        </w:rPr>
        <w:t>virtualbox</w:t>
      </w:r>
      <w:proofErr w:type="spellEnd"/>
      <w:r w:rsidRPr="002A1165">
        <w:rPr>
          <w:rFonts w:cs="Calibri"/>
          <w:color w:val="000000" w:themeColor="text1"/>
          <w:sz w:val="22"/>
          <w:lang w:eastAsia="en-GB"/>
        </w:rPr>
        <w:t xml:space="preserve">, Kali, </w:t>
      </w:r>
      <w:proofErr w:type="spellStart"/>
      <w:r w:rsidRPr="002A1165">
        <w:rPr>
          <w:rFonts w:cs="Calibri"/>
          <w:color w:val="000000" w:themeColor="text1"/>
          <w:sz w:val="22"/>
          <w:lang w:eastAsia="en-GB"/>
        </w:rPr>
        <w:t>Nmap</w:t>
      </w:r>
      <w:proofErr w:type="spellEnd"/>
      <w:r w:rsidRPr="002A1165">
        <w:rPr>
          <w:rFonts w:cs="Calibri"/>
          <w:color w:val="000000" w:themeColor="text1"/>
          <w:sz w:val="22"/>
          <w:lang w:eastAsia="en-GB"/>
        </w:rPr>
        <w:t>, Packet tracer, Wireshark, SAINT, Nessus, System tools, etc.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  <w:szCs w:val="22"/>
        </w:rPr>
      </w:pPr>
      <w:r w:rsidRPr="002A1165">
        <w:rPr>
          <w:rFonts w:cs="Calibri"/>
          <w:color w:val="000000" w:themeColor="text1"/>
          <w:sz w:val="22"/>
          <w:szCs w:val="22"/>
        </w:rPr>
        <w:br w:type="page"/>
      </w:r>
      <w:r w:rsidRPr="002A1165">
        <w:rPr>
          <w:rFonts w:cs="Calibri"/>
          <w:color w:val="000000" w:themeColor="text1"/>
          <w:sz w:val="22"/>
          <w:szCs w:val="22"/>
        </w:rPr>
        <w:lastRenderedPageBreak/>
        <w:t>The allocation of teaching to deliver the module is: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E4A56" w:rsidRPr="002A1165" w:rsidTr="00450B0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4E4A56" w:rsidRPr="002A1165" w:rsidTr="00450B08">
        <w:tc>
          <w:tcPr>
            <w:tcW w:w="3969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30%</w:t>
            </w:r>
          </w:p>
        </w:tc>
      </w:tr>
      <w:tr w:rsidR="004E4A56" w:rsidRPr="002A1165" w:rsidTr="00450B08">
        <w:tc>
          <w:tcPr>
            <w:tcW w:w="3969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70</w:t>
            </w:r>
          </w:p>
        </w:tc>
        <w:tc>
          <w:tcPr>
            <w:tcW w:w="1843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70%</w:t>
            </w:r>
          </w:p>
        </w:tc>
      </w:tr>
      <w:tr w:rsidR="004E4A56" w:rsidRPr="002A1165" w:rsidTr="00450B08">
        <w:tc>
          <w:tcPr>
            <w:tcW w:w="3969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</w:p>
        </w:tc>
      </w:tr>
      <w:tr w:rsidR="004E4A56" w:rsidRPr="002A1165" w:rsidTr="00450B08">
        <w:tc>
          <w:tcPr>
            <w:tcW w:w="3969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>
              <w:rPr>
                <w:rFonts w:cs="Calibri"/>
                <w:b/>
                <w:color w:val="000000" w:themeColor="text1"/>
                <w:sz w:val="22"/>
                <w:szCs w:val="22"/>
              </w:rPr>
              <w:t>1</w:t>
            </w: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00</w:t>
            </w:r>
          </w:p>
        </w:tc>
        <w:tc>
          <w:tcPr>
            <w:tcW w:w="1843" w:type="dxa"/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  <w:r w:rsidRPr="002A1165">
        <w:rPr>
          <w:rFonts w:cs="Calibri"/>
          <w:b/>
          <w:color w:val="000000" w:themeColor="text1"/>
          <w:sz w:val="22"/>
          <w:szCs w:val="22"/>
        </w:rPr>
        <w:t>ASSESSMENT</w:t>
      </w:r>
    </w:p>
    <w:p w:rsidR="004E4A56" w:rsidRPr="002A1165" w:rsidRDefault="004E4A56" w:rsidP="004E4A56">
      <w:pPr>
        <w:pStyle w:val="heading"/>
        <w:spacing w:before="0" w:after="0"/>
        <w:ind w:left="0" w:firstLine="0"/>
        <w:rPr>
          <w:rFonts w:ascii="Calibri" w:hAnsi="Calibri" w:cs="Calibri"/>
          <w:b w:val="0"/>
          <w:i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b w:val="0"/>
          <w:i/>
          <w:color w:val="000000" w:themeColor="text1"/>
          <w:sz w:val="22"/>
          <w:szCs w:val="22"/>
        </w:rPr>
        <w:t>Description of each assessment component and its weighting, together with an example for new forms of assessment:</w:t>
      </w:r>
    </w:p>
    <w:p w:rsidR="004E4A56" w:rsidRPr="002A1165" w:rsidRDefault="004E4A56" w:rsidP="004E4A56">
      <w:pPr>
        <w:pStyle w:val="fixed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  <w:r w:rsidRPr="002A1165">
        <w:rPr>
          <w:rFonts w:cs="Calibri"/>
          <w:b/>
          <w:color w:val="000000" w:themeColor="text1"/>
          <w:sz w:val="22"/>
          <w:szCs w:val="22"/>
        </w:rPr>
        <w:t>Assessment Component 1 – Coursework -100%</w:t>
      </w:r>
    </w:p>
    <w:p w:rsidR="004E4A56" w:rsidRPr="002A1165" w:rsidRDefault="004E4A56" w:rsidP="004E4A56">
      <w:pPr>
        <w:pStyle w:val="Default"/>
        <w:jc w:val="both"/>
        <w:rPr>
          <w:rFonts w:ascii="Calibri" w:hAnsi="Calibri" w:cs="Calibri"/>
          <w:color w:val="000000" w:themeColor="text1"/>
          <w:sz w:val="22"/>
        </w:rPr>
      </w:pPr>
      <w:r w:rsidRPr="002A1165">
        <w:rPr>
          <w:rFonts w:ascii="Calibri" w:hAnsi="Calibri" w:cs="Calibri"/>
          <w:color w:val="000000" w:themeColor="text1"/>
          <w:sz w:val="22"/>
        </w:rPr>
        <w:t>Produce a written report that investigates various security measures to mitigate internal and external attacks and threats in a networking infrastructure.</w:t>
      </w:r>
    </w:p>
    <w:p w:rsidR="004E4A56" w:rsidRPr="002A1165" w:rsidRDefault="004E4A56" w:rsidP="004E4A56">
      <w:pPr>
        <w:pStyle w:val="Default"/>
        <w:jc w:val="both"/>
        <w:rPr>
          <w:rFonts w:ascii="Calibri" w:hAnsi="Calibri" w:cs="Calibri"/>
          <w:color w:val="000000" w:themeColor="text1"/>
          <w:sz w:val="22"/>
        </w:rPr>
      </w:pPr>
    </w:p>
    <w:p w:rsidR="004E4A56" w:rsidRPr="002A1165" w:rsidRDefault="004E4A56" w:rsidP="004E4A56">
      <w:pPr>
        <w:rPr>
          <w:color w:val="000000" w:themeColor="text1"/>
          <w:sz w:val="22"/>
        </w:rPr>
      </w:pPr>
      <w:r w:rsidRPr="002A1165">
        <w:rPr>
          <w:color w:val="000000" w:themeColor="text1"/>
          <w:sz w:val="22"/>
        </w:rPr>
        <w:t>Exemplar: ‘</w:t>
      </w:r>
      <w:r w:rsidRPr="002A1165">
        <w:rPr>
          <w:rFonts w:cs="Arial"/>
          <w:color w:val="000000" w:themeColor="text1"/>
          <w:sz w:val="22"/>
          <w:szCs w:val="22"/>
        </w:rPr>
        <w:t>A Systematic Research of Security and Policies for Internet and local/remote networks.’</w:t>
      </w:r>
    </w:p>
    <w:p w:rsidR="004E4A56" w:rsidRPr="002A1165" w:rsidRDefault="004E4A56" w:rsidP="004E4A56">
      <w:pPr>
        <w:pStyle w:val="fixed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fixed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color w:val="000000" w:themeColor="text1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E4A56" w:rsidRPr="002A1165" w:rsidTr="00450B0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Percentage</w:t>
            </w:r>
          </w:p>
        </w:tc>
      </w:tr>
      <w:tr w:rsidR="004E4A56" w:rsidRPr="002A1165" w:rsidTr="00450B08">
        <w:tc>
          <w:tcPr>
            <w:tcW w:w="326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0%</w:t>
            </w:r>
          </w:p>
        </w:tc>
      </w:tr>
      <w:tr w:rsidR="004E4A56" w:rsidRPr="002A1165" w:rsidTr="00450B08">
        <w:tc>
          <w:tcPr>
            <w:tcW w:w="326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100%</w:t>
            </w:r>
          </w:p>
        </w:tc>
      </w:tr>
      <w:tr w:rsidR="004E4A56" w:rsidRPr="002A1165" w:rsidTr="00450B08">
        <w:tc>
          <w:tcPr>
            <w:tcW w:w="326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color w:val="000000" w:themeColor="text1"/>
                <w:sz w:val="22"/>
                <w:szCs w:val="22"/>
              </w:rPr>
              <w:t>0%</w:t>
            </w:r>
          </w:p>
        </w:tc>
      </w:tr>
      <w:tr w:rsidR="004E4A56" w:rsidRPr="002A1165" w:rsidTr="00450B08">
        <w:tc>
          <w:tcPr>
            <w:tcW w:w="3261" w:type="dxa"/>
          </w:tcPr>
          <w:p w:rsidR="004E4A56" w:rsidRPr="002A1165" w:rsidRDefault="004E4A56" w:rsidP="00450B08">
            <w:pPr>
              <w:rPr>
                <w:rFonts w:cs="Calibri"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4E4A56" w:rsidRPr="002A1165" w:rsidRDefault="004E4A56" w:rsidP="00450B08">
            <w:pPr>
              <w:rPr>
                <w:rFonts w:cs="Calibri"/>
                <w:b/>
                <w:color w:val="000000" w:themeColor="text1"/>
                <w:sz w:val="22"/>
                <w:szCs w:val="22"/>
              </w:rPr>
            </w:pPr>
            <w:r w:rsidRPr="002A1165">
              <w:rPr>
                <w:rFonts w:cs="Calibri"/>
                <w:b/>
                <w:color w:val="000000" w:themeColor="text1"/>
                <w:sz w:val="22"/>
                <w:szCs w:val="22"/>
              </w:rPr>
              <w:t>100%</w:t>
            </w:r>
          </w:p>
        </w:tc>
      </w:tr>
    </w:tbl>
    <w:p w:rsidR="004E4A56" w:rsidRPr="002A1165" w:rsidRDefault="004E4A56" w:rsidP="004E4A56">
      <w:pPr>
        <w:rPr>
          <w:rFonts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rPr>
          <w:rFonts w:cs="Calibri"/>
          <w:b/>
          <w:color w:val="000000" w:themeColor="text1"/>
          <w:sz w:val="22"/>
          <w:szCs w:val="22"/>
        </w:rPr>
      </w:pPr>
      <w:r w:rsidRPr="002A1165">
        <w:rPr>
          <w:rFonts w:cs="Calibri"/>
          <w:b/>
          <w:color w:val="000000" w:themeColor="text1"/>
          <w:sz w:val="22"/>
          <w:szCs w:val="22"/>
        </w:rPr>
        <w:t>BIBLIOGRAPHY</w:t>
      </w:r>
    </w:p>
    <w:p w:rsidR="004E4A56" w:rsidRPr="002A1165" w:rsidRDefault="004E4A56" w:rsidP="004E4A56">
      <w:pPr>
        <w:pStyle w:val="heading"/>
        <w:spacing w:before="0" w:after="0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</w:p>
    <w:p w:rsidR="004E4A56" w:rsidRPr="002A1165" w:rsidRDefault="004E4A56" w:rsidP="004E4A56">
      <w:pPr>
        <w:pStyle w:val="heading"/>
        <w:spacing w:before="0" w:after="0"/>
        <w:ind w:left="0" w:firstLine="0"/>
        <w:rPr>
          <w:rFonts w:ascii="Calibri" w:hAnsi="Calibri" w:cs="Calibri"/>
          <w:color w:val="000000" w:themeColor="text1"/>
          <w:sz w:val="22"/>
          <w:szCs w:val="22"/>
        </w:rPr>
      </w:pPr>
      <w:r w:rsidRPr="002A1165">
        <w:rPr>
          <w:rFonts w:ascii="Calibri" w:hAnsi="Calibri" w:cs="Calibri"/>
          <w:color w:val="000000" w:themeColor="text1"/>
          <w:sz w:val="22"/>
          <w:szCs w:val="22"/>
        </w:rPr>
        <w:t>Essential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</w:rPr>
      </w:pPr>
      <w:r w:rsidRPr="002A1165">
        <w:rPr>
          <w:rFonts w:cs="Calibri"/>
          <w:color w:val="000000" w:themeColor="text1"/>
          <w:sz w:val="22"/>
        </w:rPr>
        <w:t xml:space="preserve">Stallings, W (2014) </w:t>
      </w:r>
      <w:r w:rsidRPr="002A1165">
        <w:rPr>
          <w:rFonts w:cs="Calibri"/>
          <w:i/>
          <w:color w:val="000000" w:themeColor="text1"/>
          <w:sz w:val="22"/>
        </w:rPr>
        <w:t>Cryptography and network security, principles and practice</w:t>
      </w:r>
      <w:r w:rsidRPr="002A1165">
        <w:rPr>
          <w:rFonts w:cs="Calibri"/>
          <w:color w:val="000000" w:themeColor="text1"/>
          <w:sz w:val="22"/>
        </w:rPr>
        <w:t>, Pearson Education Ltd. 2014</w:t>
      </w: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  <w:proofErr w:type="spellStart"/>
      <w:r w:rsidRPr="002A1165">
        <w:rPr>
          <w:rFonts w:cs="Calibri"/>
          <w:color w:val="000000" w:themeColor="text1"/>
          <w:sz w:val="22"/>
          <w:lang w:val="en-US"/>
        </w:rPr>
        <w:t>H.Carr</w:t>
      </w:r>
      <w:proofErr w:type="spellEnd"/>
      <w:r w:rsidRPr="002A1165">
        <w:rPr>
          <w:rFonts w:cs="Calibri"/>
          <w:color w:val="000000" w:themeColor="text1"/>
          <w:sz w:val="22"/>
          <w:lang w:val="en-US"/>
        </w:rPr>
        <w:t xml:space="preserve">, C. Snyder, B. Bailey (2010) </w:t>
      </w:r>
      <w:proofErr w:type="gramStart"/>
      <w:r w:rsidRPr="002A1165">
        <w:rPr>
          <w:rFonts w:cs="Calibri"/>
          <w:i/>
          <w:color w:val="000000" w:themeColor="text1"/>
          <w:sz w:val="22"/>
          <w:lang w:val="en-US"/>
        </w:rPr>
        <w:t>The</w:t>
      </w:r>
      <w:proofErr w:type="gramEnd"/>
      <w:r w:rsidRPr="002A1165">
        <w:rPr>
          <w:rFonts w:cs="Calibri"/>
          <w:i/>
          <w:color w:val="000000" w:themeColor="text1"/>
          <w:sz w:val="22"/>
          <w:lang w:val="en-US"/>
        </w:rPr>
        <w:t xml:space="preserve"> Management of Network Security, Technology, Design and Management Control</w:t>
      </w:r>
      <w:r w:rsidRPr="002A1165">
        <w:rPr>
          <w:rFonts w:cs="Calibri"/>
          <w:color w:val="000000" w:themeColor="text1"/>
          <w:sz w:val="22"/>
          <w:lang w:val="en-US"/>
        </w:rPr>
        <w:t xml:space="preserve">, </w:t>
      </w:r>
      <w:r w:rsidRPr="002A1165">
        <w:rPr>
          <w:rFonts w:cs="Calibri"/>
          <w:color w:val="000000" w:themeColor="text1"/>
          <w:sz w:val="22"/>
        </w:rPr>
        <w:t xml:space="preserve">Pearson Education Ltd. </w:t>
      </w:r>
    </w:p>
    <w:p w:rsidR="004E4A56" w:rsidRPr="002A1165" w:rsidRDefault="004E4A56" w:rsidP="004E4A56">
      <w:pPr>
        <w:rPr>
          <w:rFonts w:cs="Calibri"/>
          <w:color w:val="000000" w:themeColor="text1"/>
          <w:sz w:val="22"/>
        </w:rPr>
      </w:pPr>
    </w:p>
    <w:p w:rsidR="004E4A56" w:rsidRPr="002A1165" w:rsidRDefault="004E4A56" w:rsidP="004E4A5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color w:val="000000" w:themeColor="text1"/>
          <w:sz w:val="22"/>
        </w:rPr>
      </w:pPr>
      <w:r w:rsidRPr="002A1165">
        <w:rPr>
          <w:rFonts w:cs="Calibri"/>
          <w:color w:val="000000" w:themeColor="text1"/>
          <w:sz w:val="22"/>
        </w:rPr>
        <w:t xml:space="preserve">M. Gregg, (2014) </w:t>
      </w:r>
      <w:r w:rsidRPr="002A1165">
        <w:rPr>
          <w:rFonts w:cs="Calibri"/>
          <w:i/>
          <w:color w:val="000000" w:themeColor="text1"/>
          <w:sz w:val="22"/>
        </w:rPr>
        <w:t>Certified Ethical Hacker (CEH) Cert Guide</w:t>
      </w:r>
      <w:r w:rsidRPr="002A1165">
        <w:rPr>
          <w:rFonts w:cs="Calibri"/>
          <w:color w:val="000000" w:themeColor="text1"/>
          <w:sz w:val="22"/>
        </w:rPr>
        <w:t>, Pearson Education Ltd.</w:t>
      </w:r>
    </w:p>
    <w:p w:rsidR="004E4A56" w:rsidRPr="002A1165" w:rsidRDefault="004E4A56" w:rsidP="004E4A5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b/>
          <w:color w:val="000000" w:themeColor="text1"/>
          <w:sz w:val="22"/>
        </w:rPr>
      </w:pPr>
    </w:p>
    <w:p w:rsidR="004E4A56" w:rsidRPr="002A1165" w:rsidRDefault="004E4A56" w:rsidP="004E4A5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cs="Calibri"/>
          <w:b/>
          <w:color w:val="000000" w:themeColor="text1"/>
          <w:sz w:val="22"/>
        </w:rPr>
      </w:pPr>
      <w:r w:rsidRPr="002A1165">
        <w:rPr>
          <w:rFonts w:cs="Calibri"/>
          <w:b/>
          <w:color w:val="000000" w:themeColor="text1"/>
          <w:sz w:val="22"/>
        </w:rPr>
        <w:t>Background</w:t>
      </w: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  <w:proofErr w:type="spellStart"/>
      <w:r w:rsidRPr="002A1165">
        <w:rPr>
          <w:rFonts w:cs="Calibri"/>
          <w:color w:val="000000" w:themeColor="text1"/>
          <w:sz w:val="22"/>
          <w:lang w:val="en-US"/>
        </w:rPr>
        <w:t>Ciampa</w:t>
      </w:r>
      <w:proofErr w:type="spellEnd"/>
      <w:r w:rsidRPr="002A1165">
        <w:rPr>
          <w:rFonts w:cs="Calibri"/>
          <w:color w:val="000000" w:themeColor="text1"/>
          <w:sz w:val="22"/>
          <w:lang w:val="en-US"/>
        </w:rPr>
        <w:t xml:space="preserve">, M (2012) </w:t>
      </w:r>
      <w:r w:rsidRPr="002A1165">
        <w:rPr>
          <w:rFonts w:cs="Calibri"/>
          <w:i/>
          <w:color w:val="000000" w:themeColor="text1"/>
          <w:sz w:val="22"/>
          <w:lang w:val="en-US"/>
        </w:rPr>
        <w:t>Security+ Guide to Network security fundamentals</w:t>
      </w:r>
      <w:r w:rsidRPr="002A1165">
        <w:rPr>
          <w:rFonts w:cs="Calibri"/>
          <w:color w:val="000000" w:themeColor="text1"/>
          <w:sz w:val="22"/>
          <w:lang w:val="en-US"/>
        </w:rPr>
        <w:t>, Cengage Learning</w:t>
      </w: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  <w:r w:rsidRPr="002A1165">
        <w:rPr>
          <w:rFonts w:cs="Calibri"/>
          <w:color w:val="000000" w:themeColor="text1"/>
          <w:sz w:val="22"/>
          <w:lang w:val="en-US"/>
        </w:rPr>
        <w:t xml:space="preserve">D. Kim, M. Solomon, (2012) </w:t>
      </w:r>
      <w:r w:rsidRPr="002A1165">
        <w:rPr>
          <w:rFonts w:cs="Calibri"/>
          <w:i/>
          <w:color w:val="000000" w:themeColor="text1"/>
          <w:sz w:val="22"/>
          <w:lang w:val="en-US"/>
        </w:rPr>
        <w:t>Fundamentals of Information System Security</w:t>
      </w:r>
      <w:r w:rsidRPr="002A1165">
        <w:rPr>
          <w:rFonts w:cs="Calibri"/>
          <w:color w:val="000000" w:themeColor="text1"/>
          <w:sz w:val="22"/>
          <w:lang w:val="en-US"/>
        </w:rPr>
        <w:t>, Jones and Bartlett Learning</w:t>
      </w: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  <w:r w:rsidRPr="002A1165">
        <w:rPr>
          <w:rFonts w:cs="Calibri"/>
          <w:color w:val="000000" w:themeColor="text1"/>
          <w:sz w:val="22"/>
          <w:lang w:val="en-US"/>
        </w:rPr>
        <w:t xml:space="preserve">J. Michael Stewart (2011) </w:t>
      </w:r>
      <w:r w:rsidRPr="002A1165">
        <w:rPr>
          <w:rFonts w:cs="Calibri"/>
          <w:i/>
          <w:color w:val="000000" w:themeColor="text1"/>
          <w:sz w:val="22"/>
          <w:lang w:val="en-US"/>
        </w:rPr>
        <w:t>Network Security, firewalls, and VPNs</w:t>
      </w:r>
      <w:r w:rsidRPr="002A1165">
        <w:rPr>
          <w:rFonts w:cs="Calibri"/>
          <w:color w:val="000000" w:themeColor="text1"/>
          <w:sz w:val="22"/>
          <w:lang w:val="en-US"/>
        </w:rPr>
        <w:t xml:space="preserve">, Jones and Bartlett Learning, </w:t>
      </w:r>
    </w:p>
    <w:p w:rsidR="004E4A56" w:rsidRPr="002A1165" w:rsidRDefault="004E4A56" w:rsidP="004E4A56">
      <w:pPr>
        <w:tabs>
          <w:tab w:val="left" w:pos="720"/>
        </w:tabs>
        <w:jc w:val="both"/>
        <w:rPr>
          <w:rFonts w:cs="Calibri"/>
          <w:color w:val="000000" w:themeColor="text1"/>
          <w:sz w:val="22"/>
          <w:lang w:val="en-US"/>
        </w:rPr>
      </w:pPr>
    </w:p>
    <w:p w:rsidR="004E4A56" w:rsidRPr="002A1165" w:rsidRDefault="004E4A56" w:rsidP="004E4A5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ind w:left="3600" w:hanging="3600"/>
        <w:rPr>
          <w:rFonts w:cs="Calibri"/>
          <w:color w:val="000000" w:themeColor="text1"/>
          <w:sz w:val="22"/>
          <w:lang w:val="en-US"/>
        </w:rPr>
      </w:pPr>
      <w:r w:rsidRPr="002A1165">
        <w:rPr>
          <w:rFonts w:cs="Calibri"/>
          <w:color w:val="000000" w:themeColor="text1"/>
          <w:sz w:val="22"/>
          <w:lang w:val="en-US"/>
        </w:rPr>
        <w:t xml:space="preserve">M. Whitman, H. </w:t>
      </w:r>
      <w:proofErr w:type="spellStart"/>
      <w:r w:rsidRPr="002A1165">
        <w:rPr>
          <w:rFonts w:cs="Calibri"/>
          <w:color w:val="000000" w:themeColor="text1"/>
          <w:sz w:val="22"/>
          <w:lang w:val="en-US"/>
        </w:rPr>
        <w:t>Mattord</w:t>
      </w:r>
      <w:proofErr w:type="spellEnd"/>
      <w:r w:rsidRPr="002A1165">
        <w:rPr>
          <w:rFonts w:cs="Calibri"/>
          <w:color w:val="000000" w:themeColor="text1"/>
          <w:sz w:val="22"/>
          <w:lang w:val="en-US"/>
        </w:rPr>
        <w:t xml:space="preserve"> (2012) </w:t>
      </w:r>
      <w:r w:rsidRPr="002A1165">
        <w:rPr>
          <w:rFonts w:cs="Calibri"/>
          <w:i/>
          <w:color w:val="000000" w:themeColor="text1"/>
          <w:sz w:val="22"/>
          <w:lang w:val="en-US"/>
        </w:rPr>
        <w:t>Principles of Information Security</w:t>
      </w:r>
      <w:r w:rsidRPr="002A1165">
        <w:rPr>
          <w:rFonts w:cs="Calibri"/>
          <w:color w:val="000000" w:themeColor="text1"/>
          <w:sz w:val="22"/>
          <w:lang w:val="en-US"/>
        </w:rPr>
        <w:t>, Cengage Learning</w:t>
      </w:r>
    </w:p>
    <w:p w:rsidR="0028746C" w:rsidRDefault="0028746C">
      <w:bookmarkStart w:id="1" w:name="_GoBack"/>
      <w:bookmarkEnd w:id="1"/>
    </w:p>
    <w:sectPr w:rsidR="00287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FE296D"/>
    <w:multiLevelType w:val="hybridMultilevel"/>
    <w:tmpl w:val="D2E07E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D5A7450"/>
    <w:multiLevelType w:val="hybridMultilevel"/>
    <w:tmpl w:val="FC18C6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9D7756D"/>
    <w:multiLevelType w:val="hybridMultilevel"/>
    <w:tmpl w:val="2558FA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5EC6C2E">
      <w:start w:val="2"/>
      <w:numFmt w:val="bullet"/>
      <w:lvlText w:val="-"/>
      <w:lvlJc w:val="left"/>
      <w:pPr>
        <w:tabs>
          <w:tab w:val="num" w:pos="2203"/>
        </w:tabs>
        <w:ind w:left="2203" w:hanging="360"/>
      </w:pPr>
      <w:rPr>
        <w:rFonts w:ascii="Calibri" w:eastAsia="Times New Roman" w:hAnsi="Calibri" w:cs="Calibri" w:hint="default"/>
      </w:r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4A56"/>
    <w:rsid w:val="0028746C"/>
    <w:rsid w:val="004E4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4A56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4A56"/>
    <w:pPr>
      <w:keepNext/>
      <w:keepLines/>
      <w:spacing w:before="200" w:line="360" w:lineRule="auto"/>
      <w:outlineLvl w:val="2"/>
    </w:pPr>
    <w:rPr>
      <w:rFonts w:eastAsiaTheme="majorEastAsia" w:cstheme="majorBid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E4A56"/>
    <w:rPr>
      <w:rFonts w:ascii="Calibri" w:eastAsiaTheme="majorEastAsia" w:hAnsi="Calibri" w:cstheme="majorBid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4E4A56"/>
    <w:pPr>
      <w:contextualSpacing/>
    </w:pPr>
    <w:rPr>
      <w:rFonts w:eastAsiaTheme="minorHAnsi" w:cs="Calibri"/>
      <w:szCs w:val="22"/>
      <w:lang w:val="en-US"/>
    </w:rPr>
  </w:style>
  <w:style w:type="paragraph" w:customStyle="1" w:styleId="bullet">
    <w:name w:val="bullet"/>
    <w:link w:val="bulletChar"/>
    <w:rsid w:val="004E4A56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E4A5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4E4A56"/>
    <w:pPr>
      <w:spacing w:before="240" w:after="120"/>
    </w:pPr>
  </w:style>
  <w:style w:type="paragraph" w:customStyle="1" w:styleId="fixed">
    <w:name w:val="fixed"/>
    <w:link w:val="fixedChar"/>
    <w:rsid w:val="004E4A5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4E4A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4E4A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4E4A5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4E4A56"/>
    <w:pPr>
      <w:autoSpaceDE w:val="0"/>
      <w:autoSpaceDN w:val="0"/>
      <w:adjustRightInd w:val="0"/>
      <w:spacing w:after="0" w:line="240" w:lineRule="auto"/>
    </w:pPr>
    <w:rPr>
      <w:rFonts w:ascii="Book Antiqua" w:hAnsi="Book Antiqua" w:cs="Book Antiqu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4A56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4A56"/>
    <w:pPr>
      <w:keepNext/>
      <w:keepLines/>
      <w:spacing w:before="200" w:line="360" w:lineRule="auto"/>
      <w:outlineLvl w:val="2"/>
    </w:pPr>
    <w:rPr>
      <w:rFonts w:eastAsiaTheme="majorEastAsia" w:cstheme="majorBid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E4A56"/>
    <w:rPr>
      <w:rFonts w:ascii="Calibri" w:eastAsiaTheme="majorEastAsia" w:hAnsi="Calibri" w:cstheme="majorBid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4E4A56"/>
    <w:pPr>
      <w:contextualSpacing/>
    </w:pPr>
    <w:rPr>
      <w:rFonts w:eastAsiaTheme="minorHAnsi" w:cs="Calibri"/>
      <w:szCs w:val="22"/>
      <w:lang w:val="en-US"/>
    </w:rPr>
  </w:style>
  <w:style w:type="paragraph" w:customStyle="1" w:styleId="bullet">
    <w:name w:val="bullet"/>
    <w:link w:val="bulletChar"/>
    <w:rsid w:val="004E4A56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E4A5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4E4A56"/>
    <w:pPr>
      <w:spacing w:before="240" w:after="120"/>
    </w:pPr>
  </w:style>
  <w:style w:type="paragraph" w:customStyle="1" w:styleId="fixed">
    <w:name w:val="fixed"/>
    <w:link w:val="fixedChar"/>
    <w:rsid w:val="004E4A5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4E4A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4E4A5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4E4A5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4E4A56"/>
    <w:pPr>
      <w:autoSpaceDE w:val="0"/>
      <w:autoSpaceDN w:val="0"/>
      <w:adjustRightInd w:val="0"/>
      <w:spacing w:after="0" w:line="240" w:lineRule="auto"/>
    </w:pPr>
    <w:rPr>
      <w:rFonts w:ascii="Book Antiqua" w:hAnsi="Book Antiqua" w:cs="Book Antiqu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470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sc-cc</dc:creator>
  <cp:lastModifiedBy>sc-cc</cp:lastModifiedBy>
  <cp:revision>1</cp:revision>
  <dcterms:created xsi:type="dcterms:W3CDTF">2015-09-11T10:46:00Z</dcterms:created>
  <dcterms:modified xsi:type="dcterms:W3CDTF">2015-09-11T10:47:00Z</dcterms:modified>
</cp:coreProperties>
</file>