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5AE6D" w14:textId="77777777" w:rsidR="00A35149" w:rsidRPr="002A29D6" w:rsidRDefault="00A35149" w:rsidP="00A35149">
      <w:pPr>
        <w:rPr>
          <w:rFonts w:ascii="Calibri" w:hAnsi="Calibri" w:cs="Calibri"/>
          <w:b/>
          <w:bCs/>
        </w:rPr>
      </w:pPr>
      <w:r w:rsidRPr="002A29D6">
        <w:rPr>
          <w:rFonts w:ascii="Calibri" w:hAnsi="Calibri" w:cs="Calibri"/>
          <w:b/>
          <w:bCs/>
        </w:rPr>
        <w:t xml:space="preserve">AI Acknowledgement </w:t>
      </w:r>
    </w:p>
    <w:p w14:paraId="64015181" w14:textId="72AE006C" w:rsidR="00A35149" w:rsidRPr="002A29D6" w:rsidRDefault="00A35149" w:rsidP="00A35149">
      <w:pPr>
        <w:rPr>
          <w:rFonts w:ascii="Calibri" w:hAnsi="Calibri" w:cs="Calibri"/>
        </w:rPr>
      </w:pPr>
      <w:r w:rsidRPr="002A29D6">
        <w:rPr>
          <w:rFonts w:ascii="Calibri" w:hAnsi="Calibri" w:cs="Calibri"/>
        </w:rPr>
        <w:t>I acknowledge the use of ChatGPT (</w:t>
      </w:r>
      <w:hyperlink r:id="rId8" w:history="1">
        <w:r w:rsidRPr="002A29D6">
          <w:rPr>
            <w:rStyle w:val="Hyperlink"/>
            <w:rFonts w:ascii="Calibri" w:hAnsi="Calibri" w:cs="Calibri"/>
          </w:rPr>
          <w:t>https://chatgpt.com/</w:t>
        </w:r>
      </w:hyperlink>
      <w:r w:rsidRPr="002A29D6">
        <w:rPr>
          <w:rFonts w:ascii="Calibri" w:hAnsi="Calibri" w:cs="Calibri"/>
        </w:rPr>
        <w:t xml:space="preserve">) on </w:t>
      </w:r>
      <w:r w:rsidR="001B2CD8">
        <w:rPr>
          <w:rFonts w:ascii="Calibri" w:hAnsi="Calibri" w:cs="Calibri"/>
        </w:rPr>
        <w:t>07</w:t>
      </w:r>
      <w:r w:rsidR="00773108" w:rsidRPr="002A29D6">
        <w:rPr>
          <w:rFonts w:ascii="Calibri" w:hAnsi="Calibri" w:cs="Calibri"/>
        </w:rPr>
        <w:t xml:space="preserve"> April</w:t>
      </w:r>
      <w:r w:rsidRPr="002A29D6">
        <w:rPr>
          <w:rFonts w:ascii="Calibri" w:hAnsi="Calibri" w:cs="Calibri"/>
        </w:rPr>
        <w:t xml:space="preserve"> 2025 to check my work using the prompt(s): </w:t>
      </w:r>
    </w:p>
    <w:p w14:paraId="21A0ADC3" w14:textId="3B93B323" w:rsidR="00A35149" w:rsidRPr="002A29D6" w:rsidRDefault="00773108" w:rsidP="00BE3DBA">
      <w:pPr>
        <w:pStyle w:val="ListParagraph"/>
        <w:numPr>
          <w:ilvl w:val="0"/>
          <w:numId w:val="32"/>
        </w:numPr>
        <w:rPr>
          <w:rFonts w:ascii="Calibri" w:hAnsi="Calibri" w:cs="Calibri"/>
        </w:rPr>
      </w:pPr>
      <w:r w:rsidRPr="002A29D6">
        <w:rPr>
          <w:rFonts w:ascii="Calibri" w:hAnsi="Calibri" w:cs="Calibri"/>
        </w:rPr>
        <w:t xml:space="preserve">Check the following text for </w:t>
      </w:r>
      <w:r w:rsidR="00594BB4" w:rsidRPr="002A29D6">
        <w:rPr>
          <w:rFonts w:ascii="Calibri" w:hAnsi="Calibri" w:cs="Calibri"/>
        </w:rPr>
        <w:t>grammar, syntax and readability and highlight any areas that need attention</w:t>
      </w:r>
    </w:p>
    <w:p w14:paraId="51C62EFE" w14:textId="2C36DAE5" w:rsidR="00A35149" w:rsidRPr="002A29D6" w:rsidRDefault="00A35149" w:rsidP="00A35149">
      <w:pPr>
        <w:rPr>
          <w:rFonts w:ascii="Calibri" w:hAnsi="Calibri" w:cs="Calibri"/>
          <w:b/>
          <w:bCs/>
        </w:rPr>
      </w:pPr>
      <w:r w:rsidRPr="002A29D6">
        <w:rPr>
          <w:rFonts w:ascii="Calibri" w:hAnsi="Calibri" w:cs="Calibri"/>
        </w:rPr>
        <w:t>I confirm that I have not presented any AI generated text as my own work. I confirm I have copies of my drafts, notes, and other resources I used before, and after the use of AI tools which I may be asked to provide in evidence.</w:t>
      </w:r>
      <w:r w:rsidRPr="002A29D6">
        <w:rPr>
          <w:rFonts w:ascii="Calibri" w:hAnsi="Calibri" w:cs="Calibri"/>
          <w:b/>
          <w:bCs/>
        </w:rPr>
        <w:br w:type="page"/>
      </w:r>
    </w:p>
    <w:p w14:paraId="4AB9A540" w14:textId="6132D062" w:rsidR="00855271" w:rsidRPr="002A29D6" w:rsidRDefault="00855271" w:rsidP="007E6A7D">
      <w:pPr>
        <w:rPr>
          <w:rFonts w:ascii="Calibri" w:hAnsi="Calibri" w:cs="Calibri"/>
          <w:lang w:val="en-GB"/>
        </w:rPr>
      </w:pPr>
    </w:p>
    <w:p w14:paraId="0E02329B" w14:textId="77777777" w:rsidR="00A02BCA" w:rsidRPr="002A29D6" w:rsidRDefault="00A02BCA" w:rsidP="00A02BCA">
      <w:pPr>
        <w:rPr>
          <w:rFonts w:ascii="Calibri" w:hAnsi="Calibri" w:cs="Calibri"/>
          <w:b/>
          <w:bCs/>
          <w:sz w:val="56"/>
          <w:szCs w:val="56"/>
        </w:rPr>
      </w:pPr>
    </w:p>
    <w:p w14:paraId="384014BF" w14:textId="77777777" w:rsidR="00A02BCA" w:rsidRPr="002A29D6" w:rsidRDefault="00A02BCA" w:rsidP="00A02BCA">
      <w:pPr>
        <w:rPr>
          <w:rFonts w:ascii="Calibri" w:hAnsi="Calibri" w:cs="Calibri"/>
          <w:b/>
          <w:bCs/>
          <w:sz w:val="56"/>
          <w:szCs w:val="56"/>
        </w:rPr>
      </w:pPr>
    </w:p>
    <w:p w14:paraId="035BCC56" w14:textId="77777777" w:rsidR="00A02BCA" w:rsidRPr="002A29D6" w:rsidRDefault="00A02BCA" w:rsidP="00A02BCA">
      <w:pPr>
        <w:rPr>
          <w:rFonts w:ascii="Calibri" w:hAnsi="Calibri" w:cs="Calibri"/>
          <w:b/>
          <w:bCs/>
          <w:sz w:val="56"/>
          <w:szCs w:val="56"/>
        </w:rPr>
      </w:pPr>
    </w:p>
    <w:p w14:paraId="191E900F" w14:textId="0D68AA59" w:rsidR="00A02BCA" w:rsidRPr="002A29D6" w:rsidRDefault="00A02BCA" w:rsidP="00A02BCA">
      <w:pPr>
        <w:rPr>
          <w:rFonts w:ascii="Calibri" w:hAnsi="Calibri" w:cs="Calibri"/>
          <w:b/>
          <w:bCs/>
          <w:sz w:val="56"/>
          <w:szCs w:val="56"/>
        </w:rPr>
      </w:pPr>
      <w:r w:rsidRPr="002A29D6">
        <w:rPr>
          <w:rFonts w:ascii="Calibri" w:hAnsi="Calibri" w:cs="Calibri"/>
          <w:b/>
          <w:bCs/>
          <w:sz w:val="56"/>
          <w:szCs w:val="56"/>
        </w:rPr>
        <w:t>Critically analyse the extent to which the common-sense model of illness perceptions can predict health outcomes in a patient population of individuals</w:t>
      </w:r>
      <w:r w:rsidRPr="002A29D6">
        <w:rPr>
          <w:rFonts w:ascii="Calibri" w:hAnsi="Calibri" w:cs="Calibri"/>
          <w:b/>
          <w:bCs/>
          <w:sz w:val="56"/>
          <w:szCs w:val="56"/>
          <w:lang w:val="en-GB"/>
        </w:rPr>
        <w:t xml:space="preserve"> living with Type 2 diabetes. </w:t>
      </w:r>
    </w:p>
    <w:p w14:paraId="5CBD4AA2" w14:textId="77777777" w:rsidR="00A02BCA" w:rsidRPr="002A29D6" w:rsidRDefault="00A02BCA">
      <w:pPr>
        <w:rPr>
          <w:rFonts w:ascii="Calibri" w:hAnsi="Calibri" w:cs="Calibri"/>
          <w:b/>
          <w:bCs/>
          <w:highlight w:val="magenta"/>
          <w:lang w:val="en-GB"/>
        </w:rPr>
      </w:pPr>
    </w:p>
    <w:p w14:paraId="450BDF47" w14:textId="77777777" w:rsidR="00A02BCA" w:rsidRPr="002A29D6" w:rsidRDefault="00A02BCA">
      <w:pPr>
        <w:rPr>
          <w:rFonts w:ascii="Calibri" w:hAnsi="Calibri" w:cs="Calibri"/>
          <w:b/>
          <w:bCs/>
          <w:lang w:val="en-GB"/>
        </w:rPr>
      </w:pPr>
    </w:p>
    <w:p w14:paraId="5C99012F" w14:textId="69DAC219" w:rsidR="00EE2C6F" w:rsidRPr="002A29D6" w:rsidRDefault="00EE2C6F">
      <w:pPr>
        <w:rPr>
          <w:rFonts w:ascii="Calibri" w:hAnsi="Calibri" w:cs="Calibri"/>
          <w:b/>
          <w:bCs/>
          <w:sz w:val="44"/>
          <w:szCs w:val="44"/>
          <w:lang w:val="en-GB"/>
        </w:rPr>
      </w:pPr>
      <w:r w:rsidRPr="002A29D6">
        <w:rPr>
          <w:rFonts w:ascii="Calibri" w:hAnsi="Calibri" w:cs="Calibri"/>
          <w:b/>
          <w:bCs/>
          <w:sz w:val="44"/>
          <w:szCs w:val="44"/>
          <w:lang w:val="en-GB"/>
        </w:rPr>
        <w:t>Health Psychology</w:t>
      </w:r>
    </w:p>
    <w:p w14:paraId="501D8FB2" w14:textId="00B65B41" w:rsidR="00A02BCA" w:rsidRPr="002A29D6" w:rsidRDefault="00EE2C6F">
      <w:pPr>
        <w:rPr>
          <w:rFonts w:ascii="Calibri" w:hAnsi="Calibri" w:cs="Calibri"/>
          <w:b/>
          <w:bCs/>
          <w:highlight w:val="magenta"/>
          <w:lang w:val="en-GB"/>
        </w:rPr>
      </w:pPr>
      <w:r w:rsidRPr="002A29D6">
        <w:rPr>
          <w:rFonts w:ascii="Calibri" w:hAnsi="Calibri" w:cs="Calibri"/>
          <w:b/>
          <w:bCs/>
          <w:sz w:val="44"/>
          <w:szCs w:val="44"/>
          <w:lang w:val="en-GB"/>
        </w:rPr>
        <w:t>ECPS6006</w:t>
      </w:r>
      <w:r w:rsidR="00A02BCA" w:rsidRPr="002A29D6">
        <w:rPr>
          <w:rFonts w:ascii="Calibri" w:hAnsi="Calibri" w:cs="Calibri"/>
          <w:b/>
          <w:bCs/>
          <w:highlight w:val="magenta"/>
          <w:lang w:val="en-GB"/>
        </w:rPr>
        <w:br w:type="page"/>
      </w:r>
    </w:p>
    <w:p w14:paraId="4559B038" w14:textId="0E1A649B" w:rsidR="007D5E94" w:rsidRPr="002A29D6" w:rsidRDefault="00BB5FB3" w:rsidP="005E305C">
      <w:pPr>
        <w:spacing w:line="480" w:lineRule="auto"/>
        <w:ind w:firstLine="720"/>
        <w:rPr>
          <w:rFonts w:ascii="Calibri" w:hAnsi="Calibri" w:cs="Calibri"/>
          <w:lang w:val="en-GB"/>
        </w:rPr>
      </w:pPr>
      <w:r w:rsidRPr="002A29D6">
        <w:rPr>
          <w:rFonts w:ascii="Calibri" w:hAnsi="Calibri" w:cs="Calibri"/>
          <w:lang w:val="en-GB"/>
        </w:rPr>
        <w:lastRenderedPageBreak/>
        <w:t>Illness perceptions, defined as individuals’ cognitive and emotional representations of their health conditions, play a crucial role in shaping health-related behaviours and outcomes</w:t>
      </w:r>
      <w:r w:rsidR="0027661B" w:rsidRPr="002A29D6">
        <w:rPr>
          <w:rFonts w:ascii="Calibri" w:hAnsi="Calibri" w:cs="Calibri"/>
          <w:lang w:val="en-GB"/>
        </w:rPr>
        <w:t xml:space="preserve">.  </w:t>
      </w:r>
      <w:r w:rsidR="00970FDE" w:rsidRPr="002A29D6">
        <w:rPr>
          <w:rFonts w:ascii="Calibri" w:hAnsi="Calibri" w:cs="Calibri"/>
          <w:lang w:val="en-GB"/>
        </w:rPr>
        <w:t>The Common-Sense Model (CSM) of illness perceptions</w:t>
      </w:r>
      <w:r w:rsidR="00970FDE" w:rsidRPr="007401F3">
        <w:rPr>
          <w:rFonts w:ascii="Calibri" w:hAnsi="Calibri" w:cs="Calibri"/>
          <w:lang w:val="en-GB"/>
        </w:rPr>
        <w:t xml:space="preserve"> provides</w:t>
      </w:r>
      <w:r w:rsidR="00970FDE" w:rsidRPr="002A29D6">
        <w:rPr>
          <w:rFonts w:ascii="Calibri" w:hAnsi="Calibri" w:cs="Calibri"/>
          <w:lang w:val="en-GB"/>
        </w:rPr>
        <w:t xml:space="preserve"> a comprehensive theoretical framework for examining how individuals interpret and respond to their experiences of health and illness</w:t>
      </w:r>
      <w:r w:rsidR="00F52F31">
        <w:rPr>
          <w:rFonts w:ascii="Calibri" w:hAnsi="Calibri" w:cs="Calibri"/>
          <w:lang w:val="en-GB"/>
        </w:rPr>
        <w:t xml:space="preserve"> </w:t>
      </w:r>
      <w:sdt>
        <w:sdtPr>
          <w:rPr>
            <w:rFonts w:ascii="Calibri" w:hAnsi="Calibri" w:cs="Calibri"/>
            <w:lang w:val="en-GB"/>
          </w:rPr>
          <w:id w:val="-1183429722"/>
          <w:citation/>
        </w:sdtPr>
        <w:sdtContent>
          <w:r w:rsidR="00F52F31">
            <w:rPr>
              <w:rFonts w:ascii="Calibri" w:hAnsi="Calibri" w:cs="Calibri"/>
              <w:lang w:val="en-GB"/>
            </w:rPr>
            <w:fldChar w:fldCharType="begin"/>
          </w:r>
          <w:r w:rsidR="00F52F31">
            <w:rPr>
              <w:rFonts w:ascii="Calibri" w:hAnsi="Calibri" w:cs="Calibri"/>
              <w:lang w:val="en-GB"/>
            </w:rPr>
            <w:instrText xml:space="preserve"> CITATION Bri03 \l 2057 </w:instrText>
          </w:r>
          <w:r w:rsidR="00F52F31">
            <w:rPr>
              <w:rFonts w:ascii="Calibri" w:hAnsi="Calibri" w:cs="Calibri"/>
              <w:lang w:val="en-GB"/>
            </w:rPr>
            <w:fldChar w:fldCharType="separate"/>
          </w:r>
          <w:r w:rsidR="005E305C" w:rsidRPr="005E305C">
            <w:rPr>
              <w:rFonts w:ascii="Calibri" w:hAnsi="Calibri" w:cs="Calibri"/>
              <w:noProof/>
              <w:lang w:val="en-GB"/>
            </w:rPr>
            <w:t>(Brissette et al., 2003)</w:t>
          </w:r>
          <w:r w:rsidR="00F52F31">
            <w:rPr>
              <w:rFonts w:ascii="Calibri" w:hAnsi="Calibri" w:cs="Calibri"/>
              <w:lang w:val="en-GB"/>
            </w:rPr>
            <w:fldChar w:fldCharType="end"/>
          </w:r>
        </w:sdtContent>
      </w:sdt>
      <w:r w:rsidR="00970FDE" w:rsidRPr="002A29D6">
        <w:rPr>
          <w:rFonts w:ascii="Calibri" w:hAnsi="Calibri" w:cs="Calibri"/>
          <w:lang w:val="en-GB"/>
        </w:rPr>
        <w:t xml:space="preserve">. Understanding illness perceptions is essential within health psychology because these beliefs fundamentally shape coping strategies, adherence to medical advice, and ultimately influence health outcomes </w:t>
      </w:r>
      <w:sdt>
        <w:sdtPr>
          <w:rPr>
            <w:rFonts w:ascii="Calibri" w:hAnsi="Calibri" w:cs="Calibri"/>
            <w:lang w:val="en-GB"/>
          </w:rPr>
          <w:id w:val="-768467469"/>
          <w:citation/>
        </w:sdtPr>
        <w:sdtContent>
          <w:r w:rsidR="004177F0">
            <w:rPr>
              <w:rFonts w:ascii="Calibri" w:hAnsi="Calibri" w:cs="Calibri"/>
              <w:lang w:val="en-GB"/>
            </w:rPr>
            <w:fldChar w:fldCharType="begin"/>
          </w:r>
          <w:r w:rsidR="00ED2E81">
            <w:rPr>
              <w:rFonts w:ascii="Calibri" w:hAnsi="Calibri" w:cs="Calibri"/>
              <w:lang w:val="en-GB"/>
            </w:rPr>
            <w:instrText xml:space="preserve">CITATION Ros74 \t  \m Hag03 \t  \m Cho20 \l 2057 </w:instrText>
          </w:r>
          <w:r w:rsidR="004177F0">
            <w:rPr>
              <w:rFonts w:ascii="Calibri" w:hAnsi="Calibri" w:cs="Calibri"/>
              <w:lang w:val="en-GB"/>
            </w:rPr>
            <w:fldChar w:fldCharType="separate"/>
          </w:r>
          <w:r w:rsidR="005E305C" w:rsidRPr="005E305C">
            <w:rPr>
              <w:rFonts w:ascii="Calibri" w:hAnsi="Calibri" w:cs="Calibri"/>
              <w:noProof/>
              <w:lang w:val="en-GB"/>
            </w:rPr>
            <w:t>(Rosenstock, 1974; Hagger &amp; Orbell, 2003; Chong et al., 2020)</w:t>
          </w:r>
          <w:r w:rsidR="004177F0">
            <w:rPr>
              <w:rFonts w:ascii="Calibri" w:hAnsi="Calibri" w:cs="Calibri"/>
              <w:lang w:val="en-GB"/>
            </w:rPr>
            <w:fldChar w:fldCharType="end"/>
          </w:r>
        </w:sdtContent>
      </w:sdt>
      <w:r w:rsidR="00970FDE" w:rsidRPr="002A29D6">
        <w:rPr>
          <w:rFonts w:ascii="Calibri" w:hAnsi="Calibri" w:cs="Calibri"/>
          <w:lang w:val="en-GB"/>
        </w:rPr>
        <w:t xml:space="preserve">. </w:t>
      </w:r>
      <w:r w:rsidR="00155A1E" w:rsidRPr="002A29D6">
        <w:rPr>
          <w:rFonts w:ascii="Calibri" w:hAnsi="Calibri" w:cs="Calibri"/>
          <w:lang w:val="en-GB"/>
        </w:rPr>
        <w:t xml:space="preserve">Type 2 diabetes has been selected as the focus of this analysis due to its high global prevalence </w:t>
      </w:r>
      <w:sdt>
        <w:sdtPr>
          <w:rPr>
            <w:rFonts w:ascii="Calibri" w:hAnsi="Calibri" w:cs="Calibri"/>
            <w:lang w:val="en-GB"/>
          </w:rPr>
          <w:id w:val="-1908371468"/>
          <w:citation/>
        </w:sdtPr>
        <w:sdtContent>
          <w:r w:rsidR="007213DA">
            <w:rPr>
              <w:rFonts w:ascii="Calibri" w:hAnsi="Calibri" w:cs="Calibri"/>
              <w:lang w:val="en-GB"/>
            </w:rPr>
            <w:fldChar w:fldCharType="begin"/>
          </w:r>
          <w:r w:rsidR="001015F8">
            <w:rPr>
              <w:rFonts w:ascii="Calibri" w:hAnsi="Calibri" w:cs="Calibri"/>
              <w:lang w:val="en-GB"/>
            </w:rPr>
            <w:instrText xml:space="preserve">CITATION Bom18 \l 2057 </w:instrText>
          </w:r>
          <w:r w:rsidR="007213DA">
            <w:rPr>
              <w:rFonts w:ascii="Calibri" w:hAnsi="Calibri" w:cs="Calibri"/>
              <w:lang w:val="en-GB"/>
            </w:rPr>
            <w:fldChar w:fldCharType="separate"/>
          </w:r>
          <w:r w:rsidR="005E305C" w:rsidRPr="005E305C">
            <w:rPr>
              <w:rFonts w:ascii="Calibri" w:hAnsi="Calibri" w:cs="Calibri"/>
              <w:noProof/>
              <w:lang w:val="en-GB"/>
            </w:rPr>
            <w:t>(Bommer et al., 2018)</w:t>
          </w:r>
          <w:r w:rsidR="007213DA">
            <w:rPr>
              <w:rFonts w:ascii="Calibri" w:hAnsi="Calibri" w:cs="Calibri"/>
              <w:lang w:val="en-GB"/>
            </w:rPr>
            <w:fldChar w:fldCharType="end"/>
          </w:r>
        </w:sdtContent>
      </w:sdt>
      <w:r w:rsidR="006F0708">
        <w:rPr>
          <w:rFonts w:ascii="Calibri" w:hAnsi="Calibri" w:cs="Calibri"/>
          <w:lang w:val="en-GB"/>
        </w:rPr>
        <w:t xml:space="preserve"> </w:t>
      </w:r>
      <w:r w:rsidR="00155A1E" w:rsidRPr="002A29D6">
        <w:rPr>
          <w:rFonts w:ascii="Calibri" w:hAnsi="Calibri" w:cs="Calibri"/>
          <w:lang w:val="en-GB"/>
        </w:rPr>
        <w:t>and significant burden on healthcare systems</w:t>
      </w:r>
      <w:r w:rsidR="00E8505E">
        <w:rPr>
          <w:rFonts w:ascii="Calibri" w:hAnsi="Calibri" w:cs="Calibri"/>
          <w:lang w:val="en-GB"/>
        </w:rPr>
        <w:t xml:space="preserve"> </w:t>
      </w:r>
      <w:sdt>
        <w:sdtPr>
          <w:rPr>
            <w:rFonts w:ascii="Calibri" w:hAnsi="Calibri" w:cs="Calibri"/>
            <w:lang w:val="en-GB"/>
          </w:rPr>
          <w:id w:val="-1700928201"/>
          <w:citation/>
        </w:sdtPr>
        <w:sdtContent>
          <w:r w:rsidR="00E8505E">
            <w:rPr>
              <w:rFonts w:ascii="Calibri" w:hAnsi="Calibri" w:cs="Calibri"/>
              <w:lang w:val="en-GB"/>
            </w:rPr>
            <w:fldChar w:fldCharType="begin"/>
          </w:r>
          <w:r w:rsidR="001015F8">
            <w:rPr>
              <w:rFonts w:ascii="Calibri" w:hAnsi="Calibri" w:cs="Calibri"/>
              <w:lang w:val="en-GB"/>
            </w:rPr>
            <w:instrText xml:space="preserve">CITATION Hex24 \l 2057 </w:instrText>
          </w:r>
          <w:r w:rsidR="00E8505E">
            <w:rPr>
              <w:rFonts w:ascii="Calibri" w:hAnsi="Calibri" w:cs="Calibri"/>
              <w:lang w:val="en-GB"/>
            </w:rPr>
            <w:fldChar w:fldCharType="separate"/>
          </w:r>
          <w:r w:rsidR="005E305C" w:rsidRPr="005E305C">
            <w:rPr>
              <w:rFonts w:ascii="Calibri" w:hAnsi="Calibri" w:cs="Calibri"/>
              <w:noProof/>
              <w:lang w:val="en-GB"/>
            </w:rPr>
            <w:t>(Hex et al., 2024)</w:t>
          </w:r>
          <w:r w:rsidR="00E8505E">
            <w:rPr>
              <w:rFonts w:ascii="Calibri" w:hAnsi="Calibri" w:cs="Calibri"/>
              <w:lang w:val="en-GB"/>
            </w:rPr>
            <w:fldChar w:fldCharType="end"/>
          </w:r>
        </w:sdtContent>
      </w:sdt>
      <w:r w:rsidR="00155A1E" w:rsidRPr="002A29D6">
        <w:rPr>
          <w:rFonts w:ascii="Calibri" w:hAnsi="Calibri" w:cs="Calibri"/>
          <w:lang w:val="en-GB"/>
        </w:rPr>
        <w:t xml:space="preserve">. As a chronic condition associated with increased </w:t>
      </w:r>
      <w:r w:rsidR="00155A1E" w:rsidRPr="0089497C">
        <w:rPr>
          <w:rFonts w:ascii="Calibri" w:hAnsi="Calibri" w:cs="Calibri"/>
          <w:lang w:val="en-GB"/>
        </w:rPr>
        <w:t>morbidity</w:t>
      </w:r>
      <w:r w:rsidR="0089497C" w:rsidRPr="0089497C">
        <w:rPr>
          <w:rFonts w:ascii="Calibri" w:hAnsi="Calibri" w:cs="Calibri"/>
          <w:lang w:val="en-GB"/>
        </w:rPr>
        <w:t xml:space="preserve"> </w:t>
      </w:r>
      <w:sdt>
        <w:sdtPr>
          <w:rPr>
            <w:rFonts w:ascii="Calibri" w:hAnsi="Calibri" w:cs="Calibri"/>
            <w:lang w:val="en-GB"/>
          </w:rPr>
          <w:id w:val="-1160306192"/>
          <w:citation/>
        </w:sdtPr>
        <w:sdtContent>
          <w:r w:rsidR="0089497C" w:rsidRPr="0089497C">
            <w:rPr>
              <w:rFonts w:ascii="Calibri" w:hAnsi="Calibri" w:cs="Calibri"/>
              <w:lang w:val="en-GB"/>
            </w:rPr>
            <w:fldChar w:fldCharType="begin"/>
          </w:r>
          <w:r w:rsidR="0089497C" w:rsidRPr="0089497C">
            <w:rPr>
              <w:rFonts w:ascii="Calibri" w:hAnsi="Calibri" w:cs="Calibri"/>
              <w:lang w:val="en-GB"/>
            </w:rPr>
            <w:instrText xml:space="preserve"> CITATION Hil20 \l 2057 </w:instrText>
          </w:r>
          <w:r w:rsidR="0089497C" w:rsidRPr="0089497C">
            <w:rPr>
              <w:rFonts w:ascii="Calibri" w:hAnsi="Calibri" w:cs="Calibri"/>
              <w:lang w:val="en-GB"/>
            </w:rPr>
            <w:fldChar w:fldCharType="separate"/>
          </w:r>
          <w:r w:rsidR="005E305C" w:rsidRPr="005E305C">
            <w:rPr>
              <w:rFonts w:ascii="Calibri" w:hAnsi="Calibri" w:cs="Calibri"/>
              <w:noProof/>
              <w:lang w:val="en-GB"/>
            </w:rPr>
            <w:t>(Hill-Briggs et al., 2020)</w:t>
          </w:r>
          <w:r w:rsidR="0089497C" w:rsidRPr="0089497C">
            <w:rPr>
              <w:rFonts w:ascii="Calibri" w:hAnsi="Calibri" w:cs="Calibri"/>
              <w:lang w:val="en-GB"/>
            </w:rPr>
            <w:fldChar w:fldCharType="end"/>
          </w:r>
        </w:sdtContent>
      </w:sdt>
      <w:r w:rsidR="00155A1E" w:rsidRPr="0089497C">
        <w:rPr>
          <w:rFonts w:ascii="Calibri" w:hAnsi="Calibri" w:cs="Calibri"/>
          <w:lang w:val="en-GB"/>
        </w:rPr>
        <w:t>,</w:t>
      </w:r>
      <w:r w:rsidR="00155A1E" w:rsidRPr="002A29D6">
        <w:rPr>
          <w:rFonts w:ascii="Calibri" w:hAnsi="Calibri" w:cs="Calibri"/>
          <w:lang w:val="en-GB"/>
        </w:rPr>
        <w:t xml:space="preserve"> mortality</w:t>
      </w:r>
      <w:r w:rsidR="00BA34B8">
        <w:rPr>
          <w:rFonts w:ascii="Calibri" w:hAnsi="Calibri" w:cs="Calibri"/>
          <w:lang w:val="en-GB"/>
        </w:rPr>
        <w:t xml:space="preserve"> </w:t>
      </w:r>
      <w:sdt>
        <w:sdtPr>
          <w:rPr>
            <w:rFonts w:ascii="Calibri" w:hAnsi="Calibri" w:cs="Calibri"/>
            <w:lang w:val="en-GB"/>
          </w:rPr>
          <w:id w:val="705456336"/>
          <w:citation/>
        </w:sdtPr>
        <w:sdtContent>
          <w:r w:rsidR="00BA34B8">
            <w:rPr>
              <w:rFonts w:ascii="Calibri" w:hAnsi="Calibri" w:cs="Calibri"/>
              <w:lang w:val="en-GB"/>
            </w:rPr>
            <w:fldChar w:fldCharType="begin"/>
          </w:r>
          <w:r w:rsidR="00BA34B8">
            <w:rPr>
              <w:rFonts w:ascii="Calibri" w:hAnsi="Calibri" w:cs="Calibri"/>
              <w:lang w:val="en-GB"/>
            </w:rPr>
            <w:instrText xml:space="preserve"> CITATION Eva01 \l 2057 </w:instrText>
          </w:r>
          <w:r w:rsidR="00BA34B8">
            <w:rPr>
              <w:rFonts w:ascii="Calibri" w:hAnsi="Calibri" w:cs="Calibri"/>
              <w:lang w:val="en-GB"/>
            </w:rPr>
            <w:fldChar w:fldCharType="separate"/>
          </w:r>
          <w:r w:rsidR="005E305C" w:rsidRPr="005E305C">
            <w:rPr>
              <w:rFonts w:ascii="Calibri" w:hAnsi="Calibri" w:cs="Calibri"/>
              <w:noProof/>
              <w:lang w:val="en-GB"/>
            </w:rPr>
            <w:t>(Evans Jr et al., 2001)</w:t>
          </w:r>
          <w:r w:rsidR="00BA34B8">
            <w:rPr>
              <w:rFonts w:ascii="Calibri" w:hAnsi="Calibri" w:cs="Calibri"/>
              <w:lang w:val="en-GB"/>
            </w:rPr>
            <w:fldChar w:fldCharType="end"/>
          </w:r>
        </w:sdtContent>
      </w:sdt>
      <w:r w:rsidR="00155A1E" w:rsidRPr="002A29D6">
        <w:rPr>
          <w:rFonts w:ascii="Calibri" w:hAnsi="Calibri" w:cs="Calibri"/>
          <w:lang w:val="en-GB"/>
        </w:rPr>
        <w:t>, and escalating healthcare costs</w:t>
      </w:r>
      <w:r w:rsidR="005E389B">
        <w:rPr>
          <w:rFonts w:ascii="Calibri" w:hAnsi="Calibri" w:cs="Calibri"/>
        </w:rPr>
        <w:t xml:space="preserve"> </w:t>
      </w:r>
      <w:sdt>
        <w:sdtPr>
          <w:rPr>
            <w:rFonts w:ascii="Calibri" w:hAnsi="Calibri" w:cs="Calibri"/>
          </w:rPr>
          <w:id w:val="-1368371327"/>
          <w:citation/>
        </w:sdtPr>
        <w:sdtContent>
          <w:r w:rsidR="005E389B">
            <w:rPr>
              <w:rFonts w:ascii="Calibri" w:hAnsi="Calibri" w:cs="Calibri"/>
            </w:rPr>
            <w:fldChar w:fldCharType="begin"/>
          </w:r>
          <w:r w:rsidR="005E389B">
            <w:rPr>
              <w:rFonts w:ascii="Calibri" w:hAnsi="Calibri" w:cs="Calibri"/>
              <w:lang w:val="en-GB"/>
            </w:rPr>
            <w:instrText xml:space="preserve"> CITATION OCo19 \l 2057 </w:instrText>
          </w:r>
          <w:r w:rsidR="005E389B">
            <w:rPr>
              <w:rFonts w:ascii="Calibri" w:hAnsi="Calibri" w:cs="Calibri"/>
            </w:rPr>
            <w:fldChar w:fldCharType="separate"/>
          </w:r>
          <w:r w:rsidR="005E305C" w:rsidRPr="005E305C">
            <w:rPr>
              <w:rFonts w:ascii="Calibri" w:hAnsi="Calibri" w:cs="Calibri"/>
              <w:noProof/>
              <w:lang w:val="en-GB"/>
            </w:rPr>
            <w:t>(O’Connell &amp; Manson, 2019)</w:t>
          </w:r>
          <w:r w:rsidR="005E389B">
            <w:rPr>
              <w:rFonts w:ascii="Calibri" w:hAnsi="Calibri" w:cs="Calibri"/>
            </w:rPr>
            <w:fldChar w:fldCharType="end"/>
          </w:r>
        </w:sdtContent>
      </w:sdt>
      <w:r w:rsidR="00155A1E" w:rsidRPr="002A29D6">
        <w:rPr>
          <w:rFonts w:ascii="Calibri" w:hAnsi="Calibri" w:cs="Calibri"/>
          <w:lang w:val="en-GB"/>
        </w:rPr>
        <w:t>, Type 2 diabetes necessitates continuous self-management</w:t>
      </w:r>
      <w:r w:rsidR="00C4244B">
        <w:rPr>
          <w:rFonts w:ascii="Calibri" w:hAnsi="Calibri" w:cs="Calibri"/>
          <w:lang w:val="en-GB"/>
        </w:rPr>
        <w:t xml:space="preserve"> </w:t>
      </w:r>
      <w:sdt>
        <w:sdtPr>
          <w:rPr>
            <w:rFonts w:ascii="Calibri" w:hAnsi="Calibri" w:cs="Calibri"/>
            <w:lang w:val="en-GB"/>
          </w:rPr>
          <w:id w:val="497554738"/>
          <w:citation/>
        </w:sdtPr>
        <w:sdtContent>
          <w:r w:rsidR="00C4244B">
            <w:rPr>
              <w:rFonts w:ascii="Calibri" w:hAnsi="Calibri" w:cs="Calibri"/>
              <w:lang w:val="en-GB"/>
            </w:rPr>
            <w:fldChar w:fldCharType="begin"/>
          </w:r>
          <w:r w:rsidR="001015F8">
            <w:rPr>
              <w:rFonts w:ascii="Calibri" w:hAnsi="Calibri" w:cs="Calibri"/>
              <w:lang w:val="en-GB"/>
            </w:rPr>
            <w:instrText xml:space="preserve">CITATION But23 \l 2057 </w:instrText>
          </w:r>
          <w:r w:rsidR="00C4244B">
            <w:rPr>
              <w:rFonts w:ascii="Calibri" w:hAnsi="Calibri" w:cs="Calibri"/>
              <w:lang w:val="en-GB"/>
            </w:rPr>
            <w:fldChar w:fldCharType="separate"/>
          </w:r>
          <w:r w:rsidR="005E305C" w:rsidRPr="005E305C">
            <w:rPr>
              <w:rFonts w:ascii="Calibri" w:hAnsi="Calibri" w:cs="Calibri"/>
              <w:noProof/>
              <w:lang w:val="en-GB"/>
            </w:rPr>
            <w:t>(Butayeva et al., 2023)</w:t>
          </w:r>
          <w:r w:rsidR="00C4244B">
            <w:rPr>
              <w:rFonts w:ascii="Calibri" w:hAnsi="Calibri" w:cs="Calibri"/>
              <w:lang w:val="en-GB"/>
            </w:rPr>
            <w:fldChar w:fldCharType="end"/>
          </w:r>
        </w:sdtContent>
      </w:sdt>
      <w:r w:rsidR="00155A1E" w:rsidRPr="002A29D6">
        <w:rPr>
          <w:rFonts w:ascii="Calibri" w:hAnsi="Calibri" w:cs="Calibri"/>
          <w:lang w:val="en-GB"/>
        </w:rPr>
        <w:t>. Effective management requires adherence to key behavioural interventions including dietary regulation</w:t>
      </w:r>
      <w:r w:rsidR="00FA4CE3">
        <w:rPr>
          <w:rFonts w:ascii="Calibri" w:hAnsi="Calibri" w:cs="Calibri"/>
          <w:lang w:val="en-GB"/>
        </w:rPr>
        <w:t xml:space="preserve"> </w:t>
      </w:r>
      <w:sdt>
        <w:sdtPr>
          <w:rPr>
            <w:rFonts w:ascii="Calibri" w:hAnsi="Calibri" w:cs="Calibri"/>
            <w:lang w:val="en-GB"/>
          </w:rPr>
          <w:id w:val="342447641"/>
          <w:citation/>
        </w:sdtPr>
        <w:sdtContent>
          <w:r w:rsidR="00FA4CE3">
            <w:rPr>
              <w:rFonts w:ascii="Calibri" w:hAnsi="Calibri" w:cs="Calibri"/>
              <w:lang w:val="en-GB"/>
            </w:rPr>
            <w:fldChar w:fldCharType="begin"/>
          </w:r>
          <w:r w:rsidR="001015F8">
            <w:rPr>
              <w:rFonts w:ascii="Calibri" w:hAnsi="Calibri" w:cs="Calibri"/>
              <w:lang w:val="en-GB"/>
            </w:rPr>
            <w:instrText xml:space="preserve">CITATION Eve14 \l 2057 </w:instrText>
          </w:r>
          <w:r w:rsidR="00FA4CE3">
            <w:rPr>
              <w:rFonts w:ascii="Calibri" w:hAnsi="Calibri" w:cs="Calibri"/>
              <w:lang w:val="en-GB"/>
            </w:rPr>
            <w:fldChar w:fldCharType="separate"/>
          </w:r>
          <w:r w:rsidR="005E305C" w:rsidRPr="005E305C">
            <w:rPr>
              <w:rFonts w:ascii="Calibri" w:hAnsi="Calibri" w:cs="Calibri"/>
              <w:noProof/>
              <w:lang w:val="en-GB"/>
            </w:rPr>
            <w:t>(Evert et al., 2014)</w:t>
          </w:r>
          <w:r w:rsidR="00FA4CE3">
            <w:rPr>
              <w:rFonts w:ascii="Calibri" w:hAnsi="Calibri" w:cs="Calibri"/>
              <w:lang w:val="en-GB"/>
            </w:rPr>
            <w:fldChar w:fldCharType="end"/>
          </w:r>
        </w:sdtContent>
      </w:sdt>
      <w:r w:rsidR="00155A1E" w:rsidRPr="002A29D6">
        <w:rPr>
          <w:rFonts w:ascii="Calibri" w:hAnsi="Calibri" w:cs="Calibri"/>
          <w:lang w:val="en-GB"/>
        </w:rPr>
        <w:t>, regular physical activity</w:t>
      </w:r>
      <w:r w:rsidR="00C879EA">
        <w:rPr>
          <w:rFonts w:ascii="Calibri" w:hAnsi="Calibri" w:cs="Calibri"/>
          <w:lang w:val="en-GB"/>
        </w:rPr>
        <w:t xml:space="preserve"> </w:t>
      </w:r>
      <w:sdt>
        <w:sdtPr>
          <w:rPr>
            <w:rFonts w:ascii="Calibri" w:hAnsi="Calibri" w:cs="Calibri"/>
            <w:lang w:val="en-GB"/>
          </w:rPr>
          <w:id w:val="-1770453006"/>
          <w:citation/>
        </w:sdtPr>
        <w:sdtContent>
          <w:r w:rsidR="00C879EA">
            <w:rPr>
              <w:rFonts w:ascii="Calibri" w:hAnsi="Calibri" w:cs="Calibri"/>
              <w:lang w:val="en-GB"/>
            </w:rPr>
            <w:fldChar w:fldCharType="begin"/>
          </w:r>
          <w:r w:rsidR="001015F8">
            <w:rPr>
              <w:rFonts w:ascii="Calibri" w:hAnsi="Calibri" w:cs="Calibri"/>
              <w:lang w:val="en-GB"/>
            </w:rPr>
            <w:instrText xml:space="preserve">CITATION Col10 \l 2057 </w:instrText>
          </w:r>
          <w:r w:rsidR="00C879EA">
            <w:rPr>
              <w:rFonts w:ascii="Calibri" w:hAnsi="Calibri" w:cs="Calibri"/>
              <w:lang w:val="en-GB"/>
            </w:rPr>
            <w:fldChar w:fldCharType="separate"/>
          </w:r>
          <w:r w:rsidR="005E305C" w:rsidRPr="005E305C">
            <w:rPr>
              <w:rFonts w:ascii="Calibri" w:hAnsi="Calibri" w:cs="Calibri"/>
              <w:noProof/>
              <w:lang w:val="en-GB"/>
            </w:rPr>
            <w:t>(Colberg et al., 2010)</w:t>
          </w:r>
          <w:r w:rsidR="00C879EA">
            <w:rPr>
              <w:rFonts w:ascii="Calibri" w:hAnsi="Calibri" w:cs="Calibri"/>
              <w:lang w:val="en-GB"/>
            </w:rPr>
            <w:fldChar w:fldCharType="end"/>
          </w:r>
        </w:sdtContent>
      </w:sdt>
      <w:r w:rsidR="00155A1E" w:rsidRPr="002A29D6">
        <w:rPr>
          <w:rFonts w:ascii="Calibri" w:hAnsi="Calibri" w:cs="Calibri"/>
          <w:lang w:val="en-GB"/>
        </w:rPr>
        <w:t>, and consistent glucose monitoring</w:t>
      </w:r>
      <w:r w:rsidR="008A128E">
        <w:rPr>
          <w:rFonts w:ascii="Calibri" w:hAnsi="Calibri" w:cs="Calibri"/>
          <w:lang w:val="en-GB"/>
        </w:rPr>
        <w:t xml:space="preserve"> </w:t>
      </w:r>
      <w:sdt>
        <w:sdtPr>
          <w:rPr>
            <w:rFonts w:ascii="Calibri" w:hAnsi="Calibri" w:cs="Calibri"/>
            <w:lang w:val="en-GB"/>
          </w:rPr>
          <w:id w:val="-1715347972"/>
          <w:citation/>
        </w:sdtPr>
        <w:sdtContent>
          <w:r w:rsidR="008A128E">
            <w:rPr>
              <w:rFonts w:ascii="Calibri" w:hAnsi="Calibri" w:cs="Calibri"/>
              <w:lang w:val="en-GB"/>
            </w:rPr>
            <w:fldChar w:fldCharType="begin"/>
          </w:r>
          <w:r w:rsidR="008A128E">
            <w:rPr>
              <w:rFonts w:ascii="Calibri" w:hAnsi="Calibri" w:cs="Calibri"/>
              <w:lang w:val="en-GB"/>
            </w:rPr>
            <w:instrText xml:space="preserve"> CITATION Cla10 \l 2057 </w:instrText>
          </w:r>
          <w:r w:rsidR="008A128E">
            <w:rPr>
              <w:rFonts w:ascii="Calibri" w:hAnsi="Calibri" w:cs="Calibri"/>
              <w:lang w:val="en-GB"/>
            </w:rPr>
            <w:fldChar w:fldCharType="separate"/>
          </w:r>
          <w:r w:rsidR="005E305C" w:rsidRPr="005E305C">
            <w:rPr>
              <w:rFonts w:ascii="Calibri" w:hAnsi="Calibri" w:cs="Calibri"/>
              <w:noProof/>
              <w:lang w:val="en-GB"/>
            </w:rPr>
            <w:t>(Clar et al., 2010)</w:t>
          </w:r>
          <w:r w:rsidR="008A128E">
            <w:rPr>
              <w:rFonts w:ascii="Calibri" w:hAnsi="Calibri" w:cs="Calibri"/>
              <w:lang w:val="en-GB"/>
            </w:rPr>
            <w:fldChar w:fldCharType="end"/>
          </w:r>
        </w:sdtContent>
      </w:sdt>
      <w:r w:rsidR="00155A1E" w:rsidRPr="002A29D6">
        <w:rPr>
          <w:rFonts w:ascii="Calibri" w:hAnsi="Calibri" w:cs="Calibri"/>
          <w:lang w:val="en-GB"/>
        </w:rPr>
        <w:t xml:space="preserve">. These self-care practices are strongly influenced by an individual's beliefs about their illness, highlighting the relevance of the CSM in predicting treatment adherence and glycaemic control. By examining how illness perceptions shape self-management behaviours, the CSM provides a useful framework for understanding variations in patient engagement with treatment and their subsequent health outcomes </w:t>
      </w:r>
      <w:sdt>
        <w:sdtPr>
          <w:rPr>
            <w:rFonts w:ascii="Calibri" w:hAnsi="Calibri" w:cs="Calibri"/>
            <w:lang w:val="en-GB"/>
          </w:rPr>
          <w:id w:val="1008023121"/>
          <w:citation/>
        </w:sdtPr>
        <w:sdtContent>
          <w:r w:rsidR="00663415">
            <w:rPr>
              <w:rFonts w:ascii="Calibri" w:hAnsi="Calibri" w:cs="Calibri"/>
              <w:lang w:val="en-GB"/>
            </w:rPr>
            <w:fldChar w:fldCharType="begin"/>
          </w:r>
          <w:r w:rsidR="001015F8">
            <w:rPr>
              <w:rFonts w:ascii="Calibri" w:hAnsi="Calibri" w:cs="Calibri"/>
              <w:lang w:val="en-GB"/>
            </w:rPr>
            <w:instrText xml:space="preserve">CITATION Bro06 \l 2057 </w:instrText>
          </w:r>
          <w:r w:rsidR="00663415">
            <w:rPr>
              <w:rFonts w:ascii="Calibri" w:hAnsi="Calibri" w:cs="Calibri"/>
              <w:lang w:val="en-GB"/>
            </w:rPr>
            <w:fldChar w:fldCharType="separate"/>
          </w:r>
          <w:r w:rsidR="005E305C" w:rsidRPr="005E305C">
            <w:rPr>
              <w:rFonts w:ascii="Calibri" w:hAnsi="Calibri" w:cs="Calibri"/>
              <w:noProof/>
              <w:lang w:val="en-GB"/>
            </w:rPr>
            <w:t>(Broadbent et al., 2006)</w:t>
          </w:r>
          <w:r w:rsidR="00663415">
            <w:rPr>
              <w:rFonts w:ascii="Calibri" w:hAnsi="Calibri" w:cs="Calibri"/>
              <w:lang w:val="en-GB"/>
            </w:rPr>
            <w:fldChar w:fldCharType="end"/>
          </w:r>
        </w:sdtContent>
      </w:sdt>
      <w:r w:rsidR="00155A1E" w:rsidRPr="002A29D6">
        <w:rPr>
          <w:rFonts w:ascii="Calibri" w:hAnsi="Calibri" w:cs="Calibri"/>
          <w:lang w:val="en-GB"/>
        </w:rPr>
        <w:t>.</w:t>
      </w:r>
      <w:r w:rsidR="00FB6E8B" w:rsidRPr="002A29D6">
        <w:rPr>
          <w:rFonts w:ascii="Calibri" w:hAnsi="Calibri" w:cs="Calibri"/>
          <w:lang w:val="en-GB"/>
        </w:rPr>
        <w:t xml:space="preserve"> </w:t>
      </w:r>
      <w:r w:rsidR="00393F6F" w:rsidRPr="00393F6F">
        <w:rPr>
          <w:rFonts w:ascii="Calibri" w:hAnsi="Calibri" w:cs="Calibri"/>
          <w:lang w:val="en-GB"/>
        </w:rPr>
        <w:t>This essay examines the theoretical foundations and empirical applications of the C</w:t>
      </w:r>
      <w:r w:rsidR="008A56D9">
        <w:rPr>
          <w:rFonts w:ascii="Calibri" w:hAnsi="Calibri" w:cs="Calibri"/>
          <w:lang w:val="en-GB"/>
        </w:rPr>
        <w:t>SM</w:t>
      </w:r>
      <w:r w:rsidR="00393F6F" w:rsidRPr="00393F6F">
        <w:rPr>
          <w:rFonts w:ascii="Calibri" w:hAnsi="Calibri" w:cs="Calibri"/>
          <w:lang w:val="en-GB"/>
        </w:rPr>
        <w:t xml:space="preserve"> in Type 2 diabetes, </w:t>
      </w:r>
      <w:r w:rsidR="0058550F" w:rsidRPr="0058550F">
        <w:rPr>
          <w:rFonts w:ascii="Calibri" w:hAnsi="Calibri" w:cs="Calibri"/>
          <w:lang w:val="en-GB"/>
        </w:rPr>
        <w:t>critically evaluating its predictive validity in Type 2 diabetes</w:t>
      </w:r>
      <w:r w:rsidR="00393F6F" w:rsidRPr="00393F6F">
        <w:rPr>
          <w:rFonts w:ascii="Calibri" w:hAnsi="Calibri" w:cs="Calibri"/>
          <w:lang w:val="en-GB"/>
        </w:rPr>
        <w:t>.</w:t>
      </w:r>
    </w:p>
    <w:p w14:paraId="7A11A861" w14:textId="77777777" w:rsidR="004A1DB8" w:rsidRDefault="004A1DB8" w:rsidP="005E305C">
      <w:pPr>
        <w:spacing w:line="480" w:lineRule="auto"/>
        <w:ind w:firstLine="720"/>
        <w:rPr>
          <w:rFonts w:ascii="Calibri" w:hAnsi="Calibri" w:cs="Calibri"/>
          <w:b/>
          <w:bCs/>
          <w:lang w:val="en-GB"/>
        </w:rPr>
      </w:pPr>
    </w:p>
    <w:p w14:paraId="281BA1C4" w14:textId="1280C42D" w:rsidR="00FF2320" w:rsidRPr="002A29D6" w:rsidRDefault="00F03180" w:rsidP="005E305C">
      <w:pPr>
        <w:spacing w:line="480" w:lineRule="auto"/>
        <w:ind w:firstLine="720"/>
        <w:rPr>
          <w:rFonts w:ascii="Calibri" w:hAnsi="Calibri" w:cs="Calibri"/>
          <w:lang w:val="en-GB"/>
        </w:rPr>
      </w:pPr>
      <w:r w:rsidRPr="00F03180">
        <w:rPr>
          <w:rFonts w:ascii="Calibri" w:hAnsi="Calibri" w:cs="Calibri"/>
          <w:lang w:val="en-GB"/>
        </w:rPr>
        <w:lastRenderedPageBreak/>
        <w:t>Originally introduced as the Self-Regulation Model</w:t>
      </w:r>
      <w:r w:rsidR="005951A3">
        <w:rPr>
          <w:rFonts w:ascii="Calibri" w:hAnsi="Calibri" w:cs="Calibri"/>
          <w:lang w:val="en-GB"/>
        </w:rPr>
        <w:t xml:space="preserve"> </w:t>
      </w:r>
      <w:sdt>
        <w:sdtPr>
          <w:rPr>
            <w:rFonts w:ascii="Calibri" w:hAnsi="Calibri" w:cs="Calibri"/>
            <w:lang w:val="en-GB"/>
          </w:rPr>
          <w:id w:val="-2134240899"/>
          <w:citation/>
        </w:sdtPr>
        <w:sdtContent>
          <w:r w:rsidR="005951A3">
            <w:rPr>
              <w:rFonts w:ascii="Calibri" w:hAnsi="Calibri" w:cs="Calibri"/>
              <w:lang w:val="en-GB"/>
            </w:rPr>
            <w:fldChar w:fldCharType="begin"/>
          </w:r>
          <w:r w:rsidR="005951A3">
            <w:rPr>
              <w:rFonts w:ascii="Calibri" w:hAnsi="Calibri" w:cs="Calibri"/>
              <w:lang w:val="en-GB"/>
            </w:rPr>
            <w:instrText xml:space="preserve">CITATION Lev80 \t  \l 2057 </w:instrText>
          </w:r>
          <w:r w:rsidR="005951A3">
            <w:rPr>
              <w:rFonts w:ascii="Calibri" w:hAnsi="Calibri" w:cs="Calibri"/>
              <w:lang w:val="en-GB"/>
            </w:rPr>
            <w:fldChar w:fldCharType="separate"/>
          </w:r>
          <w:r w:rsidR="005E305C" w:rsidRPr="005E305C">
            <w:rPr>
              <w:rFonts w:ascii="Calibri" w:hAnsi="Calibri" w:cs="Calibri"/>
              <w:noProof/>
              <w:lang w:val="en-GB"/>
            </w:rPr>
            <w:t>(Leventhal, 1980)</w:t>
          </w:r>
          <w:r w:rsidR="005951A3">
            <w:rPr>
              <w:rFonts w:ascii="Calibri" w:hAnsi="Calibri" w:cs="Calibri"/>
              <w:lang w:val="en-GB"/>
            </w:rPr>
            <w:fldChar w:fldCharType="end"/>
          </w:r>
        </w:sdtContent>
      </w:sdt>
      <w:r w:rsidRPr="00F03180">
        <w:rPr>
          <w:rFonts w:ascii="Calibri" w:hAnsi="Calibri" w:cs="Calibri"/>
          <w:lang w:val="en-GB"/>
        </w:rPr>
        <w:t>, the C</w:t>
      </w:r>
      <w:r>
        <w:rPr>
          <w:rFonts w:ascii="Calibri" w:hAnsi="Calibri" w:cs="Calibri"/>
          <w:lang w:val="en-GB"/>
        </w:rPr>
        <w:t>SM</w:t>
      </w:r>
      <w:r w:rsidR="005951A3">
        <w:rPr>
          <w:rFonts w:ascii="Calibri" w:hAnsi="Calibri" w:cs="Calibri"/>
          <w:lang w:val="en-GB"/>
        </w:rPr>
        <w:t xml:space="preserve"> </w:t>
      </w:r>
      <w:r w:rsidRPr="00F03180">
        <w:rPr>
          <w:rFonts w:ascii="Calibri" w:hAnsi="Calibri" w:cs="Calibri"/>
          <w:lang w:val="en-GB"/>
        </w:rPr>
        <w:t>offers a theoretical framework for understanding how individuals interpret symptoms, form illness representations, and engage in coping strategies.</w:t>
      </w:r>
      <w:r>
        <w:rPr>
          <w:rFonts w:ascii="Calibri" w:hAnsi="Calibri" w:cs="Calibri"/>
          <w:lang w:val="en-GB"/>
        </w:rPr>
        <w:t xml:space="preserve"> </w:t>
      </w:r>
      <w:r w:rsidR="00962239" w:rsidRPr="002A29D6">
        <w:rPr>
          <w:rFonts w:ascii="Calibri" w:hAnsi="Calibri" w:cs="Calibri"/>
          <w:lang w:val="en-GB"/>
        </w:rPr>
        <w:t>Over time, it has evolved to emphasise the dynamic nature of these perceptions, recognising that they are continuously shaped by personal experiences</w:t>
      </w:r>
      <w:r w:rsidR="00821513">
        <w:rPr>
          <w:rFonts w:ascii="Calibri" w:hAnsi="Calibri" w:cs="Calibri"/>
          <w:lang w:val="en-GB"/>
        </w:rPr>
        <w:t xml:space="preserve"> </w:t>
      </w:r>
      <w:sdt>
        <w:sdtPr>
          <w:rPr>
            <w:rFonts w:ascii="Calibri" w:hAnsi="Calibri" w:cs="Calibri"/>
            <w:lang w:val="en-GB"/>
          </w:rPr>
          <w:id w:val="-1409917178"/>
          <w:citation/>
        </w:sdtPr>
        <w:sdtContent>
          <w:r w:rsidR="007A7D22">
            <w:rPr>
              <w:rFonts w:ascii="Calibri" w:hAnsi="Calibri" w:cs="Calibri"/>
              <w:lang w:val="en-GB"/>
            </w:rPr>
            <w:fldChar w:fldCharType="begin"/>
          </w:r>
          <w:r w:rsidR="007A7D22">
            <w:rPr>
              <w:rFonts w:ascii="Calibri" w:hAnsi="Calibri" w:cs="Calibri"/>
              <w:lang w:val="en-GB"/>
            </w:rPr>
            <w:instrText xml:space="preserve">CITATION Hag22 \t  \l 2057 </w:instrText>
          </w:r>
          <w:r w:rsidR="007A7D22">
            <w:rPr>
              <w:rFonts w:ascii="Calibri" w:hAnsi="Calibri" w:cs="Calibri"/>
              <w:lang w:val="en-GB"/>
            </w:rPr>
            <w:fldChar w:fldCharType="separate"/>
          </w:r>
          <w:r w:rsidR="005E305C" w:rsidRPr="005E305C">
            <w:rPr>
              <w:rFonts w:ascii="Calibri" w:hAnsi="Calibri" w:cs="Calibri"/>
              <w:noProof/>
              <w:lang w:val="en-GB"/>
            </w:rPr>
            <w:t>(Hagger &amp; Orbell, 2022)</w:t>
          </w:r>
          <w:r w:rsidR="007A7D22">
            <w:rPr>
              <w:rFonts w:ascii="Calibri" w:hAnsi="Calibri" w:cs="Calibri"/>
              <w:lang w:val="en-GB"/>
            </w:rPr>
            <w:fldChar w:fldCharType="end"/>
          </w:r>
        </w:sdtContent>
      </w:sdt>
      <w:r w:rsidR="00962239" w:rsidRPr="002A29D6">
        <w:rPr>
          <w:rFonts w:ascii="Calibri" w:hAnsi="Calibri" w:cs="Calibri"/>
          <w:lang w:val="en-GB"/>
        </w:rPr>
        <w:t>, medical information</w:t>
      </w:r>
      <w:r w:rsidR="00D24444">
        <w:rPr>
          <w:rFonts w:ascii="Calibri" w:hAnsi="Calibri" w:cs="Calibri"/>
          <w:lang w:val="en-GB"/>
        </w:rPr>
        <w:t xml:space="preserve"> </w:t>
      </w:r>
      <w:sdt>
        <w:sdtPr>
          <w:rPr>
            <w:rFonts w:ascii="Calibri" w:hAnsi="Calibri" w:cs="Calibri"/>
            <w:lang w:val="en-GB"/>
          </w:rPr>
          <w:id w:val="-1840152422"/>
          <w:citation/>
        </w:sdtPr>
        <w:sdtContent>
          <w:r w:rsidR="00D24444">
            <w:rPr>
              <w:rFonts w:ascii="Calibri" w:hAnsi="Calibri" w:cs="Calibri"/>
              <w:lang w:val="en-GB"/>
            </w:rPr>
            <w:fldChar w:fldCharType="begin"/>
          </w:r>
          <w:r w:rsidR="00D24444">
            <w:rPr>
              <w:rFonts w:ascii="Calibri" w:hAnsi="Calibri" w:cs="Calibri"/>
              <w:lang w:val="en-GB"/>
            </w:rPr>
            <w:instrText xml:space="preserve"> CITATION Bre20 \l 2057 </w:instrText>
          </w:r>
          <w:r w:rsidR="00D24444">
            <w:rPr>
              <w:rFonts w:ascii="Calibri" w:hAnsi="Calibri" w:cs="Calibri"/>
              <w:lang w:val="en-GB"/>
            </w:rPr>
            <w:fldChar w:fldCharType="separate"/>
          </w:r>
          <w:r w:rsidR="005E305C" w:rsidRPr="005E305C">
            <w:rPr>
              <w:rFonts w:ascii="Calibri" w:hAnsi="Calibri" w:cs="Calibri"/>
              <w:noProof/>
              <w:lang w:val="en-GB"/>
            </w:rPr>
            <w:t>(Breland et al., 2020)</w:t>
          </w:r>
          <w:r w:rsidR="00D24444">
            <w:rPr>
              <w:rFonts w:ascii="Calibri" w:hAnsi="Calibri" w:cs="Calibri"/>
              <w:lang w:val="en-GB"/>
            </w:rPr>
            <w:fldChar w:fldCharType="end"/>
          </w:r>
        </w:sdtContent>
      </w:sdt>
      <w:r w:rsidR="00962239" w:rsidRPr="002A29D6">
        <w:rPr>
          <w:rFonts w:ascii="Calibri" w:hAnsi="Calibri" w:cs="Calibri"/>
          <w:lang w:val="en-GB"/>
        </w:rPr>
        <w:t xml:space="preserve">, and social influences </w:t>
      </w:r>
      <w:sdt>
        <w:sdtPr>
          <w:rPr>
            <w:rFonts w:ascii="Calibri" w:hAnsi="Calibri" w:cs="Calibri"/>
            <w:lang w:val="en-GB"/>
          </w:rPr>
          <w:id w:val="1484969899"/>
          <w:citation/>
        </w:sdtPr>
        <w:sdtContent>
          <w:r w:rsidR="00320ECF">
            <w:rPr>
              <w:rFonts w:ascii="Calibri" w:hAnsi="Calibri" w:cs="Calibri"/>
              <w:lang w:val="en-GB"/>
            </w:rPr>
            <w:fldChar w:fldCharType="begin"/>
          </w:r>
          <w:r w:rsidR="00320ECF">
            <w:rPr>
              <w:rFonts w:ascii="Calibri" w:hAnsi="Calibri" w:cs="Calibri"/>
              <w:lang w:val="en-GB"/>
            </w:rPr>
            <w:instrText xml:space="preserve"> CITATION Bri03 \l 2057 </w:instrText>
          </w:r>
          <w:r w:rsidR="00320ECF">
            <w:rPr>
              <w:rFonts w:ascii="Calibri" w:hAnsi="Calibri" w:cs="Calibri"/>
              <w:lang w:val="en-GB"/>
            </w:rPr>
            <w:fldChar w:fldCharType="separate"/>
          </w:r>
          <w:r w:rsidR="005E305C" w:rsidRPr="005E305C">
            <w:rPr>
              <w:rFonts w:ascii="Calibri" w:hAnsi="Calibri" w:cs="Calibri"/>
              <w:noProof/>
              <w:lang w:val="en-GB"/>
            </w:rPr>
            <w:t>(Brissette et al., 2003)</w:t>
          </w:r>
          <w:r w:rsidR="00320ECF">
            <w:rPr>
              <w:rFonts w:ascii="Calibri" w:hAnsi="Calibri" w:cs="Calibri"/>
              <w:lang w:val="en-GB"/>
            </w:rPr>
            <w:fldChar w:fldCharType="end"/>
          </w:r>
        </w:sdtContent>
      </w:sdt>
      <w:r w:rsidR="00962239" w:rsidRPr="002A29D6">
        <w:rPr>
          <w:rFonts w:ascii="Calibri" w:hAnsi="Calibri" w:cs="Calibri"/>
          <w:lang w:val="en-GB"/>
        </w:rPr>
        <w:t>. The CSM is now widely applied in health psychology to predict health behaviours and outcomes, particularly in the management of chronic illnesses</w:t>
      </w:r>
      <w:r w:rsidR="00951706">
        <w:rPr>
          <w:rFonts w:ascii="Calibri" w:hAnsi="Calibri" w:cs="Calibri"/>
          <w:lang w:val="en-GB"/>
        </w:rPr>
        <w:t xml:space="preserve"> </w:t>
      </w:r>
      <w:sdt>
        <w:sdtPr>
          <w:rPr>
            <w:rFonts w:ascii="Calibri" w:hAnsi="Calibri" w:cs="Calibri"/>
            <w:lang w:val="en-GB"/>
          </w:rPr>
          <w:id w:val="564466288"/>
          <w:citation/>
        </w:sdtPr>
        <w:sdtContent>
          <w:r w:rsidR="00951706">
            <w:rPr>
              <w:rFonts w:ascii="Calibri" w:hAnsi="Calibri" w:cs="Calibri"/>
              <w:lang w:val="en-GB"/>
            </w:rPr>
            <w:fldChar w:fldCharType="begin"/>
          </w:r>
          <w:r w:rsidR="001015F8">
            <w:rPr>
              <w:rFonts w:ascii="Calibri" w:hAnsi="Calibri" w:cs="Calibri"/>
              <w:lang w:val="en-GB"/>
            </w:rPr>
            <w:instrText xml:space="preserve">CITATION Lev161 \t  \l 2057 </w:instrText>
          </w:r>
          <w:r w:rsidR="00951706">
            <w:rPr>
              <w:rFonts w:ascii="Calibri" w:hAnsi="Calibri" w:cs="Calibri"/>
              <w:lang w:val="en-GB"/>
            </w:rPr>
            <w:fldChar w:fldCharType="separate"/>
          </w:r>
          <w:r w:rsidR="005E305C" w:rsidRPr="005E305C">
            <w:rPr>
              <w:rFonts w:ascii="Calibri" w:hAnsi="Calibri" w:cs="Calibri"/>
              <w:noProof/>
              <w:lang w:val="en-GB"/>
            </w:rPr>
            <w:t>(Leventhal et al., 2016)</w:t>
          </w:r>
          <w:r w:rsidR="00951706">
            <w:rPr>
              <w:rFonts w:ascii="Calibri" w:hAnsi="Calibri" w:cs="Calibri"/>
              <w:lang w:val="en-GB"/>
            </w:rPr>
            <w:fldChar w:fldCharType="end"/>
          </w:r>
        </w:sdtContent>
      </w:sdt>
      <w:r w:rsidR="00962239" w:rsidRPr="002A29D6">
        <w:rPr>
          <w:rFonts w:ascii="Calibri" w:hAnsi="Calibri" w:cs="Calibri"/>
          <w:lang w:val="en-GB"/>
        </w:rPr>
        <w:t xml:space="preserve">. Central to the model are cognitive and emotional representations which influence coping strategies and health-related decision-making. </w:t>
      </w:r>
      <w:r w:rsidR="00487080" w:rsidRPr="00487080">
        <w:rPr>
          <w:rFonts w:ascii="Calibri" w:hAnsi="Calibri" w:cs="Calibri"/>
          <w:lang w:val="en-GB"/>
        </w:rPr>
        <w:t>Cognitive representations comprise five dimensions</w:t>
      </w:r>
      <w:r w:rsidR="00487080">
        <w:rPr>
          <w:rFonts w:ascii="Calibri" w:hAnsi="Calibri" w:cs="Calibri"/>
          <w:lang w:val="en-GB"/>
        </w:rPr>
        <w:t xml:space="preserve">; </w:t>
      </w:r>
      <w:r w:rsidR="00487080" w:rsidRPr="00487080">
        <w:rPr>
          <w:rFonts w:ascii="Calibri" w:hAnsi="Calibri" w:cs="Calibri"/>
          <w:lang w:val="en-GB"/>
        </w:rPr>
        <w:t>identity, cause, timeline, consequences, and controllability</w:t>
      </w:r>
      <w:r w:rsidR="00487080">
        <w:rPr>
          <w:rFonts w:ascii="Calibri" w:hAnsi="Calibri" w:cs="Calibri"/>
          <w:lang w:val="en-GB"/>
        </w:rPr>
        <w:t xml:space="preserve">, </w:t>
      </w:r>
      <w:r w:rsidR="00487080" w:rsidRPr="00487080">
        <w:rPr>
          <w:rFonts w:ascii="Calibri" w:hAnsi="Calibri" w:cs="Calibri"/>
          <w:lang w:val="en-GB"/>
        </w:rPr>
        <w:t>each reflecting how individuals perceive and make sense of their illness.</w:t>
      </w:r>
      <w:r w:rsidR="00487080">
        <w:rPr>
          <w:rFonts w:ascii="Calibri" w:hAnsi="Calibri" w:cs="Calibri"/>
          <w:lang w:val="en-GB"/>
        </w:rPr>
        <w:t xml:space="preserve"> </w:t>
      </w:r>
      <w:r w:rsidR="00962239" w:rsidRPr="002A29D6">
        <w:rPr>
          <w:rFonts w:ascii="Calibri" w:hAnsi="Calibri" w:cs="Calibri"/>
          <w:lang w:val="en-GB"/>
        </w:rPr>
        <w:t>Alongside these cognitive representations, individuals also develop emotional responses to their illness, which can include fear</w:t>
      </w:r>
      <w:r w:rsidR="009F0DF6">
        <w:rPr>
          <w:rFonts w:ascii="Calibri" w:hAnsi="Calibri" w:cs="Calibri"/>
          <w:lang w:val="en-GB"/>
        </w:rPr>
        <w:t xml:space="preserve"> </w:t>
      </w:r>
      <w:sdt>
        <w:sdtPr>
          <w:rPr>
            <w:rFonts w:ascii="Calibri" w:hAnsi="Calibri" w:cs="Calibri"/>
            <w:lang w:val="en-GB"/>
          </w:rPr>
          <w:id w:val="-1235774140"/>
          <w:citation/>
        </w:sdtPr>
        <w:sdtContent>
          <w:r w:rsidR="00CA4727">
            <w:rPr>
              <w:rFonts w:ascii="Calibri" w:hAnsi="Calibri" w:cs="Calibri"/>
              <w:lang w:val="en-GB"/>
            </w:rPr>
            <w:fldChar w:fldCharType="begin"/>
          </w:r>
          <w:r w:rsidR="00CA4727">
            <w:rPr>
              <w:rFonts w:ascii="Calibri" w:hAnsi="Calibri" w:cs="Calibri"/>
              <w:lang w:val="en-GB"/>
            </w:rPr>
            <w:instrText xml:space="preserve"> CITATION Bre20 \l 2057 </w:instrText>
          </w:r>
          <w:r w:rsidR="00CA4727">
            <w:rPr>
              <w:rFonts w:ascii="Calibri" w:hAnsi="Calibri" w:cs="Calibri"/>
              <w:lang w:val="en-GB"/>
            </w:rPr>
            <w:fldChar w:fldCharType="separate"/>
          </w:r>
          <w:r w:rsidR="005E305C" w:rsidRPr="005E305C">
            <w:rPr>
              <w:rFonts w:ascii="Calibri" w:hAnsi="Calibri" w:cs="Calibri"/>
              <w:noProof/>
              <w:lang w:val="en-GB"/>
            </w:rPr>
            <w:t>(Breland et al., 2020)</w:t>
          </w:r>
          <w:r w:rsidR="00CA4727">
            <w:rPr>
              <w:rFonts w:ascii="Calibri" w:hAnsi="Calibri" w:cs="Calibri"/>
              <w:lang w:val="en-GB"/>
            </w:rPr>
            <w:fldChar w:fldCharType="end"/>
          </w:r>
        </w:sdtContent>
      </w:sdt>
      <w:r w:rsidR="00962239" w:rsidRPr="002A29D6">
        <w:rPr>
          <w:rFonts w:ascii="Calibri" w:hAnsi="Calibri" w:cs="Calibri"/>
          <w:lang w:val="en-GB"/>
        </w:rPr>
        <w:t>, anxiety</w:t>
      </w:r>
      <w:r w:rsidR="00CA4727">
        <w:rPr>
          <w:rFonts w:ascii="Calibri" w:hAnsi="Calibri" w:cs="Calibri"/>
          <w:lang w:val="en-GB"/>
        </w:rPr>
        <w:t xml:space="preserve"> </w:t>
      </w:r>
      <w:sdt>
        <w:sdtPr>
          <w:rPr>
            <w:rFonts w:ascii="Calibri" w:hAnsi="Calibri" w:cs="Calibri"/>
            <w:lang w:val="en-GB"/>
          </w:rPr>
          <w:id w:val="315387631"/>
          <w:citation/>
        </w:sdtPr>
        <w:sdtContent>
          <w:r w:rsidR="00655771">
            <w:rPr>
              <w:rFonts w:ascii="Calibri" w:hAnsi="Calibri" w:cs="Calibri"/>
              <w:lang w:val="en-GB"/>
            </w:rPr>
            <w:fldChar w:fldCharType="begin"/>
          </w:r>
          <w:r w:rsidR="00655771">
            <w:rPr>
              <w:rFonts w:ascii="Calibri" w:hAnsi="Calibri" w:cs="Calibri"/>
              <w:lang w:val="en-GB"/>
            </w:rPr>
            <w:instrText xml:space="preserve"> CITATION Xin23 \l 2057 </w:instrText>
          </w:r>
          <w:r w:rsidR="00655771">
            <w:rPr>
              <w:rFonts w:ascii="Calibri" w:hAnsi="Calibri" w:cs="Calibri"/>
              <w:lang w:val="en-GB"/>
            </w:rPr>
            <w:fldChar w:fldCharType="separate"/>
          </w:r>
          <w:r w:rsidR="005E305C" w:rsidRPr="005E305C">
            <w:rPr>
              <w:rFonts w:ascii="Calibri" w:hAnsi="Calibri" w:cs="Calibri"/>
              <w:noProof/>
              <w:lang w:val="en-GB"/>
            </w:rPr>
            <w:t>(Xin et al., 2023)</w:t>
          </w:r>
          <w:r w:rsidR="00655771">
            <w:rPr>
              <w:rFonts w:ascii="Calibri" w:hAnsi="Calibri" w:cs="Calibri"/>
              <w:lang w:val="en-GB"/>
            </w:rPr>
            <w:fldChar w:fldCharType="end"/>
          </w:r>
        </w:sdtContent>
      </w:sdt>
      <w:r w:rsidR="00962239" w:rsidRPr="002A29D6">
        <w:rPr>
          <w:rFonts w:ascii="Calibri" w:hAnsi="Calibri" w:cs="Calibri"/>
          <w:lang w:val="en-GB"/>
        </w:rPr>
        <w:t>, and distress</w:t>
      </w:r>
      <w:r w:rsidR="00EF13F0" w:rsidRPr="002A29D6">
        <w:rPr>
          <w:rFonts w:ascii="Calibri" w:hAnsi="Calibri" w:cs="Calibri"/>
          <w:lang w:val="en-GB"/>
        </w:rPr>
        <w:t xml:space="preserve"> </w:t>
      </w:r>
      <w:sdt>
        <w:sdtPr>
          <w:rPr>
            <w:rFonts w:ascii="Calibri" w:hAnsi="Calibri" w:cs="Calibri"/>
            <w:lang w:val="en-GB"/>
          </w:rPr>
          <w:id w:val="-1793663831"/>
          <w:citation/>
        </w:sdtPr>
        <w:sdtContent>
          <w:r w:rsidR="005D0726">
            <w:rPr>
              <w:rFonts w:ascii="Calibri" w:hAnsi="Calibri" w:cs="Calibri"/>
              <w:lang w:val="en-GB"/>
            </w:rPr>
            <w:fldChar w:fldCharType="begin"/>
          </w:r>
          <w:r w:rsidR="001015F8">
            <w:rPr>
              <w:rFonts w:ascii="Calibri" w:hAnsi="Calibri" w:cs="Calibri"/>
              <w:lang w:val="en-GB"/>
            </w:rPr>
            <w:instrText xml:space="preserve">CITATION Hag03 \t  \l 2057 </w:instrText>
          </w:r>
          <w:r w:rsidR="005D0726">
            <w:rPr>
              <w:rFonts w:ascii="Calibri" w:hAnsi="Calibri" w:cs="Calibri"/>
              <w:lang w:val="en-GB"/>
            </w:rPr>
            <w:fldChar w:fldCharType="separate"/>
          </w:r>
          <w:r w:rsidR="005E305C" w:rsidRPr="005E305C">
            <w:rPr>
              <w:rFonts w:ascii="Calibri" w:hAnsi="Calibri" w:cs="Calibri"/>
              <w:noProof/>
              <w:lang w:val="en-GB"/>
            </w:rPr>
            <w:t>(Hagger &amp; Orbell, 2003)</w:t>
          </w:r>
          <w:r w:rsidR="005D0726">
            <w:rPr>
              <w:rFonts w:ascii="Calibri" w:hAnsi="Calibri" w:cs="Calibri"/>
              <w:lang w:val="en-GB"/>
            </w:rPr>
            <w:fldChar w:fldCharType="end"/>
          </w:r>
        </w:sdtContent>
      </w:sdt>
      <w:r w:rsidR="00962239" w:rsidRPr="002A29D6">
        <w:rPr>
          <w:rFonts w:ascii="Calibri" w:hAnsi="Calibri" w:cs="Calibri"/>
          <w:lang w:val="en-GB"/>
        </w:rPr>
        <w:t xml:space="preserve">. These emotional representations play a crucial role in shaping motivation and adherence to treatment regimens, as they can either facilitate or hinder adaptive coping mechanisms </w:t>
      </w:r>
      <w:sdt>
        <w:sdtPr>
          <w:rPr>
            <w:rFonts w:ascii="Calibri" w:hAnsi="Calibri" w:cs="Calibri"/>
            <w:lang w:val="en-GB"/>
          </w:rPr>
          <w:id w:val="219250567"/>
          <w:citation/>
        </w:sdtPr>
        <w:sdtContent>
          <w:r w:rsidR="00787954">
            <w:rPr>
              <w:rFonts w:ascii="Calibri" w:hAnsi="Calibri" w:cs="Calibri"/>
              <w:lang w:val="en-GB"/>
            </w:rPr>
            <w:fldChar w:fldCharType="begin"/>
          </w:r>
          <w:r w:rsidR="00787954">
            <w:rPr>
              <w:rFonts w:ascii="Calibri" w:hAnsi="Calibri" w:cs="Calibri"/>
              <w:lang w:val="en-GB"/>
            </w:rPr>
            <w:instrText xml:space="preserve">CITATION Lev12 \t  \l 2057 </w:instrText>
          </w:r>
          <w:r w:rsidR="00787954">
            <w:rPr>
              <w:rFonts w:ascii="Calibri" w:hAnsi="Calibri" w:cs="Calibri"/>
              <w:lang w:val="en-GB"/>
            </w:rPr>
            <w:fldChar w:fldCharType="separate"/>
          </w:r>
          <w:r w:rsidR="005E305C" w:rsidRPr="005E305C">
            <w:rPr>
              <w:rFonts w:ascii="Calibri" w:hAnsi="Calibri" w:cs="Calibri"/>
              <w:noProof/>
              <w:lang w:val="en-GB"/>
            </w:rPr>
            <w:t>(Leventhal et al., 2012)</w:t>
          </w:r>
          <w:r w:rsidR="00787954">
            <w:rPr>
              <w:rFonts w:ascii="Calibri" w:hAnsi="Calibri" w:cs="Calibri"/>
              <w:lang w:val="en-GB"/>
            </w:rPr>
            <w:fldChar w:fldCharType="end"/>
          </w:r>
        </w:sdtContent>
      </w:sdt>
      <w:r w:rsidR="00962239" w:rsidRPr="002A29D6">
        <w:rPr>
          <w:rFonts w:ascii="Calibri" w:hAnsi="Calibri" w:cs="Calibri"/>
          <w:lang w:val="en-GB"/>
        </w:rPr>
        <w:t>. A defining feature of the CSM is its self-regulatory nature, wherein individuals engage in an ongoing feedback loop when managing illness</w:t>
      </w:r>
      <w:r w:rsidR="00155D29">
        <w:rPr>
          <w:rFonts w:ascii="Calibri" w:hAnsi="Calibri" w:cs="Calibri"/>
          <w:lang w:val="en-GB"/>
        </w:rPr>
        <w:t xml:space="preserve"> </w:t>
      </w:r>
      <w:sdt>
        <w:sdtPr>
          <w:rPr>
            <w:rFonts w:ascii="Calibri" w:hAnsi="Calibri" w:cs="Calibri"/>
            <w:lang w:val="en-GB"/>
          </w:rPr>
          <w:id w:val="1324931182"/>
          <w:citation/>
        </w:sdtPr>
        <w:sdtContent>
          <w:r w:rsidR="00155D29">
            <w:rPr>
              <w:rFonts w:ascii="Calibri" w:hAnsi="Calibri" w:cs="Calibri"/>
              <w:lang w:val="en-GB"/>
            </w:rPr>
            <w:fldChar w:fldCharType="begin"/>
          </w:r>
          <w:r w:rsidR="001015F8">
            <w:rPr>
              <w:rFonts w:ascii="Calibri" w:hAnsi="Calibri" w:cs="Calibri"/>
              <w:lang w:val="en-GB"/>
            </w:rPr>
            <w:instrText xml:space="preserve">CITATION Lev161 \t  \m Hag22 \t  \l 2057 </w:instrText>
          </w:r>
          <w:r w:rsidR="00155D29">
            <w:rPr>
              <w:rFonts w:ascii="Calibri" w:hAnsi="Calibri" w:cs="Calibri"/>
              <w:lang w:val="en-GB"/>
            </w:rPr>
            <w:fldChar w:fldCharType="separate"/>
          </w:r>
          <w:r w:rsidR="005E305C" w:rsidRPr="005E305C">
            <w:rPr>
              <w:rFonts w:ascii="Calibri" w:hAnsi="Calibri" w:cs="Calibri"/>
              <w:noProof/>
              <w:lang w:val="en-GB"/>
            </w:rPr>
            <w:t>(Leventhal et al., 2016; Hagger &amp; Orbell, 2022)</w:t>
          </w:r>
          <w:r w:rsidR="00155D29">
            <w:rPr>
              <w:rFonts w:ascii="Calibri" w:hAnsi="Calibri" w:cs="Calibri"/>
              <w:lang w:val="en-GB"/>
            </w:rPr>
            <w:fldChar w:fldCharType="end"/>
          </w:r>
        </w:sdtContent>
      </w:sdt>
      <w:r w:rsidR="00962239" w:rsidRPr="002A29D6">
        <w:rPr>
          <w:rFonts w:ascii="Calibri" w:hAnsi="Calibri" w:cs="Calibri"/>
          <w:lang w:val="en-GB"/>
        </w:rPr>
        <w:t>. Upon forming illness perceptions, individuals implement coping strategies and adjust their beliefs based on their effectiveness. This dynamic process illustrates how illness perceptions are continuously refined in response to new experiences</w:t>
      </w:r>
      <w:r w:rsidR="00CA73FA">
        <w:rPr>
          <w:rFonts w:ascii="Calibri" w:hAnsi="Calibri" w:cs="Calibri"/>
          <w:lang w:val="en-GB"/>
        </w:rPr>
        <w:t xml:space="preserve"> </w:t>
      </w:r>
      <w:sdt>
        <w:sdtPr>
          <w:rPr>
            <w:rFonts w:ascii="Calibri" w:hAnsi="Calibri" w:cs="Calibri"/>
            <w:lang w:val="en-GB"/>
          </w:rPr>
          <w:id w:val="313837658"/>
          <w:citation/>
        </w:sdtPr>
        <w:sdtContent>
          <w:r w:rsidR="00B9012D">
            <w:rPr>
              <w:rFonts w:ascii="Calibri" w:hAnsi="Calibri" w:cs="Calibri"/>
              <w:lang w:val="en-GB"/>
            </w:rPr>
            <w:fldChar w:fldCharType="begin"/>
          </w:r>
          <w:r w:rsidR="00B9012D">
            <w:rPr>
              <w:rFonts w:ascii="Calibri" w:hAnsi="Calibri" w:cs="Calibri"/>
              <w:lang w:val="en-GB"/>
            </w:rPr>
            <w:instrText xml:space="preserve">CITATION Hag22 \t  \l 2057 </w:instrText>
          </w:r>
          <w:r w:rsidR="00B9012D">
            <w:rPr>
              <w:rFonts w:ascii="Calibri" w:hAnsi="Calibri" w:cs="Calibri"/>
              <w:lang w:val="en-GB"/>
            </w:rPr>
            <w:fldChar w:fldCharType="separate"/>
          </w:r>
          <w:r w:rsidR="005E305C" w:rsidRPr="005E305C">
            <w:rPr>
              <w:rFonts w:ascii="Calibri" w:hAnsi="Calibri" w:cs="Calibri"/>
              <w:noProof/>
              <w:lang w:val="en-GB"/>
            </w:rPr>
            <w:t>(Hagger &amp; Orbell, 2022)</w:t>
          </w:r>
          <w:r w:rsidR="00B9012D">
            <w:rPr>
              <w:rFonts w:ascii="Calibri" w:hAnsi="Calibri" w:cs="Calibri"/>
              <w:lang w:val="en-GB"/>
            </w:rPr>
            <w:fldChar w:fldCharType="end"/>
          </w:r>
        </w:sdtContent>
      </w:sdt>
      <w:r w:rsidR="00962239" w:rsidRPr="002A29D6">
        <w:rPr>
          <w:rFonts w:ascii="Calibri" w:hAnsi="Calibri" w:cs="Calibri"/>
          <w:lang w:val="en-GB"/>
        </w:rPr>
        <w:t>, medical advice</w:t>
      </w:r>
      <w:r w:rsidR="00B9012D">
        <w:rPr>
          <w:rFonts w:ascii="Calibri" w:hAnsi="Calibri" w:cs="Calibri"/>
          <w:lang w:val="en-GB"/>
        </w:rPr>
        <w:t xml:space="preserve"> </w:t>
      </w:r>
      <w:sdt>
        <w:sdtPr>
          <w:rPr>
            <w:rFonts w:ascii="Calibri" w:hAnsi="Calibri" w:cs="Calibri"/>
            <w:lang w:val="en-GB"/>
          </w:rPr>
          <w:id w:val="-324583397"/>
          <w:citation/>
        </w:sdtPr>
        <w:sdtContent>
          <w:r w:rsidR="00B9012D">
            <w:rPr>
              <w:rFonts w:ascii="Calibri" w:hAnsi="Calibri" w:cs="Calibri"/>
              <w:lang w:val="en-GB"/>
            </w:rPr>
            <w:fldChar w:fldCharType="begin"/>
          </w:r>
          <w:r w:rsidR="00B9012D">
            <w:rPr>
              <w:rFonts w:ascii="Calibri" w:hAnsi="Calibri" w:cs="Calibri"/>
              <w:lang w:val="en-GB"/>
            </w:rPr>
            <w:instrText xml:space="preserve"> CITATION McA08 \l 2057 </w:instrText>
          </w:r>
          <w:r w:rsidR="00B9012D">
            <w:rPr>
              <w:rFonts w:ascii="Calibri" w:hAnsi="Calibri" w:cs="Calibri"/>
              <w:lang w:val="en-GB"/>
            </w:rPr>
            <w:fldChar w:fldCharType="separate"/>
          </w:r>
          <w:r w:rsidR="005E305C" w:rsidRPr="005E305C">
            <w:rPr>
              <w:rFonts w:ascii="Calibri" w:hAnsi="Calibri" w:cs="Calibri"/>
              <w:noProof/>
              <w:lang w:val="en-GB"/>
            </w:rPr>
            <w:t>(McAndrew et al., 2008)</w:t>
          </w:r>
          <w:r w:rsidR="00B9012D">
            <w:rPr>
              <w:rFonts w:ascii="Calibri" w:hAnsi="Calibri" w:cs="Calibri"/>
              <w:lang w:val="en-GB"/>
            </w:rPr>
            <w:fldChar w:fldCharType="end"/>
          </w:r>
        </w:sdtContent>
      </w:sdt>
      <w:r w:rsidR="00962239" w:rsidRPr="002A29D6">
        <w:rPr>
          <w:rFonts w:ascii="Calibri" w:hAnsi="Calibri" w:cs="Calibri"/>
          <w:lang w:val="en-GB"/>
        </w:rPr>
        <w:t>, or changes in symptoms</w:t>
      </w:r>
      <w:r w:rsidR="005923E4" w:rsidRPr="002A29D6">
        <w:rPr>
          <w:rFonts w:ascii="Calibri" w:hAnsi="Calibri" w:cs="Calibri"/>
          <w:lang w:val="en-GB"/>
        </w:rPr>
        <w:t xml:space="preserve"> </w:t>
      </w:r>
      <w:sdt>
        <w:sdtPr>
          <w:rPr>
            <w:rFonts w:ascii="Calibri" w:hAnsi="Calibri" w:cs="Calibri"/>
            <w:lang w:val="en-GB"/>
          </w:rPr>
          <w:id w:val="1452048607"/>
          <w:citation/>
        </w:sdtPr>
        <w:sdtContent>
          <w:r w:rsidR="009577BE">
            <w:rPr>
              <w:rFonts w:ascii="Calibri" w:hAnsi="Calibri" w:cs="Calibri"/>
              <w:lang w:val="en-GB"/>
            </w:rPr>
            <w:fldChar w:fldCharType="begin"/>
          </w:r>
          <w:r w:rsidR="001015F8">
            <w:rPr>
              <w:rFonts w:ascii="Calibri" w:hAnsi="Calibri" w:cs="Calibri"/>
              <w:lang w:val="en-GB"/>
            </w:rPr>
            <w:instrText xml:space="preserve">CITATION Lev161 \t  \l 2057 </w:instrText>
          </w:r>
          <w:r w:rsidR="009577BE">
            <w:rPr>
              <w:rFonts w:ascii="Calibri" w:hAnsi="Calibri" w:cs="Calibri"/>
              <w:lang w:val="en-GB"/>
            </w:rPr>
            <w:fldChar w:fldCharType="separate"/>
          </w:r>
          <w:r w:rsidR="005E305C" w:rsidRPr="005E305C">
            <w:rPr>
              <w:rFonts w:ascii="Calibri" w:hAnsi="Calibri" w:cs="Calibri"/>
              <w:noProof/>
              <w:lang w:val="en-GB"/>
            </w:rPr>
            <w:t>(Leventhal et al., 2016)</w:t>
          </w:r>
          <w:r w:rsidR="009577BE">
            <w:rPr>
              <w:rFonts w:ascii="Calibri" w:hAnsi="Calibri" w:cs="Calibri"/>
              <w:lang w:val="en-GB"/>
            </w:rPr>
            <w:fldChar w:fldCharType="end"/>
          </w:r>
        </w:sdtContent>
      </w:sdt>
      <w:r w:rsidR="00962239" w:rsidRPr="002A29D6">
        <w:rPr>
          <w:rFonts w:ascii="Calibri" w:hAnsi="Calibri" w:cs="Calibri"/>
          <w:lang w:val="en-GB"/>
        </w:rPr>
        <w:t xml:space="preserve">. The predictive power of the CSM has significant </w:t>
      </w:r>
      <w:r w:rsidR="00962239" w:rsidRPr="002A29D6">
        <w:rPr>
          <w:rFonts w:ascii="Calibri" w:hAnsi="Calibri" w:cs="Calibri"/>
          <w:lang w:val="en-GB"/>
        </w:rPr>
        <w:lastRenderedPageBreak/>
        <w:t>implications for health psychology, as it explains why two patients with the same diagnosis may engage in vastly different health behaviours</w:t>
      </w:r>
      <w:r w:rsidR="00C73C36" w:rsidRPr="002A29D6">
        <w:rPr>
          <w:rFonts w:ascii="Calibri" w:hAnsi="Calibri" w:cs="Calibri"/>
          <w:lang w:val="en-GB"/>
        </w:rPr>
        <w:t xml:space="preserve"> </w:t>
      </w:r>
      <w:sdt>
        <w:sdtPr>
          <w:rPr>
            <w:rFonts w:ascii="Calibri" w:hAnsi="Calibri" w:cs="Calibri"/>
            <w:lang w:val="en-GB"/>
          </w:rPr>
          <w:id w:val="-1169551381"/>
          <w:citation/>
        </w:sdtPr>
        <w:sdtContent>
          <w:r w:rsidR="001C22D2">
            <w:rPr>
              <w:rFonts w:ascii="Calibri" w:hAnsi="Calibri" w:cs="Calibri"/>
              <w:lang w:val="en-GB"/>
            </w:rPr>
            <w:fldChar w:fldCharType="begin"/>
          </w:r>
          <w:r w:rsidR="001C22D2">
            <w:rPr>
              <w:rFonts w:ascii="Calibri" w:hAnsi="Calibri" w:cs="Calibri"/>
              <w:lang w:val="en-GB"/>
            </w:rPr>
            <w:instrText xml:space="preserve">CITATION Hag22 \t  \l 2057 </w:instrText>
          </w:r>
          <w:r w:rsidR="001C22D2">
            <w:rPr>
              <w:rFonts w:ascii="Calibri" w:hAnsi="Calibri" w:cs="Calibri"/>
              <w:lang w:val="en-GB"/>
            </w:rPr>
            <w:fldChar w:fldCharType="separate"/>
          </w:r>
          <w:r w:rsidR="005E305C" w:rsidRPr="005E305C">
            <w:rPr>
              <w:rFonts w:ascii="Calibri" w:hAnsi="Calibri" w:cs="Calibri"/>
              <w:noProof/>
              <w:lang w:val="en-GB"/>
            </w:rPr>
            <w:t>(Hagger &amp; Orbell, 2022)</w:t>
          </w:r>
          <w:r w:rsidR="001C22D2">
            <w:rPr>
              <w:rFonts w:ascii="Calibri" w:hAnsi="Calibri" w:cs="Calibri"/>
              <w:lang w:val="en-GB"/>
            </w:rPr>
            <w:fldChar w:fldCharType="end"/>
          </w:r>
        </w:sdtContent>
      </w:sdt>
      <w:r w:rsidR="00962239" w:rsidRPr="002A29D6">
        <w:rPr>
          <w:rFonts w:ascii="Calibri" w:hAnsi="Calibri" w:cs="Calibri"/>
          <w:lang w:val="en-GB"/>
        </w:rPr>
        <w:t>, leading to varied health outcomes</w:t>
      </w:r>
      <w:r w:rsidR="005E1653">
        <w:rPr>
          <w:rFonts w:ascii="Calibri" w:hAnsi="Calibri" w:cs="Calibri"/>
          <w:lang w:val="en-GB"/>
        </w:rPr>
        <w:t xml:space="preserve">. </w:t>
      </w:r>
      <w:r w:rsidR="00962239" w:rsidRPr="002A29D6">
        <w:rPr>
          <w:rFonts w:ascii="Calibri" w:hAnsi="Calibri" w:cs="Calibri"/>
          <w:lang w:val="en-GB"/>
        </w:rPr>
        <w:t xml:space="preserve">By identifying maladaptive illness beliefs, healthcare professionals can implement targeted interventions to reshape perceptions, enhance adherence, and improve self-management. Ultimately, the </w:t>
      </w:r>
      <w:r w:rsidR="00C73C36" w:rsidRPr="002A29D6">
        <w:rPr>
          <w:rFonts w:ascii="Calibri" w:hAnsi="Calibri" w:cs="Calibri"/>
          <w:lang w:val="en-GB"/>
        </w:rPr>
        <w:t>CSM</w:t>
      </w:r>
      <w:r w:rsidR="00962239" w:rsidRPr="002A29D6">
        <w:rPr>
          <w:rFonts w:ascii="Calibri" w:hAnsi="Calibri" w:cs="Calibri"/>
          <w:lang w:val="en-GB"/>
        </w:rPr>
        <w:t xml:space="preserve"> offers a comprehensive framework for understanding how individuals conceptualise illness</w:t>
      </w:r>
      <w:r w:rsidR="00BB0CE3">
        <w:rPr>
          <w:rFonts w:ascii="Calibri" w:hAnsi="Calibri" w:cs="Calibri"/>
          <w:lang w:val="en-GB"/>
        </w:rPr>
        <w:t xml:space="preserve"> </w:t>
      </w:r>
      <w:sdt>
        <w:sdtPr>
          <w:rPr>
            <w:rFonts w:ascii="Calibri" w:hAnsi="Calibri" w:cs="Calibri"/>
            <w:lang w:val="en-GB"/>
          </w:rPr>
          <w:id w:val="-1868372344"/>
          <w:citation/>
        </w:sdtPr>
        <w:sdtContent>
          <w:r w:rsidR="0009770F">
            <w:rPr>
              <w:rFonts w:ascii="Calibri" w:hAnsi="Calibri" w:cs="Calibri"/>
              <w:lang w:val="en-GB"/>
            </w:rPr>
            <w:fldChar w:fldCharType="begin"/>
          </w:r>
          <w:r w:rsidR="001015F8">
            <w:rPr>
              <w:rFonts w:ascii="Calibri" w:hAnsi="Calibri" w:cs="Calibri"/>
              <w:lang w:val="en-GB"/>
            </w:rPr>
            <w:instrText xml:space="preserve">CITATION Lev161 \t  \l 2057 </w:instrText>
          </w:r>
          <w:r w:rsidR="0009770F">
            <w:rPr>
              <w:rFonts w:ascii="Calibri" w:hAnsi="Calibri" w:cs="Calibri"/>
              <w:lang w:val="en-GB"/>
            </w:rPr>
            <w:fldChar w:fldCharType="separate"/>
          </w:r>
          <w:r w:rsidR="005E305C" w:rsidRPr="005E305C">
            <w:rPr>
              <w:rFonts w:ascii="Calibri" w:hAnsi="Calibri" w:cs="Calibri"/>
              <w:noProof/>
              <w:lang w:val="en-GB"/>
            </w:rPr>
            <w:t>(Leventhal et al., 2016)</w:t>
          </w:r>
          <w:r w:rsidR="0009770F">
            <w:rPr>
              <w:rFonts w:ascii="Calibri" w:hAnsi="Calibri" w:cs="Calibri"/>
              <w:lang w:val="en-GB"/>
            </w:rPr>
            <w:fldChar w:fldCharType="end"/>
          </w:r>
        </w:sdtContent>
      </w:sdt>
      <w:r w:rsidR="00962239" w:rsidRPr="002A29D6">
        <w:rPr>
          <w:rFonts w:ascii="Calibri" w:hAnsi="Calibri" w:cs="Calibri"/>
          <w:lang w:val="en-GB"/>
        </w:rPr>
        <w:t>, make treatment decisions</w:t>
      </w:r>
      <w:r w:rsidR="0009770F">
        <w:rPr>
          <w:rFonts w:ascii="Calibri" w:hAnsi="Calibri" w:cs="Calibri"/>
          <w:lang w:val="en-GB"/>
        </w:rPr>
        <w:t xml:space="preserve"> </w:t>
      </w:r>
      <w:sdt>
        <w:sdtPr>
          <w:rPr>
            <w:rFonts w:ascii="Calibri" w:hAnsi="Calibri" w:cs="Calibri"/>
            <w:lang w:val="en-GB"/>
          </w:rPr>
          <w:id w:val="-1588154548"/>
          <w:citation/>
        </w:sdtPr>
        <w:sdtContent>
          <w:r w:rsidR="0009770F">
            <w:rPr>
              <w:rFonts w:ascii="Calibri" w:hAnsi="Calibri" w:cs="Calibri"/>
              <w:lang w:val="en-GB"/>
            </w:rPr>
            <w:fldChar w:fldCharType="begin"/>
          </w:r>
          <w:r w:rsidR="0009770F">
            <w:rPr>
              <w:rFonts w:ascii="Calibri" w:hAnsi="Calibri" w:cs="Calibri"/>
              <w:lang w:val="en-GB"/>
            </w:rPr>
            <w:instrText xml:space="preserve"> CITATION McA08 \l 2057 </w:instrText>
          </w:r>
          <w:r w:rsidR="0009770F">
            <w:rPr>
              <w:rFonts w:ascii="Calibri" w:hAnsi="Calibri" w:cs="Calibri"/>
              <w:lang w:val="en-GB"/>
            </w:rPr>
            <w:fldChar w:fldCharType="separate"/>
          </w:r>
          <w:r w:rsidR="005E305C" w:rsidRPr="005E305C">
            <w:rPr>
              <w:rFonts w:ascii="Calibri" w:hAnsi="Calibri" w:cs="Calibri"/>
              <w:noProof/>
              <w:lang w:val="en-GB"/>
            </w:rPr>
            <w:t>(McAndrew et al., 2008)</w:t>
          </w:r>
          <w:r w:rsidR="0009770F">
            <w:rPr>
              <w:rFonts w:ascii="Calibri" w:hAnsi="Calibri" w:cs="Calibri"/>
              <w:lang w:val="en-GB"/>
            </w:rPr>
            <w:fldChar w:fldCharType="end"/>
          </w:r>
        </w:sdtContent>
      </w:sdt>
      <w:r w:rsidR="00962239" w:rsidRPr="002A29D6">
        <w:rPr>
          <w:rFonts w:ascii="Calibri" w:hAnsi="Calibri" w:cs="Calibri"/>
          <w:lang w:val="en-GB"/>
        </w:rPr>
        <w:t>, and adjust coping strategies over time</w:t>
      </w:r>
      <w:r w:rsidR="0009770F">
        <w:rPr>
          <w:rFonts w:ascii="Calibri" w:hAnsi="Calibri" w:cs="Calibri"/>
          <w:lang w:val="en-GB"/>
        </w:rPr>
        <w:t xml:space="preserve"> </w:t>
      </w:r>
      <w:sdt>
        <w:sdtPr>
          <w:rPr>
            <w:rFonts w:ascii="Calibri" w:hAnsi="Calibri" w:cs="Calibri"/>
            <w:lang w:val="en-GB"/>
          </w:rPr>
          <w:id w:val="-632479901"/>
          <w:citation/>
        </w:sdtPr>
        <w:sdtContent>
          <w:r w:rsidR="003502CF">
            <w:rPr>
              <w:rFonts w:ascii="Calibri" w:hAnsi="Calibri" w:cs="Calibri"/>
              <w:lang w:val="en-GB"/>
            </w:rPr>
            <w:fldChar w:fldCharType="begin"/>
          </w:r>
          <w:r w:rsidR="003502CF">
            <w:rPr>
              <w:rFonts w:ascii="Calibri" w:hAnsi="Calibri" w:cs="Calibri"/>
              <w:lang w:val="en-GB"/>
            </w:rPr>
            <w:instrText xml:space="preserve">CITATION Hag22 \t  \l 2057 </w:instrText>
          </w:r>
          <w:r w:rsidR="003502CF">
            <w:rPr>
              <w:rFonts w:ascii="Calibri" w:hAnsi="Calibri" w:cs="Calibri"/>
              <w:lang w:val="en-GB"/>
            </w:rPr>
            <w:fldChar w:fldCharType="separate"/>
          </w:r>
          <w:r w:rsidR="005E305C" w:rsidRPr="005E305C">
            <w:rPr>
              <w:rFonts w:ascii="Calibri" w:hAnsi="Calibri" w:cs="Calibri"/>
              <w:noProof/>
              <w:lang w:val="en-GB"/>
            </w:rPr>
            <w:t>(Hagger &amp; Orbell, 2022)</w:t>
          </w:r>
          <w:r w:rsidR="003502CF">
            <w:rPr>
              <w:rFonts w:ascii="Calibri" w:hAnsi="Calibri" w:cs="Calibri"/>
              <w:lang w:val="en-GB"/>
            </w:rPr>
            <w:fldChar w:fldCharType="end"/>
          </w:r>
        </w:sdtContent>
      </w:sdt>
      <w:r w:rsidR="00962239" w:rsidRPr="002A29D6">
        <w:rPr>
          <w:rFonts w:ascii="Calibri" w:hAnsi="Calibri" w:cs="Calibri"/>
          <w:lang w:val="en-GB"/>
        </w:rPr>
        <w:t>, reinforcing its role as a valuable tool in health psychology.</w:t>
      </w:r>
    </w:p>
    <w:p w14:paraId="2E487C60" w14:textId="77777777" w:rsidR="00436EA1" w:rsidRPr="002A29D6" w:rsidRDefault="00436EA1" w:rsidP="005E305C">
      <w:pPr>
        <w:spacing w:line="480" w:lineRule="auto"/>
        <w:rPr>
          <w:rFonts w:ascii="Calibri" w:hAnsi="Calibri" w:cs="Calibri"/>
          <w:b/>
          <w:bCs/>
          <w:lang w:val="en-GB"/>
        </w:rPr>
      </w:pPr>
    </w:p>
    <w:p w14:paraId="61322FE2" w14:textId="128F0C32" w:rsidR="008C0373" w:rsidRDefault="00AC11E8" w:rsidP="005E305C">
      <w:pPr>
        <w:spacing w:line="480" w:lineRule="auto"/>
        <w:ind w:firstLine="720"/>
        <w:rPr>
          <w:rFonts w:ascii="Calibri" w:hAnsi="Calibri" w:cs="Calibri"/>
          <w:lang w:val="en-GB"/>
        </w:rPr>
      </w:pPr>
      <w:r w:rsidRPr="002A29D6">
        <w:rPr>
          <w:rFonts w:ascii="Calibri" w:hAnsi="Calibri" w:cs="Calibri"/>
          <w:lang w:val="en-GB"/>
        </w:rPr>
        <w:t xml:space="preserve">Research examining illness perceptions within the framework of the CSM has consistently demonstrated their relevance in predicting health outcomes across a range of chronic illnesses. Empirical studies </w:t>
      </w:r>
      <w:r w:rsidR="00BE3E46">
        <w:rPr>
          <w:rFonts w:ascii="Calibri" w:hAnsi="Calibri" w:cs="Calibri"/>
          <w:lang w:val="en-GB"/>
        </w:rPr>
        <w:t>suggest</w:t>
      </w:r>
      <w:r w:rsidRPr="002A29D6">
        <w:rPr>
          <w:rFonts w:ascii="Calibri" w:hAnsi="Calibri" w:cs="Calibri"/>
          <w:lang w:val="en-GB"/>
        </w:rPr>
        <w:t xml:space="preserve"> that illness beliefs influence medication adherence in asthma</w:t>
      </w:r>
      <w:r w:rsidR="00563791">
        <w:rPr>
          <w:rFonts w:ascii="Calibri" w:hAnsi="Calibri" w:cs="Calibri"/>
          <w:lang w:val="en-GB"/>
        </w:rPr>
        <w:t xml:space="preserve"> </w:t>
      </w:r>
      <w:sdt>
        <w:sdtPr>
          <w:rPr>
            <w:rFonts w:ascii="Calibri" w:hAnsi="Calibri" w:cs="Calibri"/>
            <w:lang w:val="en-GB"/>
          </w:rPr>
          <w:id w:val="-722143843"/>
          <w:citation/>
        </w:sdtPr>
        <w:sdtContent>
          <w:r w:rsidR="00563791">
            <w:rPr>
              <w:rFonts w:ascii="Calibri" w:hAnsi="Calibri" w:cs="Calibri"/>
              <w:lang w:val="en-GB"/>
            </w:rPr>
            <w:fldChar w:fldCharType="begin"/>
          </w:r>
          <w:r w:rsidR="00563791">
            <w:rPr>
              <w:rFonts w:ascii="Calibri" w:hAnsi="Calibri" w:cs="Calibri"/>
              <w:lang w:val="en-GB"/>
            </w:rPr>
            <w:instrText xml:space="preserve"> CITATION Hor02 \l 2057 </w:instrText>
          </w:r>
          <w:r w:rsidR="00563791">
            <w:rPr>
              <w:rFonts w:ascii="Calibri" w:hAnsi="Calibri" w:cs="Calibri"/>
              <w:lang w:val="en-GB"/>
            </w:rPr>
            <w:fldChar w:fldCharType="separate"/>
          </w:r>
          <w:r w:rsidR="005E305C" w:rsidRPr="005E305C">
            <w:rPr>
              <w:rFonts w:ascii="Calibri" w:hAnsi="Calibri" w:cs="Calibri"/>
              <w:noProof/>
              <w:lang w:val="en-GB"/>
            </w:rPr>
            <w:t>(Horne &amp; Weinman, 2002)</w:t>
          </w:r>
          <w:r w:rsidR="00563791">
            <w:rPr>
              <w:rFonts w:ascii="Calibri" w:hAnsi="Calibri" w:cs="Calibri"/>
              <w:lang w:val="en-GB"/>
            </w:rPr>
            <w:fldChar w:fldCharType="end"/>
          </w:r>
        </w:sdtContent>
      </w:sdt>
      <w:r w:rsidRPr="002A29D6">
        <w:rPr>
          <w:rFonts w:ascii="Calibri" w:hAnsi="Calibri" w:cs="Calibri"/>
          <w:lang w:val="en-GB"/>
        </w:rPr>
        <w:t>, health-related quality of life in rheumatoid arthritis</w:t>
      </w:r>
      <w:r w:rsidR="00023547">
        <w:rPr>
          <w:rFonts w:ascii="Calibri" w:hAnsi="Calibri" w:cs="Calibri"/>
          <w:lang w:val="en-GB"/>
        </w:rPr>
        <w:t xml:space="preserve"> </w:t>
      </w:r>
      <w:sdt>
        <w:sdtPr>
          <w:rPr>
            <w:rFonts w:ascii="Calibri" w:hAnsi="Calibri" w:cs="Calibri"/>
            <w:lang w:val="en-GB"/>
          </w:rPr>
          <w:id w:val="1860463890"/>
          <w:citation/>
        </w:sdtPr>
        <w:sdtContent>
          <w:r w:rsidR="00023547">
            <w:rPr>
              <w:rFonts w:ascii="Calibri" w:hAnsi="Calibri" w:cs="Calibri"/>
              <w:lang w:val="en-GB"/>
            </w:rPr>
            <w:fldChar w:fldCharType="begin"/>
          </w:r>
          <w:r w:rsidR="00023547">
            <w:rPr>
              <w:rFonts w:ascii="Calibri" w:hAnsi="Calibri" w:cs="Calibri"/>
              <w:lang w:val="en-GB"/>
            </w:rPr>
            <w:instrText xml:space="preserve"> CITATION Wan21 \l 2057 </w:instrText>
          </w:r>
          <w:r w:rsidR="00023547">
            <w:rPr>
              <w:rFonts w:ascii="Calibri" w:hAnsi="Calibri" w:cs="Calibri"/>
              <w:lang w:val="en-GB"/>
            </w:rPr>
            <w:fldChar w:fldCharType="separate"/>
          </w:r>
          <w:r w:rsidR="005E305C" w:rsidRPr="005E305C">
            <w:rPr>
              <w:rFonts w:ascii="Calibri" w:hAnsi="Calibri" w:cs="Calibri"/>
              <w:noProof/>
              <w:lang w:val="en-GB"/>
            </w:rPr>
            <w:t>(Wang et al., 2021)</w:t>
          </w:r>
          <w:r w:rsidR="00023547">
            <w:rPr>
              <w:rFonts w:ascii="Calibri" w:hAnsi="Calibri" w:cs="Calibri"/>
              <w:lang w:val="en-GB"/>
            </w:rPr>
            <w:fldChar w:fldCharType="end"/>
          </w:r>
        </w:sdtContent>
      </w:sdt>
      <w:r w:rsidRPr="002A29D6">
        <w:rPr>
          <w:rFonts w:ascii="Calibri" w:hAnsi="Calibri" w:cs="Calibri"/>
          <w:lang w:val="en-GB"/>
        </w:rPr>
        <w:t>, and even survival rates in cancer</w:t>
      </w:r>
      <w:r w:rsidR="003747EA">
        <w:rPr>
          <w:rFonts w:ascii="Calibri" w:hAnsi="Calibri" w:cs="Calibri"/>
          <w:lang w:val="en-GB"/>
        </w:rPr>
        <w:t xml:space="preserve"> </w:t>
      </w:r>
      <w:sdt>
        <w:sdtPr>
          <w:rPr>
            <w:rFonts w:ascii="Calibri" w:hAnsi="Calibri" w:cs="Calibri"/>
            <w:lang w:val="en-GB"/>
          </w:rPr>
          <w:id w:val="-1507435593"/>
          <w:citation/>
        </w:sdtPr>
        <w:sdtContent>
          <w:r w:rsidR="003747EA">
            <w:rPr>
              <w:rFonts w:ascii="Calibri" w:hAnsi="Calibri" w:cs="Calibri"/>
              <w:lang w:val="en-GB"/>
            </w:rPr>
            <w:fldChar w:fldCharType="begin"/>
          </w:r>
          <w:r w:rsidR="003747EA">
            <w:rPr>
              <w:rFonts w:ascii="Calibri" w:hAnsi="Calibri" w:cs="Calibri"/>
              <w:lang w:val="en-GB"/>
            </w:rPr>
            <w:instrText xml:space="preserve"> CITATION GuX24 \l 2057 </w:instrText>
          </w:r>
          <w:r w:rsidR="003747EA">
            <w:rPr>
              <w:rFonts w:ascii="Calibri" w:hAnsi="Calibri" w:cs="Calibri"/>
              <w:lang w:val="en-GB"/>
            </w:rPr>
            <w:fldChar w:fldCharType="separate"/>
          </w:r>
          <w:r w:rsidR="005E305C" w:rsidRPr="005E305C">
            <w:rPr>
              <w:rFonts w:ascii="Calibri" w:hAnsi="Calibri" w:cs="Calibri"/>
              <w:noProof/>
              <w:lang w:val="en-GB"/>
            </w:rPr>
            <w:t>(Gu et al., 2024)</w:t>
          </w:r>
          <w:r w:rsidR="003747EA">
            <w:rPr>
              <w:rFonts w:ascii="Calibri" w:hAnsi="Calibri" w:cs="Calibri"/>
              <w:lang w:val="en-GB"/>
            </w:rPr>
            <w:fldChar w:fldCharType="end"/>
          </w:r>
        </w:sdtContent>
      </w:sdt>
      <w:r w:rsidRPr="002A29D6">
        <w:rPr>
          <w:rFonts w:ascii="Calibri" w:hAnsi="Calibri" w:cs="Calibri"/>
          <w:lang w:val="en-GB"/>
        </w:rPr>
        <w:t>, reinforcing the robustness of the model across different medical conditions</w:t>
      </w:r>
      <w:r w:rsidR="00E224D6">
        <w:rPr>
          <w:rFonts w:ascii="Calibri" w:hAnsi="Calibri" w:cs="Calibri"/>
          <w:lang w:val="en-GB"/>
        </w:rPr>
        <w:t xml:space="preserve"> </w:t>
      </w:r>
      <w:sdt>
        <w:sdtPr>
          <w:rPr>
            <w:rFonts w:ascii="Calibri" w:hAnsi="Calibri" w:cs="Calibri"/>
            <w:lang w:val="en-GB"/>
          </w:rPr>
          <w:id w:val="-1929805087"/>
          <w:citation/>
        </w:sdtPr>
        <w:sdtContent>
          <w:r w:rsidR="00E224D6">
            <w:rPr>
              <w:rFonts w:ascii="Calibri" w:hAnsi="Calibri" w:cs="Calibri"/>
              <w:lang w:val="en-GB"/>
            </w:rPr>
            <w:fldChar w:fldCharType="begin"/>
          </w:r>
          <w:r w:rsidR="00E224D6">
            <w:rPr>
              <w:rFonts w:ascii="Calibri" w:hAnsi="Calibri" w:cs="Calibri"/>
              <w:lang w:val="en-GB"/>
            </w:rPr>
            <w:instrText xml:space="preserve"> CITATION Pet07 \l 2057 </w:instrText>
          </w:r>
          <w:r w:rsidR="00E224D6">
            <w:rPr>
              <w:rFonts w:ascii="Calibri" w:hAnsi="Calibri" w:cs="Calibri"/>
              <w:lang w:val="en-GB"/>
            </w:rPr>
            <w:fldChar w:fldCharType="separate"/>
          </w:r>
          <w:r w:rsidR="005E305C" w:rsidRPr="005E305C">
            <w:rPr>
              <w:rFonts w:ascii="Calibri" w:hAnsi="Calibri" w:cs="Calibri"/>
              <w:noProof/>
              <w:lang w:val="en-GB"/>
            </w:rPr>
            <w:t>(Petrie et al., 2007)</w:t>
          </w:r>
          <w:r w:rsidR="00E224D6">
            <w:rPr>
              <w:rFonts w:ascii="Calibri" w:hAnsi="Calibri" w:cs="Calibri"/>
              <w:lang w:val="en-GB"/>
            </w:rPr>
            <w:fldChar w:fldCharType="end"/>
          </w:r>
        </w:sdtContent>
      </w:sdt>
      <w:r w:rsidRPr="002A29D6">
        <w:rPr>
          <w:rFonts w:ascii="Calibri" w:hAnsi="Calibri" w:cs="Calibri"/>
          <w:lang w:val="en-GB"/>
        </w:rPr>
        <w:t xml:space="preserve">. These findings suggest that similar cognitive and emotional mechanisms operate across chronic illnesses, making the CSM a valuable tool for understanding patient behaviour and guiding interventions. Research </w:t>
      </w:r>
      <w:r w:rsidR="00412A6B">
        <w:rPr>
          <w:rFonts w:ascii="Calibri" w:hAnsi="Calibri" w:cs="Calibri"/>
          <w:lang w:val="en-GB"/>
        </w:rPr>
        <w:t>suggests</w:t>
      </w:r>
      <w:r w:rsidRPr="002A29D6">
        <w:rPr>
          <w:rFonts w:ascii="Calibri" w:hAnsi="Calibri" w:cs="Calibri"/>
          <w:lang w:val="en-GB"/>
        </w:rPr>
        <w:t xml:space="preserve"> that patient beliefs about the nature of diabetes significantly influence their self-care behaviours</w:t>
      </w:r>
      <w:r w:rsidR="007F6271">
        <w:rPr>
          <w:rFonts w:ascii="Calibri" w:hAnsi="Calibri" w:cs="Calibri"/>
          <w:lang w:val="en-GB"/>
        </w:rPr>
        <w:t>.</w:t>
      </w:r>
      <w:r w:rsidR="008B2EB8">
        <w:rPr>
          <w:rFonts w:ascii="Calibri" w:hAnsi="Calibri" w:cs="Calibri"/>
          <w:lang w:val="en-GB"/>
        </w:rPr>
        <w:t xml:space="preserve"> </w:t>
      </w:r>
      <w:r w:rsidRPr="002A29D6">
        <w:rPr>
          <w:rFonts w:ascii="Calibri" w:hAnsi="Calibri" w:cs="Calibri"/>
          <w:lang w:val="en-GB"/>
        </w:rPr>
        <w:t>For example, patients who misattribute or are uncertain about diabetes-related symptoms often exhibit poorer adherence to treatment as they may not fully understand the implications of their condition</w:t>
      </w:r>
      <w:r w:rsidR="007F6271" w:rsidRPr="007F6271">
        <w:rPr>
          <w:rFonts w:ascii="Calibri" w:hAnsi="Calibri" w:cs="Calibri"/>
          <w:lang w:val="en-GB"/>
        </w:rPr>
        <w:t xml:space="preserve"> </w:t>
      </w:r>
      <w:sdt>
        <w:sdtPr>
          <w:rPr>
            <w:rFonts w:ascii="Calibri" w:hAnsi="Calibri" w:cs="Calibri"/>
            <w:lang w:val="en-GB"/>
          </w:rPr>
          <w:id w:val="-336380137"/>
          <w:citation/>
        </w:sdtPr>
        <w:sdtContent>
          <w:r w:rsidR="007F6271">
            <w:rPr>
              <w:rFonts w:ascii="Calibri" w:hAnsi="Calibri" w:cs="Calibri"/>
              <w:lang w:val="en-GB"/>
            </w:rPr>
            <w:fldChar w:fldCharType="begin"/>
          </w:r>
          <w:r w:rsidR="007F6271">
            <w:rPr>
              <w:rFonts w:ascii="Calibri" w:hAnsi="Calibri" w:cs="Calibri"/>
              <w:lang w:val="en-GB"/>
            </w:rPr>
            <w:instrText xml:space="preserve"> CITATION Pol92 \l 2057  \m Tsa21 \m HuY22 \m Xin23</w:instrText>
          </w:r>
          <w:r w:rsidR="007F6271">
            <w:rPr>
              <w:rFonts w:ascii="Calibri" w:hAnsi="Calibri" w:cs="Calibri"/>
              <w:lang w:val="en-GB"/>
            </w:rPr>
            <w:fldChar w:fldCharType="separate"/>
          </w:r>
          <w:r w:rsidR="005E305C" w:rsidRPr="005E305C">
            <w:rPr>
              <w:rFonts w:ascii="Calibri" w:hAnsi="Calibri" w:cs="Calibri"/>
              <w:noProof/>
              <w:lang w:val="en-GB"/>
            </w:rPr>
            <w:t>(Polly, 1992; Tsai et al., 2021; Hu et al., 2022; Xin et al., 2023)</w:t>
          </w:r>
          <w:r w:rsidR="007F6271">
            <w:rPr>
              <w:rFonts w:ascii="Calibri" w:hAnsi="Calibri" w:cs="Calibri"/>
              <w:lang w:val="en-GB"/>
            </w:rPr>
            <w:fldChar w:fldCharType="end"/>
          </w:r>
        </w:sdtContent>
      </w:sdt>
      <w:r w:rsidRPr="002A29D6">
        <w:rPr>
          <w:rFonts w:ascii="Calibri" w:hAnsi="Calibri" w:cs="Calibri"/>
          <w:lang w:val="en-GB"/>
        </w:rPr>
        <w:t xml:space="preserve">. Similarly, causal attributions play a crucial role, as those who perceive diabetes as </w:t>
      </w:r>
      <w:r w:rsidRPr="002A29D6">
        <w:rPr>
          <w:rFonts w:ascii="Calibri" w:hAnsi="Calibri" w:cs="Calibri"/>
          <w:lang w:val="en-GB"/>
        </w:rPr>
        <w:lastRenderedPageBreak/>
        <w:t xml:space="preserve">resulting from lifestyle choices may feel a greater sense of personal responsibility and motivation for behaviour change, whereas those attributing it to genetic factors may feel less agency in managing their condition </w:t>
      </w:r>
      <w:sdt>
        <w:sdtPr>
          <w:rPr>
            <w:rFonts w:ascii="Calibri" w:hAnsi="Calibri" w:cs="Calibri"/>
            <w:lang w:val="en-GB"/>
          </w:rPr>
          <w:id w:val="609628951"/>
          <w:citation/>
        </w:sdtPr>
        <w:sdtContent>
          <w:r w:rsidR="00F43A8C">
            <w:rPr>
              <w:rFonts w:ascii="Calibri" w:hAnsi="Calibri" w:cs="Calibri"/>
              <w:lang w:val="en-GB"/>
            </w:rPr>
            <w:fldChar w:fldCharType="begin"/>
          </w:r>
          <w:r w:rsidR="00F43A8C">
            <w:rPr>
              <w:rFonts w:ascii="Calibri" w:hAnsi="Calibri" w:cs="Calibri"/>
              <w:lang w:val="en-GB"/>
            </w:rPr>
            <w:instrText xml:space="preserve"> CITATION Keo11 \l 2057 </w:instrText>
          </w:r>
          <w:r w:rsidR="00F43A8C">
            <w:rPr>
              <w:rFonts w:ascii="Calibri" w:hAnsi="Calibri" w:cs="Calibri"/>
              <w:lang w:val="en-GB"/>
            </w:rPr>
            <w:fldChar w:fldCharType="separate"/>
          </w:r>
          <w:r w:rsidR="005E305C" w:rsidRPr="005E305C">
            <w:rPr>
              <w:rFonts w:ascii="Calibri" w:hAnsi="Calibri" w:cs="Calibri"/>
              <w:noProof/>
              <w:lang w:val="en-GB"/>
            </w:rPr>
            <w:t>(Keogh et al., 2011)</w:t>
          </w:r>
          <w:r w:rsidR="00F43A8C">
            <w:rPr>
              <w:rFonts w:ascii="Calibri" w:hAnsi="Calibri" w:cs="Calibri"/>
              <w:lang w:val="en-GB"/>
            </w:rPr>
            <w:fldChar w:fldCharType="end"/>
          </w:r>
        </w:sdtContent>
      </w:sdt>
      <w:r w:rsidRPr="002A29D6">
        <w:rPr>
          <w:rFonts w:ascii="Calibri" w:hAnsi="Calibri" w:cs="Calibri"/>
          <w:lang w:val="en-GB"/>
        </w:rPr>
        <w:t>. Perceptions of the timeline of diabetes also shape adherence, with individuals recognising the condition as chronic often engaging in vigilant long-term management</w:t>
      </w:r>
      <w:r w:rsidR="008B2EB8">
        <w:rPr>
          <w:rFonts w:ascii="Calibri" w:hAnsi="Calibri" w:cs="Calibri"/>
          <w:lang w:val="en-GB"/>
        </w:rPr>
        <w:t xml:space="preserve"> </w:t>
      </w:r>
      <w:sdt>
        <w:sdtPr>
          <w:rPr>
            <w:rFonts w:ascii="Calibri" w:hAnsi="Calibri" w:cs="Calibri"/>
            <w:lang w:val="en-GB"/>
          </w:rPr>
          <w:id w:val="1607541530"/>
          <w:citation/>
        </w:sdtPr>
        <w:sdtContent>
          <w:r w:rsidR="005E0786">
            <w:rPr>
              <w:rFonts w:ascii="Calibri" w:hAnsi="Calibri" w:cs="Calibri"/>
              <w:lang w:val="en-GB"/>
            </w:rPr>
            <w:fldChar w:fldCharType="begin"/>
          </w:r>
          <w:r w:rsidR="005E0786">
            <w:rPr>
              <w:rFonts w:ascii="Calibri" w:hAnsi="Calibri" w:cs="Calibri"/>
              <w:lang w:val="en-GB"/>
            </w:rPr>
            <w:instrText xml:space="preserve"> CITATION Esh23 \l 2057 </w:instrText>
          </w:r>
          <w:r w:rsidR="005E0786">
            <w:rPr>
              <w:rFonts w:ascii="Calibri" w:hAnsi="Calibri" w:cs="Calibri"/>
              <w:lang w:val="en-GB"/>
            </w:rPr>
            <w:fldChar w:fldCharType="separate"/>
          </w:r>
          <w:r w:rsidR="005E305C" w:rsidRPr="005E305C">
            <w:rPr>
              <w:rFonts w:ascii="Calibri" w:hAnsi="Calibri" w:cs="Calibri"/>
              <w:noProof/>
              <w:lang w:val="en-GB"/>
            </w:rPr>
            <w:t>(Eshete et al., 2023)</w:t>
          </w:r>
          <w:r w:rsidR="005E0786">
            <w:rPr>
              <w:rFonts w:ascii="Calibri" w:hAnsi="Calibri" w:cs="Calibri"/>
              <w:lang w:val="en-GB"/>
            </w:rPr>
            <w:fldChar w:fldCharType="end"/>
          </w:r>
        </w:sdtContent>
      </w:sdt>
      <w:r w:rsidR="005E0786">
        <w:rPr>
          <w:rFonts w:ascii="Calibri" w:hAnsi="Calibri" w:cs="Calibri"/>
          <w:lang w:val="en-GB"/>
        </w:rPr>
        <w:t>,</w:t>
      </w:r>
      <w:r w:rsidRPr="002A29D6">
        <w:rPr>
          <w:rFonts w:ascii="Calibri" w:hAnsi="Calibri" w:cs="Calibri"/>
          <w:lang w:val="en-GB"/>
        </w:rPr>
        <w:t xml:space="preserve"> however, this perception can also lead to feelings of discouragement if diabetes is viewed as an unrelenting burden</w:t>
      </w:r>
      <w:r w:rsidR="00B22AB0">
        <w:rPr>
          <w:rFonts w:ascii="Calibri" w:hAnsi="Calibri" w:cs="Calibri"/>
          <w:lang w:val="en-GB"/>
        </w:rPr>
        <w:t xml:space="preserve"> </w:t>
      </w:r>
      <w:sdt>
        <w:sdtPr>
          <w:rPr>
            <w:rFonts w:ascii="Calibri" w:hAnsi="Calibri" w:cs="Calibri"/>
            <w:lang w:val="en-GB"/>
          </w:rPr>
          <w:id w:val="159506277"/>
          <w:citation/>
        </w:sdtPr>
        <w:sdtContent>
          <w:r w:rsidR="00B22AB0">
            <w:rPr>
              <w:rFonts w:ascii="Calibri" w:hAnsi="Calibri" w:cs="Calibri"/>
              <w:lang w:val="en-GB"/>
            </w:rPr>
            <w:fldChar w:fldCharType="begin"/>
          </w:r>
          <w:r w:rsidR="00B22AB0">
            <w:rPr>
              <w:rFonts w:ascii="Calibri" w:hAnsi="Calibri" w:cs="Calibri"/>
              <w:lang w:val="en-GB"/>
            </w:rPr>
            <w:instrText xml:space="preserve"> CITATION Poo24 \l 2057 </w:instrText>
          </w:r>
          <w:r w:rsidR="00B22AB0">
            <w:rPr>
              <w:rFonts w:ascii="Calibri" w:hAnsi="Calibri" w:cs="Calibri"/>
              <w:lang w:val="en-GB"/>
            </w:rPr>
            <w:fldChar w:fldCharType="separate"/>
          </w:r>
          <w:r w:rsidR="005E305C" w:rsidRPr="005E305C">
            <w:rPr>
              <w:rFonts w:ascii="Calibri" w:hAnsi="Calibri" w:cs="Calibri"/>
              <w:noProof/>
              <w:lang w:val="en-GB"/>
            </w:rPr>
            <w:t>(Poole &amp; Hackett, 2024)</w:t>
          </w:r>
          <w:r w:rsidR="00B22AB0">
            <w:rPr>
              <w:rFonts w:ascii="Calibri" w:hAnsi="Calibri" w:cs="Calibri"/>
              <w:lang w:val="en-GB"/>
            </w:rPr>
            <w:fldChar w:fldCharType="end"/>
          </w:r>
        </w:sdtContent>
      </w:sdt>
      <w:r w:rsidRPr="002A29D6">
        <w:rPr>
          <w:rFonts w:ascii="Calibri" w:hAnsi="Calibri" w:cs="Calibri"/>
          <w:lang w:val="en-GB"/>
        </w:rPr>
        <w:t>. Additionally, beliefs about the consequences of diabetes can have both positive and negative effects</w:t>
      </w:r>
      <w:r w:rsidR="008B2EB8">
        <w:rPr>
          <w:rFonts w:ascii="Calibri" w:hAnsi="Calibri" w:cs="Calibri"/>
          <w:lang w:val="en-GB"/>
        </w:rPr>
        <w:t xml:space="preserve"> as </w:t>
      </w:r>
      <w:r w:rsidRPr="002A29D6">
        <w:rPr>
          <w:rFonts w:ascii="Calibri" w:hAnsi="Calibri" w:cs="Calibri"/>
          <w:lang w:val="en-GB"/>
        </w:rPr>
        <w:t>those who perceive the condition as highly severe may adhere more strictly to treatment</w:t>
      </w:r>
      <w:r w:rsidR="00810FBC">
        <w:rPr>
          <w:rFonts w:ascii="Calibri" w:hAnsi="Calibri" w:cs="Calibri"/>
          <w:lang w:val="en-GB"/>
        </w:rPr>
        <w:t xml:space="preserve"> </w:t>
      </w:r>
      <w:sdt>
        <w:sdtPr>
          <w:rPr>
            <w:rFonts w:ascii="Calibri" w:hAnsi="Calibri" w:cs="Calibri"/>
            <w:lang w:val="en-GB"/>
          </w:rPr>
          <w:id w:val="1318692865"/>
          <w:citation/>
        </w:sdtPr>
        <w:sdtContent>
          <w:r w:rsidR="00787C28">
            <w:rPr>
              <w:rFonts w:ascii="Calibri" w:hAnsi="Calibri" w:cs="Calibri"/>
              <w:lang w:val="en-GB"/>
            </w:rPr>
            <w:fldChar w:fldCharType="begin"/>
          </w:r>
          <w:r w:rsidR="00787C28">
            <w:rPr>
              <w:rFonts w:ascii="Calibri" w:hAnsi="Calibri" w:cs="Calibri"/>
              <w:lang w:val="en-GB"/>
            </w:rPr>
            <w:instrText xml:space="preserve">CITATION Bro11 \t  \l 2057 </w:instrText>
          </w:r>
          <w:r w:rsidR="00787C28">
            <w:rPr>
              <w:rFonts w:ascii="Calibri" w:hAnsi="Calibri" w:cs="Calibri"/>
              <w:lang w:val="en-GB"/>
            </w:rPr>
            <w:fldChar w:fldCharType="separate"/>
          </w:r>
          <w:r w:rsidR="005E305C" w:rsidRPr="005E305C">
            <w:rPr>
              <w:rFonts w:ascii="Calibri" w:hAnsi="Calibri" w:cs="Calibri"/>
              <w:noProof/>
              <w:lang w:val="en-GB"/>
            </w:rPr>
            <w:t>(Broadbent et al., 2011)</w:t>
          </w:r>
          <w:r w:rsidR="00787C28">
            <w:rPr>
              <w:rFonts w:ascii="Calibri" w:hAnsi="Calibri" w:cs="Calibri"/>
              <w:lang w:val="en-GB"/>
            </w:rPr>
            <w:fldChar w:fldCharType="end"/>
          </w:r>
        </w:sdtContent>
      </w:sdt>
      <w:r w:rsidR="00787C28">
        <w:rPr>
          <w:rFonts w:ascii="Calibri" w:hAnsi="Calibri" w:cs="Calibri"/>
          <w:lang w:val="en-GB"/>
        </w:rPr>
        <w:t>,</w:t>
      </w:r>
      <w:r w:rsidR="008B2EB8" w:rsidRPr="002A29D6">
        <w:rPr>
          <w:rFonts w:ascii="Calibri" w:hAnsi="Calibri" w:cs="Calibri"/>
          <w:lang w:val="en-GB"/>
        </w:rPr>
        <w:t xml:space="preserve"> </w:t>
      </w:r>
      <w:r w:rsidRPr="002A29D6">
        <w:rPr>
          <w:rFonts w:ascii="Calibri" w:hAnsi="Calibri" w:cs="Calibri"/>
          <w:lang w:val="en-GB"/>
        </w:rPr>
        <w:t>but can also experience heightened distress</w:t>
      </w:r>
      <w:r w:rsidR="008143CB">
        <w:rPr>
          <w:rFonts w:ascii="Calibri" w:hAnsi="Calibri" w:cs="Calibri"/>
          <w:lang w:val="en-GB"/>
        </w:rPr>
        <w:t xml:space="preserve"> </w:t>
      </w:r>
      <w:sdt>
        <w:sdtPr>
          <w:rPr>
            <w:rFonts w:ascii="Calibri" w:hAnsi="Calibri" w:cs="Calibri"/>
            <w:lang w:val="en-GB"/>
          </w:rPr>
          <w:id w:val="-1974360387"/>
          <w:citation/>
        </w:sdtPr>
        <w:sdtContent>
          <w:r w:rsidR="00564925">
            <w:rPr>
              <w:rFonts w:ascii="Calibri" w:hAnsi="Calibri" w:cs="Calibri"/>
              <w:lang w:val="en-GB"/>
            </w:rPr>
            <w:fldChar w:fldCharType="begin"/>
          </w:r>
          <w:r w:rsidR="00564925">
            <w:rPr>
              <w:rFonts w:ascii="Calibri" w:hAnsi="Calibri" w:cs="Calibri"/>
              <w:lang w:val="en-GB"/>
            </w:rPr>
            <w:instrText xml:space="preserve">CITATION Bro11 \t  \l 2057 </w:instrText>
          </w:r>
          <w:r w:rsidR="00564925">
            <w:rPr>
              <w:rFonts w:ascii="Calibri" w:hAnsi="Calibri" w:cs="Calibri"/>
              <w:lang w:val="en-GB"/>
            </w:rPr>
            <w:fldChar w:fldCharType="separate"/>
          </w:r>
          <w:r w:rsidR="005E305C" w:rsidRPr="005E305C">
            <w:rPr>
              <w:rFonts w:ascii="Calibri" w:hAnsi="Calibri" w:cs="Calibri"/>
              <w:noProof/>
              <w:lang w:val="en-GB"/>
            </w:rPr>
            <w:t>(Broadbent et al., 2011)</w:t>
          </w:r>
          <w:r w:rsidR="00564925">
            <w:rPr>
              <w:rFonts w:ascii="Calibri" w:hAnsi="Calibri" w:cs="Calibri"/>
              <w:lang w:val="en-GB"/>
            </w:rPr>
            <w:fldChar w:fldCharType="end"/>
          </w:r>
        </w:sdtContent>
      </w:sdt>
      <w:r w:rsidRPr="002A29D6">
        <w:rPr>
          <w:rFonts w:ascii="Calibri" w:hAnsi="Calibri" w:cs="Calibri"/>
          <w:lang w:val="en-GB"/>
        </w:rPr>
        <w:t>, potentially leading to fatalistic attitudes</w:t>
      </w:r>
      <w:r w:rsidR="003C65DF">
        <w:rPr>
          <w:rFonts w:ascii="Calibri" w:hAnsi="Calibri" w:cs="Calibri"/>
          <w:lang w:val="en-GB"/>
        </w:rPr>
        <w:t xml:space="preserve"> </w:t>
      </w:r>
      <w:sdt>
        <w:sdtPr>
          <w:rPr>
            <w:rFonts w:ascii="Calibri" w:hAnsi="Calibri" w:cs="Calibri"/>
            <w:lang w:val="en-GB"/>
          </w:rPr>
          <w:id w:val="-1470197877"/>
          <w:citation/>
        </w:sdtPr>
        <w:sdtContent>
          <w:r w:rsidR="003C65DF">
            <w:rPr>
              <w:rFonts w:ascii="Calibri" w:hAnsi="Calibri" w:cs="Calibri"/>
              <w:lang w:val="en-GB"/>
            </w:rPr>
            <w:fldChar w:fldCharType="begin"/>
          </w:r>
          <w:r w:rsidR="003C65DF">
            <w:rPr>
              <w:rFonts w:ascii="Calibri" w:hAnsi="Calibri" w:cs="Calibri"/>
              <w:lang w:val="en-GB"/>
            </w:rPr>
            <w:instrText xml:space="preserve"> CITATION Wal12 \l 2057 </w:instrText>
          </w:r>
          <w:r w:rsidR="003C65DF">
            <w:rPr>
              <w:rFonts w:ascii="Calibri" w:hAnsi="Calibri" w:cs="Calibri"/>
              <w:lang w:val="en-GB"/>
            </w:rPr>
            <w:fldChar w:fldCharType="separate"/>
          </w:r>
          <w:r w:rsidR="005E305C" w:rsidRPr="005E305C">
            <w:rPr>
              <w:rFonts w:ascii="Calibri" w:hAnsi="Calibri" w:cs="Calibri"/>
              <w:noProof/>
              <w:lang w:val="en-GB"/>
            </w:rPr>
            <w:t>(Walker et al., 2012)</w:t>
          </w:r>
          <w:r w:rsidR="003C65DF">
            <w:rPr>
              <w:rFonts w:ascii="Calibri" w:hAnsi="Calibri" w:cs="Calibri"/>
              <w:lang w:val="en-GB"/>
            </w:rPr>
            <w:fldChar w:fldCharType="end"/>
          </w:r>
        </w:sdtContent>
      </w:sdt>
      <w:r w:rsidRPr="002A29D6">
        <w:rPr>
          <w:rFonts w:ascii="Calibri" w:hAnsi="Calibri" w:cs="Calibri"/>
          <w:lang w:val="en-GB"/>
        </w:rPr>
        <w:t xml:space="preserve">. </w:t>
      </w:r>
      <w:r w:rsidR="00EC741B" w:rsidRPr="00EC741B">
        <w:rPr>
          <w:rFonts w:ascii="Calibri" w:hAnsi="Calibri" w:cs="Calibri"/>
          <w:lang w:val="en-GB"/>
        </w:rPr>
        <w:t xml:space="preserve">A strong belief in personal or medical control over diabetes is generally associated with more effective self-management and better glycaemic outcomes, a relationship that has been explored in several studies examining illness perceptions and specific health outcomes in diabetes management, with glycaemic control identified as a key measure </w:t>
      </w:r>
      <w:sdt>
        <w:sdtPr>
          <w:rPr>
            <w:rFonts w:ascii="Calibri" w:hAnsi="Calibri" w:cs="Calibri"/>
            <w:lang w:val="en-GB"/>
          </w:rPr>
          <w:id w:val="1622575124"/>
          <w:citation/>
        </w:sdtPr>
        <w:sdtContent>
          <w:r w:rsidR="00EC741B">
            <w:rPr>
              <w:rFonts w:ascii="Calibri" w:hAnsi="Calibri" w:cs="Calibri"/>
              <w:lang w:val="en-GB"/>
            </w:rPr>
            <w:fldChar w:fldCharType="begin"/>
          </w:r>
          <w:r w:rsidR="00EC741B">
            <w:rPr>
              <w:rFonts w:ascii="Calibri" w:hAnsi="Calibri" w:cs="Calibri"/>
              <w:lang w:val="en-GB"/>
            </w:rPr>
            <w:instrText>CITATION Bro06 \t  \m Bro11 \t  \l 2057  \m McS11 \m Sau22</w:instrText>
          </w:r>
          <w:r w:rsidR="00EC741B">
            <w:rPr>
              <w:rFonts w:ascii="Calibri" w:hAnsi="Calibri" w:cs="Calibri"/>
              <w:lang w:val="en-GB"/>
            </w:rPr>
            <w:fldChar w:fldCharType="separate"/>
          </w:r>
          <w:r w:rsidR="005E305C" w:rsidRPr="005E305C">
            <w:rPr>
              <w:rFonts w:ascii="Calibri" w:hAnsi="Calibri" w:cs="Calibri"/>
              <w:noProof/>
              <w:lang w:val="en-GB"/>
            </w:rPr>
            <w:t>(Broadbent et al., 2006; Broadbent et al., 2011; Mc Sharry et al., 2011; Saudi et al., 2022)</w:t>
          </w:r>
          <w:r w:rsidR="00EC741B">
            <w:rPr>
              <w:rFonts w:ascii="Calibri" w:hAnsi="Calibri" w:cs="Calibri"/>
              <w:lang w:val="en-GB"/>
            </w:rPr>
            <w:fldChar w:fldCharType="end"/>
          </w:r>
        </w:sdtContent>
      </w:sdt>
      <w:r w:rsidR="00EC741B">
        <w:rPr>
          <w:rFonts w:ascii="Calibri" w:hAnsi="Calibri" w:cs="Calibri"/>
          <w:lang w:val="en-GB"/>
        </w:rPr>
        <w:t xml:space="preserve">. </w:t>
      </w:r>
      <w:r w:rsidRPr="002A29D6">
        <w:rPr>
          <w:rFonts w:ascii="Calibri" w:hAnsi="Calibri" w:cs="Calibri"/>
          <w:lang w:val="en-GB"/>
        </w:rPr>
        <w:t>Cross-sectional research consistently s</w:t>
      </w:r>
      <w:r w:rsidR="00A5098F">
        <w:rPr>
          <w:rFonts w:ascii="Calibri" w:hAnsi="Calibri" w:cs="Calibri"/>
          <w:lang w:val="en-GB"/>
        </w:rPr>
        <w:t>uggests</w:t>
      </w:r>
      <w:r w:rsidRPr="002A29D6">
        <w:rPr>
          <w:rFonts w:ascii="Calibri" w:hAnsi="Calibri" w:cs="Calibri"/>
          <w:lang w:val="en-GB"/>
        </w:rPr>
        <w:t xml:space="preserve"> that adaptive illness perceptions, such as strong beliefs in personal control and treatment efficacy</w:t>
      </w:r>
      <w:r w:rsidR="00605DDA">
        <w:rPr>
          <w:rFonts w:ascii="Calibri" w:hAnsi="Calibri" w:cs="Calibri"/>
          <w:lang w:val="en-GB"/>
        </w:rPr>
        <w:t xml:space="preserve"> </w:t>
      </w:r>
      <w:r w:rsidRPr="002A29D6">
        <w:rPr>
          <w:rFonts w:ascii="Calibri" w:hAnsi="Calibri" w:cs="Calibri"/>
          <w:lang w:val="en-GB"/>
        </w:rPr>
        <w:t>are correlated with lower HbA1c levels</w:t>
      </w:r>
      <w:r w:rsidR="005F7497">
        <w:rPr>
          <w:rFonts w:ascii="Calibri" w:hAnsi="Calibri" w:cs="Calibri"/>
          <w:lang w:val="en-GB"/>
        </w:rPr>
        <w:t xml:space="preserve"> </w:t>
      </w:r>
      <w:sdt>
        <w:sdtPr>
          <w:rPr>
            <w:rFonts w:ascii="Calibri" w:hAnsi="Calibri" w:cs="Calibri"/>
            <w:lang w:val="en-GB"/>
          </w:rPr>
          <w:id w:val="318926238"/>
          <w:citation/>
        </w:sdtPr>
        <w:sdtContent>
          <w:r w:rsidR="005F7497">
            <w:rPr>
              <w:rFonts w:ascii="Calibri" w:hAnsi="Calibri" w:cs="Calibri"/>
              <w:lang w:val="en-GB"/>
            </w:rPr>
            <w:fldChar w:fldCharType="begin"/>
          </w:r>
          <w:r w:rsidR="005F7497">
            <w:rPr>
              <w:rFonts w:ascii="Calibri" w:hAnsi="Calibri" w:cs="Calibri"/>
              <w:lang w:val="en-GB"/>
            </w:rPr>
            <w:instrText xml:space="preserve"> CITATION Aly19 \l 2057 </w:instrText>
          </w:r>
          <w:r w:rsidR="005F7497">
            <w:rPr>
              <w:rFonts w:ascii="Calibri" w:hAnsi="Calibri" w:cs="Calibri"/>
              <w:lang w:val="en-GB"/>
            </w:rPr>
            <w:fldChar w:fldCharType="separate"/>
          </w:r>
          <w:r w:rsidR="005E305C" w:rsidRPr="005E305C">
            <w:rPr>
              <w:rFonts w:ascii="Calibri" w:hAnsi="Calibri" w:cs="Calibri"/>
              <w:noProof/>
              <w:lang w:val="en-GB"/>
            </w:rPr>
            <w:t>(Alyami et al., 2019)</w:t>
          </w:r>
          <w:r w:rsidR="005F7497">
            <w:rPr>
              <w:rFonts w:ascii="Calibri" w:hAnsi="Calibri" w:cs="Calibri"/>
              <w:lang w:val="en-GB"/>
            </w:rPr>
            <w:fldChar w:fldCharType="end"/>
          </w:r>
        </w:sdtContent>
      </w:sdt>
      <w:r w:rsidRPr="002A29D6">
        <w:rPr>
          <w:rFonts w:ascii="Calibri" w:hAnsi="Calibri" w:cs="Calibri"/>
          <w:lang w:val="en-GB"/>
        </w:rPr>
        <w:t xml:space="preserve">. Longitudinal studies further suggest that changes in illness perceptions over time are associated with corresponding improvements in glycaemic control, indicating that modifying maladaptive beliefs may have a tangible impact on health outcomes </w:t>
      </w:r>
      <w:sdt>
        <w:sdtPr>
          <w:rPr>
            <w:rFonts w:ascii="Calibri" w:hAnsi="Calibri" w:cs="Calibri"/>
            <w:lang w:val="en-GB"/>
          </w:rPr>
          <w:id w:val="1094133630"/>
          <w:citation/>
        </w:sdtPr>
        <w:sdtContent>
          <w:r w:rsidR="00F163BE">
            <w:rPr>
              <w:rFonts w:ascii="Calibri" w:hAnsi="Calibri" w:cs="Calibri"/>
              <w:lang w:val="en-GB"/>
            </w:rPr>
            <w:fldChar w:fldCharType="begin"/>
          </w:r>
          <w:r w:rsidR="00F163BE">
            <w:rPr>
              <w:rFonts w:ascii="Calibri" w:hAnsi="Calibri" w:cs="Calibri"/>
              <w:lang w:val="en-GB"/>
            </w:rPr>
            <w:instrText xml:space="preserve"> CITATION Aik12 \l 2057 </w:instrText>
          </w:r>
          <w:r w:rsidR="00F163BE">
            <w:rPr>
              <w:rFonts w:ascii="Calibri" w:hAnsi="Calibri" w:cs="Calibri"/>
              <w:lang w:val="en-GB"/>
            </w:rPr>
            <w:fldChar w:fldCharType="separate"/>
          </w:r>
          <w:r w:rsidR="005E305C" w:rsidRPr="005E305C">
            <w:rPr>
              <w:rFonts w:ascii="Calibri" w:hAnsi="Calibri" w:cs="Calibri"/>
              <w:noProof/>
              <w:lang w:val="en-GB"/>
            </w:rPr>
            <w:t>(Aikens, 2012)</w:t>
          </w:r>
          <w:r w:rsidR="00F163BE">
            <w:rPr>
              <w:rFonts w:ascii="Calibri" w:hAnsi="Calibri" w:cs="Calibri"/>
              <w:lang w:val="en-GB"/>
            </w:rPr>
            <w:fldChar w:fldCharType="end"/>
          </w:r>
        </w:sdtContent>
      </w:sdt>
      <w:r w:rsidRPr="002A29D6">
        <w:rPr>
          <w:rFonts w:ascii="Calibri" w:hAnsi="Calibri" w:cs="Calibri"/>
          <w:lang w:val="en-GB"/>
        </w:rPr>
        <w:t>. Similarly, adherence to diabetes medications has been linked to perceptions of controllability and illness severity</w:t>
      </w:r>
      <w:r w:rsidR="00A05741">
        <w:rPr>
          <w:rFonts w:ascii="Calibri" w:hAnsi="Calibri" w:cs="Calibri"/>
          <w:lang w:val="en-GB"/>
        </w:rPr>
        <w:t xml:space="preserve"> </w:t>
      </w:r>
      <w:sdt>
        <w:sdtPr>
          <w:rPr>
            <w:rFonts w:ascii="Calibri" w:hAnsi="Calibri" w:cs="Calibri"/>
            <w:lang w:val="en-GB"/>
          </w:rPr>
          <w:id w:val="1305046257"/>
          <w:citation/>
        </w:sdtPr>
        <w:sdtContent>
          <w:r w:rsidR="00A05741">
            <w:rPr>
              <w:rFonts w:ascii="Calibri" w:hAnsi="Calibri" w:cs="Calibri"/>
              <w:lang w:val="en-GB"/>
            </w:rPr>
            <w:fldChar w:fldCharType="begin"/>
          </w:r>
          <w:r w:rsidR="00A05741">
            <w:rPr>
              <w:rFonts w:ascii="Calibri" w:hAnsi="Calibri" w:cs="Calibri"/>
              <w:lang w:val="en-GB"/>
            </w:rPr>
            <w:instrText xml:space="preserve"> CITATION Bil22 \l 2057  \m Alh23</w:instrText>
          </w:r>
          <w:r w:rsidR="00A05741">
            <w:rPr>
              <w:rFonts w:ascii="Calibri" w:hAnsi="Calibri" w:cs="Calibri"/>
              <w:lang w:val="en-GB"/>
            </w:rPr>
            <w:fldChar w:fldCharType="separate"/>
          </w:r>
          <w:r w:rsidR="005E305C" w:rsidRPr="005E305C">
            <w:rPr>
              <w:rFonts w:ascii="Calibri" w:hAnsi="Calibri" w:cs="Calibri"/>
              <w:noProof/>
              <w:lang w:val="en-GB"/>
            </w:rPr>
            <w:t>(Bilondi et al., 2022; Alharbi et al., 2023)</w:t>
          </w:r>
          <w:r w:rsidR="00A05741">
            <w:rPr>
              <w:rFonts w:ascii="Calibri" w:hAnsi="Calibri" w:cs="Calibri"/>
              <w:lang w:val="en-GB"/>
            </w:rPr>
            <w:fldChar w:fldCharType="end"/>
          </w:r>
        </w:sdtContent>
      </w:sdt>
      <w:r w:rsidRPr="002A29D6">
        <w:rPr>
          <w:rFonts w:ascii="Calibri" w:hAnsi="Calibri" w:cs="Calibri"/>
          <w:lang w:val="en-GB"/>
        </w:rPr>
        <w:t xml:space="preserve">. Patients who believe they have a high degree of control over their </w:t>
      </w:r>
      <w:r w:rsidRPr="002A29D6">
        <w:rPr>
          <w:rFonts w:ascii="Calibri" w:hAnsi="Calibri" w:cs="Calibri"/>
          <w:lang w:val="en-GB"/>
        </w:rPr>
        <w:lastRenderedPageBreak/>
        <w:t xml:space="preserve">condition are more likely to adhere to prescribed medication regimens, whereas those experiencing emotional distress, including anxiety and depression, may engage in avoidance or denial, undermining adherence </w:t>
      </w:r>
      <w:sdt>
        <w:sdtPr>
          <w:rPr>
            <w:rFonts w:ascii="Calibri" w:hAnsi="Calibri" w:cs="Calibri"/>
            <w:lang w:val="en-GB"/>
          </w:rPr>
          <w:id w:val="2027292505"/>
          <w:citation/>
        </w:sdtPr>
        <w:sdtContent>
          <w:r w:rsidR="006754D3">
            <w:rPr>
              <w:rFonts w:ascii="Calibri" w:hAnsi="Calibri" w:cs="Calibri"/>
              <w:lang w:val="en-GB"/>
            </w:rPr>
            <w:fldChar w:fldCharType="begin"/>
          </w:r>
          <w:r w:rsidR="006754D3">
            <w:rPr>
              <w:rFonts w:ascii="Calibri" w:hAnsi="Calibri" w:cs="Calibri"/>
              <w:lang w:val="en-GB"/>
            </w:rPr>
            <w:instrText>CITATION Hag03 \t  \l 2057  \m Aik12</w:instrText>
          </w:r>
          <w:r w:rsidR="006754D3">
            <w:rPr>
              <w:rFonts w:ascii="Calibri" w:hAnsi="Calibri" w:cs="Calibri"/>
              <w:lang w:val="en-GB"/>
            </w:rPr>
            <w:fldChar w:fldCharType="separate"/>
          </w:r>
          <w:r w:rsidR="005E305C" w:rsidRPr="005E305C">
            <w:rPr>
              <w:rFonts w:ascii="Calibri" w:hAnsi="Calibri" w:cs="Calibri"/>
              <w:noProof/>
              <w:lang w:val="en-GB"/>
            </w:rPr>
            <w:t>(Hagger &amp; Orbell, 2003; Aikens, 2012)</w:t>
          </w:r>
          <w:r w:rsidR="006754D3">
            <w:rPr>
              <w:rFonts w:ascii="Calibri" w:hAnsi="Calibri" w:cs="Calibri"/>
              <w:lang w:val="en-GB"/>
            </w:rPr>
            <w:fldChar w:fldCharType="end"/>
          </w:r>
        </w:sdtContent>
      </w:sdt>
      <w:r w:rsidR="006754D3">
        <w:rPr>
          <w:rFonts w:ascii="Calibri" w:hAnsi="Calibri" w:cs="Calibri"/>
          <w:lang w:val="en-GB"/>
        </w:rPr>
        <w:t xml:space="preserve">. </w:t>
      </w:r>
    </w:p>
    <w:p w14:paraId="5CEB1D7E" w14:textId="77777777" w:rsidR="008C0373" w:rsidRDefault="008C0373" w:rsidP="005E305C">
      <w:pPr>
        <w:spacing w:line="480" w:lineRule="auto"/>
        <w:ind w:firstLine="720"/>
        <w:rPr>
          <w:rFonts w:ascii="Calibri" w:hAnsi="Calibri" w:cs="Calibri"/>
          <w:lang w:val="en-GB"/>
        </w:rPr>
      </w:pPr>
    </w:p>
    <w:p w14:paraId="4980429F" w14:textId="3F3E3639" w:rsidR="00FF2320" w:rsidRDefault="005135EA" w:rsidP="005E305C">
      <w:pPr>
        <w:spacing w:line="480" w:lineRule="auto"/>
        <w:ind w:firstLine="720"/>
        <w:rPr>
          <w:rFonts w:ascii="Calibri" w:hAnsi="Calibri" w:cs="Calibri"/>
          <w:lang w:val="en-GB"/>
        </w:rPr>
      </w:pPr>
      <w:r w:rsidRPr="005135EA">
        <w:rPr>
          <w:rFonts w:ascii="Calibri" w:hAnsi="Calibri" w:cs="Calibri"/>
          <w:lang w:val="en-GB"/>
        </w:rPr>
        <w:t>In addition to the direct influence of illness perceptions on diabetes self-management, a range of contextual, psychological, and sociocultural factors have been shown to moderate or mediate these relationships</w:t>
      </w:r>
      <w:r>
        <w:rPr>
          <w:rFonts w:ascii="Calibri" w:hAnsi="Calibri" w:cs="Calibri"/>
          <w:lang w:val="en-GB"/>
        </w:rPr>
        <w:t>. T</w:t>
      </w:r>
      <w:r w:rsidR="00AC11E8" w:rsidRPr="002A29D6">
        <w:rPr>
          <w:rFonts w:ascii="Calibri" w:hAnsi="Calibri" w:cs="Calibri"/>
          <w:lang w:val="en-GB"/>
        </w:rPr>
        <w:t xml:space="preserve">he psychological impact of illness perceptions extends beyond physiological outcomes, with research </w:t>
      </w:r>
      <w:r w:rsidR="00BB6831">
        <w:rPr>
          <w:rFonts w:ascii="Calibri" w:hAnsi="Calibri" w:cs="Calibri"/>
          <w:lang w:val="en-GB"/>
        </w:rPr>
        <w:t>suggesting</w:t>
      </w:r>
      <w:r w:rsidR="00AC11E8" w:rsidRPr="002A29D6">
        <w:rPr>
          <w:rFonts w:ascii="Calibri" w:hAnsi="Calibri" w:cs="Calibri"/>
          <w:lang w:val="en-GB"/>
        </w:rPr>
        <w:t xml:space="preserve"> that patients who perceive diabetes as severe and uncontrollable often report higher levels of anxiety and depression</w:t>
      </w:r>
      <w:r w:rsidR="0022592C">
        <w:rPr>
          <w:rFonts w:ascii="Calibri" w:hAnsi="Calibri" w:cs="Calibri"/>
          <w:lang w:val="en-GB"/>
        </w:rPr>
        <w:t xml:space="preserve"> </w:t>
      </w:r>
      <w:sdt>
        <w:sdtPr>
          <w:rPr>
            <w:rFonts w:ascii="Calibri" w:hAnsi="Calibri" w:cs="Calibri"/>
            <w:lang w:val="en-GB"/>
          </w:rPr>
          <w:id w:val="-391891549"/>
          <w:citation/>
        </w:sdtPr>
        <w:sdtContent>
          <w:r w:rsidR="0022592C">
            <w:rPr>
              <w:rFonts w:ascii="Calibri" w:hAnsi="Calibri" w:cs="Calibri"/>
              <w:lang w:val="en-GB"/>
            </w:rPr>
            <w:fldChar w:fldCharType="begin"/>
          </w:r>
          <w:r w:rsidR="0022592C">
            <w:rPr>
              <w:rFonts w:ascii="Calibri" w:hAnsi="Calibri" w:cs="Calibri"/>
              <w:lang w:val="en-GB"/>
            </w:rPr>
            <w:instrText xml:space="preserve"> CITATION Kno20 \l 2057 </w:instrText>
          </w:r>
          <w:r w:rsidR="001C0201">
            <w:rPr>
              <w:rFonts w:ascii="Calibri" w:hAnsi="Calibri" w:cs="Calibri"/>
              <w:lang w:val="en-GB"/>
            </w:rPr>
            <w:instrText xml:space="preserve"> \m Gar22</w:instrText>
          </w:r>
          <w:r w:rsidR="0022592C">
            <w:rPr>
              <w:rFonts w:ascii="Calibri" w:hAnsi="Calibri" w:cs="Calibri"/>
              <w:lang w:val="en-GB"/>
            </w:rPr>
            <w:fldChar w:fldCharType="separate"/>
          </w:r>
          <w:r w:rsidR="005E305C" w:rsidRPr="005E305C">
            <w:rPr>
              <w:rFonts w:ascii="Calibri" w:hAnsi="Calibri" w:cs="Calibri"/>
              <w:noProof/>
              <w:lang w:val="en-GB"/>
            </w:rPr>
            <w:t>(Knowles et al., 2020; García et al., 2022)</w:t>
          </w:r>
          <w:r w:rsidR="0022592C">
            <w:rPr>
              <w:rFonts w:ascii="Calibri" w:hAnsi="Calibri" w:cs="Calibri"/>
              <w:lang w:val="en-GB"/>
            </w:rPr>
            <w:fldChar w:fldCharType="end"/>
          </w:r>
        </w:sdtContent>
      </w:sdt>
      <w:r w:rsidR="00AC11E8" w:rsidRPr="002A29D6">
        <w:rPr>
          <w:rFonts w:ascii="Calibri" w:hAnsi="Calibri" w:cs="Calibri"/>
          <w:lang w:val="en-GB"/>
        </w:rPr>
        <w:t>, which in turn negatively affect their quality of life. While illness perceptions are strong predictors of health behaviours and outcomes, various moderating and mediating factors influence these relationships. Social support has been identified as a critical buffe</w:t>
      </w:r>
      <w:r w:rsidR="00EA55FB">
        <w:rPr>
          <w:rFonts w:ascii="Calibri" w:hAnsi="Calibri" w:cs="Calibri"/>
          <w:lang w:val="en-GB"/>
        </w:rPr>
        <w:t>r</w:t>
      </w:r>
      <w:r w:rsidR="00AC11E8" w:rsidRPr="002A29D6">
        <w:rPr>
          <w:rFonts w:ascii="Calibri" w:hAnsi="Calibri" w:cs="Calibri"/>
          <w:lang w:val="en-GB"/>
        </w:rPr>
        <w:t>, as individuals with strong family or community support systems tend to maintain more adaptive illness beliefs and engage in more effective coping strategies</w:t>
      </w:r>
      <w:r w:rsidR="00EA55FB">
        <w:rPr>
          <w:rFonts w:ascii="Calibri" w:hAnsi="Calibri" w:cs="Calibri"/>
          <w:lang w:val="en-GB"/>
        </w:rPr>
        <w:t xml:space="preserve"> </w:t>
      </w:r>
      <w:sdt>
        <w:sdtPr>
          <w:rPr>
            <w:rFonts w:ascii="Calibri" w:hAnsi="Calibri" w:cs="Calibri"/>
            <w:lang w:val="en-GB"/>
          </w:rPr>
          <w:id w:val="-1735009194"/>
          <w:citation/>
        </w:sdtPr>
        <w:sdtContent>
          <w:r w:rsidR="007E60AD">
            <w:rPr>
              <w:rFonts w:ascii="Calibri" w:hAnsi="Calibri" w:cs="Calibri"/>
              <w:lang w:val="en-GB"/>
            </w:rPr>
            <w:fldChar w:fldCharType="begin"/>
          </w:r>
          <w:r w:rsidR="007E60AD">
            <w:rPr>
              <w:rFonts w:ascii="Calibri" w:hAnsi="Calibri" w:cs="Calibri"/>
              <w:lang w:val="en-GB"/>
            </w:rPr>
            <w:instrText xml:space="preserve"> CITATION Szk19 \l 2057 </w:instrText>
          </w:r>
          <w:r w:rsidR="00933131">
            <w:rPr>
              <w:rFonts w:ascii="Calibri" w:hAnsi="Calibri" w:cs="Calibri"/>
              <w:lang w:val="en-GB"/>
            </w:rPr>
            <w:instrText xml:space="preserve"> \m Aco24</w:instrText>
          </w:r>
          <w:r w:rsidR="007E60AD">
            <w:rPr>
              <w:rFonts w:ascii="Calibri" w:hAnsi="Calibri" w:cs="Calibri"/>
              <w:lang w:val="en-GB"/>
            </w:rPr>
            <w:fldChar w:fldCharType="separate"/>
          </w:r>
          <w:r w:rsidR="005E305C" w:rsidRPr="005E305C">
            <w:rPr>
              <w:rFonts w:ascii="Calibri" w:hAnsi="Calibri" w:cs="Calibri"/>
              <w:noProof/>
              <w:lang w:val="en-GB"/>
            </w:rPr>
            <w:t>(Szkody &amp; McKinney, 2019; Acoba, 2024)</w:t>
          </w:r>
          <w:r w:rsidR="007E60AD">
            <w:rPr>
              <w:rFonts w:ascii="Calibri" w:hAnsi="Calibri" w:cs="Calibri"/>
              <w:lang w:val="en-GB"/>
            </w:rPr>
            <w:fldChar w:fldCharType="end"/>
          </w:r>
        </w:sdtContent>
      </w:sdt>
      <w:r w:rsidR="00AC11E8" w:rsidRPr="002A29D6">
        <w:rPr>
          <w:rFonts w:ascii="Calibri" w:hAnsi="Calibri" w:cs="Calibri"/>
          <w:lang w:val="en-GB"/>
        </w:rPr>
        <w:t>. Health literacy also plays a key role, with evidence suggesting that a better understanding of diabetes mediates the relationship between illness perceptions and self-management behaviours</w:t>
      </w:r>
      <w:r w:rsidR="00082E27">
        <w:rPr>
          <w:rFonts w:ascii="Calibri" w:hAnsi="Calibri" w:cs="Calibri"/>
          <w:lang w:val="en-GB"/>
        </w:rPr>
        <w:t xml:space="preserve"> </w:t>
      </w:r>
      <w:sdt>
        <w:sdtPr>
          <w:rPr>
            <w:rFonts w:ascii="Calibri" w:hAnsi="Calibri" w:cs="Calibri"/>
            <w:lang w:val="en-GB"/>
          </w:rPr>
          <w:id w:val="-170487794"/>
          <w:citation/>
        </w:sdtPr>
        <w:sdtContent>
          <w:r w:rsidR="00082E27">
            <w:rPr>
              <w:rFonts w:ascii="Calibri" w:hAnsi="Calibri" w:cs="Calibri"/>
              <w:lang w:val="en-GB"/>
            </w:rPr>
            <w:fldChar w:fldCharType="begin"/>
          </w:r>
          <w:r w:rsidR="00082E27">
            <w:rPr>
              <w:rFonts w:ascii="Calibri" w:hAnsi="Calibri" w:cs="Calibri"/>
              <w:lang w:val="en-GB"/>
            </w:rPr>
            <w:instrText xml:space="preserve"> CITATION Par22 \l 2057 </w:instrText>
          </w:r>
          <w:r w:rsidR="00420F8E">
            <w:rPr>
              <w:rFonts w:ascii="Calibri" w:hAnsi="Calibri" w:cs="Calibri"/>
              <w:lang w:val="en-GB"/>
            </w:rPr>
            <w:instrText xml:space="preserve"> \m Liu24</w:instrText>
          </w:r>
          <w:r w:rsidR="00082E27">
            <w:rPr>
              <w:rFonts w:ascii="Calibri" w:hAnsi="Calibri" w:cs="Calibri"/>
              <w:lang w:val="en-GB"/>
            </w:rPr>
            <w:fldChar w:fldCharType="separate"/>
          </w:r>
          <w:r w:rsidR="005E305C" w:rsidRPr="005E305C">
            <w:rPr>
              <w:rFonts w:ascii="Calibri" w:hAnsi="Calibri" w:cs="Calibri"/>
              <w:noProof/>
              <w:lang w:val="en-GB"/>
            </w:rPr>
            <w:t>(Park &amp; Seo, 2022; Liu et al., 2024)</w:t>
          </w:r>
          <w:r w:rsidR="00082E27">
            <w:rPr>
              <w:rFonts w:ascii="Calibri" w:hAnsi="Calibri" w:cs="Calibri"/>
              <w:lang w:val="en-GB"/>
            </w:rPr>
            <w:fldChar w:fldCharType="end"/>
          </w:r>
        </w:sdtContent>
      </w:sdt>
      <w:r w:rsidR="00AC11E8" w:rsidRPr="002A29D6">
        <w:rPr>
          <w:rFonts w:ascii="Calibri" w:hAnsi="Calibri" w:cs="Calibri"/>
          <w:lang w:val="en-GB"/>
        </w:rPr>
        <w:t xml:space="preserve">. Additionally, cultural factors significantly shape how individuals perceive and respond to chronic conditions, with cross-cultural research </w:t>
      </w:r>
      <w:r w:rsidR="00BB6831">
        <w:rPr>
          <w:rFonts w:ascii="Calibri" w:hAnsi="Calibri" w:cs="Calibri"/>
          <w:lang w:val="en-GB"/>
        </w:rPr>
        <w:t>suggesting</w:t>
      </w:r>
      <w:r w:rsidR="00AC11E8" w:rsidRPr="002A29D6">
        <w:rPr>
          <w:rFonts w:ascii="Calibri" w:hAnsi="Calibri" w:cs="Calibri"/>
          <w:lang w:val="en-GB"/>
        </w:rPr>
        <w:t xml:space="preserve"> variations in beliefs about illness causation</w:t>
      </w:r>
      <w:r w:rsidR="007C6FBD">
        <w:rPr>
          <w:rFonts w:ascii="Calibri" w:hAnsi="Calibri" w:cs="Calibri"/>
          <w:lang w:val="en-GB"/>
        </w:rPr>
        <w:t xml:space="preserve"> </w:t>
      </w:r>
      <w:sdt>
        <w:sdtPr>
          <w:rPr>
            <w:rFonts w:ascii="Calibri" w:hAnsi="Calibri" w:cs="Calibri"/>
            <w:lang w:val="en-GB"/>
          </w:rPr>
          <w:id w:val="-1435739363"/>
          <w:citation/>
        </w:sdtPr>
        <w:sdtContent>
          <w:r w:rsidR="007C6FBD">
            <w:rPr>
              <w:rFonts w:ascii="Calibri" w:hAnsi="Calibri" w:cs="Calibri"/>
              <w:lang w:val="en-GB"/>
            </w:rPr>
            <w:fldChar w:fldCharType="begin"/>
          </w:r>
          <w:r w:rsidR="007C6FBD">
            <w:rPr>
              <w:rFonts w:ascii="Calibri" w:hAnsi="Calibri" w:cs="Calibri"/>
              <w:lang w:val="en-GB"/>
            </w:rPr>
            <w:instrText xml:space="preserve"> CITATION Kah17 \l 2057 </w:instrText>
          </w:r>
          <w:r w:rsidR="007C6FBD">
            <w:rPr>
              <w:rFonts w:ascii="Calibri" w:hAnsi="Calibri" w:cs="Calibri"/>
              <w:lang w:val="en-GB"/>
            </w:rPr>
            <w:fldChar w:fldCharType="separate"/>
          </w:r>
          <w:r w:rsidR="005E305C" w:rsidRPr="005E305C">
            <w:rPr>
              <w:rFonts w:ascii="Calibri" w:hAnsi="Calibri" w:cs="Calibri"/>
              <w:noProof/>
              <w:lang w:val="en-GB"/>
            </w:rPr>
            <w:t>(Kahissay et al., 2017)</w:t>
          </w:r>
          <w:r w:rsidR="007C6FBD">
            <w:rPr>
              <w:rFonts w:ascii="Calibri" w:hAnsi="Calibri" w:cs="Calibri"/>
              <w:lang w:val="en-GB"/>
            </w:rPr>
            <w:fldChar w:fldCharType="end"/>
          </w:r>
        </w:sdtContent>
      </w:sdt>
      <w:r w:rsidR="00AC11E8" w:rsidRPr="002A29D6">
        <w:rPr>
          <w:rFonts w:ascii="Calibri" w:hAnsi="Calibri" w:cs="Calibri"/>
          <w:lang w:val="en-GB"/>
        </w:rPr>
        <w:t>, treatment efficacy</w:t>
      </w:r>
      <w:r w:rsidR="00D3420E">
        <w:rPr>
          <w:rFonts w:ascii="Calibri" w:hAnsi="Calibri" w:cs="Calibri"/>
          <w:lang w:val="en-GB"/>
        </w:rPr>
        <w:t xml:space="preserve"> </w:t>
      </w:r>
      <w:sdt>
        <w:sdtPr>
          <w:rPr>
            <w:rFonts w:ascii="Calibri" w:hAnsi="Calibri" w:cs="Calibri"/>
            <w:lang w:val="en-GB"/>
          </w:rPr>
          <w:id w:val="-1033496849"/>
          <w:citation/>
        </w:sdtPr>
        <w:sdtContent>
          <w:r w:rsidR="00D3420E">
            <w:rPr>
              <w:rFonts w:ascii="Calibri" w:hAnsi="Calibri" w:cs="Calibri"/>
              <w:lang w:val="en-GB"/>
            </w:rPr>
            <w:fldChar w:fldCharType="begin"/>
          </w:r>
          <w:r w:rsidR="00D3420E">
            <w:rPr>
              <w:rFonts w:ascii="Calibri" w:hAnsi="Calibri" w:cs="Calibri"/>
              <w:lang w:val="en-GB"/>
            </w:rPr>
            <w:instrText xml:space="preserve"> CITATION Yeo22 \l 2057 </w:instrText>
          </w:r>
          <w:r w:rsidR="00D3420E">
            <w:rPr>
              <w:rFonts w:ascii="Calibri" w:hAnsi="Calibri" w:cs="Calibri"/>
              <w:lang w:val="en-GB"/>
            </w:rPr>
            <w:fldChar w:fldCharType="separate"/>
          </w:r>
          <w:r w:rsidR="005E305C" w:rsidRPr="005E305C">
            <w:rPr>
              <w:rFonts w:ascii="Calibri" w:hAnsi="Calibri" w:cs="Calibri"/>
              <w:noProof/>
              <w:lang w:val="en-GB"/>
            </w:rPr>
            <w:t>(Yeom et al., 2022)</w:t>
          </w:r>
          <w:r w:rsidR="00D3420E">
            <w:rPr>
              <w:rFonts w:ascii="Calibri" w:hAnsi="Calibri" w:cs="Calibri"/>
              <w:lang w:val="en-GB"/>
            </w:rPr>
            <w:fldChar w:fldCharType="end"/>
          </w:r>
        </w:sdtContent>
      </w:sdt>
      <w:r w:rsidR="00AC11E8" w:rsidRPr="002A29D6">
        <w:rPr>
          <w:rFonts w:ascii="Calibri" w:hAnsi="Calibri" w:cs="Calibri"/>
          <w:lang w:val="en-GB"/>
        </w:rPr>
        <w:t>, and personal control</w:t>
      </w:r>
      <w:r w:rsidR="009A184D">
        <w:rPr>
          <w:rFonts w:ascii="Calibri" w:hAnsi="Calibri" w:cs="Calibri"/>
          <w:lang w:val="en-GB"/>
        </w:rPr>
        <w:t xml:space="preserve"> </w:t>
      </w:r>
      <w:sdt>
        <w:sdtPr>
          <w:rPr>
            <w:rFonts w:ascii="Calibri" w:hAnsi="Calibri" w:cs="Calibri"/>
            <w:lang w:val="en-GB"/>
          </w:rPr>
          <w:id w:val="-1628536040"/>
          <w:citation/>
        </w:sdtPr>
        <w:sdtContent>
          <w:r w:rsidR="009A184D">
            <w:rPr>
              <w:rFonts w:ascii="Calibri" w:hAnsi="Calibri" w:cs="Calibri"/>
              <w:lang w:val="en-GB"/>
            </w:rPr>
            <w:fldChar w:fldCharType="begin"/>
          </w:r>
          <w:r w:rsidR="009A184D">
            <w:rPr>
              <w:rFonts w:ascii="Calibri" w:hAnsi="Calibri" w:cs="Calibri"/>
              <w:lang w:val="en-GB"/>
            </w:rPr>
            <w:instrText xml:space="preserve"> CITATION Kug17 \l 2057 </w:instrText>
          </w:r>
          <w:r w:rsidR="009A184D">
            <w:rPr>
              <w:rFonts w:ascii="Calibri" w:hAnsi="Calibri" w:cs="Calibri"/>
              <w:lang w:val="en-GB"/>
            </w:rPr>
            <w:fldChar w:fldCharType="separate"/>
          </w:r>
          <w:r w:rsidR="005E305C" w:rsidRPr="005E305C">
            <w:rPr>
              <w:rFonts w:ascii="Calibri" w:hAnsi="Calibri" w:cs="Calibri"/>
              <w:noProof/>
              <w:lang w:val="en-GB"/>
            </w:rPr>
            <w:t>(Kugbey et al., 2017)</w:t>
          </w:r>
          <w:r w:rsidR="009A184D">
            <w:rPr>
              <w:rFonts w:ascii="Calibri" w:hAnsi="Calibri" w:cs="Calibri"/>
              <w:lang w:val="en-GB"/>
            </w:rPr>
            <w:fldChar w:fldCharType="end"/>
          </w:r>
        </w:sdtContent>
      </w:sdt>
      <w:r w:rsidR="00AC11E8" w:rsidRPr="002A29D6">
        <w:rPr>
          <w:rFonts w:ascii="Calibri" w:hAnsi="Calibri" w:cs="Calibri"/>
          <w:lang w:val="en-GB"/>
        </w:rPr>
        <w:t>.</w:t>
      </w:r>
      <w:r w:rsidR="008B2EB8">
        <w:rPr>
          <w:rFonts w:ascii="Calibri" w:hAnsi="Calibri" w:cs="Calibri"/>
          <w:lang w:val="en-GB"/>
        </w:rPr>
        <w:t xml:space="preserve"> </w:t>
      </w:r>
      <w:r w:rsidR="00814024" w:rsidRPr="00814024">
        <w:rPr>
          <w:rFonts w:ascii="Calibri" w:hAnsi="Calibri" w:cs="Calibri"/>
          <w:lang w:val="en-GB"/>
        </w:rPr>
        <w:t>Ultimately</w:t>
      </w:r>
      <w:r w:rsidR="000440A2" w:rsidRPr="000440A2">
        <w:rPr>
          <w:rFonts w:ascii="Calibri" w:hAnsi="Calibri" w:cs="Calibri"/>
          <w:lang w:val="en-GB"/>
        </w:rPr>
        <w:t xml:space="preserve">, while strong evidence links illness perceptions to health outcomes in diabetes, future </w:t>
      </w:r>
      <w:r w:rsidR="000440A2" w:rsidRPr="000440A2">
        <w:rPr>
          <w:rFonts w:ascii="Calibri" w:hAnsi="Calibri" w:cs="Calibri"/>
          <w:lang w:val="en-GB"/>
        </w:rPr>
        <w:lastRenderedPageBreak/>
        <w:t>longitudinal and interventional research is needed to clarify causality and enhance the clinical utility of the CSM.</w:t>
      </w:r>
    </w:p>
    <w:p w14:paraId="620A75DF" w14:textId="77777777" w:rsidR="002D3F0E" w:rsidRPr="002A29D6" w:rsidRDefault="002D3F0E" w:rsidP="005E305C">
      <w:pPr>
        <w:spacing w:line="480" w:lineRule="auto"/>
        <w:ind w:firstLine="720"/>
        <w:rPr>
          <w:rFonts w:ascii="Calibri" w:hAnsi="Calibri" w:cs="Calibri"/>
          <w:lang w:val="en-GB"/>
        </w:rPr>
      </w:pPr>
    </w:p>
    <w:p w14:paraId="6DC4FB00" w14:textId="4B5463F8" w:rsidR="00990A12" w:rsidRDefault="001351BB" w:rsidP="005E305C">
      <w:pPr>
        <w:spacing w:line="480" w:lineRule="auto"/>
        <w:ind w:firstLine="720"/>
        <w:rPr>
          <w:rFonts w:ascii="Calibri" w:hAnsi="Calibri" w:cs="Calibri"/>
          <w:lang w:val="en-GB"/>
        </w:rPr>
      </w:pPr>
      <w:r w:rsidRPr="002A29D6">
        <w:rPr>
          <w:rFonts w:ascii="Calibri" w:hAnsi="Calibri" w:cs="Calibri"/>
          <w:lang w:val="en-GB"/>
        </w:rPr>
        <w:t>The CSM has demonstrated considerable strength as a predictive framework for understanding health behaviours by integrating both cognitive and emotional factors. One of its key advantages lies in its holistic approach, acknowledging the interplay between illness perceptions and emotional responses, which collectively shape health behaviours</w:t>
      </w:r>
      <w:r w:rsidR="00D072AD">
        <w:rPr>
          <w:rFonts w:ascii="Calibri" w:hAnsi="Calibri" w:cs="Calibri"/>
          <w:lang w:val="en-GB"/>
        </w:rPr>
        <w:t xml:space="preserve"> </w:t>
      </w:r>
      <w:sdt>
        <w:sdtPr>
          <w:rPr>
            <w:rFonts w:ascii="Calibri" w:hAnsi="Calibri" w:cs="Calibri"/>
            <w:lang w:val="en-GB"/>
          </w:rPr>
          <w:id w:val="524676357"/>
          <w:citation/>
        </w:sdtPr>
        <w:sdtContent>
          <w:r w:rsidR="00CE1421">
            <w:rPr>
              <w:rFonts w:ascii="Calibri" w:hAnsi="Calibri" w:cs="Calibri"/>
              <w:lang w:val="en-GB"/>
            </w:rPr>
            <w:fldChar w:fldCharType="begin"/>
          </w:r>
          <w:r w:rsidR="00CE1421">
            <w:rPr>
              <w:rFonts w:ascii="Calibri" w:hAnsi="Calibri" w:cs="Calibri"/>
              <w:lang w:val="en-GB"/>
            </w:rPr>
            <w:instrText xml:space="preserve">CITATION Lev161 \t  \m Hag22 \t  \l 2057 </w:instrText>
          </w:r>
          <w:r w:rsidR="00CE1421">
            <w:rPr>
              <w:rFonts w:ascii="Calibri" w:hAnsi="Calibri" w:cs="Calibri"/>
              <w:lang w:val="en-GB"/>
            </w:rPr>
            <w:fldChar w:fldCharType="separate"/>
          </w:r>
          <w:r w:rsidR="005E305C" w:rsidRPr="005E305C">
            <w:rPr>
              <w:rFonts w:ascii="Calibri" w:hAnsi="Calibri" w:cs="Calibri"/>
              <w:noProof/>
              <w:lang w:val="en-GB"/>
            </w:rPr>
            <w:t>(Leventhal et al., 2016; Hagger &amp; Orbell, 2022)</w:t>
          </w:r>
          <w:r w:rsidR="00CE1421">
            <w:rPr>
              <w:rFonts w:ascii="Calibri" w:hAnsi="Calibri" w:cs="Calibri"/>
              <w:lang w:val="en-GB"/>
            </w:rPr>
            <w:fldChar w:fldCharType="end"/>
          </w:r>
        </w:sdtContent>
      </w:sdt>
      <w:r w:rsidRPr="002A29D6">
        <w:rPr>
          <w:rFonts w:ascii="Calibri" w:hAnsi="Calibri" w:cs="Calibri"/>
          <w:lang w:val="en-GB"/>
        </w:rPr>
        <w:t>. Unlike models that focus solely on cognitive or behavioural determinants, the CSM incorporates subjective experiences, allowing for a more comprehensive understanding of patient engagement with treatment. Additionally, its clinical utility is well established, as it provides a basis for psychological interventions that target maladaptive beliefs to improve adherence to medical recommendations. The model has been successfully applied across a wide range of health conditions</w:t>
      </w:r>
      <w:r w:rsidR="0030029D">
        <w:rPr>
          <w:rFonts w:ascii="Calibri" w:hAnsi="Calibri" w:cs="Calibri"/>
          <w:lang w:val="en-GB"/>
        </w:rPr>
        <w:t xml:space="preserve"> </w:t>
      </w:r>
      <w:sdt>
        <w:sdtPr>
          <w:rPr>
            <w:rFonts w:ascii="Calibri" w:hAnsi="Calibri" w:cs="Calibri"/>
            <w:lang w:val="en-GB"/>
          </w:rPr>
          <w:id w:val="-850338938"/>
          <w:citation/>
        </w:sdtPr>
        <w:sdtContent>
          <w:r w:rsidR="0089294C">
            <w:rPr>
              <w:rFonts w:ascii="Calibri" w:hAnsi="Calibri" w:cs="Calibri"/>
              <w:lang w:val="en-GB"/>
            </w:rPr>
            <w:fldChar w:fldCharType="begin"/>
          </w:r>
          <w:r w:rsidR="0089294C">
            <w:rPr>
              <w:rFonts w:ascii="Calibri" w:hAnsi="Calibri" w:cs="Calibri"/>
              <w:lang w:val="en-GB"/>
            </w:rPr>
            <w:instrText xml:space="preserve">CITATION Hag22 \t  \l 2057 </w:instrText>
          </w:r>
          <w:r w:rsidR="0089294C">
            <w:rPr>
              <w:rFonts w:ascii="Calibri" w:hAnsi="Calibri" w:cs="Calibri"/>
              <w:lang w:val="en-GB"/>
            </w:rPr>
            <w:fldChar w:fldCharType="separate"/>
          </w:r>
          <w:r w:rsidR="005E305C" w:rsidRPr="005E305C">
            <w:rPr>
              <w:rFonts w:ascii="Calibri" w:hAnsi="Calibri" w:cs="Calibri"/>
              <w:noProof/>
              <w:lang w:val="en-GB"/>
            </w:rPr>
            <w:t>(Hagger &amp; Orbell, 2022)</w:t>
          </w:r>
          <w:r w:rsidR="0089294C">
            <w:rPr>
              <w:rFonts w:ascii="Calibri" w:hAnsi="Calibri" w:cs="Calibri"/>
              <w:lang w:val="en-GB"/>
            </w:rPr>
            <w:fldChar w:fldCharType="end"/>
          </w:r>
        </w:sdtContent>
      </w:sdt>
      <w:r w:rsidRPr="002A29D6">
        <w:rPr>
          <w:rFonts w:ascii="Calibri" w:hAnsi="Calibri" w:cs="Calibri"/>
          <w:lang w:val="en-GB"/>
        </w:rPr>
        <w:t>, reinforcing its empirical versatility and demonstrating its reliability in predicting patient outcomes across different populations. Despite its strengths, several limitations challenge the predictive power of the CSM in health psychology. A significant concern is the model’s reliance on self-report measures, which depends on individuals’ subjective accounts of their beliefs and experiences. Self-reports may be susceptible to biases such as social desirability</w:t>
      </w:r>
      <w:r w:rsidR="00C7384C">
        <w:rPr>
          <w:rFonts w:ascii="Calibri" w:hAnsi="Calibri" w:cs="Calibri"/>
          <w:lang w:val="en-GB"/>
        </w:rPr>
        <w:t xml:space="preserve"> </w:t>
      </w:r>
      <w:sdt>
        <w:sdtPr>
          <w:rPr>
            <w:rFonts w:ascii="Calibri" w:hAnsi="Calibri" w:cs="Calibri"/>
            <w:lang w:val="en-GB"/>
          </w:rPr>
          <w:id w:val="-334072015"/>
          <w:citation/>
        </w:sdtPr>
        <w:sdtContent>
          <w:r w:rsidR="00C7384C">
            <w:rPr>
              <w:rFonts w:ascii="Calibri" w:hAnsi="Calibri" w:cs="Calibri"/>
              <w:lang w:val="en-GB"/>
            </w:rPr>
            <w:fldChar w:fldCharType="begin"/>
          </w:r>
          <w:r w:rsidR="00C7384C">
            <w:rPr>
              <w:rFonts w:ascii="Calibri" w:hAnsi="Calibri" w:cs="Calibri"/>
              <w:lang w:val="en-GB"/>
            </w:rPr>
            <w:instrText xml:space="preserve"> CITATION Lat17 \l 2057 </w:instrText>
          </w:r>
          <w:r w:rsidR="00C7384C">
            <w:rPr>
              <w:rFonts w:ascii="Calibri" w:hAnsi="Calibri" w:cs="Calibri"/>
              <w:lang w:val="en-GB"/>
            </w:rPr>
            <w:fldChar w:fldCharType="separate"/>
          </w:r>
          <w:r w:rsidR="005E305C" w:rsidRPr="005E305C">
            <w:rPr>
              <w:rFonts w:ascii="Calibri" w:hAnsi="Calibri" w:cs="Calibri"/>
              <w:noProof/>
              <w:lang w:val="en-GB"/>
            </w:rPr>
            <w:t>(Latkin et al., 2017)</w:t>
          </w:r>
          <w:r w:rsidR="00C7384C">
            <w:rPr>
              <w:rFonts w:ascii="Calibri" w:hAnsi="Calibri" w:cs="Calibri"/>
              <w:lang w:val="en-GB"/>
            </w:rPr>
            <w:fldChar w:fldCharType="end"/>
          </w:r>
        </w:sdtContent>
      </w:sdt>
      <w:r w:rsidRPr="002A29D6">
        <w:rPr>
          <w:rFonts w:ascii="Calibri" w:hAnsi="Calibri" w:cs="Calibri"/>
          <w:lang w:val="en-GB"/>
        </w:rPr>
        <w:t>, limited introspective accuracy</w:t>
      </w:r>
      <w:r w:rsidR="00CE63A8">
        <w:rPr>
          <w:rFonts w:ascii="Calibri" w:hAnsi="Calibri" w:cs="Calibri"/>
          <w:lang w:val="en-GB"/>
        </w:rPr>
        <w:t xml:space="preserve"> </w:t>
      </w:r>
      <w:sdt>
        <w:sdtPr>
          <w:rPr>
            <w:rFonts w:ascii="Calibri" w:hAnsi="Calibri" w:cs="Calibri"/>
            <w:lang w:val="en-GB"/>
          </w:rPr>
          <w:id w:val="-1487005540"/>
          <w:citation/>
        </w:sdtPr>
        <w:sdtContent>
          <w:r w:rsidR="00CE63A8">
            <w:rPr>
              <w:rFonts w:ascii="Calibri" w:hAnsi="Calibri" w:cs="Calibri"/>
              <w:lang w:val="en-GB"/>
            </w:rPr>
            <w:fldChar w:fldCharType="begin"/>
          </w:r>
          <w:r w:rsidR="00CE63A8">
            <w:rPr>
              <w:rFonts w:ascii="Calibri" w:hAnsi="Calibri" w:cs="Calibri"/>
              <w:lang w:val="en-GB"/>
            </w:rPr>
            <w:instrText xml:space="preserve"> CITATION Nis77 \l 2057 </w:instrText>
          </w:r>
          <w:r w:rsidR="00E27C0A">
            <w:rPr>
              <w:rFonts w:ascii="Calibri" w:hAnsi="Calibri" w:cs="Calibri"/>
              <w:lang w:val="en-GB"/>
            </w:rPr>
            <w:instrText xml:space="preserve"> \m Car23</w:instrText>
          </w:r>
          <w:r w:rsidR="00CE63A8">
            <w:rPr>
              <w:rFonts w:ascii="Calibri" w:hAnsi="Calibri" w:cs="Calibri"/>
              <w:lang w:val="en-GB"/>
            </w:rPr>
            <w:fldChar w:fldCharType="separate"/>
          </w:r>
          <w:r w:rsidR="005E305C" w:rsidRPr="005E305C">
            <w:rPr>
              <w:rFonts w:ascii="Calibri" w:hAnsi="Calibri" w:cs="Calibri"/>
              <w:noProof/>
              <w:lang w:val="en-GB"/>
            </w:rPr>
            <w:t>(Nisbett &amp; Wilson, 1977; Carlson et al., 2023)</w:t>
          </w:r>
          <w:r w:rsidR="00CE63A8">
            <w:rPr>
              <w:rFonts w:ascii="Calibri" w:hAnsi="Calibri" w:cs="Calibri"/>
              <w:lang w:val="en-GB"/>
            </w:rPr>
            <w:fldChar w:fldCharType="end"/>
          </w:r>
        </w:sdtContent>
      </w:sdt>
      <w:r w:rsidRPr="002A29D6">
        <w:rPr>
          <w:rFonts w:ascii="Calibri" w:hAnsi="Calibri" w:cs="Calibri"/>
          <w:lang w:val="en-GB"/>
        </w:rPr>
        <w:t>, or response tendencies</w:t>
      </w:r>
      <w:r w:rsidR="00C84D16">
        <w:rPr>
          <w:rFonts w:ascii="Calibri" w:hAnsi="Calibri" w:cs="Calibri"/>
          <w:lang w:val="en-GB"/>
        </w:rPr>
        <w:t xml:space="preserve"> </w:t>
      </w:r>
      <w:sdt>
        <w:sdtPr>
          <w:rPr>
            <w:rFonts w:ascii="Calibri" w:hAnsi="Calibri" w:cs="Calibri"/>
            <w:lang w:val="en-GB"/>
          </w:rPr>
          <w:id w:val="772369363"/>
          <w:citation/>
        </w:sdtPr>
        <w:sdtContent>
          <w:r w:rsidR="00C84D16">
            <w:rPr>
              <w:rFonts w:ascii="Calibri" w:hAnsi="Calibri" w:cs="Calibri"/>
              <w:lang w:val="en-GB"/>
            </w:rPr>
            <w:fldChar w:fldCharType="begin"/>
          </w:r>
          <w:r w:rsidR="00C84D16">
            <w:rPr>
              <w:rFonts w:ascii="Calibri" w:hAnsi="Calibri" w:cs="Calibri"/>
              <w:lang w:val="en-GB"/>
            </w:rPr>
            <w:instrText xml:space="preserve"> CITATION Kre19 \l 2057 </w:instrText>
          </w:r>
          <w:r w:rsidR="00C84D16">
            <w:rPr>
              <w:rFonts w:ascii="Calibri" w:hAnsi="Calibri" w:cs="Calibri"/>
              <w:lang w:val="en-GB"/>
            </w:rPr>
            <w:fldChar w:fldCharType="separate"/>
          </w:r>
          <w:r w:rsidR="005E305C" w:rsidRPr="005E305C">
            <w:rPr>
              <w:rFonts w:ascii="Calibri" w:hAnsi="Calibri" w:cs="Calibri"/>
              <w:noProof/>
              <w:lang w:val="en-GB"/>
            </w:rPr>
            <w:t>(Kreitchmann et al., 2019)</w:t>
          </w:r>
          <w:r w:rsidR="00C84D16">
            <w:rPr>
              <w:rFonts w:ascii="Calibri" w:hAnsi="Calibri" w:cs="Calibri"/>
              <w:lang w:val="en-GB"/>
            </w:rPr>
            <w:fldChar w:fldCharType="end"/>
          </w:r>
        </w:sdtContent>
      </w:sdt>
      <w:r w:rsidRPr="002A29D6">
        <w:rPr>
          <w:rFonts w:ascii="Calibri" w:hAnsi="Calibri" w:cs="Calibri"/>
          <w:lang w:val="en-GB"/>
        </w:rPr>
        <w:t xml:space="preserve">, making it difficult to objectively measure certain dimensions of illness perception. </w:t>
      </w:r>
    </w:p>
    <w:p w14:paraId="3DE2B0DC" w14:textId="77777777" w:rsidR="00990A12" w:rsidRDefault="00990A12" w:rsidP="005E305C">
      <w:pPr>
        <w:spacing w:line="480" w:lineRule="auto"/>
        <w:ind w:firstLine="720"/>
        <w:rPr>
          <w:rFonts w:ascii="Calibri" w:hAnsi="Calibri" w:cs="Calibri"/>
          <w:lang w:val="en-GB"/>
        </w:rPr>
      </w:pPr>
    </w:p>
    <w:p w14:paraId="08E60D71" w14:textId="289147BF" w:rsidR="009B5662" w:rsidRPr="002A29D6" w:rsidRDefault="00A4324D" w:rsidP="005E305C">
      <w:pPr>
        <w:spacing w:line="480" w:lineRule="auto"/>
        <w:ind w:firstLine="720"/>
        <w:rPr>
          <w:rFonts w:ascii="Calibri" w:hAnsi="Calibri" w:cs="Calibri"/>
          <w:lang w:val="en-GB"/>
        </w:rPr>
      </w:pPr>
      <w:r w:rsidRPr="00A4324D">
        <w:rPr>
          <w:rFonts w:ascii="Calibri" w:hAnsi="Calibri" w:cs="Calibri"/>
          <w:lang w:val="en-GB"/>
        </w:rPr>
        <w:t>Beyond methodological concerns, several conceptual limitations constrain the C</w:t>
      </w:r>
      <w:r>
        <w:rPr>
          <w:rFonts w:ascii="Calibri" w:hAnsi="Calibri" w:cs="Calibri"/>
          <w:lang w:val="en-GB"/>
        </w:rPr>
        <w:t>SM</w:t>
      </w:r>
      <w:r w:rsidRPr="00A4324D">
        <w:rPr>
          <w:rFonts w:ascii="Calibri" w:hAnsi="Calibri" w:cs="Calibri"/>
          <w:lang w:val="en-GB"/>
        </w:rPr>
        <w:t>’s ability to fully account for the complexity of chronic illness management in real-world settings.</w:t>
      </w:r>
      <w:r>
        <w:rPr>
          <w:rFonts w:ascii="Calibri" w:hAnsi="Calibri" w:cs="Calibri"/>
          <w:lang w:val="en-GB"/>
        </w:rPr>
        <w:t xml:space="preserve"> </w:t>
      </w:r>
      <w:r w:rsidR="001351BB" w:rsidRPr="002A29D6">
        <w:rPr>
          <w:rFonts w:ascii="Calibri" w:hAnsi="Calibri" w:cs="Calibri"/>
          <w:lang w:val="en-GB"/>
        </w:rPr>
        <w:t>Factors such as socioeconomic status</w:t>
      </w:r>
      <w:r w:rsidR="00002AEA">
        <w:rPr>
          <w:rFonts w:ascii="Calibri" w:hAnsi="Calibri" w:cs="Calibri"/>
          <w:lang w:val="en-GB"/>
        </w:rPr>
        <w:t xml:space="preserve"> </w:t>
      </w:r>
      <w:sdt>
        <w:sdtPr>
          <w:rPr>
            <w:rFonts w:ascii="Calibri" w:hAnsi="Calibri" w:cs="Calibri"/>
            <w:lang w:val="en-GB"/>
          </w:rPr>
          <w:id w:val="1447424706"/>
          <w:citation/>
        </w:sdtPr>
        <w:sdtContent>
          <w:r w:rsidR="00002AEA">
            <w:rPr>
              <w:rFonts w:ascii="Calibri" w:hAnsi="Calibri" w:cs="Calibri"/>
              <w:lang w:val="en-GB"/>
            </w:rPr>
            <w:fldChar w:fldCharType="begin"/>
          </w:r>
          <w:r w:rsidR="00002AEA">
            <w:rPr>
              <w:rFonts w:ascii="Calibri" w:hAnsi="Calibri" w:cs="Calibri"/>
              <w:lang w:val="en-GB"/>
            </w:rPr>
            <w:instrText xml:space="preserve"> CITATION Kim23 \l 2057 </w:instrText>
          </w:r>
          <w:r w:rsidR="00002AEA">
            <w:rPr>
              <w:rFonts w:ascii="Calibri" w:hAnsi="Calibri" w:cs="Calibri"/>
              <w:lang w:val="en-GB"/>
            </w:rPr>
            <w:fldChar w:fldCharType="separate"/>
          </w:r>
          <w:r w:rsidR="005E305C" w:rsidRPr="005E305C">
            <w:rPr>
              <w:rFonts w:ascii="Calibri" w:hAnsi="Calibri" w:cs="Calibri"/>
              <w:noProof/>
              <w:lang w:val="en-GB"/>
            </w:rPr>
            <w:t>(Kim et al., 2023)</w:t>
          </w:r>
          <w:r w:rsidR="00002AEA">
            <w:rPr>
              <w:rFonts w:ascii="Calibri" w:hAnsi="Calibri" w:cs="Calibri"/>
              <w:lang w:val="en-GB"/>
            </w:rPr>
            <w:fldChar w:fldCharType="end"/>
          </w:r>
        </w:sdtContent>
      </w:sdt>
      <w:r w:rsidR="001351BB" w:rsidRPr="002A29D6">
        <w:rPr>
          <w:rFonts w:ascii="Calibri" w:hAnsi="Calibri" w:cs="Calibri"/>
          <w:lang w:val="en-GB"/>
        </w:rPr>
        <w:t>, access to healthcare</w:t>
      </w:r>
      <w:r w:rsidR="00FD680E">
        <w:rPr>
          <w:rFonts w:ascii="Calibri" w:hAnsi="Calibri" w:cs="Calibri"/>
          <w:lang w:val="en-GB"/>
        </w:rPr>
        <w:t xml:space="preserve"> </w:t>
      </w:r>
      <w:sdt>
        <w:sdtPr>
          <w:rPr>
            <w:rFonts w:ascii="Calibri" w:hAnsi="Calibri" w:cs="Calibri"/>
            <w:lang w:val="en-GB"/>
          </w:rPr>
          <w:id w:val="-600176372"/>
          <w:citation/>
        </w:sdtPr>
        <w:sdtContent>
          <w:r w:rsidR="00FD680E">
            <w:rPr>
              <w:rFonts w:ascii="Calibri" w:hAnsi="Calibri" w:cs="Calibri"/>
              <w:lang w:val="en-GB"/>
            </w:rPr>
            <w:fldChar w:fldCharType="begin"/>
          </w:r>
          <w:r w:rsidR="00FD680E">
            <w:rPr>
              <w:rFonts w:ascii="Calibri" w:hAnsi="Calibri" w:cs="Calibri"/>
              <w:lang w:val="en-GB"/>
            </w:rPr>
            <w:instrText xml:space="preserve"> CITATION Fos23 \l 2057 </w:instrText>
          </w:r>
          <w:r w:rsidR="00FD680E">
            <w:rPr>
              <w:rFonts w:ascii="Calibri" w:hAnsi="Calibri" w:cs="Calibri"/>
              <w:lang w:val="en-GB"/>
            </w:rPr>
            <w:fldChar w:fldCharType="separate"/>
          </w:r>
          <w:r w:rsidR="005E305C" w:rsidRPr="005E305C">
            <w:rPr>
              <w:rFonts w:ascii="Calibri" w:hAnsi="Calibri" w:cs="Calibri"/>
              <w:noProof/>
              <w:lang w:val="en-GB"/>
            </w:rPr>
            <w:t>(Foster et al., 2023)</w:t>
          </w:r>
          <w:r w:rsidR="00FD680E">
            <w:rPr>
              <w:rFonts w:ascii="Calibri" w:hAnsi="Calibri" w:cs="Calibri"/>
              <w:lang w:val="en-GB"/>
            </w:rPr>
            <w:fldChar w:fldCharType="end"/>
          </w:r>
        </w:sdtContent>
      </w:sdt>
      <w:r w:rsidR="001351BB" w:rsidRPr="002A29D6">
        <w:rPr>
          <w:rFonts w:ascii="Calibri" w:hAnsi="Calibri" w:cs="Calibri"/>
          <w:lang w:val="en-GB"/>
        </w:rPr>
        <w:t>, comorbid mental health conditions</w:t>
      </w:r>
      <w:r w:rsidR="00450EF5">
        <w:rPr>
          <w:rFonts w:ascii="Calibri" w:hAnsi="Calibri" w:cs="Calibri"/>
          <w:lang w:val="en-GB"/>
        </w:rPr>
        <w:t xml:space="preserve"> </w:t>
      </w:r>
      <w:sdt>
        <w:sdtPr>
          <w:rPr>
            <w:rFonts w:ascii="Calibri" w:hAnsi="Calibri" w:cs="Calibri"/>
            <w:lang w:val="en-GB"/>
          </w:rPr>
          <w:id w:val="-1608643179"/>
          <w:citation/>
        </w:sdtPr>
        <w:sdtContent>
          <w:r w:rsidR="00450EF5">
            <w:rPr>
              <w:rFonts w:ascii="Calibri" w:hAnsi="Calibri" w:cs="Calibri"/>
              <w:lang w:val="en-GB"/>
            </w:rPr>
            <w:fldChar w:fldCharType="begin"/>
          </w:r>
          <w:r w:rsidR="00450EF5">
            <w:rPr>
              <w:rFonts w:ascii="Calibri" w:hAnsi="Calibri" w:cs="Calibri"/>
              <w:lang w:val="en-GB"/>
            </w:rPr>
            <w:instrText xml:space="preserve"> CITATION Mer07 \l 2057 </w:instrText>
          </w:r>
          <w:r w:rsidR="00450EF5">
            <w:rPr>
              <w:rFonts w:ascii="Calibri" w:hAnsi="Calibri" w:cs="Calibri"/>
              <w:lang w:val="en-GB"/>
            </w:rPr>
            <w:fldChar w:fldCharType="separate"/>
          </w:r>
          <w:r w:rsidR="005E305C" w:rsidRPr="005E305C">
            <w:rPr>
              <w:rFonts w:ascii="Calibri" w:hAnsi="Calibri" w:cs="Calibri"/>
              <w:noProof/>
              <w:lang w:val="en-GB"/>
            </w:rPr>
            <w:t>(Merikangas et al., 2007)</w:t>
          </w:r>
          <w:r w:rsidR="00450EF5">
            <w:rPr>
              <w:rFonts w:ascii="Calibri" w:hAnsi="Calibri" w:cs="Calibri"/>
              <w:lang w:val="en-GB"/>
            </w:rPr>
            <w:fldChar w:fldCharType="end"/>
          </w:r>
        </w:sdtContent>
      </w:sdt>
      <w:r w:rsidR="001351BB" w:rsidRPr="002A29D6">
        <w:rPr>
          <w:rFonts w:ascii="Calibri" w:hAnsi="Calibri" w:cs="Calibri"/>
          <w:lang w:val="en-GB"/>
        </w:rPr>
        <w:t>, and structural barriers</w:t>
      </w:r>
      <w:r w:rsidR="00156926">
        <w:rPr>
          <w:rFonts w:ascii="Calibri" w:hAnsi="Calibri" w:cs="Calibri"/>
          <w:lang w:val="en-GB"/>
        </w:rPr>
        <w:t xml:space="preserve"> </w:t>
      </w:r>
      <w:sdt>
        <w:sdtPr>
          <w:rPr>
            <w:rFonts w:ascii="Calibri" w:hAnsi="Calibri" w:cs="Calibri"/>
            <w:lang w:val="en-GB"/>
          </w:rPr>
          <w:id w:val="-383869455"/>
          <w:citation/>
        </w:sdtPr>
        <w:sdtContent>
          <w:r w:rsidR="00156926">
            <w:rPr>
              <w:rFonts w:ascii="Calibri" w:hAnsi="Calibri" w:cs="Calibri"/>
              <w:lang w:val="en-GB"/>
            </w:rPr>
            <w:fldChar w:fldCharType="begin"/>
          </w:r>
          <w:r w:rsidR="00156926">
            <w:rPr>
              <w:rFonts w:ascii="Calibri" w:hAnsi="Calibri" w:cs="Calibri"/>
              <w:lang w:val="en-GB"/>
            </w:rPr>
            <w:instrText xml:space="preserve"> CITATION Cla22 \l 2057 </w:instrText>
          </w:r>
          <w:r w:rsidR="00156926">
            <w:rPr>
              <w:rFonts w:ascii="Calibri" w:hAnsi="Calibri" w:cs="Calibri"/>
              <w:lang w:val="en-GB"/>
            </w:rPr>
            <w:fldChar w:fldCharType="separate"/>
          </w:r>
          <w:r w:rsidR="005E305C" w:rsidRPr="005E305C">
            <w:rPr>
              <w:rFonts w:ascii="Calibri" w:hAnsi="Calibri" w:cs="Calibri"/>
              <w:noProof/>
              <w:lang w:val="en-GB"/>
            </w:rPr>
            <w:t>(Clark et al., 2022)</w:t>
          </w:r>
          <w:r w:rsidR="00156926">
            <w:rPr>
              <w:rFonts w:ascii="Calibri" w:hAnsi="Calibri" w:cs="Calibri"/>
              <w:lang w:val="en-GB"/>
            </w:rPr>
            <w:fldChar w:fldCharType="end"/>
          </w:r>
        </w:sdtContent>
      </w:sdt>
      <w:r w:rsidR="00223D37" w:rsidRPr="002A29D6">
        <w:rPr>
          <w:rFonts w:ascii="Calibri" w:hAnsi="Calibri" w:cs="Calibri"/>
          <w:lang w:val="en-GB"/>
        </w:rPr>
        <w:t xml:space="preserve"> </w:t>
      </w:r>
      <w:r w:rsidR="00223D37">
        <w:rPr>
          <w:rFonts w:ascii="Calibri" w:hAnsi="Calibri" w:cs="Calibri"/>
          <w:lang w:val="en-GB"/>
        </w:rPr>
        <w:t>significantly</w:t>
      </w:r>
      <w:r w:rsidR="001351BB" w:rsidRPr="002A29D6">
        <w:rPr>
          <w:rFonts w:ascii="Calibri" w:hAnsi="Calibri" w:cs="Calibri"/>
          <w:lang w:val="en-GB"/>
        </w:rPr>
        <w:t xml:space="preserve"> influence health outcomes. The CSM does not fully account for these broader determinants of health, which may moderate or overshadow the role of illness perceptions. </w:t>
      </w:r>
      <w:r w:rsidR="00CF377F" w:rsidRPr="00CF377F">
        <w:rPr>
          <w:rFonts w:ascii="Calibri" w:hAnsi="Calibri" w:cs="Calibri"/>
          <w:lang w:val="en-GB"/>
        </w:rPr>
        <w:t>Illness beliefs are inherently dynamic, shaped by evolving experiences, information, symptoms, and social contexts, making single time-point assessments problematic. Although the CSM accounts for this variability, many studies assess beliefs only once, limiting insight into changes over time. Hagger and Orbell (2022) highlight how perceptions adjust with ongoing experiences, while Gwinnutt et al. (2021) found shifts in illness beliefs among rheumatoid arthritis patients over 12 months, illustrating this fluidity.</w:t>
      </w:r>
      <w:r w:rsidR="00CF377F">
        <w:rPr>
          <w:rFonts w:ascii="Calibri" w:hAnsi="Calibri" w:cs="Calibri"/>
          <w:lang w:val="en-GB"/>
        </w:rPr>
        <w:t xml:space="preserve"> </w:t>
      </w:r>
      <w:r w:rsidR="001351BB" w:rsidRPr="002A29D6">
        <w:rPr>
          <w:rFonts w:ascii="Calibri" w:hAnsi="Calibri" w:cs="Calibri"/>
          <w:lang w:val="en-GB"/>
        </w:rPr>
        <w:t xml:space="preserve">Socioeconomic disparities play a critical role in shaping health behaviours, as individuals from low-income or marginalised backgrounds often face additional social stressors that may weaken the direct influence of illness perceptions on behaviour </w:t>
      </w:r>
      <w:sdt>
        <w:sdtPr>
          <w:rPr>
            <w:rFonts w:ascii="Calibri" w:hAnsi="Calibri" w:cs="Calibri"/>
            <w:lang w:val="en-GB"/>
          </w:rPr>
          <w:id w:val="-1383865847"/>
          <w:citation/>
        </w:sdtPr>
        <w:sdtContent>
          <w:r w:rsidR="00D22C42">
            <w:rPr>
              <w:rFonts w:ascii="Calibri" w:hAnsi="Calibri" w:cs="Calibri"/>
              <w:lang w:val="en-GB"/>
            </w:rPr>
            <w:fldChar w:fldCharType="begin"/>
          </w:r>
          <w:r w:rsidR="00D22C42">
            <w:rPr>
              <w:rFonts w:ascii="Calibri" w:hAnsi="Calibri" w:cs="Calibri"/>
              <w:lang w:val="en-GB"/>
            </w:rPr>
            <w:instrText xml:space="preserve"> CITATION Mul11 \l 2057  \m Kra21</w:instrText>
          </w:r>
          <w:r w:rsidR="00D22C42">
            <w:rPr>
              <w:rFonts w:ascii="Calibri" w:hAnsi="Calibri" w:cs="Calibri"/>
              <w:lang w:val="en-GB"/>
            </w:rPr>
            <w:fldChar w:fldCharType="separate"/>
          </w:r>
          <w:r w:rsidR="005E305C" w:rsidRPr="005E305C">
            <w:rPr>
              <w:rFonts w:ascii="Calibri" w:hAnsi="Calibri" w:cs="Calibri"/>
              <w:noProof/>
              <w:lang w:val="en-GB"/>
            </w:rPr>
            <w:t>(Mulder et al., 2011; Kraft, &amp; Kraft, 2021)</w:t>
          </w:r>
          <w:r w:rsidR="00D22C42">
            <w:rPr>
              <w:rFonts w:ascii="Calibri" w:hAnsi="Calibri" w:cs="Calibri"/>
              <w:lang w:val="en-GB"/>
            </w:rPr>
            <w:fldChar w:fldCharType="end"/>
          </w:r>
        </w:sdtContent>
      </w:sdt>
      <w:r w:rsidR="001351BB" w:rsidRPr="002A29D6">
        <w:rPr>
          <w:rFonts w:ascii="Calibri" w:hAnsi="Calibri" w:cs="Calibri"/>
          <w:lang w:val="en-GB"/>
        </w:rPr>
        <w:t>. Cultural beliefs also impact the way individuals interpret and respond to illness, with different cultural backgrounds shaping causal attributions</w:t>
      </w:r>
      <w:r w:rsidR="00870F86">
        <w:rPr>
          <w:rFonts w:ascii="Calibri" w:hAnsi="Calibri" w:cs="Calibri"/>
          <w:lang w:val="en-GB"/>
        </w:rPr>
        <w:t xml:space="preserve"> </w:t>
      </w:r>
      <w:sdt>
        <w:sdtPr>
          <w:rPr>
            <w:rFonts w:ascii="Calibri" w:hAnsi="Calibri" w:cs="Calibri"/>
            <w:lang w:val="en-GB"/>
          </w:rPr>
          <w:id w:val="-1172174756"/>
          <w:citation/>
        </w:sdtPr>
        <w:sdtContent>
          <w:r w:rsidR="00870F86">
            <w:rPr>
              <w:rFonts w:ascii="Calibri" w:hAnsi="Calibri" w:cs="Calibri"/>
              <w:lang w:val="en-GB"/>
            </w:rPr>
            <w:fldChar w:fldCharType="begin"/>
          </w:r>
          <w:r w:rsidR="00870F86">
            <w:rPr>
              <w:rFonts w:ascii="Calibri" w:hAnsi="Calibri" w:cs="Calibri"/>
              <w:lang w:val="en-GB"/>
            </w:rPr>
            <w:instrText xml:space="preserve"> CITATION Ahu24 \l 2057 </w:instrText>
          </w:r>
          <w:r w:rsidR="00870F86">
            <w:rPr>
              <w:rFonts w:ascii="Calibri" w:hAnsi="Calibri" w:cs="Calibri"/>
              <w:lang w:val="en-GB"/>
            </w:rPr>
            <w:fldChar w:fldCharType="separate"/>
          </w:r>
          <w:r w:rsidR="005E305C" w:rsidRPr="005E305C">
            <w:rPr>
              <w:rFonts w:ascii="Calibri" w:hAnsi="Calibri" w:cs="Calibri"/>
              <w:noProof/>
              <w:lang w:val="en-GB"/>
            </w:rPr>
            <w:t>(Ahuvia et al., 2024)</w:t>
          </w:r>
          <w:r w:rsidR="00870F86">
            <w:rPr>
              <w:rFonts w:ascii="Calibri" w:hAnsi="Calibri" w:cs="Calibri"/>
              <w:lang w:val="en-GB"/>
            </w:rPr>
            <w:fldChar w:fldCharType="end"/>
          </w:r>
        </w:sdtContent>
      </w:sdt>
      <w:r w:rsidR="001351BB" w:rsidRPr="002A29D6">
        <w:rPr>
          <w:rFonts w:ascii="Calibri" w:hAnsi="Calibri" w:cs="Calibri"/>
          <w:lang w:val="en-GB"/>
        </w:rPr>
        <w:t>, perceptions of control</w:t>
      </w:r>
      <w:r w:rsidR="004D640A">
        <w:rPr>
          <w:rFonts w:ascii="Calibri" w:hAnsi="Calibri" w:cs="Calibri"/>
          <w:lang w:val="en-GB"/>
        </w:rPr>
        <w:t xml:space="preserve"> </w:t>
      </w:r>
      <w:sdt>
        <w:sdtPr>
          <w:rPr>
            <w:rFonts w:ascii="Calibri" w:hAnsi="Calibri" w:cs="Calibri"/>
            <w:lang w:val="en-GB"/>
          </w:rPr>
          <w:id w:val="-1391029861"/>
          <w:citation/>
        </w:sdtPr>
        <w:sdtContent>
          <w:r w:rsidR="00A50D80">
            <w:rPr>
              <w:rFonts w:ascii="Calibri" w:hAnsi="Calibri" w:cs="Calibri"/>
              <w:lang w:val="en-GB"/>
            </w:rPr>
            <w:fldChar w:fldCharType="begin"/>
          </w:r>
          <w:r w:rsidR="00906139">
            <w:rPr>
              <w:rFonts w:ascii="Calibri" w:hAnsi="Calibri" w:cs="Calibri"/>
              <w:lang w:val="en-GB"/>
            </w:rPr>
            <w:instrText xml:space="preserve">CITATION Din171 \l 2057 </w:instrText>
          </w:r>
          <w:r w:rsidR="00A50D80">
            <w:rPr>
              <w:rFonts w:ascii="Calibri" w:hAnsi="Calibri" w:cs="Calibri"/>
              <w:lang w:val="en-GB"/>
            </w:rPr>
            <w:fldChar w:fldCharType="separate"/>
          </w:r>
          <w:r w:rsidR="005E305C" w:rsidRPr="005E305C">
            <w:rPr>
              <w:rFonts w:ascii="Calibri" w:hAnsi="Calibri" w:cs="Calibri"/>
              <w:noProof/>
              <w:lang w:val="en-GB"/>
            </w:rPr>
            <w:t>(Dinos et al., 2017)</w:t>
          </w:r>
          <w:r w:rsidR="00A50D80">
            <w:rPr>
              <w:rFonts w:ascii="Calibri" w:hAnsi="Calibri" w:cs="Calibri"/>
              <w:lang w:val="en-GB"/>
            </w:rPr>
            <w:fldChar w:fldCharType="end"/>
          </w:r>
        </w:sdtContent>
      </w:sdt>
      <w:r w:rsidR="001351BB" w:rsidRPr="002A29D6">
        <w:rPr>
          <w:rFonts w:ascii="Calibri" w:hAnsi="Calibri" w:cs="Calibri"/>
          <w:lang w:val="en-GB"/>
        </w:rPr>
        <w:t>, and treatment expectations</w:t>
      </w:r>
      <w:r w:rsidR="004D640A">
        <w:rPr>
          <w:rFonts w:ascii="Calibri" w:hAnsi="Calibri" w:cs="Calibri"/>
          <w:lang w:val="en-GB"/>
        </w:rPr>
        <w:t xml:space="preserve"> </w:t>
      </w:r>
      <w:sdt>
        <w:sdtPr>
          <w:rPr>
            <w:rFonts w:ascii="Calibri" w:hAnsi="Calibri" w:cs="Calibri"/>
            <w:lang w:val="en-GB"/>
          </w:rPr>
          <w:id w:val="-1027014495"/>
          <w:citation/>
        </w:sdtPr>
        <w:sdtContent>
          <w:r w:rsidR="00F00E37">
            <w:rPr>
              <w:rFonts w:ascii="Calibri" w:hAnsi="Calibri" w:cs="Calibri"/>
              <w:lang w:val="en-GB"/>
            </w:rPr>
            <w:fldChar w:fldCharType="begin"/>
          </w:r>
          <w:r w:rsidR="00F00E37">
            <w:rPr>
              <w:rFonts w:ascii="Calibri" w:hAnsi="Calibri" w:cs="Calibri"/>
              <w:lang w:val="en-GB"/>
            </w:rPr>
            <w:instrText xml:space="preserve"> CITATION Sha19 \l 2057 </w:instrText>
          </w:r>
          <w:r w:rsidR="00F00E37">
            <w:rPr>
              <w:rFonts w:ascii="Calibri" w:hAnsi="Calibri" w:cs="Calibri"/>
              <w:lang w:val="en-GB"/>
            </w:rPr>
            <w:fldChar w:fldCharType="separate"/>
          </w:r>
          <w:r w:rsidR="005E305C" w:rsidRPr="005E305C">
            <w:rPr>
              <w:rFonts w:ascii="Calibri" w:hAnsi="Calibri" w:cs="Calibri"/>
              <w:noProof/>
              <w:lang w:val="en-GB"/>
            </w:rPr>
            <w:t>(Shahin et al., 2019)</w:t>
          </w:r>
          <w:r w:rsidR="00F00E37">
            <w:rPr>
              <w:rFonts w:ascii="Calibri" w:hAnsi="Calibri" w:cs="Calibri"/>
              <w:lang w:val="en-GB"/>
            </w:rPr>
            <w:fldChar w:fldCharType="end"/>
          </w:r>
        </w:sdtContent>
      </w:sdt>
      <w:r w:rsidR="001351BB" w:rsidRPr="002A29D6">
        <w:rPr>
          <w:rFonts w:ascii="Calibri" w:hAnsi="Calibri" w:cs="Calibri"/>
          <w:lang w:val="en-GB"/>
        </w:rPr>
        <w:t>. These variations can challenge the universal applicability of the model. Additionally, the patient</w:t>
      </w:r>
      <w:r w:rsidR="00D043E8">
        <w:rPr>
          <w:rFonts w:ascii="Calibri" w:hAnsi="Calibri" w:cs="Calibri"/>
          <w:lang w:val="en-GB"/>
        </w:rPr>
        <w:t>-</w:t>
      </w:r>
      <w:r w:rsidR="001351BB" w:rsidRPr="002A29D6">
        <w:rPr>
          <w:rFonts w:ascii="Calibri" w:hAnsi="Calibri" w:cs="Calibri"/>
          <w:lang w:val="en-GB"/>
        </w:rPr>
        <w:t xml:space="preserve">healthcare provider relationship serves as a key determinant in shaping illness perceptions, as positive interactions with medical professionals can reinforce adaptive beliefs, while negative or unclear communication can lead </w:t>
      </w:r>
      <w:r w:rsidR="001351BB" w:rsidRPr="002A29D6">
        <w:rPr>
          <w:rFonts w:ascii="Calibri" w:hAnsi="Calibri" w:cs="Calibri"/>
          <w:lang w:val="en-GB"/>
        </w:rPr>
        <w:lastRenderedPageBreak/>
        <w:t xml:space="preserve">to misinterpretations that undermine adherence to treatment </w:t>
      </w:r>
      <w:sdt>
        <w:sdtPr>
          <w:rPr>
            <w:rFonts w:ascii="Calibri" w:hAnsi="Calibri" w:cs="Calibri"/>
            <w:lang w:val="en-GB"/>
          </w:rPr>
          <w:id w:val="-556472208"/>
          <w:citation/>
        </w:sdtPr>
        <w:sdtContent>
          <w:r w:rsidR="008929BE">
            <w:rPr>
              <w:rFonts w:ascii="Calibri" w:hAnsi="Calibri" w:cs="Calibri"/>
              <w:lang w:val="en-GB"/>
            </w:rPr>
            <w:fldChar w:fldCharType="begin"/>
          </w:r>
          <w:r w:rsidR="008929BE">
            <w:rPr>
              <w:rFonts w:ascii="Calibri" w:hAnsi="Calibri" w:cs="Calibri"/>
              <w:lang w:val="en-GB"/>
            </w:rPr>
            <w:instrText xml:space="preserve"> CITATION Zol09 \l 2057 </w:instrText>
          </w:r>
          <w:r w:rsidR="00604BB4">
            <w:rPr>
              <w:rFonts w:ascii="Calibri" w:hAnsi="Calibri" w:cs="Calibri"/>
              <w:lang w:val="en-GB"/>
            </w:rPr>
            <w:instrText xml:space="preserve"> \m Świ20</w:instrText>
          </w:r>
          <w:r w:rsidR="000E432D">
            <w:rPr>
              <w:rFonts w:ascii="Calibri" w:hAnsi="Calibri" w:cs="Calibri"/>
              <w:lang w:val="en-GB"/>
            </w:rPr>
            <w:instrText xml:space="preserve"> \m Esh23</w:instrText>
          </w:r>
          <w:r w:rsidR="008929BE">
            <w:rPr>
              <w:rFonts w:ascii="Calibri" w:hAnsi="Calibri" w:cs="Calibri"/>
              <w:lang w:val="en-GB"/>
            </w:rPr>
            <w:fldChar w:fldCharType="separate"/>
          </w:r>
          <w:r w:rsidR="005E305C" w:rsidRPr="005E305C">
            <w:rPr>
              <w:rFonts w:ascii="Calibri" w:hAnsi="Calibri" w:cs="Calibri"/>
              <w:noProof/>
              <w:lang w:val="en-GB"/>
            </w:rPr>
            <w:t>(Zolnierek &amp; DiMatteo, 2009; Świątoniowska-Lonc et al., 2020; Eshete et al., 2023)</w:t>
          </w:r>
          <w:r w:rsidR="008929BE">
            <w:rPr>
              <w:rFonts w:ascii="Calibri" w:hAnsi="Calibri" w:cs="Calibri"/>
              <w:lang w:val="en-GB"/>
            </w:rPr>
            <w:fldChar w:fldCharType="end"/>
          </w:r>
        </w:sdtContent>
      </w:sdt>
      <w:r w:rsidR="001351BB" w:rsidRPr="002A29D6">
        <w:rPr>
          <w:rFonts w:ascii="Calibri" w:hAnsi="Calibri" w:cs="Calibri"/>
          <w:lang w:val="en-GB"/>
        </w:rPr>
        <w:t xml:space="preserve">. </w:t>
      </w:r>
      <w:r w:rsidR="00724945" w:rsidRPr="00724945">
        <w:rPr>
          <w:rFonts w:ascii="Calibri" w:hAnsi="Calibri" w:cs="Calibri"/>
          <w:lang w:val="en-GB"/>
        </w:rPr>
        <w:t xml:space="preserve">Alternative models such as the Health Belief Model </w:t>
      </w:r>
      <w:sdt>
        <w:sdtPr>
          <w:rPr>
            <w:rFonts w:ascii="Calibri" w:hAnsi="Calibri" w:cs="Calibri"/>
            <w:lang w:val="en-GB"/>
          </w:rPr>
          <w:id w:val="-1195691500"/>
          <w:citation/>
        </w:sdtPr>
        <w:sdtContent>
          <w:r w:rsidR="00180182">
            <w:rPr>
              <w:rFonts w:ascii="Calibri" w:hAnsi="Calibri" w:cs="Calibri"/>
              <w:lang w:val="en-GB"/>
            </w:rPr>
            <w:fldChar w:fldCharType="begin"/>
          </w:r>
          <w:r w:rsidR="00180182">
            <w:rPr>
              <w:rFonts w:ascii="Calibri" w:hAnsi="Calibri" w:cs="Calibri"/>
              <w:lang w:val="en-GB"/>
            </w:rPr>
            <w:instrText xml:space="preserve">CITATION Ros74 \t  \l 2057 </w:instrText>
          </w:r>
          <w:r w:rsidR="00180182">
            <w:rPr>
              <w:rFonts w:ascii="Calibri" w:hAnsi="Calibri" w:cs="Calibri"/>
              <w:lang w:val="en-GB"/>
            </w:rPr>
            <w:fldChar w:fldCharType="separate"/>
          </w:r>
          <w:r w:rsidR="005E305C" w:rsidRPr="005E305C">
            <w:rPr>
              <w:rFonts w:ascii="Calibri" w:hAnsi="Calibri" w:cs="Calibri"/>
              <w:noProof/>
              <w:lang w:val="en-GB"/>
            </w:rPr>
            <w:t>(Rosenstock, 1974)</w:t>
          </w:r>
          <w:r w:rsidR="00180182">
            <w:rPr>
              <w:rFonts w:ascii="Calibri" w:hAnsi="Calibri" w:cs="Calibri"/>
              <w:lang w:val="en-GB"/>
            </w:rPr>
            <w:fldChar w:fldCharType="end"/>
          </w:r>
        </w:sdtContent>
      </w:sdt>
      <w:r w:rsidR="00724945" w:rsidRPr="00724945">
        <w:rPr>
          <w:rFonts w:ascii="Calibri" w:hAnsi="Calibri" w:cs="Calibri"/>
          <w:lang w:val="en-GB"/>
        </w:rPr>
        <w:t xml:space="preserve"> and the Theory of Planned Behaviour </w:t>
      </w:r>
      <w:sdt>
        <w:sdtPr>
          <w:rPr>
            <w:rFonts w:ascii="Calibri" w:hAnsi="Calibri" w:cs="Calibri"/>
            <w:lang w:val="en-GB"/>
          </w:rPr>
          <w:id w:val="-752661925"/>
          <w:citation/>
        </w:sdtPr>
        <w:sdtContent>
          <w:r w:rsidR="00180182">
            <w:rPr>
              <w:rFonts w:ascii="Calibri" w:hAnsi="Calibri" w:cs="Calibri"/>
              <w:lang w:val="en-GB"/>
            </w:rPr>
            <w:fldChar w:fldCharType="begin"/>
          </w:r>
          <w:r w:rsidR="00180182">
            <w:rPr>
              <w:rFonts w:ascii="Calibri" w:hAnsi="Calibri" w:cs="Calibri"/>
              <w:lang w:val="en-GB"/>
            </w:rPr>
            <w:instrText xml:space="preserve"> CITATION Ajz91 \l 2057 </w:instrText>
          </w:r>
          <w:r w:rsidR="00180182">
            <w:rPr>
              <w:rFonts w:ascii="Calibri" w:hAnsi="Calibri" w:cs="Calibri"/>
              <w:lang w:val="en-GB"/>
            </w:rPr>
            <w:fldChar w:fldCharType="separate"/>
          </w:r>
          <w:r w:rsidR="005E305C" w:rsidRPr="005E305C">
            <w:rPr>
              <w:rFonts w:ascii="Calibri" w:hAnsi="Calibri" w:cs="Calibri"/>
              <w:noProof/>
              <w:lang w:val="en-GB"/>
            </w:rPr>
            <w:t>(Ajzen, 1991)</w:t>
          </w:r>
          <w:r w:rsidR="00180182">
            <w:rPr>
              <w:rFonts w:ascii="Calibri" w:hAnsi="Calibri" w:cs="Calibri"/>
              <w:lang w:val="en-GB"/>
            </w:rPr>
            <w:fldChar w:fldCharType="end"/>
          </w:r>
        </w:sdtContent>
      </w:sdt>
      <w:r w:rsidR="00180182">
        <w:rPr>
          <w:rFonts w:ascii="Calibri" w:hAnsi="Calibri" w:cs="Calibri"/>
          <w:lang w:val="en-GB"/>
        </w:rPr>
        <w:t xml:space="preserve"> </w:t>
      </w:r>
      <w:r w:rsidR="00724945" w:rsidRPr="00724945">
        <w:rPr>
          <w:rFonts w:ascii="Calibri" w:hAnsi="Calibri" w:cs="Calibri"/>
          <w:lang w:val="en-GB"/>
        </w:rPr>
        <w:t xml:space="preserve">share overlapping constructs with the CSM, such as perceived severity and behavioural control, leading some to question the CSM’s distinctiveness </w:t>
      </w:r>
      <w:sdt>
        <w:sdtPr>
          <w:rPr>
            <w:rFonts w:ascii="Calibri" w:hAnsi="Calibri" w:cs="Calibri"/>
            <w:lang w:val="en-GB"/>
          </w:rPr>
          <w:id w:val="-774628893"/>
          <w:citation/>
        </w:sdtPr>
        <w:sdtContent>
          <w:r w:rsidR="00724945">
            <w:rPr>
              <w:rFonts w:ascii="Calibri" w:hAnsi="Calibri" w:cs="Calibri"/>
              <w:lang w:val="en-GB"/>
            </w:rPr>
            <w:fldChar w:fldCharType="begin"/>
          </w:r>
          <w:r w:rsidR="00724945">
            <w:rPr>
              <w:rFonts w:ascii="Calibri" w:hAnsi="Calibri" w:cs="Calibri"/>
              <w:lang w:val="en-GB"/>
            </w:rPr>
            <w:instrText xml:space="preserve">CITATION Bre20 \m Hag22 \t  \l 2057 </w:instrText>
          </w:r>
          <w:r w:rsidR="00724945">
            <w:rPr>
              <w:rFonts w:ascii="Calibri" w:hAnsi="Calibri" w:cs="Calibri"/>
              <w:lang w:val="en-GB"/>
            </w:rPr>
            <w:fldChar w:fldCharType="separate"/>
          </w:r>
          <w:r w:rsidR="005E305C" w:rsidRPr="005E305C">
            <w:rPr>
              <w:rFonts w:ascii="Calibri" w:hAnsi="Calibri" w:cs="Calibri"/>
              <w:noProof/>
              <w:lang w:val="en-GB"/>
            </w:rPr>
            <w:t>(Breland et al., 2020; Hagger &amp; Orbell, 2022)</w:t>
          </w:r>
          <w:r w:rsidR="00724945">
            <w:rPr>
              <w:rFonts w:ascii="Calibri" w:hAnsi="Calibri" w:cs="Calibri"/>
              <w:lang w:val="en-GB"/>
            </w:rPr>
            <w:fldChar w:fldCharType="end"/>
          </w:r>
        </w:sdtContent>
      </w:sdt>
      <w:r w:rsidR="00724945">
        <w:rPr>
          <w:rFonts w:ascii="Calibri" w:hAnsi="Calibri" w:cs="Calibri"/>
          <w:lang w:val="en-GB"/>
        </w:rPr>
        <w:t xml:space="preserve">. </w:t>
      </w:r>
      <w:r w:rsidR="00724945" w:rsidRPr="00724945">
        <w:rPr>
          <w:rFonts w:ascii="Calibri" w:hAnsi="Calibri" w:cs="Calibri"/>
          <w:lang w:val="en-GB"/>
        </w:rPr>
        <w:t>However, unlike these models, the CSM uniquely incorporates emotional representations, offering a more holistic view of illness perceptions.</w:t>
      </w:r>
      <w:r w:rsidR="00724945">
        <w:rPr>
          <w:rFonts w:ascii="Calibri" w:hAnsi="Calibri" w:cs="Calibri"/>
          <w:lang w:val="en-GB"/>
        </w:rPr>
        <w:t xml:space="preserve"> </w:t>
      </w:r>
      <w:r w:rsidR="001351BB" w:rsidRPr="002A29D6">
        <w:rPr>
          <w:rFonts w:ascii="Calibri" w:hAnsi="Calibri" w:cs="Calibri"/>
          <w:lang w:val="en-GB"/>
        </w:rPr>
        <w:t>While criticisms of the CSM highlight its limitations, it is essential to recognise that illness perceptions do not function in isolation but rather interact with broader psychological, social, and environmental factors</w:t>
      </w:r>
      <w:r w:rsidR="0046034A">
        <w:rPr>
          <w:rFonts w:ascii="Calibri" w:hAnsi="Calibri" w:cs="Calibri"/>
          <w:lang w:val="en-GB"/>
        </w:rPr>
        <w:t xml:space="preserve"> </w:t>
      </w:r>
      <w:sdt>
        <w:sdtPr>
          <w:rPr>
            <w:rFonts w:ascii="Calibri" w:hAnsi="Calibri" w:cs="Calibri"/>
            <w:lang w:val="en-GB"/>
          </w:rPr>
          <w:id w:val="697518508"/>
          <w:citation/>
        </w:sdtPr>
        <w:sdtContent>
          <w:r w:rsidR="0046034A">
            <w:rPr>
              <w:rFonts w:ascii="Calibri" w:hAnsi="Calibri" w:cs="Calibri"/>
              <w:lang w:val="en-GB"/>
            </w:rPr>
            <w:fldChar w:fldCharType="begin"/>
          </w:r>
          <w:r w:rsidR="0046034A">
            <w:rPr>
              <w:rFonts w:ascii="Calibri" w:hAnsi="Calibri" w:cs="Calibri"/>
              <w:lang w:val="en-GB"/>
            </w:rPr>
            <w:instrText xml:space="preserve">CITATION Hag22 \t  \l 2057 </w:instrText>
          </w:r>
          <w:r w:rsidR="00686DF7">
            <w:rPr>
              <w:rFonts w:ascii="Calibri" w:hAnsi="Calibri" w:cs="Calibri"/>
              <w:lang w:val="en-GB"/>
            </w:rPr>
            <w:instrText xml:space="preserve"> \m Zha23</w:instrText>
          </w:r>
          <w:r w:rsidR="0046034A">
            <w:rPr>
              <w:rFonts w:ascii="Calibri" w:hAnsi="Calibri" w:cs="Calibri"/>
              <w:lang w:val="en-GB"/>
            </w:rPr>
            <w:fldChar w:fldCharType="separate"/>
          </w:r>
          <w:r w:rsidR="005E305C" w:rsidRPr="005E305C">
            <w:rPr>
              <w:rFonts w:ascii="Calibri" w:hAnsi="Calibri" w:cs="Calibri"/>
              <w:noProof/>
              <w:lang w:val="en-GB"/>
            </w:rPr>
            <w:t>(Hagger &amp; Orbell, 2022; Zhang, et al., 2023)</w:t>
          </w:r>
          <w:r w:rsidR="0046034A">
            <w:rPr>
              <w:rFonts w:ascii="Calibri" w:hAnsi="Calibri" w:cs="Calibri"/>
              <w:lang w:val="en-GB"/>
            </w:rPr>
            <w:fldChar w:fldCharType="end"/>
          </w:r>
        </w:sdtContent>
      </w:sdt>
      <w:r w:rsidR="001351BB" w:rsidRPr="002A29D6">
        <w:rPr>
          <w:rFonts w:ascii="Calibri" w:hAnsi="Calibri" w:cs="Calibri"/>
          <w:lang w:val="en-GB"/>
        </w:rPr>
        <w:t xml:space="preserve">. </w:t>
      </w:r>
      <w:r w:rsidR="00D70018" w:rsidRPr="00D70018">
        <w:rPr>
          <w:rFonts w:ascii="Calibri" w:hAnsi="Calibri" w:cs="Calibri"/>
          <w:lang w:val="en-GB"/>
        </w:rPr>
        <w:t>Despite limitations, the CSM remains valuable in health psychology, offering a nuanced view of illness that supports tailored interventions through its cognitive and emotional specificity.</w:t>
      </w:r>
    </w:p>
    <w:p w14:paraId="1DDE0852" w14:textId="77777777" w:rsidR="001351BB" w:rsidRPr="002A29D6" w:rsidRDefault="001351BB" w:rsidP="005E305C">
      <w:pPr>
        <w:spacing w:line="480" w:lineRule="auto"/>
        <w:rPr>
          <w:rFonts w:ascii="Calibri" w:hAnsi="Calibri" w:cs="Calibri"/>
          <w:b/>
          <w:bCs/>
          <w:lang w:val="en-GB"/>
        </w:rPr>
      </w:pPr>
    </w:p>
    <w:p w14:paraId="6D304E70" w14:textId="1C3226E2" w:rsidR="00FF2320" w:rsidRPr="002A29D6" w:rsidRDefault="00412322" w:rsidP="005E305C">
      <w:pPr>
        <w:spacing w:line="480" w:lineRule="auto"/>
        <w:ind w:firstLine="720"/>
        <w:rPr>
          <w:rFonts w:ascii="Calibri" w:hAnsi="Calibri" w:cs="Calibri"/>
          <w:lang w:val="en-GB"/>
        </w:rPr>
      </w:pPr>
      <w:r w:rsidRPr="002A29D6">
        <w:rPr>
          <w:rFonts w:ascii="Calibri" w:hAnsi="Calibri" w:cs="Calibri"/>
          <w:lang w:val="en-GB"/>
        </w:rPr>
        <w:t>The application of the CSM in clinical practice holds significant potential for improving diabetes management through personalised education and psychological interventions. Screening for maladaptive illness perceptions early in the patient journey can inform tailored educational sessions that address specific misconceptions about diabetes</w:t>
      </w:r>
      <w:r w:rsidR="00286495">
        <w:rPr>
          <w:rFonts w:ascii="Calibri" w:hAnsi="Calibri" w:cs="Calibri"/>
          <w:lang w:val="en-GB"/>
        </w:rPr>
        <w:t xml:space="preserve"> </w:t>
      </w:r>
      <w:sdt>
        <w:sdtPr>
          <w:rPr>
            <w:rFonts w:ascii="Calibri" w:hAnsi="Calibri" w:cs="Calibri"/>
            <w:lang w:val="en-GB"/>
          </w:rPr>
          <w:id w:val="-2136941676"/>
          <w:citation/>
        </w:sdtPr>
        <w:sdtContent>
          <w:r w:rsidR="00286495">
            <w:rPr>
              <w:rFonts w:ascii="Calibri" w:hAnsi="Calibri" w:cs="Calibri"/>
              <w:lang w:val="en-GB"/>
            </w:rPr>
            <w:fldChar w:fldCharType="begin"/>
          </w:r>
          <w:r w:rsidR="00286495">
            <w:rPr>
              <w:rFonts w:ascii="Calibri" w:hAnsi="Calibri" w:cs="Calibri"/>
              <w:lang w:val="en-GB"/>
            </w:rPr>
            <w:instrText xml:space="preserve"> CITATION Man09 \l 2057 </w:instrText>
          </w:r>
          <w:r w:rsidR="00286495">
            <w:rPr>
              <w:rFonts w:ascii="Calibri" w:hAnsi="Calibri" w:cs="Calibri"/>
              <w:lang w:val="en-GB"/>
            </w:rPr>
            <w:fldChar w:fldCharType="separate"/>
          </w:r>
          <w:r w:rsidR="005E305C" w:rsidRPr="005E305C">
            <w:rPr>
              <w:rFonts w:ascii="Calibri" w:hAnsi="Calibri" w:cs="Calibri"/>
              <w:noProof/>
              <w:lang w:val="en-GB"/>
            </w:rPr>
            <w:t>(Mann et al., 2009)</w:t>
          </w:r>
          <w:r w:rsidR="00286495">
            <w:rPr>
              <w:rFonts w:ascii="Calibri" w:hAnsi="Calibri" w:cs="Calibri"/>
              <w:lang w:val="en-GB"/>
            </w:rPr>
            <w:fldChar w:fldCharType="end"/>
          </w:r>
        </w:sdtContent>
      </w:sdt>
      <w:r w:rsidRPr="002A29D6">
        <w:rPr>
          <w:rFonts w:ascii="Calibri" w:hAnsi="Calibri" w:cs="Calibri"/>
          <w:lang w:val="en-GB"/>
        </w:rPr>
        <w:t xml:space="preserve">, ensuring that patients receive targeted support in understanding the nature and management of their condition. Cognitive-behavioural interventions may also play a crucial role in modifying unhelpful beliefs, such as fatalistic views on the chronic nature of diabetes or heightened emotional distress linked to the perceived severity of the condition. By reshaping these perceptions, such interventions can foster a more adaptive mindset, improving adherence to </w:t>
      </w:r>
      <w:r w:rsidRPr="002A29D6">
        <w:rPr>
          <w:rFonts w:ascii="Calibri" w:hAnsi="Calibri" w:cs="Calibri"/>
          <w:lang w:val="en-GB"/>
        </w:rPr>
        <w:lastRenderedPageBreak/>
        <w:t>self-management behaviours</w:t>
      </w:r>
      <w:r w:rsidR="00805085">
        <w:rPr>
          <w:rFonts w:ascii="Calibri" w:hAnsi="Calibri" w:cs="Calibri"/>
          <w:lang w:val="en-GB"/>
        </w:rPr>
        <w:t xml:space="preserve"> </w:t>
      </w:r>
      <w:sdt>
        <w:sdtPr>
          <w:rPr>
            <w:rFonts w:ascii="Calibri" w:hAnsi="Calibri" w:cs="Calibri"/>
            <w:lang w:val="en-GB"/>
          </w:rPr>
          <w:id w:val="1350454817"/>
          <w:citation/>
        </w:sdtPr>
        <w:sdtContent>
          <w:r w:rsidR="00805085">
            <w:rPr>
              <w:rFonts w:ascii="Calibri" w:hAnsi="Calibri" w:cs="Calibri"/>
              <w:lang w:val="en-GB"/>
            </w:rPr>
            <w:fldChar w:fldCharType="begin"/>
          </w:r>
          <w:r w:rsidR="00805085">
            <w:rPr>
              <w:rFonts w:ascii="Calibri" w:hAnsi="Calibri" w:cs="Calibri"/>
              <w:lang w:val="en-GB"/>
            </w:rPr>
            <w:instrText xml:space="preserve"> CITATION Kim21 \l 2057 </w:instrText>
          </w:r>
          <w:r w:rsidR="00805085">
            <w:rPr>
              <w:rFonts w:ascii="Calibri" w:hAnsi="Calibri" w:cs="Calibri"/>
              <w:lang w:val="en-GB"/>
            </w:rPr>
            <w:fldChar w:fldCharType="separate"/>
          </w:r>
          <w:r w:rsidR="005E305C" w:rsidRPr="005E305C">
            <w:rPr>
              <w:rFonts w:ascii="Calibri" w:hAnsi="Calibri" w:cs="Calibri"/>
              <w:noProof/>
              <w:lang w:val="en-GB"/>
            </w:rPr>
            <w:t>(Kim et al., 2021)</w:t>
          </w:r>
          <w:r w:rsidR="00805085">
            <w:rPr>
              <w:rFonts w:ascii="Calibri" w:hAnsi="Calibri" w:cs="Calibri"/>
              <w:lang w:val="en-GB"/>
            </w:rPr>
            <w:fldChar w:fldCharType="end"/>
          </w:r>
        </w:sdtContent>
      </w:sdt>
      <w:r w:rsidRPr="002A29D6">
        <w:rPr>
          <w:rFonts w:ascii="Calibri" w:hAnsi="Calibri" w:cs="Calibri"/>
          <w:lang w:val="en-GB"/>
        </w:rPr>
        <w:t>. Moreover, emphasising the controllability of diabetes through structured interventions can enhance self-efficacy, empowering patients to take an active role in managing their diet, exercise, and medication adherence, thereby improving health outcomes</w:t>
      </w:r>
      <w:r w:rsidR="004A6AB4">
        <w:rPr>
          <w:rFonts w:ascii="Calibri" w:hAnsi="Calibri" w:cs="Calibri"/>
          <w:lang w:val="en-GB"/>
        </w:rPr>
        <w:t xml:space="preserve"> </w:t>
      </w:r>
      <w:sdt>
        <w:sdtPr>
          <w:rPr>
            <w:rFonts w:ascii="Calibri" w:hAnsi="Calibri" w:cs="Calibri"/>
            <w:lang w:val="en-GB"/>
          </w:rPr>
          <w:id w:val="602085087"/>
          <w:citation/>
        </w:sdtPr>
        <w:sdtContent>
          <w:r w:rsidR="004A6AB4">
            <w:rPr>
              <w:rFonts w:ascii="Calibri" w:hAnsi="Calibri" w:cs="Calibri"/>
              <w:lang w:val="en-GB"/>
            </w:rPr>
            <w:fldChar w:fldCharType="begin"/>
          </w:r>
          <w:r w:rsidR="004A6AB4">
            <w:rPr>
              <w:rFonts w:ascii="Calibri" w:hAnsi="Calibri" w:cs="Calibri"/>
              <w:lang w:val="en-GB"/>
            </w:rPr>
            <w:instrText xml:space="preserve"> CITATION Ern21 \l 2057 </w:instrText>
          </w:r>
          <w:r w:rsidR="004A6AB4">
            <w:rPr>
              <w:rFonts w:ascii="Calibri" w:hAnsi="Calibri" w:cs="Calibri"/>
              <w:lang w:val="en-GB"/>
            </w:rPr>
            <w:fldChar w:fldCharType="separate"/>
          </w:r>
          <w:r w:rsidR="005E305C" w:rsidRPr="005E305C">
            <w:rPr>
              <w:rFonts w:ascii="Calibri" w:hAnsi="Calibri" w:cs="Calibri"/>
              <w:noProof/>
              <w:lang w:val="en-GB"/>
            </w:rPr>
            <w:t>(Ernawati et al., 2021)</w:t>
          </w:r>
          <w:r w:rsidR="004A6AB4">
            <w:rPr>
              <w:rFonts w:ascii="Calibri" w:hAnsi="Calibri" w:cs="Calibri"/>
              <w:lang w:val="en-GB"/>
            </w:rPr>
            <w:fldChar w:fldCharType="end"/>
          </w:r>
        </w:sdtContent>
      </w:sdt>
      <w:r w:rsidRPr="002A29D6">
        <w:rPr>
          <w:rFonts w:ascii="Calibri" w:hAnsi="Calibri" w:cs="Calibri"/>
          <w:lang w:val="en-GB"/>
        </w:rPr>
        <w:t>. Beyond individual patient care, the integration of CSM principles into healthcare policy and systems can facilitate broader improvements in diabetes management. Training healthcare professionals to recognise the impact of illness perceptions on patient behaviour can lead to more effective communication and intervention strategies, ensuring that consultations address both medical and psychological aspects of diabetes care</w:t>
      </w:r>
      <w:r w:rsidR="00E21A58">
        <w:rPr>
          <w:rFonts w:ascii="Calibri" w:hAnsi="Calibri" w:cs="Calibri"/>
          <w:lang w:val="en-GB"/>
        </w:rPr>
        <w:t xml:space="preserve"> </w:t>
      </w:r>
      <w:sdt>
        <w:sdtPr>
          <w:rPr>
            <w:rFonts w:ascii="Calibri" w:hAnsi="Calibri" w:cs="Calibri"/>
            <w:lang w:val="en-GB"/>
          </w:rPr>
          <w:id w:val="277216720"/>
          <w:citation/>
        </w:sdtPr>
        <w:sdtContent>
          <w:r w:rsidR="00C067F6">
            <w:rPr>
              <w:rFonts w:ascii="Calibri" w:hAnsi="Calibri" w:cs="Calibri"/>
              <w:lang w:val="en-GB"/>
            </w:rPr>
            <w:fldChar w:fldCharType="begin"/>
          </w:r>
          <w:r w:rsidR="00C067F6">
            <w:rPr>
              <w:rFonts w:ascii="Calibri" w:hAnsi="Calibri" w:cs="Calibri"/>
              <w:lang w:val="en-GB"/>
            </w:rPr>
            <w:instrText xml:space="preserve"> CITATION Pai19 \l 2057 </w:instrText>
          </w:r>
          <w:r w:rsidR="00003639">
            <w:rPr>
              <w:rFonts w:ascii="Calibri" w:hAnsi="Calibri" w:cs="Calibri"/>
              <w:lang w:val="en-GB"/>
            </w:rPr>
            <w:instrText xml:space="preserve"> \m Yao21</w:instrText>
          </w:r>
          <w:r w:rsidR="00C067F6">
            <w:rPr>
              <w:rFonts w:ascii="Calibri" w:hAnsi="Calibri" w:cs="Calibri"/>
              <w:lang w:val="en-GB"/>
            </w:rPr>
            <w:fldChar w:fldCharType="separate"/>
          </w:r>
          <w:r w:rsidR="005E305C" w:rsidRPr="005E305C">
            <w:rPr>
              <w:rFonts w:ascii="Calibri" w:hAnsi="Calibri" w:cs="Calibri"/>
              <w:noProof/>
              <w:lang w:val="en-GB"/>
            </w:rPr>
            <w:t>(Paiva et al., 2019; Yao et al., 2021)</w:t>
          </w:r>
          <w:r w:rsidR="00C067F6">
            <w:rPr>
              <w:rFonts w:ascii="Calibri" w:hAnsi="Calibri" w:cs="Calibri"/>
              <w:lang w:val="en-GB"/>
            </w:rPr>
            <w:fldChar w:fldCharType="end"/>
          </w:r>
        </w:sdtContent>
      </w:sdt>
      <w:r w:rsidRPr="002A29D6">
        <w:rPr>
          <w:rFonts w:ascii="Calibri" w:hAnsi="Calibri" w:cs="Calibri"/>
          <w:lang w:val="en-GB"/>
        </w:rPr>
        <w:t>. Additionally, public health campaigns should be designed to challenge common misconceptions about diabetes, particularly regarding its causes and treatment</w:t>
      </w:r>
      <w:r w:rsidR="00FA07EA">
        <w:rPr>
          <w:rFonts w:ascii="Calibri" w:hAnsi="Calibri" w:cs="Calibri"/>
          <w:lang w:val="en-GB"/>
        </w:rPr>
        <w:t xml:space="preserve"> </w:t>
      </w:r>
      <w:sdt>
        <w:sdtPr>
          <w:rPr>
            <w:rFonts w:ascii="Calibri" w:hAnsi="Calibri" w:cs="Calibri"/>
            <w:lang w:val="en-GB"/>
          </w:rPr>
          <w:id w:val="-2016595135"/>
          <w:citation/>
        </w:sdtPr>
        <w:sdtContent>
          <w:r w:rsidR="00FA07EA">
            <w:rPr>
              <w:rFonts w:ascii="Calibri" w:hAnsi="Calibri" w:cs="Calibri"/>
              <w:lang w:val="en-GB"/>
            </w:rPr>
            <w:fldChar w:fldCharType="begin"/>
          </w:r>
          <w:r w:rsidR="00FA07EA">
            <w:rPr>
              <w:rFonts w:ascii="Calibri" w:hAnsi="Calibri" w:cs="Calibri"/>
              <w:lang w:val="en-GB"/>
            </w:rPr>
            <w:instrText xml:space="preserve"> CITATION Alo24 \l 2057 </w:instrText>
          </w:r>
          <w:r w:rsidR="00FA07EA">
            <w:rPr>
              <w:rFonts w:ascii="Calibri" w:hAnsi="Calibri" w:cs="Calibri"/>
              <w:lang w:val="en-GB"/>
            </w:rPr>
            <w:fldChar w:fldCharType="separate"/>
          </w:r>
          <w:r w:rsidR="005E305C" w:rsidRPr="005E305C">
            <w:rPr>
              <w:rFonts w:ascii="Calibri" w:hAnsi="Calibri" w:cs="Calibri"/>
              <w:noProof/>
              <w:lang w:val="en-GB"/>
            </w:rPr>
            <w:t>(Alor et al., 2024)</w:t>
          </w:r>
          <w:r w:rsidR="00FA07EA">
            <w:rPr>
              <w:rFonts w:ascii="Calibri" w:hAnsi="Calibri" w:cs="Calibri"/>
              <w:lang w:val="en-GB"/>
            </w:rPr>
            <w:fldChar w:fldCharType="end"/>
          </w:r>
        </w:sdtContent>
      </w:sdt>
      <w:r w:rsidRPr="002A29D6">
        <w:rPr>
          <w:rFonts w:ascii="Calibri" w:hAnsi="Calibri" w:cs="Calibri"/>
          <w:lang w:val="en-GB"/>
        </w:rPr>
        <w:t>. Promoting awareness of the role of lifestyle factors and early detection can encourage proactive health behaviours and reduce stigma associated with the condition. Future research should focus on strengthening the empirical foundation of the CSM through longitudinal and interventional studies, as these designs provide stronger evidence of causality between illness perceptions and health outcomes. Cross-cultural research is also essential to determine whether the model’s core components hold across diverse populations, ensuring that interventions are culturally sensitive and widely applicable. Furthermore, technological advancements offer promising avenues for enhancing CSM-based interventions. Digital health tools, including mobile applications and telehealth platforms, can provide personalised feedback, monitor changes in illness perceptions over time, and deliver targeted educational content, ultimately supporting patients in sustaining positive health behaviours</w:t>
      </w:r>
      <w:r w:rsidR="00A7099C">
        <w:rPr>
          <w:rFonts w:ascii="Calibri" w:hAnsi="Calibri" w:cs="Calibri"/>
          <w:lang w:val="en-GB"/>
        </w:rPr>
        <w:t xml:space="preserve"> </w:t>
      </w:r>
      <w:sdt>
        <w:sdtPr>
          <w:rPr>
            <w:rFonts w:ascii="Calibri" w:hAnsi="Calibri" w:cs="Calibri"/>
            <w:lang w:val="en-GB"/>
          </w:rPr>
          <w:id w:val="-9841373"/>
          <w:citation/>
        </w:sdtPr>
        <w:sdtContent>
          <w:r w:rsidR="00CB46F2">
            <w:rPr>
              <w:rFonts w:ascii="Calibri" w:hAnsi="Calibri" w:cs="Calibri"/>
              <w:lang w:val="en-GB"/>
            </w:rPr>
            <w:fldChar w:fldCharType="begin"/>
          </w:r>
          <w:r w:rsidR="00CB46F2">
            <w:rPr>
              <w:rFonts w:ascii="Calibri" w:hAnsi="Calibri" w:cs="Calibri"/>
              <w:lang w:val="en-GB"/>
            </w:rPr>
            <w:instrText xml:space="preserve"> CITATION Gei22 \l 2057 </w:instrText>
          </w:r>
          <w:r w:rsidR="00CB46F2">
            <w:rPr>
              <w:rFonts w:ascii="Calibri" w:hAnsi="Calibri" w:cs="Calibri"/>
              <w:lang w:val="en-GB"/>
            </w:rPr>
            <w:fldChar w:fldCharType="separate"/>
          </w:r>
          <w:r w:rsidR="005E305C" w:rsidRPr="005E305C">
            <w:rPr>
              <w:rFonts w:ascii="Calibri" w:hAnsi="Calibri" w:cs="Calibri"/>
              <w:noProof/>
              <w:lang w:val="en-GB"/>
            </w:rPr>
            <w:t>(Geirhos et al., 2022)</w:t>
          </w:r>
          <w:r w:rsidR="00CB46F2">
            <w:rPr>
              <w:rFonts w:ascii="Calibri" w:hAnsi="Calibri" w:cs="Calibri"/>
              <w:lang w:val="en-GB"/>
            </w:rPr>
            <w:fldChar w:fldCharType="end"/>
          </w:r>
        </w:sdtContent>
      </w:sdt>
      <w:r w:rsidRPr="002A29D6">
        <w:rPr>
          <w:rFonts w:ascii="Calibri" w:hAnsi="Calibri" w:cs="Calibri"/>
          <w:lang w:val="en-GB"/>
        </w:rPr>
        <w:t xml:space="preserve">. By advancing research and </w:t>
      </w:r>
      <w:r w:rsidRPr="002A29D6">
        <w:rPr>
          <w:rFonts w:ascii="Calibri" w:hAnsi="Calibri" w:cs="Calibri"/>
          <w:lang w:val="en-GB"/>
        </w:rPr>
        <w:lastRenderedPageBreak/>
        <w:t>integrating CSM-informed strategies into practice, healthcare systems can optimise patient engagement and improve long-term diabetes management outcomes.</w:t>
      </w:r>
    </w:p>
    <w:p w14:paraId="394D6C4E" w14:textId="77777777" w:rsidR="00D120F5" w:rsidRPr="002A29D6" w:rsidRDefault="00D120F5" w:rsidP="005E305C">
      <w:pPr>
        <w:spacing w:line="480" w:lineRule="auto"/>
        <w:rPr>
          <w:rFonts w:ascii="Calibri" w:hAnsi="Calibri" w:cs="Calibri"/>
          <w:lang w:val="en-GB"/>
        </w:rPr>
      </w:pPr>
    </w:p>
    <w:p w14:paraId="0F1213EA" w14:textId="5AB9C080" w:rsidR="00FF7DCD" w:rsidRDefault="00A520C5" w:rsidP="005E305C">
      <w:pPr>
        <w:spacing w:line="480" w:lineRule="auto"/>
        <w:ind w:firstLine="720"/>
        <w:rPr>
          <w:rFonts w:ascii="Calibri" w:hAnsi="Calibri" w:cs="Calibri"/>
        </w:rPr>
      </w:pPr>
      <w:r w:rsidRPr="002A29D6">
        <w:rPr>
          <w:rFonts w:ascii="Calibri" w:hAnsi="Calibri" w:cs="Calibri"/>
        </w:rPr>
        <w:t xml:space="preserve">The CSM underscores the central role of illness perceptions in shaping self-management </w:t>
      </w:r>
      <w:r w:rsidR="00A7099C" w:rsidRPr="002A29D6">
        <w:rPr>
          <w:rFonts w:ascii="Calibri" w:hAnsi="Calibri" w:cs="Calibri"/>
        </w:rPr>
        <w:t>behaviors</w:t>
      </w:r>
      <w:r w:rsidRPr="002A29D6">
        <w:rPr>
          <w:rFonts w:ascii="Calibri" w:hAnsi="Calibri" w:cs="Calibri"/>
        </w:rPr>
        <w:t xml:space="preserve"> and health outcomes, particularly in chronic conditions such as Type 2 diabetes. By integrating cognitive and emotional representations of illness, the model provides a comprehensive framework for understanding how individuals interpret their condition and engage in health-related </w:t>
      </w:r>
      <w:r w:rsidR="00A7099C" w:rsidRPr="002A29D6">
        <w:rPr>
          <w:rFonts w:ascii="Calibri" w:hAnsi="Calibri" w:cs="Calibri"/>
        </w:rPr>
        <w:t>behaviors</w:t>
      </w:r>
      <w:r w:rsidRPr="002A29D6">
        <w:rPr>
          <w:rFonts w:ascii="Calibri" w:hAnsi="Calibri" w:cs="Calibri"/>
        </w:rPr>
        <w:t xml:space="preserve">. Empirical research has consistently demonstrated that these perceptions influence </w:t>
      </w:r>
      <w:r w:rsidR="00A7099C" w:rsidRPr="002A29D6">
        <w:rPr>
          <w:rFonts w:ascii="Calibri" w:hAnsi="Calibri" w:cs="Calibri"/>
        </w:rPr>
        <w:t>glycemic</w:t>
      </w:r>
      <w:r w:rsidRPr="002A29D6">
        <w:rPr>
          <w:rFonts w:ascii="Calibri" w:hAnsi="Calibri" w:cs="Calibri"/>
        </w:rPr>
        <w:t xml:space="preserve"> control</w:t>
      </w:r>
      <w:r w:rsidR="00BE3594">
        <w:rPr>
          <w:rFonts w:ascii="Calibri" w:hAnsi="Calibri" w:cs="Calibri"/>
        </w:rPr>
        <w:t xml:space="preserve"> </w:t>
      </w:r>
      <w:sdt>
        <w:sdtPr>
          <w:rPr>
            <w:rFonts w:ascii="Calibri" w:hAnsi="Calibri" w:cs="Calibri"/>
          </w:rPr>
          <w:id w:val="-1443842555"/>
          <w:citation/>
        </w:sdtPr>
        <w:sdtContent>
          <w:r w:rsidR="00C94638">
            <w:rPr>
              <w:rFonts w:ascii="Calibri" w:hAnsi="Calibri" w:cs="Calibri"/>
            </w:rPr>
            <w:fldChar w:fldCharType="begin"/>
          </w:r>
          <w:r w:rsidR="00C94638">
            <w:rPr>
              <w:rFonts w:ascii="Calibri" w:hAnsi="Calibri" w:cs="Calibri"/>
              <w:lang w:val="en-GB"/>
            </w:rPr>
            <w:instrText xml:space="preserve"> CITATION Nge22 \l 2057 </w:instrText>
          </w:r>
          <w:r w:rsidR="00C94638">
            <w:rPr>
              <w:rFonts w:ascii="Calibri" w:hAnsi="Calibri" w:cs="Calibri"/>
            </w:rPr>
            <w:fldChar w:fldCharType="separate"/>
          </w:r>
          <w:r w:rsidR="005E305C" w:rsidRPr="005E305C">
            <w:rPr>
              <w:rFonts w:ascii="Calibri" w:hAnsi="Calibri" w:cs="Calibri"/>
              <w:noProof/>
              <w:lang w:val="en-GB"/>
            </w:rPr>
            <w:t>(Ngetich et al., 2022)</w:t>
          </w:r>
          <w:r w:rsidR="00C94638">
            <w:rPr>
              <w:rFonts w:ascii="Calibri" w:hAnsi="Calibri" w:cs="Calibri"/>
            </w:rPr>
            <w:fldChar w:fldCharType="end"/>
          </w:r>
        </w:sdtContent>
      </w:sdt>
      <w:r w:rsidRPr="002A29D6">
        <w:rPr>
          <w:rFonts w:ascii="Calibri" w:hAnsi="Calibri" w:cs="Calibri"/>
        </w:rPr>
        <w:t>, adherence to medication and lifestyle changes</w:t>
      </w:r>
      <w:r w:rsidR="00A7099C">
        <w:rPr>
          <w:rFonts w:ascii="Calibri" w:hAnsi="Calibri" w:cs="Calibri"/>
        </w:rPr>
        <w:t xml:space="preserve"> </w:t>
      </w:r>
      <w:sdt>
        <w:sdtPr>
          <w:rPr>
            <w:rFonts w:ascii="Calibri" w:hAnsi="Calibri" w:cs="Calibri"/>
          </w:rPr>
          <w:id w:val="1033154171"/>
          <w:citation/>
        </w:sdtPr>
        <w:sdtContent>
          <w:r w:rsidR="00BA3619">
            <w:rPr>
              <w:rFonts w:ascii="Calibri" w:hAnsi="Calibri" w:cs="Calibri"/>
            </w:rPr>
            <w:fldChar w:fldCharType="begin"/>
          </w:r>
          <w:r w:rsidR="00BA3619">
            <w:rPr>
              <w:rFonts w:ascii="Calibri" w:hAnsi="Calibri" w:cs="Calibri"/>
              <w:lang w:val="en-GB"/>
            </w:rPr>
            <w:instrText xml:space="preserve"> CITATION Esh23 \l 2057 </w:instrText>
          </w:r>
          <w:r w:rsidR="00BA3619">
            <w:rPr>
              <w:rFonts w:ascii="Calibri" w:hAnsi="Calibri" w:cs="Calibri"/>
            </w:rPr>
            <w:fldChar w:fldCharType="separate"/>
          </w:r>
          <w:r w:rsidR="005E305C" w:rsidRPr="005E305C">
            <w:rPr>
              <w:rFonts w:ascii="Calibri" w:hAnsi="Calibri" w:cs="Calibri"/>
              <w:noProof/>
              <w:lang w:val="en-GB"/>
            </w:rPr>
            <w:t>(Eshete et al., 2023)</w:t>
          </w:r>
          <w:r w:rsidR="00BA3619">
            <w:rPr>
              <w:rFonts w:ascii="Calibri" w:hAnsi="Calibri" w:cs="Calibri"/>
            </w:rPr>
            <w:fldChar w:fldCharType="end"/>
          </w:r>
        </w:sdtContent>
      </w:sdt>
      <w:r w:rsidRPr="002A29D6">
        <w:rPr>
          <w:rFonts w:ascii="Calibri" w:hAnsi="Calibri" w:cs="Calibri"/>
        </w:rPr>
        <w:t>, and overall quality of life</w:t>
      </w:r>
      <w:r w:rsidR="00A7099C">
        <w:rPr>
          <w:rFonts w:ascii="Calibri" w:hAnsi="Calibri" w:cs="Calibri"/>
        </w:rPr>
        <w:t xml:space="preserve"> </w:t>
      </w:r>
      <w:sdt>
        <w:sdtPr>
          <w:rPr>
            <w:rFonts w:ascii="Calibri" w:hAnsi="Calibri" w:cs="Calibri"/>
          </w:rPr>
          <w:id w:val="1506860147"/>
          <w:citation/>
        </w:sdtPr>
        <w:sdtContent>
          <w:r w:rsidR="009631C4">
            <w:rPr>
              <w:rFonts w:ascii="Calibri" w:hAnsi="Calibri" w:cs="Calibri"/>
            </w:rPr>
            <w:fldChar w:fldCharType="begin"/>
          </w:r>
          <w:r w:rsidR="009631C4">
            <w:rPr>
              <w:rFonts w:ascii="Calibri" w:hAnsi="Calibri" w:cs="Calibri"/>
              <w:lang w:val="en-GB"/>
            </w:rPr>
            <w:instrText xml:space="preserve">CITATION Hag22 \t  \l 2057 </w:instrText>
          </w:r>
          <w:r w:rsidR="009631C4">
            <w:rPr>
              <w:rFonts w:ascii="Calibri" w:hAnsi="Calibri" w:cs="Calibri"/>
            </w:rPr>
            <w:fldChar w:fldCharType="separate"/>
          </w:r>
          <w:r w:rsidR="005E305C" w:rsidRPr="005E305C">
            <w:rPr>
              <w:rFonts w:ascii="Calibri" w:hAnsi="Calibri" w:cs="Calibri"/>
              <w:noProof/>
              <w:lang w:val="en-GB"/>
            </w:rPr>
            <w:t>(Hagger &amp; Orbell, 2022)</w:t>
          </w:r>
          <w:r w:rsidR="009631C4">
            <w:rPr>
              <w:rFonts w:ascii="Calibri" w:hAnsi="Calibri" w:cs="Calibri"/>
            </w:rPr>
            <w:fldChar w:fldCharType="end"/>
          </w:r>
        </w:sdtContent>
      </w:sdt>
      <w:r w:rsidRPr="002A29D6">
        <w:rPr>
          <w:rFonts w:ascii="Calibri" w:hAnsi="Calibri" w:cs="Calibri"/>
        </w:rPr>
        <w:t xml:space="preserve">. The ability of the CSM to explain variability in these outcomes highlights its relevance in both research and clinical practice. While the CSM has proven to be a valuable predictive tool, its efficacy must be considered within the broader context of individual and environmental factors. Illness perceptions are strongly correlated with health </w:t>
      </w:r>
      <w:r w:rsidR="008B2EB8" w:rsidRPr="002A29D6">
        <w:rPr>
          <w:rFonts w:ascii="Calibri" w:hAnsi="Calibri" w:cs="Calibri"/>
        </w:rPr>
        <w:t>behaviors</w:t>
      </w:r>
      <w:r w:rsidRPr="002A29D6">
        <w:rPr>
          <w:rFonts w:ascii="Calibri" w:hAnsi="Calibri" w:cs="Calibri"/>
        </w:rPr>
        <w:t>, but this relationship is moderated by socioeconomic status</w:t>
      </w:r>
      <w:sdt>
        <w:sdtPr>
          <w:rPr>
            <w:rFonts w:ascii="Calibri" w:hAnsi="Calibri" w:cs="Calibri"/>
          </w:rPr>
          <w:id w:val="-380786319"/>
          <w:citation/>
        </w:sdtPr>
        <w:sdtContent>
          <w:r w:rsidR="00A662B4">
            <w:rPr>
              <w:rFonts w:ascii="Calibri" w:hAnsi="Calibri" w:cs="Calibri"/>
            </w:rPr>
            <w:fldChar w:fldCharType="begin"/>
          </w:r>
          <w:r w:rsidR="00A662B4">
            <w:rPr>
              <w:rFonts w:ascii="Calibri" w:hAnsi="Calibri" w:cs="Calibri"/>
              <w:lang w:val="en-GB"/>
            </w:rPr>
            <w:instrText xml:space="preserve"> CITATION Kra21 \l 2057  \m Fos23 \m Kim23</w:instrText>
          </w:r>
          <w:r w:rsidR="00A662B4">
            <w:rPr>
              <w:rFonts w:ascii="Calibri" w:hAnsi="Calibri" w:cs="Calibri"/>
            </w:rPr>
            <w:fldChar w:fldCharType="separate"/>
          </w:r>
          <w:r w:rsidR="005E305C">
            <w:rPr>
              <w:rFonts w:ascii="Calibri" w:hAnsi="Calibri" w:cs="Calibri"/>
              <w:noProof/>
              <w:lang w:val="en-GB"/>
            </w:rPr>
            <w:t xml:space="preserve"> </w:t>
          </w:r>
          <w:r w:rsidR="005E305C" w:rsidRPr="005E305C">
            <w:rPr>
              <w:rFonts w:ascii="Calibri" w:hAnsi="Calibri" w:cs="Calibri"/>
              <w:noProof/>
              <w:lang w:val="en-GB"/>
            </w:rPr>
            <w:t>(Kraft, &amp; Kraft, 2021; Foster et al., 2023; Kim et al., 2023)</w:t>
          </w:r>
          <w:r w:rsidR="00A662B4">
            <w:rPr>
              <w:rFonts w:ascii="Calibri" w:hAnsi="Calibri" w:cs="Calibri"/>
            </w:rPr>
            <w:fldChar w:fldCharType="end"/>
          </w:r>
        </w:sdtContent>
      </w:sdt>
      <w:r w:rsidRPr="002A29D6">
        <w:rPr>
          <w:rFonts w:ascii="Calibri" w:hAnsi="Calibri" w:cs="Calibri"/>
        </w:rPr>
        <w:t>, healthcare access</w:t>
      </w:r>
      <w:r w:rsidR="002052D3">
        <w:rPr>
          <w:rFonts w:ascii="Calibri" w:hAnsi="Calibri" w:cs="Calibri"/>
        </w:rPr>
        <w:t xml:space="preserve"> </w:t>
      </w:r>
      <w:sdt>
        <w:sdtPr>
          <w:rPr>
            <w:rFonts w:ascii="Calibri" w:hAnsi="Calibri" w:cs="Calibri"/>
          </w:rPr>
          <w:id w:val="1624957986"/>
          <w:citation/>
        </w:sdtPr>
        <w:sdtContent>
          <w:r w:rsidR="002052D3">
            <w:rPr>
              <w:rFonts w:ascii="Calibri" w:hAnsi="Calibri" w:cs="Calibri"/>
            </w:rPr>
            <w:fldChar w:fldCharType="begin"/>
          </w:r>
          <w:r w:rsidR="002052D3">
            <w:rPr>
              <w:rFonts w:ascii="Calibri" w:hAnsi="Calibri" w:cs="Calibri"/>
              <w:lang w:val="en-GB"/>
            </w:rPr>
            <w:instrText xml:space="preserve"> CITATION And95 \l 2057 </w:instrText>
          </w:r>
          <w:r w:rsidR="002052D3">
            <w:rPr>
              <w:rFonts w:ascii="Calibri" w:hAnsi="Calibri" w:cs="Calibri"/>
            </w:rPr>
            <w:fldChar w:fldCharType="separate"/>
          </w:r>
          <w:r w:rsidR="005E305C" w:rsidRPr="005E305C">
            <w:rPr>
              <w:rFonts w:ascii="Calibri" w:hAnsi="Calibri" w:cs="Calibri"/>
              <w:noProof/>
              <w:lang w:val="en-GB"/>
            </w:rPr>
            <w:t>(Andersen,, 1995)</w:t>
          </w:r>
          <w:r w:rsidR="002052D3">
            <w:rPr>
              <w:rFonts w:ascii="Calibri" w:hAnsi="Calibri" w:cs="Calibri"/>
            </w:rPr>
            <w:fldChar w:fldCharType="end"/>
          </w:r>
        </w:sdtContent>
      </w:sdt>
      <w:r w:rsidRPr="002A29D6">
        <w:rPr>
          <w:rFonts w:ascii="Calibri" w:hAnsi="Calibri" w:cs="Calibri"/>
        </w:rPr>
        <w:t>, and cultural influences</w:t>
      </w:r>
      <w:r w:rsidR="00CB3D5E">
        <w:rPr>
          <w:rFonts w:ascii="Calibri" w:hAnsi="Calibri" w:cs="Calibri"/>
        </w:rPr>
        <w:t xml:space="preserve"> </w:t>
      </w:r>
      <w:sdt>
        <w:sdtPr>
          <w:rPr>
            <w:rFonts w:ascii="Calibri" w:hAnsi="Calibri" w:cs="Calibri"/>
          </w:rPr>
          <w:id w:val="-1100490398"/>
          <w:citation/>
        </w:sdtPr>
        <w:sdtContent>
          <w:r w:rsidR="00CB3D5E">
            <w:rPr>
              <w:rFonts w:ascii="Calibri" w:hAnsi="Calibri" w:cs="Calibri"/>
            </w:rPr>
            <w:fldChar w:fldCharType="begin"/>
          </w:r>
          <w:r w:rsidR="00CB3D5E">
            <w:rPr>
              <w:rFonts w:ascii="Calibri" w:hAnsi="Calibri" w:cs="Calibri"/>
              <w:lang w:val="en-GB"/>
            </w:rPr>
            <w:instrText xml:space="preserve"> CITATION Kah17 \l 2057  \m Kug17 \m Yeo22</w:instrText>
          </w:r>
          <w:r w:rsidR="00CB3D5E">
            <w:rPr>
              <w:rFonts w:ascii="Calibri" w:hAnsi="Calibri" w:cs="Calibri"/>
            </w:rPr>
            <w:fldChar w:fldCharType="separate"/>
          </w:r>
          <w:r w:rsidR="005E305C" w:rsidRPr="005E305C">
            <w:rPr>
              <w:rFonts w:ascii="Calibri" w:hAnsi="Calibri" w:cs="Calibri"/>
              <w:noProof/>
              <w:lang w:val="en-GB"/>
            </w:rPr>
            <w:t>(Kahissay et al., 2017; Kugbey et al., 2017; Yeom et al., 2022)</w:t>
          </w:r>
          <w:r w:rsidR="00CB3D5E">
            <w:rPr>
              <w:rFonts w:ascii="Calibri" w:hAnsi="Calibri" w:cs="Calibri"/>
            </w:rPr>
            <w:fldChar w:fldCharType="end"/>
          </w:r>
        </w:sdtContent>
      </w:sdt>
      <w:r w:rsidRPr="002A29D6">
        <w:rPr>
          <w:rFonts w:ascii="Calibri" w:hAnsi="Calibri" w:cs="Calibri"/>
        </w:rPr>
        <w:t xml:space="preserve">. Additionally, methodological limitations, such as the reliance on self-report measures and the predominance of cross-sectional studies, restrict the ability to establish causality. These constraints suggest that although the CSM is a robust model, its predictive validity is not absolute and should be interpreted with caution. Despite these limitations, the CSM remains a powerful framework for understanding patient behavior and informing targeted interventions. However, its application should be complemented by other </w:t>
      </w:r>
      <w:r w:rsidRPr="002A29D6">
        <w:rPr>
          <w:rFonts w:ascii="Calibri" w:hAnsi="Calibri" w:cs="Calibri"/>
        </w:rPr>
        <w:lastRenderedPageBreak/>
        <w:t xml:space="preserve">theoretical perspectives to provide a more holistic understanding of health behaviors in Type 2 diabetes. </w:t>
      </w:r>
      <w:r w:rsidR="00EC1678" w:rsidRPr="00EC1678">
        <w:rPr>
          <w:rFonts w:ascii="Calibri" w:hAnsi="Calibri" w:cs="Calibri"/>
        </w:rPr>
        <w:t>To maximise its clinical utility, future research and practice must not only build on the C</w:t>
      </w:r>
      <w:r w:rsidR="00DE14B2">
        <w:rPr>
          <w:rFonts w:ascii="Calibri" w:hAnsi="Calibri" w:cs="Calibri"/>
        </w:rPr>
        <w:t>SM</w:t>
      </w:r>
      <w:r w:rsidR="00EC1678" w:rsidRPr="00EC1678">
        <w:rPr>
          <w:rFonts w:ascii="Calibri" w:hAnsi="Calibri" w:cs="Calibri"/>
        </w:rPr>
        <w:t>’s theoretical foundations but also actively translate its insights into culturally sensitive, evidence-based interventions that empower individuals in the long-term management of Type 2 diabetes.</w:t>
      </w:r>
    </w:p>
    <w:p w14:paraId="2014B560" w14:textId="4D5B6B9D" w:rsidR="008145FE" w:rsidRPr="002A29D6" w:rsidRDefault="008145FE" w:rsidP="00FF7DCD">
      <w:pPr>
        <w:rPr>
          <w:rFonts w:ascii="Calibri" w:hAnsi="Calibri" w:cs="Calibri"/>
        </w:rPr>
      </w:pPr>
      <w:r w:rsidRPr="002A29D6">
        <w:rPr>
          <w:rFonts w:ascii="Calibri" w:hAnsi="Calibri" w:cs="Calibri"/>
        </w:rPr>
        <w:br w:type="page"/>
      </w:r>
    </w:p>
    <w:sdt>
      <w:sdtPr>
        <w:rPr>
          <w:rFonts w:ascii="Calibri" w:eastAsiaTheme="minorEastAsia" w:hAnsi="Calibri" w:cs="Calibri"/>
          <w:color w:val="auto"/>
          <w:sz w:val="24"/>
          <w:szCs w:val="24"/>
        </w:rPr>
        <w:id w:val="1716381824"/>
        <w:docPartObj>
          <w:docPartGallery w:val="Bibliographies"/>
          <w:docPartUnique/>
        </w:docPartObj>
      </w:sdtPr>
      <w:sdtContent>
        <w:p w14:paraId="6D37C6AD" w14:textId="66ADC336" w:rsidR="008145FE" w:rsidRPr="002A29D6" w:rsidRDefault="008145FE">
          <w:pPr>
            <w:pStyle w:val="Heading1"/>
            <w:rPr>
              <w:rFonts w:ascii="Calibri" w:hAnsi="Calibri" w:cs="Calibri"/>
            </w:rPr>
          </w:pPr>
          <w:r w:rsidRPr="002A29D6">
            <w:rPr>
              <w:rFonts w:ascii="Calibri" w:hAnsi="Calibri" w:cs="Calibri"/>
            </w:rPr>
            <w:t>References</w:t>
          </w:r>
        </w:p>
        <w:sdt>
          <w:sdtPr>
            <w:rPr>
              <w:rFonts w:ascii="Calibri" w:hAnsi="Calibri" w:cs="Calibri"/>
            </w:rPr>
            <w:id w:val="-573587230"/>
            <w:bibliography/>
          </w:sdtPr>
          <w:sdtContent>
            <w:p w14:paraId="6F30B825" w14:textId="77777777" w:rsidR="005E305C" w:rsidRDefault="008145FE" w:rsidP="005E305C">
              <w:pPr>
                <w:pStyle w:val="Bibliography"/>
                <w:ind w:left="720" w:hanging="720"/>
                <w:rPr>
                  <w:noProof/>
                </w:rPr>
              </w:pPr>
              <w:r w:rsidRPr="002A29D6">
                <w:rPr>
                  <w:rFonts w:ascii="Calibri" w:hAnsi="Calibri" w:cs="Calibri"/>
                </w:rPr>
                <w:fldChar w:fldCharType="begin"/>
              </w:r>
              <w:r w:rsidRPr="002A29D6">
                <w:rPr>
                  <w:rFonts w:ascii="Calibri" w:hAnsi="Calibri" w:cs="Calibri"/>
                </w:rPr>
                <w:instrText xml:space="preserve"> BIBLIOGRAPHY </w:instrText>
              </w:r>
              <w:r w:rsidRPr="002A29D6">
                <w:rPr>
                  <w:rFonts w:ascii="Calibri" w:hAnsi="Calibri" w:cs="Calibri"/>
                </w:rPr>
                <w:fldChar w:fldCharType="separate"/>
              </w:r>
              <w:r w:rsidR="005E305C">
                <w:rPr>
                  <w:noProof/>
                </w:rPr>
                <w:t xml:space="preserve">Acoba, E. F. (2024). Social support and mental health: the mediating role of perceived stress. </w:t>
              </w:r>
              <w:r w:rsidR="005E305C">
                <w:rPr>
                  <w:i/>
                  <w:iCs/>
                  <w:noProof/>
                </w:rPr>
                <w:t>Frontiers in Psychology, 15</w:t>
              </w:r>
              <w:r w:rsidR="005E305C">
                <w:rPr>
                  <w:noProof/>
                </w:rPr>
                <w:t>, 1330720. https://doi.org/10.3389/fpsyg.2024.1330720</w:t>
              </w:r>
            </w:p>
            <w:p w14:paraId="3B1554F5" w14:textId="77777777" w:rsidR="005E305C" w:rsidRDefault="005E305C" w:rsidP="005E305C">
              <w:pPr>
                <w:pStyle w:val="Bibliography"/>
                <w:ind w:left="720" w:hanging="720"/>
                <w:rPr>
                  <w:noProof/>
                </w:rPr>
              </w:pPr>
              <w:r>
                <w:rPr>
                  <w:noProof/>
                </w:rPr>
                <w:t xml:space="preserve">Ahuvia, I. L., Sotomayor, I., Kwong, K., Lam, F. W., Mirza, A., &amp; Schleider, J. L. (2024). Causal beliefs about mental illness: a scoping review. </w:t>
              </w:r>
              <w:r>
                <w:rPr>
                  <w:i/>
                  <w:iCs/>
                  <w:noProof/>
                </w:rPr>
                <w:t>Social Science &amp; Medicine, 345</w:t>
              </w:r>
              <w:r>
                <w:rPr>
                  <w:noProof/>
                </w:rPr>
                <w:t>, 116670. https://doi.org/10.1016/j.socscimed.2024.116670</w:t>
              </w:r>
            </w:p>
            <w:p w14:paraId="3C691C09" w14:textId="77777777" w:rsidR="005E305C" w:rsidRDefault="005E305C" w:rsidP="005E305C">
              <w:pPr>
                <w:pStyle w:val="Bibliography"/>
                <w:ind w:left="720" w:hanging="720"/>
                <w:rPr>
                  <w:noProof/>
                </w:rPr>
              </w:pPr>
              <w:r>
                <w:rPr>
                  <w:noProof/>
                </w:rPr>
                <w:t xml:space="preserve">Aikens, J. E. (2012). Prospective associations between emotional distress and poor outcomes in type 2 diabetes. </w:t>
              </w:r>
              <w:r>
                <w:rPr>
                  <w:i/>
                  <w:iCs/>
                  <w:noProof/>
                </w:rPr>
                <w:t>Diabetes care, 35</w:t>
              </w:r>
              <w:r>
                <w:rPr>
                  <w:noProof/>
                </w:rPr>
                <w:t>(12), 2472-2478. https://doi.org/10.2337/dc12-0181</w:t>
              </w:r>
            </w:p>
            <w:p w14:paraId="276567BA" w14:textId="77777777" w:rsidR="005E305C" w:rsidRDefault="005E305C" w:rsidP="005E305C">
              <w:pPr>
                <w:pStyle w:val="Bibliography"/>
                <w:ind w:left="720" w:hanging="720"/>
                <w:rPr>
                  <w:noProof/>
                </w:rPr>
              </w:pPr>
              <w:r>
                <w:rPr>
                  <w:noProof/>
                </w:rPr>
                <w:t xml:space="preserve">Ajzen, I. (1991). The theory of planned behavior. </w:t>
              </w:r>
              <w:r>
                <w:rPr>
                  <w:i/>
                  <w:iCs/>
                  <w:noProof/>
                </w:rPr>
                <w:t>Organizational behavior and human decision processes, 50</w:t>
              </w:r>
              <w:r>
                <w:rPr>
                  <w:noProof/>
                </w:rPr>
                <w:t>(2), 179-211. https://doi.org/10.1016/0749-5978(91)90020-T</w:t>
              </w:r>
            </w:p>
            <w:p w14:paraId="784917F8" w14:textId="77777777" w:rsidR="005E305C" w:rsidRDefault="005E305C" w:rsidP="005E305C">
              <w:pPr>
                <w:pStyle w:val="Bibliography"/>
                <w:ind w:left="720" w:hanging="720"/>
                <w:rPr>
                  <w:noProof/>
                </w:rPr>
              </w:pPr>
              <w:r>
                <w:rPr>
                  <w:noProof/>
                </w:rPr>
                <w:t xml:space="preserve">Alharbi, S., Alhofaian, A., &amp; Alaamri, M. M. (2023). Illness perception and medication adherence among adult patients with type 2 diabetes mellitus: a scoping review. </w:t>
              </w:r>
              <w:r>
                <w:rPr>
                  <w:i/>
                  <w:iCs/>
                  <w:noProof/>
                </w:rPr>
                <w:t>Clinics and Practice, 13</w:t>
              </w:r>
              <w:r>
                <w:rPr>
                  <w:noProof/>
                </w:rPr>
                <w:t>(1), 71-83. https://doi.org/10.3390/clinpract13010007</w:t>
              </w:r>
            </w:p>
            <w:p w14:paraId="27297749" w14:textId="77777777" w:rsidR="005E305C" w:rsidRDefault="005E305C" w:rsidP="005E305C">
              <w:pPr>
                <w:pStyle w:val="Bibliography"/>
                <w:ind w:left="720" w:hanging="720"/>
                <w:rPr>
                  <w:noProof/>
                </w:rPr>
              </w:pPr>
              <w:r>
                <w:rPr>
                  <w:noProof/>
                </w:rPr>
                <w:t xml:space="preserve">Alor, S. K., Kretchy, I. A., Glozah, F. N., &amp; Adongo, P. B. (2024). Community beliefs and practices about diabetes and their implications for the prevention and management of diabetes in Southeast Ghana. </w:t>
              </w:r>
              <w:r>
                <w:rPr>
                  <w:i/>
                  <w:iCs/>
                  <w:noProof/>
                </w:rPr>
                <w:t>BMC Public Health, 24</w:t>
              </w:r>
              <w:r>
                <w:rPr>
                  <w:noProof/>
                </w:rPr>
                <w:t>(1), 3071. https://doi.org/10.1186/s12889-024-20589-4</w:t>
              </w:r>
            </w:p>
            <w:p w14:paraId="7CD1FE76" w14:textId="77777777" w:rsidR="005E305C" w:rsidRDefault="005E305C" w:rsidP="005E305C">
              <w:pPr>
                <w:pStyle w:val="Bibliography"/>
                <w:ind w:left="720" w:hanging="720"/>
                <w:rPr>
                  <w:noProof/>
                </w:rPr>
              </w:pPr>
              <w:r>
                <w:rPr>
                  <w:noProof/>
                </w:rPr>
                <w:t xml:space="preserve">Alyami, M., Serlachius, A., Mokhtar, I., &amp; Broadbent, E. (2019). Illness perceptions, HbA1c, and adherence in type 2 diabetes in Saudi Arabia. </w:t>
              </w:r>
              <w:r>
                <w:rPr>
                  <w:i/>
                  <w:iCs/>
                  <w:noProof/>
                </w:rPr>
                <w:t>Patient preference and adherence, 13</w:t>
              </w:r>
              <w:r>
                <w:rPr>
                  <w:noProof/>
                </w:rPr>
                <w:t>, 1839-1850. https://doi.org/10.2147/PPA.S228670</w:t>
              </w:r>
            </w:p>
            <w:p w14:paraId="1F1BF7FE" w14:textId="3DCEA6B0" w:rsidR="005E305C" w:rsidRDefault="005E305C" w:rsidP="005E305C">
              <w:pPr>
                <w:pStyle w:val="Bibliography"/>
                <w:ind w:left="720" w:hanging="720"/>
                <w:rPr>
                  <w:noProof/>
                </w:rPr>
              </w:pPr>
              <w:r>
                <w:rPr>
                  <w:noProof/>
                </w:rPr>
                <w:t xml:space="preserve">Andersen, R. M. (1995). Revisiting the behavioral model and access to medical care: does it matter? </w:t>
              </w:r>
              <w:r>
                <w:rPr>
                  <w:i/>
                  <w:iCs/>
                  <w:noProof/>
                </w:rPr>
                <w:t>Journal of health and social behavior, 36</w:t>
              </w:r>
              <w:r>
                <w:rPr>
                  <w:noProof/>
                </w:rPr>
                <w:t>(1), 1-10. https://doi.org/https://doi.org/10.2307/2137284</w:t>
              </w:r>
            </w:p>
            <w:p w14:paraId="0F05A052" w14:textId="77777777" w:rsidR="005E305C" w:rsidRDefault="005E305C" w:rsidP="005E305C">
              <w:pPr>
                <w:pStyle w:val="Bibliography"/>
                <w:ind w:left="720" w:hanging="720"/>
                <w:rPr>
                  <w:noProof/>
                </w:rPr>
              </w:pPr>
              <w:r>
                <w:rPr>
                  <w:noProof/>
                </w:rPr>
                <w:t xml:space="preserve">Bilondi, S. S., Noghabi, A. D., &amp; Aalami, H. (2022). The relationship between illness perception and medication adherence in patients with diabetes mellitus type II: illness perception and medication adherence. </w:t>
              </w:r>
              <w:r>
                <w:rPr>
                  <w:i/>
                  <w:iCs/>
                  <w:noProof/>
                </w:rPr>
                <w:t>Journal of preventive medicine and hygiene, 62</w:t>
              </w:r>
              <w:r>
                <w:rPr>
                  <w:noProof/>
                </w:rPr>
                <w:t>(4), E966. https://doi.org/10.15167/2421-4248/jpmh2021.62.4.2277</w:t>
              </w:r>
            </w:p>
            <w:p w14:paraId="65E4237B" w14:textId="77777777" w:rsidR="005E305C" w:rsidRDefault="005E305C" w:rsidP="005E305C">
              <w:pPr>
                <w:pStyle w:val="Bibliography"/>
                <w:ind w:left="720" w:hanging="720"/>
                <w:rPr>
                  <w:noProof/>
                </w:rPr>
              </w:pPr>
              <w:r>
                <w:rPr>
                  <w:noProof/>
                </w:rPr>
                <w:t xml:space="preserve">Bommer, C., Sagalova, V., Heesemann, E., Manne-Goehler, J., Atun, R., Bärnighausen, T., &amp; Vollmer, S. (2018). Global economic burden of diabetes in adults: projections from 2015 to 2030. </w:t>
              </w:r>
              <w:r>
                <w:rPr>
                  <w:i/>
                  <w:iCs/>
                  <w:noProof/>
                </w:rPr>
                <w:t>Diabetes care, 41</w:t>
              </w:r>
              <w:r>
                <w:rPr>
                  <w:noProof/>
                </w:rPr>
                <w:t>(5), 963-970. https://doi.org/10.2337/dc17-1962</w:t>
              </w:r>
            </w:p>
            <w:p w14:paraId="7C3220A3" w14:textId="77777777" w:rsidR="005E305C" w:rsidRDefault="005E305C" w:rsidP="005E305C">
              <w:pPr>
                <w:pStyle w:val="Bibliography"/>
                <w:ind w:left="720" w:hanging="720"/>
                <w:rPr>
                  <w:noProof/>
                </w:rPr>
              </w:pPr>
              <w:r>
                <w:rPr>
                  <w:noProof/>
                </w:rPr>
                <w:lastRenderedPageBreak/>
                <w:t xml:space="preserve">Breland, J. Y., Wong, J. J., &amp; McAndrew, L. M. (2020). Are common sense model constructs and self-efficacy simultaneously correlated with self-management behaviors and health outcomes: A systematic review. </w:t>
              </w:r>
              <w:r>
                <w:rPr>
                  <w:i/>
                  <w:iCs/>
                  <w:noProof/>
                </w:rPr>
                <w:t>Health Psychology Open, 7</w:t>
              </w:r>
              <w:r>
                <w:rPr>
                  <w:noProof/>
                </w:rPr>
                <w:t>(1). https://doi.org/10.1177/2055102919898846</w:t>
              </w:r>
            </w:p>
            <w:p w14:paraId="2A1B1031" w14:textId="77777777" w:rsidR="005E305C" w:rsidRDefault="005E305C" w:rsidP="005E305C">
              <w:pPr>
                <w:pStyle w:val="Bibliography"/>
                <w:ind w:left="720" w:hanging="720"/>
                <w:rPr>
                  <w:noProof/>
                </w:rPr>
              </w:pPr>
              <w:r>
                <w:rPr>
                  <w:noProof/>
                </w:rPr>
                <w:t xml:space="preserve">Brissette, I., Leventhal, H., &amp; Leventhal, E. A. (2003). Observer ratings of health and sickness: can other people tell us anything about our health that we don't already know? </w:t>
              </w:r>
              <w:r>
                <w:rPr>
                  <w:i/>
                  <w:iCs/>
                  <w:noProof/>
                </w:rPr>
                <w:t>Health Psychology, 22</w:t>
              </w:r>
              <w:r>
                <w:rPr>
                  <w:noProof/>
                </w:rPr>
                <w:t>(5), 471. https://doi.org/10.1037/0278-6133.22.5.471</w:t>
              </w:r>
            </w:p>
            <w:p w14:paraId="6B48EEC1" w14:textId="77777777" w:rsidR="005E305C" w:rsidRDefault="005E305C" w:rsidP="005E305C">
              <w:pPr>
                <w:pStyle w:val="Bibliography"/>
                <w:ind w:left="720" w:hanging="720"/>
                <w:rPr>
                  <w:noProof/>
                </w:rPr>
              </w:pPr>
              <w:r>
                <w:rPr>
                  <w:noProof/>
                </w:rPr>
                <w:t xml:space="preserve">Broadbent, E., Donkin, L., &amp; Stroh, J. C. (2011). Illness and treatment perceptions are associated with adherence to medications, diet, and exercise in diabetic patients. </w:t>
              </w:r>
              <w:r>
                <w:rPr>
                  <w:i/>
                  <w:iCs/>
                  <w:noProof/>
                </w:rPr>
                <w:t>Diabetes care, 34</w:t>
              </w:r>
              <w:r>
                <w:rPr>
                  <w:noProof/>
                </w:rPr>
                <w:t>(2), 338-340. https://doi.org/10.2337/dc10-1779</w:t>
              </w:r>
            </w:p>
            <w:p w14:paraId="67FC62D7" w14:textId="77777777" w:rsidR="005E305C" w:rsidRDefault="005E305C" w:rsidP="005E305C">
              <w:pPr>
                <w:pStyle w:val="Bibliography"/>
                <w:ind w:left="720" w:hanging="720"/>
                <w:rPr>
                  <w:noProof/>
                </w:rPr>
              </w:pPr>
              <w:r>
                <w:rPr>
                  <w:noProof/>
                </w:rPr>
                <w:t xml:space="preserve">Broadbent, E., Petrie, K. J., Main, J., &amp; Weinman, J. (2006). The brief illness perception questionnaire. </w:t>
              </w:r>
              <w:r>
                <w:rPr>
                  <w:i/>
                  <w:iCs/>
                  <w:noProof/>
                </w:rPr>
                <w:t>Journal of psychosomatic research, 60</w:t>
              </w:r>
              <w:r>
                <w:rPr>
                  <w:noProof/>
                </w:rPr>
                <w:t>(6), 631-637. https://doi.org/10.1016/j.jpsychores.2005.10.020</w:t>
              </w:r>
            </w:p>
            <w:p w14:paraId="5868AE57" w14:textId="77777777" w:rsidR="005E305C" w:rsidRDefault="005E305C" w:rsidP="005E305C">
              <w:pPr>
                <w:pStyle w:val="Bibliography"/>
                <w:ind w:left="720" w:hanging="720"/>
                <w:rPr>
                  <w:noProof/>
                </w:rPr>
              </w:pPr>
              <w:r>
                <w:rPr>
                  <w:noProof/>
                </w:rPr>
                <w:t>Butayeva, J., Ratan, Z. A., Downie, S., &amp; Hosseinzadeh, H. (2023). The impact of health literacy interventions on glycemic control and self</w:t>
              </w:r>
              <w:r>
                <w:rPr>
                  <w:rFonts w:ascii="Cambria Math" w:hAnsi="Cambria Math" w:cs="Cambria Math"/>
                  <w:noProof/>
                </w:rPr>
                <w:t>‐</w:t>
              </w:r>
              <w:r>
                <w:rPr>
                  <w:noProof/>
                </w:rPr>
                <w:t xml:space="preserve">management outcomes among type 2 diabetes mellitus: A systematic review. </w:t>
              </w:r>
              <w:r>
                <w:rPr>
                  <w:i/>
                  <w:iCs/>
                  <w:noProof/>
                </w:rPr>
                <w:t>Journal of diabetes, 15</w:t>
              </w:r>
              <w:r>
                <w:rPr>
                  <w:noProof/>
                </w:rPr>
                <w:t>(9), 724-735. https://doi.org/10.1111/1753-0407.13436</w:t>
              </w:r>
            </w:p>
            <w:p w14:paraId="42F53073" w14:textId="77777777" w:rsidR="005E305C" w:rsidRDefault="005E305C" w:rsidP="005E305C">
              <w:pPr>
                <w:pStyle w:val="Bibliography"/>
                <w:ind w:left="720" w:hanging="720"/>
                <w:rPr>
                  <w:noProof/>
                </w:rPr>
              </w:pPr>
              <w:r>
                <w:rPr>
                  <w:noProof/>
                </w:rPr>
                <w:t xml:space="preserve">Carlson, R. W., Zoh, Y., Morris, A., &amp; Crockett, M. (2023). Quantifying accuracy and bias in motive introspection. </w:t>
              </w:r>
              <w:r>
                <w:rPr>
                  <w:i/>
                  <w:iCs/>
                  <w:noProof/>
                </w:rPr>
                <w:t>PsyArXiv</w:t>
              </w:r>
              <w:r>
                <w:rPr>
                  <w:noProof/>
                </w:rPr>
                <w:t>. https://doi.org/10.31234/osf.io/xkz6m</w:t>
              </w:r>
              <w:r>
                <w:rPr>
                  <w:rFonts w:ascii="Arial" w:hAnsi="Arial" w:cs="Arial"/>
                  <w:noProof/>
                </w:rPr>
                <w:t>​</w:t>
              </w:r>
            </w:p>
            <w:p w14:paraId="53507462" w14:textId="77777777" w:rsidR="005E305C" w:rsidRDefault="005E305C" w:rsidP="005E305C">
              <w:pPr>
                <w:pStyle w:val="Bibliography"/>
                <w:ind w:left="720" w:hanging="720"/>
                <w:rPr>
                  <w:noProof/>
                </w:rPr>
              </w:pPr>
              <w:r>
                <w:rPr>
                  <w:noProof/>
                </w:rPr>
                <w:t xml:space="preserve">Chong, Y. Y., Chien, W. T., Cheng, H. Y., Chow, K. M., Kassianos, A. P., Karekla, M., &amp; Gloster, A. (2020). The role of illness perceptions, coping, and self-efficacy on adherence to precautionary measures for COVID-19. </w:t>
              </w:r>
              <w:r>
                <w:rPr>
                  <w:i/>
                  <w:iCs/>
                  <w:noProof/>
                </w:rPr>
                <w:t>International journal of environmental research and public health, 17</w:t>
              </w:r>
              <w:r>
                <w:rPr>
                  <w:noProof/>
                </w:rPr>
                <w:t>(18), 6540. https://doi.org/10.3390/ijerph17186540</w:t>
              </w:r>
            </w:p>
            <w:p w14:paraId="508DADD1" w14:textId="77777777" w:rsidR="005E305C" w:rsidRDefault="005E305C" w:rsidP="005E305C">
              <w:pPr>
                <w:pStyle w:val="Bibliography"/>
                <w:ind w:left="720" w:hanging="720"/>
                <w:rPr>
                  <w:noProof/>
                </w:rPr>
              </w:pPr>
              <w:r>
                <w:rPr>
                  <w:noProof/>
                </w:rPr>
                <w:t xml:space="preserve">Clar, C., Barnard, K. D., Cummins, E., Royle, P., &amp; Waugh, N. (2010). Self-monitoring of blood glucose in type 2 diabetes: systematic review. </w:t>
              </w:r>
              <w:r>
                <w:rPr>
                  <w:i/>
                  <w:iCs/>
                  <w:noProof/>
                </w:rPr>
                <w:t>Health Technology Assessment, 14</w:t>
              </w:r>
              <w:r>
                <w:rPr>
                  <w:noProof/>
                </w:rPr>
                <w:t>(12), 1-140. https://doi.org/10.3310/hta14120</w:t>
              </w:r>
            </w:p>
            <w:p w14:paraId="6651F913" w14:textId="77777777" w:rsidR="005E305C" w:rsidRDefault="005E305C" w:rsidP="005E305C">
              <w:pPr>
                <w:pStyle w:val="Bibliography"/>
                <w:ind w:left="720" w:hanging="720"/>
                <w:rPr>
                  <w:noProof/>
                </w:rPr>
              </w:pPr>
              <w:r>
                <w:rPr>
                  <w:noProof/>
                </w:rPr>
                <w:t xml:space="preserve">Clark, E. C., Cranston, E., Polin, T., Ndumbe-Eyoh, S., MacDonald, D., Betker, C., &amp; Dobbins, M. (2022). Structural interventions that affect racial inequities and their impact on population health outcomes: a systematic review. </w:t>
              </w:r>
              <w:r>
                <w:rPr>
                  <w:i/>
                  <w:iCs/>
                  <w:noProof/>
                </w:rPr>
                <w:t>BMC Public Health, 22</w:t>
              </w:r>
              <w:r>
                <w:rPr>
                  <w:noProof/>
                </w:rPr>
                <w:t>(1), 2162. https://doi.org/10.1186/s12889-022-14603-w</w:t>
              </w:r>
            </w:p>
            <w:p w14:paraId="71CD390C" w14:textId="77777777" w:rsidR="005E305C" w:rsidRDefault="005E305C" w:rsidP="005E305C">
              <w:pPr>
                <w:pStyle w:val="Bibliography"/>
                <w:ind w:left="720" w:hanging="720"/>
                <w:rPr>
                  <w:noProof/>
                </w:rPr>
              </w:pPr>
              <w:r>
                <w:rPr>
                  <w:noProof/>
                </w:rPr>
                <w:t xml:space="preserve">Colberg, S. R., Sigal, R. J., Fernhall, B., Regensteiner, J. G., Blissmer, B. J., Rubin, R. R., &amp; Braun, B. (2010). Exercise and type 2 diabetes: the American College of Sports </w:t>
              </w:r>
              <w:r>
                <w:rPr>
                  <w:noProof/>
                </w:rPr>
                <w:lastRenderedPageBreak/>
                <w:t xml:space="preserve">Medicine and the American Diabetes Association: joint position statement. </w:t>
              </w:r>
              <w:r>
                <w:rPr>
                  <w:i/>
                  <w:iCs/>
                  <w:noProof/>
                </w:rPr>
                <w:t>Diabetes care, 33</w:t>
              </w:r>
              <w:r>
                <w:rPr>
                  <w:noProof/>
                </w:rPr>
                <w:t>(12), e147-e167. https://doi.org/10.2337/dc10-9990</w:t>
              </w:r>
            </w:p>
            <w:p w14:paraId="691277D2" w14:textId="77777777" w:rsidR="005E305C" w:rsidRDefault="005E305C" w:rsidP="005E305C">
              <w:pPr>
                <w:pStyle w:val="Bibliography"/>
                <w:ind w:left="720" w:hanging="720"/>
                <w:rPr>
                  <w:noProof/>
                </w:rPr>
              </w:pPr>
              <w:r>
                <w:rPr>
                  <w:noProof/>
                </w:rPr>
                <w:t xml:space="preserve">Dinos, S., Ascoli, M., Owiti, J. A., &amp; Bhui, K. (2017). Assessing explanatory models and health beliefs: An essential but overlooked competency for clinicians. </w:t>
              </w:r>
              <w:r>
                <w:rPr>
                  <w:i/>
                  <w:iCs/>
                  <w:noProof/>
                </w:rPr>
                <w:t>BJPsych Advances, 23</w:t>
              </w:r>
              <w:r>
                <w:rPr>
                  <w:noProof/>
                </w:rPr>
                <w:t>(2), 106-114. https://doi.org/10.1192/apt.bp.114.013680</w:t>
              </w:r>
            </w:p>
            <w:p w14:paraId="048B93E0" w14:textId="77777777" w:rsidR="005E305C" w:rsidRDefault="005E305C" w:rsidP="005E305C">
              <w:pPr>
                <w:pStyle w:val="Bibliography"/>
                <w:ind w:left="720" w:hanging="720"/>
                <w:rPr>
                  <w:noProof/>
                </w:rPr>
              </w:pPr>
              <w:r>
                <w:rPr>
                  <w:noProof/>
                </w:rPr>
                <w:t xml:space="preserve">Ernawati, U., Wihastuti, T. A., &amp; Utami, Y. W. (2021). Effectiveness of diabetes self-management education (DSME) in type 2 diabetes mellitus (T2DM) patients: systematic literature review. </w:t>
              </w:r>
              <w:r>
                <w:rPr>
                  <w:i/>
                  <w:iCs/>
                  <w:noProof/>
                </w:rPr>
                <w:t>Journal of public health research, 10</w:t>
              </w:r>
              <w:r>
                <w:rPr>
                  <w:noProof/>
                </w:rPr>
                <w:t>(2). https://doi.org/10.4081/jphr.2021.2240</w:t>
              </w:r>
            </w:p>
            <w:p w14:paraId="79B4B105" w14:textId="77777777" w:rsidR="005E305C" w:rsidRDefault="005E305C" w:rsidP="005E305C">
              <w:pPr>
                <w:pStyle w:val="Bibliography"/>
                <w:ind w:left="720" w:hanging="720"/>
                <w:rPr>
                  <w:noProof/>
                </w:rPr>
              </w:pPr>
              <w:r>
                <w:rPr>
                  <w:noProof/>
                </w:rPr>
                <w:t xml:space="preserve">Eshete, A., Getye, B., Aynaddis, G., Tilaye, B., Mekonnen, E., Taye, B., &amp; Assefa, Y. (2023). Association between illness perception and medication adherence in patients with diabetes mellitus in North Shoa, Zone: cross-sectional study. </w:t>
              </w:r>
              <w:r>
                <w:rPr>
                  <w:i/>
                  <w:iCs/>
                  <w:noProof/>
                </w:rPr>
                <w:t>Frontiers in Public Health, 11</w:t>
              </w:r>
              <w:r>
                <w:rPr>
                  <w:noProof/>
                </w:rPr>
                <w:t>, 1214725. https://doi.org/10.3389/fpubh.2023.1214725</w:t>
              </w:r>
            </w:p>
            <w:p w14:paraId="23F7F2F2" w14:textId="74709FD6" w:rsidR="005E305C" w:rsidRDefault="005E305C" w:rsidP="005E305C">
              <w:pPr>
                <w:pStyle w:val="Bibliography"/>
                <w:ind w:left="720" w:hanging="720"/>
                <w:rPr>
                  <w:noProof/>
                </w:rPr>
              </w:pPr>
              <w:r>
                <w:rPr>
                  <w:noProof/>
                </w:rPr>
                <w:t>Evans , C. A.</w:t>
              </w:r>
              <w:r w:rsidR="006636E3">
                <w:rPr>
                  <w:noProof/>
                </w:rPr>
                <w:t xml:space="preserve"> Jr</w:t>
              </w:r>
              <w:r>
                <w:rPr>
                  <w:noProof/>
                </w:rPr>
                <w:t xml:space="preserve">, Brownson, R. C., Fullilove, M. T., Guerra, F. A., Hinman, A. R., Isham, G. J., &amp; Novick, L. F. (2001). Strategies for Reducing Morbidity and Mortality from Diabetes Through Health-Care System Interventions and Diabetes Self-Management Education in Community Settings. </w:t>
              </w:r>
              <w:r>
                <w:rPr>
                  <w:i/>
                  <w:iCs/>
                  <w:noProof/>
                </w:rPr>
                <w:t>MMWR Recommendations and Reports, 50</w:t>
              </w:r>
              <w:r>
                <w:rPr>
                  <w:noProof/>
                </w:rPr>
                <w:t>(16), 1-15. https://doi.org/https://www.cdc.gov/mmwr/preview/mmwrhtml/rr5016a1.htm</w:t>
              </w:r>
            </w:p>
            <w:p w14:paraId="7A2FF791" w14:textId="77777777" w:rsidR="005E305C" w:rsidRDefault="005E305C" w:rsidP="005E305C">
              <w:pPr>
                <w:pStyle w:val="Bibliography"/>
                <w:ind w:left="720" w:hanging="720"/>
                <w:rPr>
                  <w:noProof/>
                </w:rPr>
              </w:pPr>
              <w:r>
                <w:rPr>
                  <w:noProof/>
                </w:rPr>
                <w:t xml:space="preserve">Evert, A. B., Boucher, J. L., Cypress, M., Dunbar, S. A., Franz, M. J., Mayer-Davis, E. J., &amp; Yancy Jr, W. S. (2014). Nutrition therapy recommendations for the management of adults with diabetes. </w:t>
              </w:r>
              <w:r>
                <w:rPr>
                  <w:i/>
                  <w:iCs/>
                  <w:noProof/>
                </w:rPr>
                <w:t>Diabetes care, 37</w:t>
              </w:r>
              <w:r>
                <w:rPr>
                  <w:noProof/>
                </w:rPr>
                <w:t>(1), S120–S143. https://doi.org/10.2337/dc14-S120</w:t>
              </w:r>
            </w:p>
            <w:p w14:paraId="1D3964B9" w14:textId="77777777" w:rsidR="005E305C" w:rsidRDefault="005E305C" w:rsidP="005E305C">
              <w:pPr>
                <w:pStyle w:val="Bibliography"/>
                <w:ind w:left="720" w:hanging="720"/>
                <w:rPr>
                  <w:noProof/>
                </w:rPr>
              </w:pPr>
              <w:r>
                <w:rPr>
                  <w:noProof/>
                </w:rPr>
                <w:t xml:space="preserve">Foster, H. M., Polz, P., Gill, J. M., Celis-Morales, C., Mair, F. S., &amp; O'Donnell, C. A. (2023). The influence of socioeconomic status on the association between unhealthy Lifestyle factors and adverse health outcomes: a systematic review. </w:t>
              </w:r>
              <w:r>
                <w:rPr>
                  <w:i/>
                  <w:iCs/>
                  <w:noProof/>
                </w:rPr>
                <w:t>Wellcome Open Research, 8</w:t>
              </w:r>
              <w:r>
                <w:rPr>
                  <w:noProof/>
                </w:rPr>
                <w:t>, 55. https://doi.org/10.12688/wellcomeopenres.18708.2</w:t>
              </w:r>
            </w:p>
            <w:p w14:paraId="3DD9C82D" w14:textId="77777777" w:rsidR="005E305C" w:rsidRDefault="005E305C" w:rsidP="005E305C">
              <w:pPr>
                <w:pStyle w:val="Bibliography"/>
                <w:ind w:left="720" w:hanging="720"/>
                <w:rPr>
                  <w:noProof/>
                </w:rPr>
              </w:pPr>
              <w:r>
                <w:rPr>
                  <w:noProof/>
                </w:rPr>
                <w:t xml:space="preserve">García, A. A., Huang, Y. C., &amp; Zuñiga, J. A. (2022). Illness Perceptions Mediate the Impact of Depressive Symptoms on Quality of Life Among Latinos with Type 2 Diabetes. </w:t>
              </w:r>
              <w:r>
                <w:rPr>
                  <w:i/>
                  <w:iCs/>
                  <w:noProof/>
                </w:rPr>
                <w:t>Journal of Immigrant and Minority Health, 24</w:t>
              </w:r>
              <w:r>
                <w:rPr>
                  <w:noProof/>
                </w:rPr>
                <w:t>(6), 1517-1525. https://doi.org/10.1007/s10903-022-01338-4</w:t>
              </w:r>
            </w:p>
            <w:p w14:paraId="66E13E50" w14:textId="77777777" w:rsidR="005E305C" w:rsidRDefault="005E305C" w:rsidP="005E305C">
              <w:pPr>
                <w:pStyle w:val="Bibliography"/>
                <w:ind w:left="720" w:hanging="720"/>
                <w:rPr>
                  <w:noProof/>
                </w:rPr>
              </w:pPr>
              <w:r>
                <w:rPr>
                  <w:noProof/>
                </w:rPr>
                <w:t xml:space="preserve">Geirhos, A., Stephan, M., Wehrle, M., Mack, C., Messner, E. M., Schmitt, A., &amp; Sander, L. B. (2022). Standardized evaluation of the quality and persuasiveness of mobile health </w:t>
              </w:r>
              <w:r>
                <w:rPr>
                  <w:noProof/>
                </w:rPr>
                <w:lastRenderedPageBreak/>
                <w:t xml:space="preserve">applications for diabetes management. </w:t>
              </w:r>
              <w:r>
                <w:rPr>
                  <w:i/>
                  <w:iCs/>
                  <w:noProof/>
                </w:rPr>
                <w:t>Scientific reports, 12</w:t>
              </w:r>
              <w:r>
                <w:rPr>
                  <w:noProof/>
                </w:rPr>
                <w:t>(1), 3639. https://doi.org/10.1038/s41598-022-07544-2</w:t>
              </w:r>
            </w:p>
            <w:p w14:paraId="6A206657" w14:textId="77777777" w:rsidR="005E305C" w:rsidRDefault="005E305C" w:rsidP="005E305C">
              <w:pPr>
                <w:pStyle w:val="Bibliography"/>
                <w:ind w:left="720" w:hanging="720"/>
                <w:rPr>
                  <w:noProof/>
                </w:rPr>
              </w:pPr>
              <w:r>
                <w:rPr>
                  <w:noProof/>
                </w:rPr>
                <w:t xml:space="preserve">Gu, X., Shen, X., Zhou, J. R., Chu, J. H., &amp; Jiang, L. (2024). The effects of common-sense model interventions on cancer patients: A systematic review. </w:t>
              </w:r>
              <w:r>
                <w:rPr>
                  <w:i/>
                  <w:iCs/>
                  <w:noProof/>
                </w:rPr>
                <w:t>Medicine, 103</w:t>
              </w:r>
              <w:r>
                <w:rPr>
                  <w:noProof/>
                </w:rPr>
                <w:t>(17), e37777. https://doi.org/10.1097/MD.0000000000037777</w:t>
              </w:r>
            </w:p>
            <w:p w14:paraId="78030B4B" w14:textId="77777777" w:rsidR="005E305C" w:rsidRDefault="005E305C" w:rsidP="005E305C">
              <w:pPr>
                <w:pStyle w:val="Bibliography"/>
                <w:ind w:left="720" w:hanging="720"/>
                <w:rPr>
                  <w:noProof/>
                </w:rPr>
              </w:pPr>
              <w:r>
                <w:rPr>
                  <w:noProof/>
                </w:rPr>
                <w:t xml:space="preserve">Gwinnutt, J. M., Norton, S., Hyrich, K. L., Lunt, M., Barton, A., Cordingley, L., &amp; RAMS Co-Investigators. (2021). Changes in the illness perceptions of patients with rheumatoid arthritis over the first year of methotrexate therapy. </w:t>
              </w:r>
              <w:r>
                <w:rPr>
                  <w:i/>
                  <w:iCs/>
                  <w:noProof/>
                </w:rPr>
                <w:t>Rheumatology, 60</w:t>
              </w:r>
              <w:r>
                <w:rPr>
                  <w:noProof/>
                </w:rPr>
                <w:t>(5), 2355-2365. https://doi.org/10.1093/rheumatology/keaa615</w:t>
              </w:r>
            </w:p>
            <w:p w14:paraId="27D52778" w14:textId="77777777" w:rsidR="005E305C" w:rsidRDefault="005E305C" w:rsidP="005E305C">
              <w:pPr>
                <w:pStyle w:val="Bibliography"/>
                <w:ind w:left="720" w:hanging="720"/>
                <w:rPr>
                  <w:noProof/>
                </w:rPr>
              </w:pPr>
              <w:r>
                <w:rPr>
                  <w:noProof/>
                </w:rPr>
                <w:t xml:space="preserve">Hagger, M. S., &amp; Orbell, S. (2003). A meta-analytic review of the common-sense model of illness representations. </w:t>
              </w:r>
              <w:r>
                <w:rPr>
                  <w:i/>
                  <w:iCs/>
                  <w:noProof/>
                </w:rPr>
                <w:t>Psychology and health, 18</w:t>
              </w:r>
              <w:r>
                <w:rPr>
                  <w:noProof/>
                </w:rPr>
                <w:t>(2), 141-184. https://doi.org/10.1080/088704403100081321</w:t>
              </w:r>
            </w:p>
            <w:p w14:paraId="3757FDBC" w14:textId="77777777" w:rsidR="005E305C" w:rsidRDefault="005E305C" w:rsidP="005E305C">
              <w:pPr>
                <w:pStyle w:val="Bibliography"/>
                <w:ind w:left="720" w:hanging="720"/>
                <w:rPr>
                  <w:noProof/>
                </w:rPr>
              </w:pPr>
              <w:r>
                <w:rPr>
                  <w:noProof/>
                </w:rPr>
                <w:t xml:space="preserve">Hagger, M. S., &amp; Orbell, S. (2022). The common sense model of illness self-regulation: a conceptual review and proposed extended model. </w:t>
              </w:r>
              <w:r>
                <w:rPr>
                  <w:i/>
                  <w:iCs/>
                  <w:noProof/>
                </w:rPr>
                <w:t>Health psychology review, 16</w:t>
              </w:r>
              <w:r>
                <w:rPr>
                  <w:noProof/>
                </w:rPr>
                <w:t>(3), 347-377. https://doi.org/10.1080/17437199.2021.1878050</w:t>
              </w:r>
            </w:p>
            <w:p w14:paraId="45ADF8A7" w14:textId="77777777" w:rsidR="005E305C" w:rsidRDefault="005E305C" w:rsidP="005E305C">
              <w:pPr>
                <w:pStyle w:val="Bibliography"/>
                <w:ind w:left="720" w:hanging="720"/>
                <w:rPr>
                  <w:noProof/>
                </w:rPr>
              </w:pPr>
              <w:r>
                <w:rPr>
                  <w:noProof/>
                </w:rPr>
                <w:t xml:space="preserve">Hex, N., MacDonald, R., Pocock, J., Uzdzinska, B., Taylor, M., Atkin, M., &amp; Jones, R. (2024). Estimation of the direct health and indirect societal costs of diabetes in the UK using a cost of illness model. </w:t>
              </w:r>
              <w:r>
                <w:rPr>
                  <w:i/>
                  <w:iCs/>
                  <w:noProof/>
                </w:rPr>
                <w:t>Diabetic Medicine, 41</w:t>
              </w:r>
              <w:r>
                <w:rPr>
                  <w:noProof/>
                </w:rPr>
                <w:t>(9), e15326. https://doi.org/10.1111/dme.15326</w:t>
              </w:r>
            </w:p>
            <w:p w14:paraId="3E28F2F6" w14:textId="77777777" w:rsidR="005E305C" w:rsidRDefault="005E305C" w:rsidP="005E305C">
              <w:pPr>
                <w:pStyle w:val="Bibliography"/>
                <w:ind w:left="720" w:hanging="720"/>
                <w:rPr>
                  <w:noProof/>
                </w:rPr>
              </w:pPr>
              <w:r>
                <w:rPr>
                  <w:noProof/>
                </w:rPr>
                <w:t xml:space="preserve">Hill-Briggs, F., Adler, N. E., Berkowitz, S. A., Chin, M. H., Gary-Webb, T. L., Navas-Acien, A., &amp; Haire-Joshu, D. (2020). Social determinants of health and diabetes: a scientific review. </w:t>
              </w:r>
              <w:r>
                <w:rPr>
                  <w:i/>
                  <w:iCs/>
                  <w:noProof/>
                </w:rPr>
                <w:t>Diabetes care, 44</w:t>
              </w:r>
              <w:r>
                <w:rPr>
                  <w:noProof/>
                </w:rPr>
                <w:t>(1), 258. https://doi.org/10.2337/dci20-0053</w:t>
              </w:r>
            </w:p>
            <w:p w14:paraId="43FDAE78" w14:textId="77777777" w:rsidR="005E305C" w:rsidRDefault="005E305C" w:rsidP="005E305C">
              <w:pPr>
                <w:pStyle w:val="Bibliography"/>
                <w:ind w:left="720" w:hanging="720"/>
                <w:rPr>
                  <w:noProof/>
                </w:rPr>
              </w:pPr>
              <w:r>
                <w:rPr>
                  <w:noProof/>
                </w:rPr>
                <w:t xml:space="preserve">Horne, R., &amp; Weinman, J. (2002). Self-regulation and self-management in asthma: exploring the role of illness perceptions and treatment beliefs in explaining non-adherence to preventer medication. </w:t>
              </w:r>
              <w:r>
                <w:rPr>
                  <w:i/>
                  <w:iCs/>
                  <w:noProof/>
                </w:rPr>
                <w:t>Psychology and Health, 17</w:t>
              </w:r>
              <w:r>
                <w:rPr>
                  <w:noProof/>
                </w:rPr>
                <w:t>(1), 17-32. https://doi.org/10.1080/08870440290001502</w:t>
              </w:r>
            </w:p>
            <w:p w14:paraId="761B0908" w14:textId="77777777" w:rsidR="005E305C" w:rsidRDefault="005E305C" w:rsidP="005E305C">
              <w:pPr>
                <w:pStyle w:val="Bibliography"/>
                <w:ind w:left="720" w:hanging="720"/>
                <w:rPr>
                  <w:noProof/>
                </w:rPr>
              </w:pPr>
              <w:r>
                <w:rPr>
                  <w:noProof/>
                </w:rPr>
                <w:t xml:space="preserve">Hu, Y., Liu, H., Wu, J., &amp; Fang, G. (2022). Factors influencing self-care behaviours of patients with type 2 diabetes in China based on the health belief model: a cross-sectional study. </w:t>
              </w:r>
              <w:r>
                <w:rPr>
                  <w:i/>
                  <w:iCs/>
                  <w:noProof/>
                </w:rPr>
                <w:t>BMJ open, 12</w:t>
              </w:r>
              <w:r>
                <w:rPr>
                  <w:noProof/>
                </w:rPr>
                <w:t>(8), e044369. https://doi.org/10.1136/bmjopen-2020-044369</w:t>
              </w:r>
            </w:p>
            <w:p w14:paraId="06367723" w14:textId="77777777" w:rsidR="005E305C" w:rsidRDefault="005E305C" w:rsidP="005E305C">
              <w:pPr>
                <w:pStyle w:val="Bibliography"/>
                <w:ind w:left="720" w:hanging="720"/>
                <w:rPr>
                  <w:noProof/>
                </w:rPr>
              </w:pPr>
              <w:r>
                <w:rPr>
                  <w:noProof/>
                </w:rPr>
                <w:t xml:space="preserve">Kahissay, M. H., Fenta, T. G., &amp; Boon, H. (2017). Beliefs and perception of ill-health causation: a socio-cultural qualitative study in rural North-Eastern Ethiopia. </w:t>
              </w:r>
              <w:r>
                <w:rPr>
                  <w:i/>
                  <w:iCs/>
                  <w:noProof/>
                </w:rPr>
                <w:t>BMC public health, 17</w:t>
              </w:r>
              <w:r>
                <w:rPr>
                  <w:noProof/>
                </w:rPr>
                <w:t>, 1-10. https://doi.org/10.1186/s12889-017-4052-y</w:t>
              </w:r>
            </w:p>
            <w:p w14:paraId="72853DAC" w14:textId="77777777" w:rsidR="005E305C" w:rsidRDefault="005E305C" w:rsidP="005E305C">
              <w:pPr>
                <w:pStyle w:val="Bibliography"/>
                <w:ind w:left="720" w:hanging="720"/>
                <w:rPr>
                  <w:noProof/>
                </w:rPr>
              </w:pPr>
              <w:r>
                <w:rPr>
                  <w:noProof/>
                </w:rPr>
                <w:lastRenderedPageBreak/>
                <w:t xml:space="preserve">Keogh, K. M., Smith, S. M., White, P., McGilloway, S., Kelly, A., Gibney, J., &amp; O'Dowd, T. (2011). Psychological family intervention for poorly controlled type 2 diabetes. </w:t>
              </w:r>
              <w:r>
                <w:rPr>
                  <w:i/>
                  <w:iCs/>
                  <w:noProof/>
                </w:rPr>
                <w:t>The American journal of managed care, 17</w:t>
              </w:r>
              <w:r>
                <w:rPr>
                  <w:noProof/>
                </w:rPr>
                <w:t>(2), 105-113. Retrieved from https://mural.maynoothuniversity.ie/id/eprint/9283/</w:t>
              </w:r>
            </w:p>
            <w:p w14:paraId="7C9BE604" w14:textId="77777777" w:rsidR="005E305C" w:rsidRDefault="005E305C" w:rsidP="005E305C">
              <w:pPr>
                <w:pStyle w:val="Bibliography"/>
                <w:ind w:left="720" w:hanging="720"/>
                <w:rPr>
                  <w:noProof/>
                </w:rPr>
              </w:pPr>
              <w:r>
                <w:rPr>
                  <w:noProof/>
                </w:rPr>
                <w:t xml:space="preserve">Kim, H., Sereika, S. M., Lingler, J. H., Albert, S. M., &amp; Bender, C. M. (2021). Illness perceptions, self-efficacy, and self-reported medication adherence in persons aged 50 and older with type 2 diabetes. </w:t>
              </w:r>
              <w:r>
                <w:rPr>
                  <w:i/>
                  <w:iCs/>
                  <w:noProof/>
                </w:rPr>
                <w:t>Journal of Cardiovascular Nursing, 36</w:t>
              </w:r>
              <w:r>
                <w:rPr>
                  <w:noProof/>
                </w:rPr>
                <w:t>(4), 312-328. https://doi.org/10.1097/JCN.0000000000000675</w:t>
              </w:r>
            </w:p>
            <w:p w14:paraId="03D43572" w14:textId="77777777" w:rsidR="005E305C" w:rsidRDefault="005E305C" w:rsidP="005E305C">
              <w:pPr>
                <w:pStyle w:val="Bibliography"/>
                <w:ind w:left="720" w:hanging="720"/>
                <w:rPr>
                  <w:noProof/>
                </w:rPr>
              </w:pPr>
              <w:r>
                <w:rPr>
                  <w:noProof/>
                </w:rPr>
                <w:t xml:space="preserve">Kim, Y., Vazquez, C., &amp; Cubbin, C. (2023). Socioeconomic disparities in health outcomes in the United States in the late 2010s: results from four national population-based studies. </w:t>
              </w:r>
              <w:r>
                <w:rPr>
                  <w:i/>
                  <w:iCs/>
                  <w:noProof/>
                </w:rPr>
                <w:t>Archives of Public Health, 81</w:t>
              </w:r>
              <w:r>
                <w:rPr>
                  <w:noProof/>
                </w:rPr>
                <w:t>(1), 15. https://doi.org/10.1186/s13690-023-01026-1</w:t>
              </w:r>
            </w:p>
            <w:p w14:paraId="7F1311FB" w14:textId="77777777" w:rsidR="005E305C" w:rsidRDefault="005E305C" w:rsidP="005E305C">
              <w:pPr>
                <w:pStyle w:val="Bibliography"/>
                <w:ind w:left="720" w:hanging="720"/>
                <w:rPr>
                  <w:noProof/>
                </w:rPr>
              </w:pPr>
              <w:r>
                <w:rPr>
                  <w:noProof/>
                </w:rPr>
                <w:t xml:space="preserve">Knowles, S. R., Apputhurai, P., O’Brien, C. L., Ski, C. F., Thompson, D. R., &amp; Castle, D. J. (2020). Exploring the relationships between illness perceptions, self-efficacy, coping strategies, psychological distress and quality of life in a cohort of adults with diabetes mellitus. </w:t>
              </w:r>
              <w:r>
                <w:rPr>
                  <w:i/>
                  <w:iCs/>
                  <w:noProof/>
                </w:rPr>
                <w:t>Psychology, health &amp; medicine, 25</w:t>
              </w:r>
              <w:r>
                <w:rPr>
                  <w:noProof/>
                </w:rPr>
                <w:t>(2), 214-228. https://doi.org/10.1080/13548506.2019.1695865</w:t>
              </w:r>
            </w:p>
            <w:p w14:paraId="19A5B389" w14:textId="0879B023" w:rsidR="005E305C" w:rsidRDefault="005E305C" w:rsidP="005E305C">
              <w:pPr>
                <w:pStyle w:val="Bibliography"/>
                <w:ind w:left="720" w:hanging="720"/>
                <w:rPr>
                  <w:noProof/>
                </w:rPr>
              </w:pPr>
              <w:r>
                <w:rPr>
                  <w:noProof/>
                </w:rPr>
                <w:t xml:space="preserve">Kraft, P., &amp; Kraft, B. (2021). Explaining socioeconomic disparities in health behaviours: A review of biopsychological pathways involving stress and inflammation. </w:t>
              </w:r>
              <w:r>
                <w:rPr>
                  <w:i/>
                  <w:iCs/>
                  <w:noProof/>
                </w:rPr>
                <w:t>Neuroscience &amp; Biobehavioral Reviews, 127</w:t>
              </w:r>
              <w:r>
                <w:rPr>
                  <w:noProof/>
                </w:rPr>
                <w:t>, 689-708. https://doi.org/10.1016/j.neubiorev.2021.05.019</w:t>
              </w:r>
            </w:p>
            <w:p w14:paraId="04E5513C" w14:textId="77777777" w:rsidR="005E305C" w:rsidRDefault="005E305C" w:rsidP="005E305C">
              <w:pPr>
                <w:pStyle w:val="Bibliography"/>
                <w:ind w:left="720" w:hanging="720"/>
                <w:rPr>
                  <w:noProof/>
                </w:rPr>
              </w:pPr>
              <w:r>
                <w:rPr>
                  <w:noProof/>
                </w:rPr>
                <w:t xml:space="preserve">Kreitchmann, R. S., Abad, F. J., Ponsoda, V., Nieto, M. D., &amp; Morillo, D. (2019). Controlling for response biases in self-report scales: Forced-choice vs. psychometric modeling of Likert items. </w:t>
              </w:r>
              <w:r>
                <w:rPr>
                  <w:i/>
                  <w:iCs/>
                  <w:noProof/>
                </w:rPr>
                <w:t>Frontiers in psychology, 10</w:t>
              </w:r>
              <w:r>
                <w:rPr>
                  <w:noProof/>
                </w:rPr>
                <w:t>, 2309. https://doi.org/10.3389/fpsyg.2019.02309</w:t>
              </w:r>
            </w:p>
            <w:p w14:paraId="6C6A22B1" w14:textId="77777777" w:rsidR="005E305C" w:rsidRDefault="005E305C" w:rsidP="005E305C">
              <w:pPr>
                <w:pStyle w:val="Bibliography"/>
                <w:ind w:left="720" w:hanging="720"/>
                <w:rPr>
                  <w:noProof/>
                </w:rPr>
              </w:pPr>
              <w:r>
                <w:rPr>
                  <w:noProof/>
                </w:rPr>
                <w:t xml:space="preserve">Kugbey, N., Oppong Asante, K., &amp; Adulai, K. (2017). Illness perception, diabetes knowledge and self-care practices among type-2 diabetes patients: a cross-sectional study. </w:t>
              </w:r>
              <w:r>
                <w:rPr>
                  <w:i/>
                  <w:iCs/>
                  <w:noProof/>
                </w:rPr>
                <w:t>BMC research notes, 10</w:t>
              </w:r>
              <w:r>
                <w:rPr>
                  <w:noProof/>
                </w:rPr>
                <w:t>, 1-7. https://doi.org/10.1186/s13104-017-2707-5</w:t>
              </w:r>
            </w:p>
            <w:p w14:paraId="3EC1CD79" w14:textId="77777777" w:rsidR="005E305C" w:rsidRDefault="005E305C" w:rsidP="005E305C">
              <w:pPr>
                <w:pStyle w:val="Bibliography"/>
                <w:ind w:left="720" w:hanging="720"/>
                <w:rPr>
                  <w:noProof/>
                </w:rPr>
              </w:pPr>
              <w:r>
                <w:rPr>
                  <w:noProof/>
                </w:rPr>
                <w:t xml:space="preserve">Latkin, C. A., Edwards, C., Davey-Rothwell, M. A., &amp; Tobin, K. E. (2017). The relationship between social desirability bias and self-reports of health, substance use, and social network factors among urban substance users in Baltimore, Maryland. </w:t>
              </w:r>
              <w:r>
                <w:rPr>
                  <w:i/>
                  <w:iCs/>
                  <w:noProof/>
                </w:rPr>
                <w:t>Addictive behaviors, 73</w:t>
              </w:r>
              <w:r>
                <w:rPr>
                  <w:noProof/>
                </w:rPr>
                <w:t>, 133-136. https://doi.org/10.1016/j.addbeh.2017.05.005</w:t>
              </w:r>
            </w:p>
            <w:p w14:paraId="2BF46776" w14:textId="77777777" w:rsidR="005E305C" w:rsidRDefault="005E305C" w:rsidP="005E305C">
              <w:pPr>
                <w:pStyle w:val="Bibliography"/>
                <w:ind w:left="720" w:hanging="720"/>
                <w:rPr>
                  <w:noProof/>
                </w:rPr>
              </w:pPr>
              <w:r>
                <w:rPr>
                  <w:noProof/>
                </w:rPr>
                <w:lastRenderedPageBreak/>
                <w:t xml:space="preserve">Leventhal, H. (1980). The common sense representation of illness danger. </w:t>
              </w:r>
              <w:r>
                <w:rPr>
                  <w:i/>
                  <w:iCs/>
                  <w:noProof/>
                </w:rPr>
                <w:t>Contributions to medical psychology, 2</w:t>
              </w:r>
              <w:r>
                <w:rPr>
                  <w:noProof/>
                </w:rPr>
                <w:t>, 7. Retrieved from https://cir.nii.ac.jp/crid/1372541648446279957</w:t>
              </w:r>
            </w:p>
            <w:p w14:paraId="5A31DECD" w14:textId="77777777" w:rsidR="005E305C" w:rsidRDefault="005E305C" w:rsidP="005E305C">
              <w:pPr>
                <w:pStyle w:val="Bibliography"/>
                <w:ind w:left="720" w:hanging="720"/>
                <w:rPr>
                  <w:noProof/>
                </w:rPr>
              </w:pPr>
              <w:r>
                <w:rPr>
                  <w:noProof/>
                </w:rPr>
                <w:t xml:space="preserve">Leventhal, H., Brissette, I., &amp; Leventhal, E. A. (2012). The common-sense model of self-regulation of health and illness. In </w:t>
              </w:r>
              <w:r>
                <w:rPr>
                  <w:i/>
                  <w:iCs/>
                  <w:noProof/>
                </w:rPr>
                <w:t>The self-regulation of health and illness behaviour</w:t>
              </w:r>
              <w:r>
                <w:rPr>
                  <w:noProof/>
                </w:rPr>
                <w:t xml:space="preserve"> (pp. 43-66). Routledge.</w:t>
              </w:r>
            </w:p>
            <w:p w14:paraId="463D3C82" w14:textId="77777777" w:rsidR="005E305C" w:rsidRDefault="005E305C" w:rsidP="005E305C">
              <w:pPr>
                <w:pStyle w:val="Bibliography"/>
                <w:ind w:left="720" w:hanging="720"/>
                <w:rPr>
                  <w:noProof/>
                </w:rPr>
              </w:pPr>
              <w:r>
                <w:rPr>
                  <w:noProof/>
                </w:rPr>
                <w:t xml:space="preserve">Leventhal, H., Phillips, L. A., &amp; Burns, E. (2016). The Common-Sense Model of Self-Regulation (CSM): a dynamic framework for understanding illness self-management. </w:t>
              </w:r>
              <w:r>
                <w:rPr>
                  <w:i/>
                  <w:iCs/>
                  <w:noProof/>
                </w:rPr>
                <w:t>Journal of behavioral medicine, 39</w:t>
              </w:r>
              <w:r>
                <w:rPr>
                  <w:noProof/>
                </w:rPr>
                <w:t>, 935-946. https://doi.org/10.1007/s10865-016-9782-2</w:t>
              </w:r>
            </w:p>
            <w:p w14:paraId="36471F7E" w14:textId="77777777" w:rsidR="005E305C" w:rsidRDefault="005E305C" w:rsidP="005E305C">
              <w:pPr>
                <w:pStyle w:val="Bibliography"/>
                <w:ind w:left="720" w:hanging="720"/>
                <w:rPr>
                  <w:noProof/>
                </w:rPr>
              </w:pPr>
              <w:r>
                <w:rPr>
                  <w:noProof/>
                </w:rPr>
                <w:t xml:space="preserve">Liu, Y., Jiang, F., Zhang, M., Niu, H., Cao, J., Du, S., &amp; Wu, H. (2024). Health literacy and self-management among middle-aged and young hypertensive patients: a parallel mediation effect of illness perception and self-efficacy. </w:t>
              </w:r>
              <w:r>
                <w:rPr>
                  <w:i/>
                  <w:iCs/>
                  <w:noProof/>
                </w:rPr>
                <w:t>Frontiers in Psychology, 15</w:t>
              </w:r>
              <w:r>
                <w:rPr>
                  <w:noProof/>
                </w:rPr>
                <w:t>, 1349451. https://doi.org/10.3389/fpsyg.2024.1349451</w:t>
              </w:r>
            </w:p>
            <w:p w14:paraId="618FFD90" w14:textId="77777777" w:rsidR="005E305C" w:rsidRDefault="005E305C" w:rsidP="005E305C">
              <w:pPr>
                <w:pStyle w:val="Bibliography"/>
                <w:ind w:left="720" w:hanging="720"/>
                <w:rPr>
                  <w:noProof/>
                </w:rPr>
              </w:pPr>
              <w:r>
                <w:rPr>
                  <w:noProof/>
                </w:rPr>
                <w:t xml:space="preserve">Mann, D. M., Ponieman, D., Leventhal, H., &amp; Halm, E. A. (2009). Misconceptions about diabetes and its management among low-income minorities with diabetes. </w:t>
              </w:r>
              <w:r>
                <w:rPr>
                  <w:i/>
                  <w:iCs/>
                  <w:noProof/>
                </w:rPr>
                <w:t>Diabetes care, 32</w:t>
              </w:r>
              <w:r>
                <w:rPr>
                  <w:noProof/>
                </w:rPr>
                <w:t>(4), 591-593. https://doi.org/10.2337/dc08-1837</w:t>
              </w:r>
            </w:p>
            <w:p w14:paraId="6BFF6084" w14:textId="77777777" w:rsidR="005E305C" w:rsidRDefault="005E305C" w:rsidP="005E305C">
              <w:pPr>
                <w:pStyle w:val="Bibliography"/>
                <w:ind w:left="720" w:hanging="720"/>
                <w:rPr>
                  <w:noProof/>
                </w:rPr>
              </w:pPr>
              <w:r>
                <w:rPr>
                  <w:noProof/>
                </w:rPr>
                <w:t>Mc Sharry, J., Moss</w:t>
              </w:r>
              <w:r>
                <w:rPr>
                  <w:rFonts w:ascii="Cambria Math" w:hAnsi="Cambria Math" w:cs="Cambria Math"/>
                  <w:noProof/>
                </w:rPr>
                <w:t>‐</w:t>
              </w:r>
              <w:r>
                <w:rPr>
                  <w:noProof/>
                </w:rPr>
                <w:t>Morris, R., &amp; Kendrick, T. (2011). Illness perceptions and glycaemic control in diabetes: a systematic review with meta</w:t>
              </w:r>
              <w:r>
                <w:rPr>
                  <w:rFonts w:ascii="Cambria Math" w:hAnsi="Cambria Math" w:cs="Cambria Math"/>
                  <w:noProof/>
                </w:rPr>
                <w:t>‐</w:t>
              </w:r>
              <w:r>
                <w:rPr>
                  <w:noProof/>
                </w:rPr>
                <w:t xml:space="preserve">analysis. </w:t>
              </w:r>
              <w:r>
                <w:rPr>
                  <w:i/>
                  <w:iCs/>
                  <w:noProof/>
                </w:rPr>
                <w:t>Diabetic Medicine, 28</w:t>
              </w:r>
              <w:r>
                <w:rPr>
                  <w:noProof/>
                </w:rPr>
                <w:t>(11), 1300-1310. https://doi.org/10.1111/j.1464-5491.2011.03298.x</w:t>
              </w:r>
            </w:p>
            <w:p w14:paraId="3F2694AD" w14:textId="77777777" w:rsidR="005E305C" w:rsidRDefault="005E305C" w:rsidP="005E305C">
              <w:pPr>
                <w:pStyle w:val="Bibliography"/>
                <w:ind w:left="720" w:hanging="720"/>
                <w:rPr>
                  <w:noProof/>
                </w:rPr>
              </w:pPr>
              <w:r>
                <w:rPr>
                  <w:noProof/>
                </w:rPr>
                <w:t>McAndrew, L. M., Musumeci</w:t>
              </w:r>
              <w:r>
                <w:rPr>
                  <w:rFonts w:ascii="Cambria Math" w:hAnsi="Cambria Math" w:cs="Cambria Math"/>
                  <w:noProof/>
                </w:rPr>
                <w:t>‐</w:t>
              </w:r>
              <w:r>
                <w:rPr>
                  <w:noProof/>
                </w:rPr>
                <w:t>Szab</w:t>
              </w:r>
              <w:r>
                <w:rPr>
                  <w:rFonts w:ascii="Aptos" w:hAnsi="Aptos" w:cs="Aptos"/>
                  <w:noProof/>
                </w:rPr>
                <w:t>ó</w:t>
              </w:r>
              <w:r>
                <w:rPr>
                  <w:noProof/>
                </w:rPr>
                <w:t xml:space="preserve">, T. J., Mora, P. A., Vileikyte, L., Burns, E., Halm, E. A., &amp; Leventhal, H. (2008). Using the common sense model to design interventions for the prevention and management of chronic illness threats: from description to process. </w:t>
              </w:r>
              <w:r>
                <w:rPr>
                  <w:i/>
                  <w:iCs/>
                  <w:noProof/>
                </w:rPr>
                <w:t>British journal of health psychology, 13</w:t>
              </w:r>
              <w:r>
                <w:rPr>
                  <w:noProof/>
                </w:rPr>
                <w:t>(2), 195-204. https://doi.org/10.1348/135910708X295604</w:t>
              </w:r>
            </w:p>
            <w:p w14:paraId="462279E7" w14:textId="77777777" w:rsidR="005E305C" w:rsidRDefault="005E305C" w:rsidP="005E305C">
              <w:pPr>
                <w:pStyle w:val="Bibliography"/>
                <w:ind w:left="720" w:hanging="720"/>
                <w:rPr>
                  <w:noProof/>
                </w:rPr>
              </w:pPr>
              <w:r>
                <w:rPr>
                  <w:noProof/>
                </w:rPr>
                <w:t xml:space="preserve">Merikangas, K. R., Ames, M., Cui, L., Stang, P. E., Ustun, T. B., Von Korff, M., &amp; Kessler, R. C. (2007). The impact of comorbidity of mental and physical conditions on role disability in the US adult household population. </w:t>
              </w:r>
              <w:r>
                <w:rPr>
                  <w:i/>
                  <w:iCs/>
                  <w:noProof/>
                </w:rPr>
                <w:t>Archives of general psychiatry, 64</w:t>
              </w:r>
              <w:r>
                <w:rPr>
                  <w:noProof/>
                </w:rPr>
                <w:t>(10), 1180-1188. https://doi.org/10.1001/archpsyc.64.10.1180</w:t>
              </w:r>
            </w:p>
            <w:p w14:paraId="33AB7094" w14:textId="77777777" w:rsidR="005E305C" w:rsidRDefault="005E305C" w:rsidP="005E305C">
              <w:pPr>
                <w:pStyle w:val="Bibliography"/>
                <w:ind w:left="720" w:hanging="720"/>
                <w:rPr>
                  <w:noProof/>
                </w:rPr>
              </w:pPr>
              <w:r>
                <w:rPr>
                  <w:noProof/>
                </w:rPr>
                <w:t xml:space="preserve">Moss-Morris, R., Weinman, J., Petrie, K., Horne, R., Cameron, L., &amp; Buick, D. (2002). The revised illness perception questionnaire (IPQ-R). </w:t>
              </w:r>
              <w:r>
                <w:rPr>
                  <w:i/>
                  <w:iCs/>
                  <w:noProof/>
                </w:rPr>
                <w:t>Psychology and health, 17</w:t>
              </w:r>
              <w:r>
                <w:rPr>
                  <w:noProof/>
                </w:rPr>
                <w:t>(1), 1-16. https://doi.org/10.1080/08870440290001494</w:t>
              </w:r>
            </w:p>
            <w:p w14:paraId="530AB98D" w14:textId="77777777" w:rsidR="005E305C" w:rsidRDefault="005E305C" w:rsidP="005E305C">
              <w:pPr>
                <w:pStyle w:val="Bibliography"/>
                <w:ind w:left="720" w:hanging="720"/>
                <w:rPr>
                  <w:noProof/>
                </w:rPr>
              </w:pPr>
              <w:r>
                <w:rPr>
                  <w:noProof/>
                </w:rPr>
                <w:lastRenderedPageBreak/>
                <w:t xml:space="preserve">Mulder, B. C., de Bruin, M., Schreurs, H., van Ameijden, E. J., &amp; van Woerkum, C. M. (2011). Stressors and resources mediate the association of socioeconomic position with health behaviours. </w:t>
              </w:r>
              <w:r>
                <w:rPr>
                  <w:i/>
                  <w:iCs/>
                  <w:noProof/>
                </w:rPr>
                <w:t>BMC public health, 11</w:t>
              </w:r>
              <w:r>
                <w:rPr>
                  <w:noProof/>
                </w:rPr>
                <w:t>, 1-10. https://doi.org/10.1186/1471-2458-11-798</w:t>
              </w:r>
            </w:p>
            <w:p w14:paraId="5D7D439E" w14:textId="77777777" w:rsidR="005E305C" w:rsidRDefault="005E305C" w:rsidP="005E305C">
              <w:pPr>
                <w:pStyle w:val="Bibliography"/>
                <w:ind w:left="720" w:hanging="720"/>
                <w:rPr>
                  <w:noProof/>
                </w:rPr>
              </w:pPr>
              <w:r>
                <w:rPr>
                  <w:noProof/>
                </w:rPr>
                <w:t xml:space="preserve">Ngetich, E., Pateekhum, C., Hashmi, A., Nadal, I. P., Pinyopornpanish, K., English, M., &amp; Angkurawaranon, C. (2022). Illness perceptions, self-care practices, and glycemic control among type 2 diabetes patients in Chiang Mai, Thailand. </w:t>
              </w:r>
              <w:r>
                <w:rPr>
                  <w:i/>
                  <w:iCs/>
                  <w:noProof/>
                </w:rPr>
                <w:t>Archives of Public Health, 80</w:t>
              </w:r>
              <w:r>
                <w:rPr>
                  <w:noProof/>
                </w:rPr>
                <w:t>(1), 134. https://doi.org/10.1186/s13690-022-00888-1</w:t>
              </w:r>
            </w:p>
            <w:p w14:paraId="2997E5BB" w14:textId="77777777" w:rsidR="005E305C" w:rsidRDefault="005E305C" w:rsidP="005E305C">
              <w:pPr>
                <w:pStyle w:val="Bibliography"/>
                <w:ind w:left="720" w:hanging="720"/>
                <w:rPr>
                  <w:noProof/>
                </w:rPr>
              </w:pPr>
              <w:r>
                <w:rPr>
                  <w:noProof/>
                </w:rPr>
                <w:t xml:space="preserve">Nisbett, R. E., &amp; Wilson, T. D. (1977). Telling more than we can know: Verbal reports on mental processes. </w:t>
              </w:r>
              <w:r>
                <w:rPr>
                  <w:i/>
                  <w:iCs/>
                  <w:noProof/>
                </w:rPr>
                <w:t>Psychological review, 84</w:t>
              </w:r>
              <w:r>
                <w:rPr>
                  <w:noProof/>
                </w:rPr>
                <w:t>(3), 231. https://doi.org/10.1037/0033-295X.84.3.231</w:t>
              </w:r>
            </w:p>
            <w:p w14:paraId="43550EE6" w14:textId="77777777" w:rsidR="005E305C" w:rsidRDefault="005E305C" w:rsidP="005E305C">
              <w:pPr>
                <w:pStyle w:val="Bibliography"/>
                <w:ind w:left="720" w:hanging="720"/>
                <w:rPr>
                  <w:noProof/>
                </w:rPr>
              </w:pPr>
              <w:r>
                <w:rPr>
                  <w:noProof/>
                </w:rPr>
                <w:t xml:space="preserve">O’Connell, J. M., &amp; Manson, S. M. (2019). Understanding the economic costs of diabetes and prediabetes and what we may learn about reducing the health and economic burden of these conditions. </w:t>
              </w:r>
              <w:r>
                <w:rPr>
                  <w:i/>
                  <w:iCs/>
                  <w:noProof/>
                </w:rPr>
                <w:t>Diabetes Care, 42</w:t>
              </w:r>
              <w:r>
                <w:rPr>
                  <w:noProof/>
                </w:rPr>
                <w:t>(9), 1609. https://doi.org/10.2337/dci19-0017</w:t>
              </w:r>
            </w:p>
            <w:p w14:paraId="312970D6" w14:textId="77777777" w:rsidR="005E305C" w:rsidRDefault="005E305C" w:rsidP="005E305C">
              <w:pPr>
                <w:pStyle w:val="Bibliography"/>
                <w:ind w:left="720" w:hanging="720"/>
                <w:rPr>
                  <w:noProof/>
                </w:rPr>
              </w:pPr>
              <w:r>
                <w:rPr>
                  <w:noProof/>
                </w:rPr>
                <w:t>Paiva, D., Abreu, L., Azevedo, A., &amp; Silva, S. (2019). Patient</w:t>
              </w:r>
              <w:r>
                <w:rPr>
                  <w:rFonts w:ascii="Cambria Math" w:hAnsi="Cambria Math" w:cs="Cambria Math"/>
                  <w:noProof/>
                </w:rPr>
                <w:t>‐</w:t>
              </w:r>
              <w:r>
                <w:rPr>
                  <w:noProof/>
                </w:rPr>
                <w:t xml:space="preserve">centered communication in type 2 diabetes: The facilitating and constraining factors in clinical encounters. </w:t>
              </w:r>
              <w:r>
                <w:rPr>
                  <w:i/>
                  <w:iCs/>
                  <w:noProof/>
                </w:rPr>
                <w:t>Health services research, 54</w:t>
              </w:r>
              <w:r>
                <w:rPr>
                  <w:noProof/>
                </w:rPr>
                <w:t>(3), 623-635. https://doi.org/10.1111/1475-6773.13126</w:t>
              </w:r>
            </w:p>
            <w:p w14:paraId="1DDA8F12" w14:textId="77777777" w:rsidR="005E305C" w:rsidRDefault="005E305C" w:rsidP="005E305C">
              <w:pPr>
                <w:pStyle w:val="Bibliography"/>
                <w:ind w:left="720" w:hanging="720"/>
                <w:rPr>
                  <w:noProof/>
                </w:rPr>
              </w:pPr>
              <w:r>
                <w:rPr>
                  <w:noProof/>
                </w:rPr>
                <w:t xml:space="preserve">Park, S., &amp; Seo, Y. (2022). The relationships among health literacy, illness perception, and diabetes self-care in Korean-speaking immigrants with diabetes. </w:t>
              </w:r>
              <w:r>
                <w:rPr>
                  <w:i/>
                  <w:iCs/>
                  <w:noProof/>
                </w:rPr>
                <w:t>Clinical Nursing Research, 31</w:t>
              </w:r>
              <w:r>
                <w:rPr>
                  <w:noProof/>
                </w:rPr>
                <w:t>(7), 1234-1240. https://doi.org/10.1177/10547738221082230</w:t>
              </w:r>
            </w:p>
            <w:p w14:paraId="64AF6A65" w14:textId="77777777" w:rsidR="005E305C" w:rsidRDefault="005E305C" w:rsidP="005E305C">
              <w:pPr>
                <w:pStyle w:val="Bibliography"/>
                <w:ind w:left="720" w:hanging="720"/>
                <w:rPr>
                  <w:noProof/>
                </w:rPr>
              </w:pPr>
              <w:r>
                <w:rPr>
                  <w:noProof/>
                </w:rPr>
                <w:t xml:space="preserve">Petrie, K. J., Jago, L. A., &amp; Devcich, D. A. (2007). The role of illness perceptions in patients with medical conditions. </w:t>
              </w:r>
              <w:r>
                <w:rPr>
                  <w:i/>
                  <w:iCs/>
                  <w:noProof/>
                </w:rPr>
                <w:t>Current opinion in psychiatry, 20</w:t>
              </w:r>
              <w:r>
                <w:rPr>
                  <w:noProof/>
                </w:rPr>
                <w:t>(2), 163-167. https://doi.org/10.1097/YCO.0b013e328014a871</w:t>
              </w:r>
            </w:p>
            <w:p w14:paraId="3891A21F" w14:textId="77777777" w:rsidR="005E305C" w:rsidRDefault="005E305C" w:rsidP="005E305C">
              <w:pPr>
                <w:pStyle w:val="Bibliography"/>
                <w:ind w:left="720" w:hanging="720"/>
                <w:rPr>
                  <w:noProof/>
                </w:rPr>
              </w:pPr>
              <w:r>
                <w:rPr>
                  <w:noProof/>
                </w:rPr>
                <w:t xml:space="preserve">Polly, R. K. (1992). Diabetes health beliefs, self-care behaviors, and glycemic control among older adults with non-insulin-dependent diabetes mellitus. </w:t>
              </w:r>
              <w:r>
                <w:rPr>
                  <w:i/>
                  <w:iCs/>
                  <w:noProof/>
                </w:rPr>
                <w:t>The Diabetes Educator, 18</w:t>
              </w:r>
              <w:r>
                <w:rPr>
                  <w:noProof/>
                </w:rPr>
                <w:t>(4), 321-327. https://doi.org/10.1177/014572179201800411</w:t>
              </w:r>
            </w:p>
            <w:p w14:paraId="46055BA6" w14:textId="77777777" w:rsidR="005E305C" w:rsidRDefault="005E305C" w:rsidP="005E305C">
              <w:pPr>
                <w:pStyle w:val="Bibliography"/>
                <w:ind w:left="720" w:hanging="720"/>
                <w:rPr>
                  <w:noProof/>
                </w:rPr>
              </w:pPr>
              <w:r>
                <w:rPr>
                  <w:noProof/>
                </w:rPr>
                <w:t xml:space="preserve">Poole, L., &amp; Hackett, R. A. (2024). Diabetes distress: The psychological burden of living with diabetes. </w:t>
              </w:r>
              <w:r>
                <w:rPr>
                  <w:i/>
                  <w:iCs/>
                  <w:noProof/>
                </w:rPr>
                <w:t>The Lancet Diabetes &amp; Endocrinology, 12</w:t>
              </w:r>
              <w:r>
                <w:rPr>
                  <w:noProof/>
                </w:rPr>
                <w:t>(7), 439-441. https://doi.org/10.1016/S2213-8587(24)00126-8</w:t>
              </w:r>
            </w:p>
            <w:p w14:paraId="5699C7B8" w14:textId="77777777" w:rsidR="005E305C" w:rsidRDefault="005E305C" w:rsidP="005E305C">
              <w:pPr>
                <w:pStyle w:val="Bibliography"/>
                <w:ind w:left="720" w:hanging="720"/>
                <w:rPr>
                  <w:noProof/>
                </w:rPr>
              </w:pPr>
              <w:r>
                <w:rPr>
                  <w:noProof/>
                </w:rPr>
                <w:t xml:space="preserve">Rosenstock, I. M. (1966). Why people use health services. </w:t>
              </w:r>
              <w:r>
                <w:rPr>
                  <w:i/>
                  <w:iCs/>
                  <w:noProof/>
                </w:rPr>
                <w:t>The milbank memorial fund quarterly, 44</w:t>
              </w:r>
              <w:r>
                <w:rPr>
                  <w:noProof/>
                </w:rPr>
                <w:t>(3), 94-127. https://doi.org/10.2307/3348967</w:t>
              </w:r>
            </w:p>
            <w:p w14:paraId="648FC492" w14:textId="77777777" w:rsidR="005E305C" w:rsidRDefault="005E305C" w:rsidP="005E305C">
              <w:pPr>
                <w:pStyle w:val="Bibliography"/>
                <w:ind w:left="720" w:hanging="720"/>
                <w:rPr>
                  <w:noProof/>
                </w:rPr>
              </w:pPr>
              <w:r>
                <w:rPr>
                  <w:noProof/>
                </w:rPr>
                <w:lastRenderedPageBreak/>
                <w:t xml:space="preserve">Rosenstock, I. M. (1974). The health belief model and preventive health behavior. </w:t>
              </w:r>
              <w:r>
                <w:rPr>
                  <w:i/>
                  <w:iCs/>
                  <w:noProof/>
                </w:rPr>
                <w:t>Health education monographs, 2</w:t>
              </w:r>
              <w:r>
                <w:rPr>
                  <w:noProof/>
                </w:rPr>
                <w:t>(4), 354-386. https://doi.org/10.1177/109019817400200405</w:t>
              </w:r>
            </w:p>
            <w:p w14:paraId="7A74F000" w14:textId="77777777" w:rsidR="005E305C" w:rsidRDefault="005E305C" w:rsidP="005E305C">
              <w:pPr>
                <w:pStyle w:val="Bibliography"/>
                <w:ind w:left="720" w:hanging="720"/>
                <w:rPr>
                  <w:noProof/>
                </w:rPr>
              </w:pPr>
              <w:r>
                <w:rPr>
                  <w:noProof/>
                </w:rPr>
                <w:t xml:space="preserve">Saudi, R. A., Abbas, R. A., Nour-Eldein, H., &amp; Sayed Ahmed, H. A. (2022). Illness perception, medication adherence and glycemic control among primary health-care patients with type 2 diabetes mellitus at Port Said City, Egypt. </w:t>
              </w:r>
              <w:r>
                <w:rPr>
                  <w:i/>
                  <w:iCs/>
                  <w:noProof/>
                </w:rPr>
                <w:t>Diabetology international, 13</w:t>
              </w:r>
              <w:r>
                <w:rPr>
                  <w:noProof/>
                </w:rPr>
                <w:t>(3), 522-530. https://doi.org/10.1007/s13340-021-00567-6</w:t>
              </w:r>
            </w:p>
            <w:p w14:paraId="73281D78" w14:textId="77777777" w:rsidR="005E305C" w:rsidRDefault="005E305C" w:rsidP="005E305C">
              <w:pPr>
                <w:pStyle w:val="Bibliography"/>
                <w:ind w:left="720" w:hanging="720"/>
                <w:rPr>
                  <w:noProof/>
                </w:rPr>
              </w:pPr>
              <w:r>
                <w:rPr>
                  <w:noProof/>
                </w:rPr>
                <w:t xml:space="preserve">Shahin, W., Kennedy, G. A., &amp; Stupans, I. (2019). The impact of personal and cultural beliefs on medication adherence of patients with chronic illnesses: a systematic review. </w:t>
              </w:r>
              <w:r>
                <w:rPr>
                  <w:i/>
                  <w:iCs/>
                  <w:noProof/>
                </w:rPr>
                <w:t>Patient preference and adherence, 13</w:t>
              </w:r>
              <w:r>
                <w:rPr>
                  <w:noProof/>
                </w:rPr>
                <w:t>, 1019-1035. https://doi.org/10.2147/PPA.S212046</w:t>
              </w:r>
            </w:p>
            <w:p w14:paraId="64FF6CF8" w14:textId="77777777" w:rsidR="005E305C" w:rsidRDefault="005E305C" w:rsidP="005E305C">
              <w:pPr>
                <w:pStyle w:val="Bibliography"/>
                <w:ind w:left="720" w:hanging="720"/>
                <w:rPr>
                  <w:noProof/>
                </w:rPr>
              </w:pPr>
              <w:r>
                <w:rPr>
                  <w:noProof/>
                </w:rPr>
                <w:t xml:space="preserve">Świątoniowska-Lonc, N., Polański, J., Tański, W., &amp; Jankowska-Polańska, B. (2020). Impact of satisfaction with physician–patient communication on self-care and adherence in patients with hypertension: cross-sectional study. </w:t>
              </w:r>
              <w:r>
                <w:rPr>
                  <w:i/>
                  <w:iCs/>
                  <w:noProof/>
                </w:rPr>
                <w:t>BMC health services research, 20</w:t>
              </w:r>
              <w:r>
                <w:rPr>
                  <w:noProof/>
                </w:rPr>
                <w:t>, 1-9. https://doi.org/10.1186/s12913-020-05912-0</w:t>
              </w:r>
            </w:p>
            <w:p w14:paraId="360440FC" w14:textId="77777777" w:rsidR="005E305C" w:rsidRDefault="005E305C" w:rsidP="005E305C">
              <w:pPr>
                <w:pStyle w:val="Bibliography"/>
                <w:ind w:left="720" w:hanging="720"/>
                <w:rPr>
                  <w:noProof/>
                </w:rPr>
              </w:pPr>
              <w:r>
                <w:rPr>
                  <w:noProof/>
                </w:rPr>
                <w:t xml:space="preserve">Szkody, E., &amp; McKinney, C. (2019). Stress-buffering effects of social support on depressive problems: Perceived vs. received support and moderation by parental depression. </w:t>
              </w:r>
              <w:r>
                <w:rPr>
                  <w:i/>
                  <w:iCs/>
                  <w:noProof/>
                </w:rPr>
                <w:t>Journal of Child and Family Studies, 28</w:t>
              </w:r>
              <w:r>
                <w:rPr>
                  <w:noProof/>
                </w:rPr>
                <w:t>, 2209-2219. https://doi.org/10.1007/s10826-019-01437-1</w:t>
              </w:r>
            </w:p>
            <w:p w14:paraId="5C3DC3AF" w14:textId="77777777" w:rsidR="005E305C" w:rsidRDefault="005E305C" w:rsidP="005E305C">
              <w:pPr>
                <w:pStyle w:val="Bibliography"/>
                <w:ind w:left="720" w:hanging="720"/>
                <w:rPr>
                  <w:noProof/>
                </w:rPr>
              </w:pPr>
              <w:r>
                <w:rPr>
                  <w:noProof/>
                </w:rPr>
                <w:t xml:space="preserve">Tsai, M. C., Chuang, H. L., Huang, C. Y., Lee, S. H., Liao, W. C., Lee, M. C., &amp; Kuo, C. P. (2021). Exploring the relationship of health beliefs and self-care behaviors related to diabetic foot ulcers of type II diabetes mellitus patients: A cross-sectional study. </w:t>
              </w:r>
              <w:r>
                <w:rPr>
                  <w:i/>
                  <w:iCs/>
                  <w:noProof/>
                </w:rPr>
                <w:t>International Journal of Environmental Research and Public Health, 18</w:t>
              </w:r>
              <w:r>
                <w:rPr>
                  <w:noProof/>
                </w:rPr>
                <w:t>(13), 7207. https://doi.org/10.3390/ijerph18137207</w:t>
              </w:r>
            </w:p>
            <w:p w14:paraId="4888FCFF" w14:textId="77777777" w:rsidR="005E305C" w:rsidRDefault="005E305C" w:rsidP="005E305C">
              <w:pPr>
                <w:pStyle w:val="Bibliography"/>
                <w:ind w:left="720" w:hanging="720"/>
                <w:rPr>
                  <w:noProof/>
                </w:rPr>
              </w:pPr>
              <w:r>
                <w:rPr>
                  <w:noProof/>
                </w:rPr>
                <w:t xml:space="preserve">Walker, R. J., Smalls, B. L., Hernandez-Tejada, M. A., Campbell, J. A., Davis, K. S., &amp; Egede, L. E. (2012). Effect of diabetes fatalism on medication adherence and self-care behaviors in adults with diabetes. </w:t>
              </w:r>
              <w:r>
                <w:rPr>
                  <w:i/>
                  <w:iCs/>
                  <w:noProof/>
                </w:rPr>
                <w:t>General hospital psychiatry, 34</w:t>
              </w:r>
              <w:r>
                <w:rPr>
                  <w:noProof/>
                </w:rPr>
                <w:t>(6), 598-603. https://doi.org/10.1016/j.genhosppsych.2012.07.005</w:t>
              </w:r>
            </w:p>
            <w:p w14:paraId="4A5E961B" w14:textId="77777777" w:rsidR="005E305C" w:rsidRDefault="005E305C" w:rsidP="005E305C">
              <w:pPr>
                <w:pStyle w:val="Bibliography"/>
                <w:ind w:left="720" w:hanging="720"/>
                <w:rPr>
                  <w:noProof/>
                </w:rPr>
              </w:pPr>
              <w:r>
                <w:rPr>
                  <w:noProof/>
                </w:rPr>
                <w:t xml:space="preserve">Wang, J., Yang, Z., Zheng, Y., Peng, Y., Wang, Q., Xia, H., &amp; Zheng, Z. (2021). Effects of illness perceptions on health-related quality of life in patients with rheumatoid arthritis in China. </w:t>
              </w:r>
              <w:r>
                <w:rPr>
                  <w:i/>
                  <w:iCs/>
                  <w:noProof/>
                </w:rPr>
                <w:t>Health and quality of life outcomes, 19</w:t>
              </w:r>
              <w:r>
                <w:rPr>
                  <w:noProof/>
                </w:rPr>
                <w:t>, 1-11. https://doi.org/10.1186/s12955-021-01770-4</w:t>
              </w:r>
            </w:p>
            <w:p w14:paraId="29B170FD" w14:textId="77777777" w:rsidR="005E305C" w:rsidRDefault="005E305C" w:rsidP="005E305C">
              <w:pPr>
                <w:pStyle w:val="Bibliography"/>
                <w:ind w:left="720" w:hanging="720"/>
                <w:rPr>
                  <w:noProof/>
                </w:rPr>
              </w:pPr>
              <w:r>
                <w:rPr>
                  <w:noProof/>
                </w:rPr>
                <w:t xml:space="preserve">Weinman, J., Petrie, K. J., Moss-Morris, R., &amp; Horne, R. (1996). The illness perception questionnaire: a new method for assessing the cognitive representation of illness. </w:t>
              </w:r>
              <w:r>
                <w:rPr>
                  <w:i/>
                  <w:iCs/>
                  <w:noProof/>
                </w:rPr>
                <w:lastRenderedPageBreak/>
                <w:t>Psychology and health, 11</w:t>
              </w:r>
              <w:r>
                <w:rPr>
                  <w:noProof/>
                </w:rPr>
                <w:t>(3), 431-445. https://doi.org/10.1080/08870449608400270</w:t>
              </w:r>
            </w:p>
            <w:p w14:paraId="174851F6" w14:textId="77777777" w:rsidR="005E305C" w:rsidRDefault="005E305C" w:rsidP="005E305C">
              <w:pPr>
                <w:pStyle w:val="Bibliography"/>
                <w:ind w:left="720" w:hanging="720"/>
                <w:rPr>
                  <w:noProof/>
                </w:rPr>
              </w:pPr>
              <w:r>
                <w:rPr>
                  <w:noProof/>
                </w:rPr>
                <w:t xml:space="preserve">Xin, M., Chan, V. W., Kong, A. P., Lau, J. T., Cameron, L. D., Mak, W. W., &amp; Mo, P. K. (2023). Using the common-sense model to explicate the role of illness representation in self-care behaviours and anxiety symptoms among patients with Type 2 diabetes. </w:t>
              </w:r>
              <w:r>
                <w:rPr>
                  <w:i/>
                  <w:iCs/>
                  <w:noProof/>
                </w:rPr>
                <w:t>Patient education and counseling, 107</w:t>
              </w:r>
              <w:r>
                <w:rPr>
                  <w:noProof/>
                </w:rPr>
                <w:t>, 107581. https://doi.org/10.1016/j.pec.2022.107581</w:t>
              </w:r>
            </w:p>
            <w:p w14:paraId="4C7CF8BF" w14:textId="77777777" w:rsidR="005E305C" w:rsidRDefault="005E305C" w:rsidP="005E305C">
              <w:pPr>
                <w:pStyle w:val="Bibliography"/>
                <w:ind w:left="720" w:hanging="720"/>
                <w:rPr>
                  <w:noProof/>
                </w:rPr>
              </w:pPr>
              <w:r>
                <w:rPr>
                  <w:noProof/>
                </w:rPr>
                <w:t xml:space="preserve">Yao, M., Zhou, X. Y., Xu, Z. J., Lehman, R., Haroon, S., Jackson, D., &amp; Cheng, K. K. (2021). The impact of training healthcare professionals’ communication skills on the clinical care of diabetes and hypertension: a systematic review and meta-analysis. </w:t>
              </w:r>
              <w:r>
                <w:rPr>
                  <w:i/>
                  <w:iCs/>
                  <w:noProof/>
                </w:rPr>
                <w:t>BMC Family Practice, 22</w:t>
              </w:r>
              <w:r>
                <w:rPr>
                  <w:noProof/>
                </w:rPr>
                <w:t>, 1-23. https://doi.org/10.1186/s12875-021-01504-x</w:t>
              </w:r>
            </w:p>
            <w:p w14:paraId="715FA1EF" w14:textId="77777777" w:rsidR="005E305C" w:rsidRDefault="005E305C" w:rsidP="005E305C">
              <w:pPr>
                <w:pStyle w:val="Bibliography"/>
                <w:ind w:left="720" w:hanging="720"/>
                <w:rPr>
                  <w:noProof/>
                </w:rPr>
              </w:pPr>
              <w:r>
                <w:rPr>
                  <w:noProof/>
                </w:rPr>
                <w:t xml:space="preserve">Yeom, J. W., Yeom, I. S., Park, H. Y., &amp; Lim, S. H. (2022). Cultural factors affecting the self-care of cancer survivors: An integrative review. </w:t>
              </w:r>
              <w:r>
                <w:rPr>
                  <w:i/>
                  <w:iCs/>
                  <w:noProof/>
                </w:rPr>
                <w:t>European Journal of Oncology Nursing, 59</w:t>
              </w:r>
              <w:r>
                <w:rPr>
                  <w:noProof/>
                </w:rPr>
                <w:t>, 102165. https://doi.org/10.1016/j.ejon.2022.102165</w:t>
              </w:r>
            </w:p>
            <w:p w14:paraId="7CD432E6" w14:textId="3F66EEB4" w:rsidR="005E305C" w:rsidRDefault="005E305C" w:rsidP="005E305C">
              <w:pPr>
                <w:pStyle w:val="Bibliography"/>
                <w:ind w:left="720" w:hanging="720"/>
                <w:rPr>
                  <w:noProof/>
                </w:rPr>
              </w:pPr>
              <w:r>
                <w:rPr>
                  <w:noProof/>
                </w:rPr>
                <w:t xml:space="preserve">Zhang, H., Chen, D., Zou, P., Shao, J., Wu, J., Cui, N., &amp; Ye, Z. (2023). The integrated common-sense model of illness self-regulation: predicting healthy eating, exercise behaviors, and health among individuals at risk of metabolic syndrome. </w:t>
              </w:r>
              <w:r>
                <w:rPr>
                  <w:i/>
                  <w:iCs/>
                  <w:noProof/>
                </w:rPr>
                <w:t>BMC public health, 23</w:t>
              </w:r>
              <w:r>
                <w:rPr>
                  <w:noProof/>
                </w:rPr>
                <w:t>(1), 1486. https://doi.org/10.1186/s12889-023-16403-2</w:t>
              </w:r>
            </w:p>
            <w:p w14:paraId="73B1A31A" w14:textId="77777777" w:rsidR="005E305C" w:rsidRDefault="005E305C" w:rsidP="005E305C">
              <w:pPr>
                <w:pStyle w:val="Bibliography"/>
                <w:ind w:left="720" w:hanging="720"/>
                <w:rPr>
                  <w:noProof/>
                </w:rPr>
              </w:pPr>
              <w:r>
                <w:rPr>
                  <w:noProof/>
                </w:rPr>
                <w:t xml:space="preserve">Zolnierek, K. B., &amp; DiMatteo, M. R. (2009). Physician communication and patient adherence to treatment: a meta-analysis. </w:t>
              </w:r>
              <w:r>
                <w:rPr>
                  <w:i/>
                  <w:iCs/>
                  <w:noProof/>
                </w:rPr>
                <w:t>Medical care, 47</w:t>
              </w:r>
              <w:r>
                <w:rPr>
                  <w:noProof/>
                </w:rPr>
                <w:t>(8), 826-834. https://doi.org/10.1097/MLR.0b013e31819a5acc</w:t>
              </w:r>
            </w:p>
            <w:p w14:paraId="0FCDCF37" w14:textId="16DA01B4" w:rsidR="008145FE" w:rsidRPr="002A29D6" w:rsidRDefault="008145FE" w:rsidP="005E305C">
              <w:pPr>
                <w:rPr>
                  <w:rFonts w:ascii="Calibri" w:hAnsi="Calibri" w:cs="Calibri"/>
                </w:rPr>
              </w:pPr>
              <w:r w:rsidRPr="002A29D6">
                <w:rPr>
                  <w:rFonts w:ascii="Calibri" w:hAnsi="Calibri" w:cs="Calibri"/>
                  <w:b/>
                  <w:bCs/>
                  <w:noProof/>
                </w:rPr>
                <w:fldChar w:fldCharType="end"/>
              </w:r>
            </w:p>
          </w:sdtContent>
        </w:sdt>
      </w:sdtContent>
    </w:sdt>
    <w:p w14:paraId="7EBF21DD" w14:textId="77777777" w:rsidR="00793C81" w:rsidRPr="002A29D6" w:rsidRDefault="00793C81" w:rsidP="00793C81">
      <w:pPr>
        <w:rPr>
          <w:rFonts w:ascii="Calibri" w:hAnsi="Calibri" w:cs="Calibri"/>
        </w:rPr>
      </w:pPr>
    </w:p>
    <w:sectPr w:rsidR="00793C81" w:rsidRPr="002A29D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1EA9B" w14:textId="77777777" w:rsidR="00F07868" w:rsidRDefault="00F07868" w:rsidP="001015F8">
      <w:pPr>
        <w:spacing w:after="0" w:line="240" w:lineRule="auto"/>
      </w:pPr>
      <w:r>
        <w:separator/>
      </w:r>
    </w:p>
  </w:endnote>
  <w:endnote w:type="continuationSeparator" w:id="0">
    <w:p w14:paraId="0A3C19CB" w14:textId="77777777" w:rsidR="00F07868" w:rsidRDefault="00F07868" w:rsidP="00101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4306770"/>
      <w:docPartObj>
        <w:docPartGallery w:val="Page Numbers (Bottom of Page)"/>
        <w:docPartUnique/>
      </w:docPartObj>
    </w:sdtPr>
    <w:sdtEndPr>
      <w:rPr>
        <w:noProof/>
      </w:rPr>
    </w:sdtEndPr>
    <w:sdtContent>
      <w:p w14:paraId="7F44BE5E" w14:textId="36BC6175" w:rsidR="001015F8" w:rsidRDefault="001015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D37DC7" w14:textId="77777777" w:rsidR="001015F8" w:rsidRDefault="00101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5BA6F" w14:textId="77777777" w:rsidR="00F07868" w:rsidRDefault="00F07868" w:rsidP="001015F8">
      <w:pPr>
        <w:spacing w:after="0" w:line="240" w:lineRule="auto"/>
      </w:pPr>
      <w:r>
        <w:separator/>
      </w:r>
    </w:p>
  </w:footnote>
  <w:footnote w:type="continuationSeparator" w:id="0">
    <w:p w14:paraId="54F27525" w14:textId="77777777" w:rsidR="00F07868" w:rsidRDefault="00F07868" w:rsidP="001015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228D4"/>
    <w:multiLevelType w:val="multilevel"/>
    <w:tmpl w:val="FEAE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80BF7"/>
    <w:multiLevelType w:val="multilevel"/>
    <w:tmpl w:val="7B9EC2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113AB"/>
    <w:multiLevelType w:val="multilevel"/>
    <w:tmpl w:val="7E947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93222"/>
    <w:multiLevelType w:val="multilevel"/>
    <w:tmpl w:val="DEAC2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215358"/>
    <w:multiLevelType w:val="multilevel"/>
    <w:tmpl w:val="304AE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3285D"/>
    <w:multiLevelType w:val="multilevel"/>
    <w:tmpl w:val="454026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A14E48"/>
    <w:multiLevelType w:val="multilevel"/>
    <w:tmpl w:val="B48AA2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A97FA6"/>
    <w:multiLevelType w:val="multilevel"/>
    <w:tmpl w:val="92FA1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327748"/>
    <w:multiLevelType w:val="multilevel"/>
    <w:tmpl w:val="CC48A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030606"/>
    <w:multiLevelType w:val="multilevel"/>
    <w:tmpl w:val="9A02CD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2C3055"/>
    <w:multiLevelType w:val="multilevel"/>
    <w:tmpl w:val="B4F011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3933CF"/>
    <w:multiLevelType w:val="multilevel"/>
    <w:tmpl w:val="9B267E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A66DFA"/>
    <w:multiLevelType w:val="multilevel"/>
    <w:tmpl w:val="9806C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2470A"/>
    <w:multiLevelType w:val="multilevel"/>
    <w:tmpl w:val="F7CE4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83322B"/>
    <w:multiLevelType w:val="multilevel"/>
    <w:tmpl w:val="C84A3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3D7E7D"/>
    <w:multiLevelType w:val="multilevel"/>
    <w:tmpl w:val="91B20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1D1E78"/>
    <w:multiLevelType w:val="multilevel"/>
    <w:tmpl w:val="20D4C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7305CD"/>
    <w:multiLevelType w:val="multilevel"/>
    <w:tmpl w:val="693820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0B52A3"/>
    <w:multiLevelType w:val="multilevel"/>
    <w:tmpl w:val="F92A6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EE5BA5"/>
    <w:multiLevelType w:val="multilevel"/>
    <w:tmpl w:val="2470641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19286A"/>
    <w:multiLevelType w:val="hybridMultilevel"/>
    <w:tmpl w:val="A3847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233855"/>
    <w:multiLevelType w:val="multilevel"/>
    <w:tmpl w:val="B39036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D15CEB"/>
    <w:multiLevelType w:val="multilevel"/>
    <w:tmpl w:val="C6CA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535A6A"/>
    <w:multiLevelType w:val="multilevel"/>
    <w:tmpl w:val="ABBCDF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790CF1"/>
    <w:multiLevelType w:val="multilevel"/>
    <w:tmpl w:val="63CE6A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2331FB"/>
    <w:multiLevelType w:val="multilevel"/>
    <w:tmpl w:val="693A6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137D91"/>
    <w:multiLevelType w:val="multilevel"/>
    <w:tmpl w:val="FE1638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061109"/>
    <w:multiLevelType w:val="multilevel"/>
    <w:tmpl w:val="8528F0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BB5450"/>
    <w:multiLevelType w:val="multilevel"/>
    <w:tmpl w:val="739A6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1630869">
    <w:abstractNumId w:val="28"/>
  </w:num>
  <w:num w:numId="2" w16cid:durableId="1796219762">
    <w:abstractNumId w:val="8"/>
  </w:num>
  <w:num w:numId="3" w16cid:durableId="350379007">
    <w:abstractNumId w:val="27"/>
  </w:num>
  <w:num w:numId="4" w16cid:durableId="253439681">
    <w:abstractNumId w:val="0"/>
  </w:num>
  <w:num w:numId="5" w16cid:durableId="1566379481">
    <w:abstractNumId w:val="19"/>
  </w:num>
  <w:num w:numId="6" w16cid:durableId="1467314593">
    <w:abstractNumId w:val="19"/>
    <w:lvlOverride w:ilvl="1">
      <w:lvl w:ilvl="1">
        <w:numFmt w:val="bullet"/>
        <w:lvlText w:val="o"/>
        <w:lvlJc w:val="left"/>
        <w:pPr>
          <w:tabs>
            <w:tab w:val="num" w:pos="1440"/>
          </w:tabs>
          <w:ind w:left="1440" w:hanging="360"/>
        </w:pPr>
        <w:rPr>
          <w:rFonts w:ascii="Courier New" w:hAnsi="Courier New" w:hint="default"/>
          <w:sz w:val="20"/>
        </w:rPr>
      </w:lvl>
    </w:lvlOverride>
  </w:num>
  <w:num w:numId="7" w16cid:durableId="717820883">
    <w:abstractNumId w:val="19"/>
    <w:lvlOverride w:ilvl="1">
      <w:lvl w:ilvl="1">
        <w:numFmt w:val="bullet"/>
        <w:lvlText w:val="o"/>
        <w:lvlJc w:val="left"/>
        <w:pPr>
          <w:tabs>
            <w:tab w:val="num" w:pos="1440"/>
          </w:tabs>
          <w:ind w:left="1440" w:hanging="360"/>
        </w:pPr>
        <w:rPr>
          <w:rFonts w:ascii="Courier New" w:hAnsi="Courier New" w:hint="default"/>
          <w:sz w:val="20"/>
        </w:rPr>
      </w:lvl>
    </w:lvlOverride>
  </w:num>
  <w:num w:numId="8" w16cid:durableId="337662404">
    <w:abstractNumId w:val="14"/>
  </w:num>
  <w:num w:numId="9" w16cid:durableId="1492602408">
    <w:abstractNumId w:val="2"/>
  </w:num>
  <w:num w:numId="10" w16cid:durableId="898518555">
    <w:abstractNumId w:val="5"/>
  </w:num>
  <w:num w:numId="11" w16cid:durableId="1840383615">
    <w:abstractNumId w:val="10"/>
  </w:num>
  <w:num w:numId="12" w16cid:durableId="869223491">
    <w:abstractNumId w:val="21"/>
  </w:num>
  <w:num w:numId="13" w16cid:durableId="487287498">
    <w:abstractNumId w:val="21"/>
    <w:lvlOverride w:ilvl="1">
      <w:lvl w:ilvl="1">
        <w:numFmt w:val="decimal"/>
        <w:lvlText w:val="%2."/>
        <w:lvlJc w:val="left"/>
      </w:lvl>
    </w:lvlOverride>
  </w:num>
  <w:num w:numId="14" w16cid:durableId="1632831400">
    <w:abstractNumId w:val="6"/>
  </w:num>
  <w:num w:numId="15" w16cid:durableId="772163857">
    <w:abstractNumId w:val="23"/>
  </w:num>
  <w:num w:numId="16" w16cid:durableId="45765865">
    <w:abstractNumId w:val="22"/>
  </w:num>
  <w:num w:numId="17" w16cid:durableId="2058580775">
    <w:abstractNumId w:val="12"/>
  </w:num>
  <w:num w:numId="18" w16cid:durableId="1007749584">
    <w:abstractNumId w:val="24"/>
  </w:num>
  <w:num w:numId="19" w16cid:durableId="186451872">
    <w:abstractNumId w:val="4"/>
  </w:num>
  <w:num w:numId="20" w16cid:durableId="1382167492">
    <w:abstractNumId w:val="17"/>
  </w:num>
  <w:num w:numId="21" w16cid:durableId="1643734436">
    <w:abstractNumId w:val="13"/>
  </w:num>
  <w:num w:numId="22" w16cid:durableId="1096905402">
    <w:abstractNumId w:val="3"/>
  </w:num>
  <w:num w:numId="23" w16cid:durableId="1270548601">
    <w:abstractNumId w:val="9"/>
  </w:num>
  <w:num w:numId="24" w16cid:durableId="383066166">
    <w:abstractNumId w:val="18"/>
  </w:num>
  <w:num w:numId="25" w16cid:durableId="1866946441">
    <w:abstractNumId w:val="26"/>
  </w:num>
  <w:num w:numId="26" w16cid:durableId="1209224951">
    <w:abstractNumId w:val="25"/>
  </w:num>
  <w:num w:numId="27" w16cid:durableId="1986347038">
    <w:abstractNumId w:val="11"/>
  </w:num>
  <w:num w:numId="28" w16cid:durableId="825779000">
    <w:abstractNumId w:val="1"/>
  </w:num>
  <w:num w:numId="29" w16cid:durableId="1154879896">
    <w:abstractNumId w:val="15"/>
  </w:num>
  <w:num w:numId="30" w16cid:durableId="1936596480">
    <w:abstractNumId w:val="16"/>
  </w:num>
  <w:num w:numId="31" w16cid:durableId="1122966145">
    <w:abstractNumId w:val="7"/>
  </w:num>
  <w:num w:numId="32" w16cid:durableId="58485942">
    <w:abstractNumId w:val="20"/>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6435EE"/>
    <w:rsid w:val="00002AEA"/>
    <w:rsid w:val="00003639"/>
    <w:rsid w:val="00010BEF"/>
    <w:rsid w:val="00013C94"/>
    <w:rsid w:val="0001709C"/>
    <w:rsid w:val="00023547"/>
    <w:rsid w:val="000440A2"/>
    <w:rsid w:val="00082E27"/>
    <w:rsid w:val="0009770F"/>
    <w:rsid w:val="000B17B2"/>
    <w:rsid w:val="000D1B85"/>
    <w:rsid w:val="000E0E22"/>
    <w:rsid w:val="000E432D"/>
    <w:rsid w:val="000F02C1"/>
    <w:rsid w:val="001015F8"/>
    <w:rsid w:val="00107CCD"/>
    <w:rsid w:val="0011497B"/>
    <w:rsid w:val="001208CB"/>
    <w:rsid w:val="0012668B"/>
    <w:rsid w:val="00127153"/>
    <w:rsid w:val="001351BB"/>
    <w:rsid w:val="001423EA"/>
    <w:rsid w:val="00150E93"/>
    <w:rsid w:val="00155A1E"/>
    <w:rsid w:val="00155D29"/>
    <w:rsid w:val="00156926"/>
    <w:rsid w:val="00177E97"/>
    <w:rsid w:val="00180182"/>
    <w:rsid w:val="001B2CD8"/>
    <w:rsid w:val="001C0201"/>
    <w:rsid w:val="001C22D2"/>
    <w:rsid w:val="00200EDE"/>
    <w:rsid w:val="002052D3"/>
    <w:rsid w:val="00206DBA"/>
    <w:rsid w:val="0021037A"/>
    <w:rsid w:val="002215A3"/>
    <w:rsid w:val="00223D37"/>
    <w:rsid w:val="0022592C"/>
    <w:rsid w:val="002303BC"/>
    <w:rsid w:val="00231D35"/>
    <w:rsid w:val="00256A86"/>
    <w:rsid w:val="00271A02"/>
    <w:rsid w:val="0027661B"/>
    <w:rsid w:val="00286495"/>
    <w:rsid w:val="002A29D6"/>
    <w:rsid w:val="002B0816"/>
    <w:rsid w:val="002D3F0E"/>
    <w:rsid w:val="0030029D"/>
    <w:rsid w:val="00307308"/>
    <w:rsid w:val="00320236"/>
    <w:rsid w:val="00320DDF"/>
    <w:rsid w:val="00320ECF"/>
    <w:rsid w:val="00343C3C"/>
    <w:rsid w:val="003502CF"/>
    <w:rsid w:val="003508AD"/>
    <w:rsid w:val="003747EA"/>
    <w:rsid w:val="00391480"/>
    <w:rsid w:val="0039201F"/>
    <w:rsid w:val="00393F6F"/>
    <w:rsid w:val="003B14C4"/>
    <w:rsid w:val="003B6390"/>
    <w:rsid w:val="003C1924"/>
    <w:rsid w:val="003C65DF"/>
    <w:rsid w:val="003D4FE5"/>
    <w:rsid w:val="003E0939"/>
    <w:rsid w:val="003E1AB7"/>
    <w:rsid w:val="003E7356"/>
    <w:rsid w:val="00412322"/>
    <w:rsid w:val="00412A6B"/>
    <w:rsid w:val="00413E46"/>
    <w:rsid w:val="004177F0"/>
    <w:rsid w:val="00420F8E"/>
    <w:rsid w:val="00436EA1"/>
    <w:rsid w:val="00450EF5"/>
    <w:rsid w:val="004568B8"/>
    <w:rsid w:val="0046034A"/>
    <w:rsid w:val="00466900"/>
    <w:rsid w:val="00466B1B"/>
    <w:rsid w:val="004758DE"/>
    <w:rsid w:val="004762C3"/>
    <w:rsid w:val="00486985"/>
    <w:rsid w:val="00487080"/>
    <w:rsid w:val="004911AF"/>
    <w:rsid w:val="004979E0"/>
    <w:rsid w:val="004A1DB8"/>
    <w:rsid w:val="004A454C"/>
    <w:rsid w:val="004A6AB4"/>
    <w:rsid w:val="004D640A"/>
    <w:rsid w:val="005135EA"/>
    <w:rsid w:val="005156D0"/>
    <w:rsid w:val="005354CF"/>
    <w:rsid w:val="00563791"/>
    <w:rsid w:val="00564925"/>
    <w:rsid w:val="0058550F"/>
    <w:rsid w:val="00591FFB"/>
    <w:rsid w:val="005923E4"/>
    <w:rsid w:val="005937F9"/>
    <w:rsid w:val="00594BB4"/>
    <w:rsid w:val="005951A3"/>
    <w:rsid w:val="00597766"/>
    <w:rsid w:val="005C37EE"/>
    <w:rsid w:val="005C5198"/>
    <w:rsid w:val="005D0726"/>
    <w:rsid w:val="005E0786"/>
    <w:rsid w:val="005E1391"/>
    <w:rsid w:val="005E1653"/>
    <w:rsid w:val="005E305C"/>
    <w:rsid w:val="005E389B"/>
    <w:rsid w:val="005E3F0E"/>
    <w:rsid w:val="005E59A6"/>
    <w:rsid w:val="005F7497"/>
    <w:rsid w:val="00601E60"/>
    <w:rsid w:val="00602441"/>
    <w:rsid w:val="00604BB4"/>
    <w:rsid w:val="00605DDA"/>
    <w:rsid w:val="006241EC"/>
    <w:rsid w:val="00625B87"/>
    <w:rsid w:val="00633719"/>
    <w:rsid w:val="00652536"/>
    <w:rsid w:val="00655771"/>
    <w:rsid w:val="006625F9"/>
    <w:rsid w:val="00663415"/>
    <w:rsid w:val="006636E3"/>
    <w:rsid w:val="006754D3"/>
    <w:rsid w:val="006860C4"/>
    <w:rsid w:val="00686DF7"/>
    <w:rsid w:val="006B1265"/>
    <w:rsid w:val="006B1673"/>
    <w:rsid w:val="006B33D4"/>
    <w:rsid w:val="006F0708"/>
    <w:rsid w:val="006F0F96"/>
    <w:rsid w:val="006F2AFF"/>
    <w:rsid w:val="00701772"/>
    <w:rsid w:val="007047E5"/>
    <w:rsid w:val="00714E0E"/>
    <w:rsid w:val="00715B90"/>
    <w:rsid w:val="0071655F"/>
    <w:rsid w:val="007200CB"/>
    <w:rsid w:val="007213DA"/>
    <w:rsid w:val="00724945"/>
    <w:rsid w:val="00734556"/>
    <w:rsid w:val="007401F3"/>
    <w:rsid w:val="0075250C"/>
    <w:rsid w:val="0076357F"/>
    <w:rsid w:val="00771A91"/>
    <w:rsid w:val="00773108"/>
    <w:rsid w:val="007842CE"/>
    <w:rsid w:val="00787954"/>
    <w:rsid w:val="00787C28"/>
    <w:rsid w:val="00792835"/>
    <w:rsid w:val="00793C81"/>
    <w:rsid w:val="0079404A"/>
    <w:rsid w:val="00797461"/>
    <w:rsid w:val="007A7D22"/>
    <w:rsid w:val="007C6FBD"/>
    <w:rsid w:val="007D3D17"/>
    <w:rsid w:val="007D5E94"/>
    <w:rsid w:val="007E60AD"/>
    <w:rsid w:val="007E6A7D"/>
    <w:rsid w:val="007F6271"/>
    <w:rsid w:val="00805085"/>
    <w:rsid w:val="00810FBC"/>
    <w:rsid w:val="00811A3D"/>
    <w:rsid w:val="00814024"/>
    <w:rsid w:val="008143CB"/>
    <w:rsid w:val="008145FE"/>
    <w:rsid w:val="00821513"/>
    <w:rsid w:val="0082251D"/>
    <w:rsid w:val="008357EE"/>
    <w:rsid w:val="00847DEE"/>
    <w:rsid w:val="00855271"/>
    <w:rsid w:val="0086191C"/>
    <w:rsid w:val="00862C83"/>
    <w:rsid w:val="0086408A"/>
    <w:rsid w:val="00866FBC"/>
    <w:rsid w:val="00870F86"/>
    <w:rsid w:val="00871904"/>
    <w:rsid w:val="008735A8"/>
    <w:rsid w:val="00892260"/>
    <w:rsid w:val="0089294C"/>
    <w:rsid w:val="008929BE"/>
    <w:rsid w:val="0089497C"/>
    <w:rsid w:val="00896C35"/>
    <w:rsid w:val="008A128E"/>
    <w:rsid w:val="008A3C35"/>
    <w:rsid w:val="008A56D9"/>
    <w:rsid w:val="008B2EB8"/>
    <w:rsid w:val="008C0373"/>
    <w:rsid w:val="008F5C97"/>
    <w:rsid w:val="00906139"/>
    <w:rsid w:val="00912C80"/>
    <w:rsid w:val="009257F6"/>
    <w:rsid w:val="0093143C"/>
    <w:rsid w:val="00933131"/>
    <w:rsid w:val="00951706"/>
    <w:rsid w:val="009577BE"/>
    <w:rsid w:val="00962239"/>
    <w:rsid w:val="009631C4"/>
    <w:rsid w:val="00970FDE"/>
    <w:rsid w:val="00990A12"/>
    <w:rsid w:val="009A184D"/>
    <w:rsid w:val="009A3C04"/>
    <w:rsid w:val="009B2940"/>
    <w:rsid w:val="009B5662"/>
    <w:rsid w:val="009B74C6"/>
    <w:rsid w:val="009C18F8"/>
    <w:rsid w:val="009C4DDF"/>
    <w:rsid w:val="009E3E2D"/>
    <w:rsid w:val="009F0DF6"/>
    <w:rsid w:val="00A02BCA"/>
    <w:rsid w:val="00A049BD"/>
    <w:rsid w:val="00A05741"/>
    <w:rsid w:val="00A26AB8"/>
    <w:rsid w:val="00A300A6"/>
    <w:rsid w:val="00A344DA"/>
    <w:rsid w:val="00A35149"/>
    <w:rsid w:val="00A4324D"/>
    <w:rsid w:val="00A5098F"/>
    <w:rsid w:val="00A50D80"/>
    <w:rsid w:val="00A520C5"/>
    <w:rsid w:val="00A56FA5"/>
    <w:rsid w:val="00A662B4"/>
    <w:rsid w:val="00A7099C"/>
    <w:rsid w:val="00A753CF"/>
    <w:rsid w:val="00A81816"/>
    <w:rsid w:val="00AA0BDC"/>
    <w:rsid w:val="00AA34B9"/>
    <w:rsid w:val="00AC11E8"/>
    <w:rsid w:val="00AC2CF8"/>
    <w:rsid w:val="00AD1DEA"/>
    <w:rsid w:val="00AD42D3"/>
    <w:rsid w:val="00AF78B4"/>
    <w:rsid w:val="00B15E60"/>
    <w:rsid w:val="00B224F8"/>
    <w:rsid w:val="00B22AB0"/>
    <w:rsid w:val="00B4587F"/>
    <w:rsid w:val="00B47C03"/>
    <w:rsid w:val="00B505E3"/>
    <w:rsid w:val="00B73955"/>
    <w:rsid w:val="00B9012D"/>
    <w:rsid w:val="00BA34B8"/>
    <w:rsid w:val="00BA3619"/>
    <w:rsid w:val="00BB0CE3"/>
    <w:rsid w:val="00BB5FB3"/>
    <w:rsid w:val="00BB6831"/>
    <w:rsid w:val="00BE3594"/>
    <w:rsid w:val="00BE3DBA"/>
    <w:rsid w:val="00BE3E46"/>
    <w:rsid w:val="00BF572C"/>
    <w:rsid w:val="00C04D07"/>
    <w:rsid w:val="00C067F6"/>
    <w:rsid w:val="00C32763"/>
    <w:rsid w:val="00C4244B"/>
    <w:rsid w:val="00C5439C"/>
    <w:rsid w:val="00C55431"/>
    <w:rsid w:val="00C7384C"/>
    <w:rsid w:val="00C73C36"/>
    <w:rsid w:val="00C75F1D"/>
    <w:rsid w:val="00C84D16"/>
    <w:rsid w:val="00C85248"/>
    <w:rsid w:val="00C87920"/>
    <w:rsid w:val="00C879EA"/>
    <w:rsid w:val="00C94638"/>
    <w:rsid w:val="00C976A8"/>
    <w:rsid w:val="00CA2CCB"/>
    <w:rsid w:val="00CA4727"/>
    <w:rsid w:val="00CA73FA"/>
    <w:rsid w:val="00CB3D5E"/>
    <w:rsid w:val="00CB46F2"/>
    <w:rsid w:val="00CB6F9C"/>
    <w:rsid w:val="00CD6EAF"/>
    <w:rsid w:val="00CE1421"/>
    <w:rsid w:val="00CE63A8"/>
    <w:rsid w:val="00CF377F"/>
    <w:rsid w:val="00CF755A"/>
    <w:rsid w:val="00D043E8"/>
    <w:rsid w:val="00D072AD"/>
    <w:rsid w:val="00D120F5"/>
    <w:rsid w:val="00D22C42"/>
    <w:rsid w:val="00D24444"/>
    <w:rsid w:val="00D3254F"/>
    <w:rsid w:val="00D3420E"/>
    <w:rsid w:val="00D37408"/>
    <w:rsid w:val="00D37C9F"/>
    <w:rsid w:val="00D40F17"/>
    <w:rsid w:val="00D57EE8"/>
    <w:rsid w:val="00D6060E"/>
    <w:rsid w:val="00D67969"/>
    <w:rsid w:val="00D70018"/>
    <w:rsid w:val="00DC4ECD"/>
    <w:rsid w:val="00DD0566"/>
    <w:rsid w:val="00DD64C0"/>
    <w:rsid w:val="00DE14B2"/>
    <w:rsid w:val="00DF743D"/>
    <w:rsid w:val="00E0170B"/>
    <w:rsid w:val="00E17297"/>
    <w:rsid w:val="00E21A58"/>
    <w:rsid w:val="00E224D6"/>
    <w:rsid w:val="00E27C0A"/>
    <w:rsid w:val="00E52483"/>
    <w:rsid w:val="00E6382F"/>
    <w:rsid w:val="00E8505E"/>
    <w:rsid w:val="00E94179"/>
    <w:rsid w:val="00EA55FB"/>
    <w:rsid w:val="00EB6595"/>
    <w:rsid w:val="00EC1678"/>
    <w:rsid w:val="00EC3020"/>
    <w:rsid w:val="00EC741B"/>
    <w:rsid w:val="00ED2E81"/>
    <w:rsid w:val="00ED2ECA"/>
    <w:rsid w:val="00EE2C6F"/>
    <w:rsid w:val="00EF13F0"/>
    <w:rsid w:val="00F00E37"/>
    <w:rsid w:val="00F020A1"/>
    <w:rsid w:val="00F03180"/>
    <w:rsid w:val="00F07868"/>
    <w:rsid w:val="00F163BE"/>
    <w:rsid w:val="00F26239"/>
    <w:rsid w:val="00F2713C"/>
    <w:rsid w:val="00F43A8C"/>
    <w:rsid w:val="00F464FC"/>
    <w:rsid w:val="00F52F31"/>
    <w:rsid w:val="00FA07EA"/>
    <w:rsid w:val="00FA4CE3"/>
    <w:rsid w:val="00FB0D94"/>
    <w:rsid w:val="00FB6E8B"/>
    <w:rsid w:val="00FC7D97"/>
    <w:rsid w:val="00FD2ACE"/>
    <w:rsid w:val="00FD60A7"/>
    <w:rsid w:val="00FD680E"/>
    <w:rsid w:val="00FF2320"/>
    <w:rsid w:val="00FF790C"/>
    <w:rsid w:val="00FF7DCD"/>
    <w:rsid w:val="296435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188A6"/>
  <w15:chartTrackingRefBased/>
  <w15:docId w15:val="{8357BAA7-17E8-4DDD-A3F0-E21FD2B84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BCA"/>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A35149"/>
    <w:pPr>
      <w:spacing w:line="278" w:lineRule="auto"/>
      <w:ind w:left="720"/>
      <w:contextualSpacing/>
    </w:pPr>
    <w:rPr>
      <w:rFonts w:eastAsiaTheme="minorHAnsi"/>
      <w:kern w:val="2"/>
      <w:lang w:val="en-GB" w:eastAsia="en-US"/>
      <w14:ligatures w14:val="standardContextual"/>
    </w:rPr>
  </w:style>
  <w:style w:type="character" w:styleId="Hyperlink">
    <w:name w:val="Hyperlink"/>
    <w:basedOn w:val="DefaultParagraphFont"/>
    <w:uiPriority w:val="99"/>
    <w:unhideWhenUsed/>
    <w:rsid w:val="00A35149"/>
    <w:rPr>
      <w:color w:val="467886" w:themeColor="hyperlink"/>
      <w:u w:val="single"/>
    </w:rPr>
  </w:style>
  <w:style w:type="paragraph" w:styleId="Bibliography">
    <w:name w:val="Bibliography"/>
    <w:basedOn w:val="Normal"/>
    <w:next w:val="Normal"/>
    <w:uiPriority w:val="37"/>
    <w:unhideWhenUsed/>
    <w:rsid w:val="00DC4ECD"/>
  </w:style>
  <w:style w:type="paragraph" w:styleId="Header">
    <w:name w:val="header"/>
    <w:basedOn w:val="Normal"/>
    <w:link w:val="HeaderChar"/>
    <w:uiPriority w:val="99"/>
    <w:unhideWhenUsed/>
    <w:rsid w:val="001015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5F8"/>
  </w:style>
  <w:style w:type="paragraph" w:styleId="Footer">
    <w:name w:val="footer"/>
    <w:basedOn w:val="Normal"/>
    <w:link w:val="FooterChar"/>
    <w:uiPriority w:val="99"/>
    <w:unhideWhenUsed/>
    <w:rsid w:val="001015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5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0716">
      <w:bodyDiv w:val="1"/>
      <w:marLeft w:val="0"/>
      <w:marRight w:val="0"/>
      <w:marTop w:val="0"/>
      <w:marBottom w:val="0"/>
      <w:divBdr>
        <w:top w:val="none" w:sz="0" w:space="0" w:color="auto"/>
        <w:left w:val="none" w:sz="0" w:space="0" w:color="auto"/>
        <w:bottom w:val="none" w:sz="0" w:space="0" w:color="auto"/>
        <w:right w:val="none" w:sz="0" w:space="0" w:color="auto"/>
      </w:divBdr>
    </w:div>
    <w:div w:id="2246331">
      <w:bodyDiv w:val="1"/>
      <w:marLeft w:val="0"/>
      <w:marRight w:val="0"/>
      <w:marTop w:val="0"/>
      <w:marBottom w:val="0"/>
      <w:divBdr>
        <w:top w:val="none" w:sz="0" w:space="0" w:color="auto"/>
        <w:left w:val="none" w:sz="0" w:space="0" w:color="auto"/>
        <w:bottom w:val="none" w:sz="0" w:space="0" w:color="auto"/>
        <w:right w:val="none" w:sz="0" w:space="0" w:color="auto"/>
      </w:divBdr>
    </w:div>
    <w:div w:id="2976831">
      <w:bodyDiv w:val="1"/>
      <w:marLeft w:val="0"/>
      <w:marRight w:val="0"/>
      <w:marTop w:val="0"/>
      <w:marBottom w:val="0"/>
      <w:divBdr>
        <w:top w:val="none" w:sz="0" w:space="0" w:color="auto"/>
        <w:left w:val="none" w:sz="0" w:space="0" w:color="auto"/>
        <w:bottom w:val="none" w:sz="0" w:space="0" w:color="auto"/>
        <w:right w:val="none" w:sz="0" w:space="0" w:color="auto"/>
      </w:divBdr>
    </w:div>
    <w:div w:id="3629056">
      <w:bodyDiv w:val="1"/>
      <w:marLeft w:val="0"/>
      <w:marRight w:val="0"/>
      <w:marTop w:val="0"/>
      <w:marBottom w:val="0"/>
      <w:divBdr>
        <w:top w:val="none" w:sz="0" w:space="0" w:color="auto"/>
        <w:left w:val="none" w:sz="0" w:space="0" w:color="auto"/>
        <w:bottom w:val="none" w:sz="0" w:space="0" w:color="auto"/>
        <w:right w:val="none" w:sz="0" w:space="0" w:color="auto"/>
      </w:divBdr>
    </w:div>
    <w:div w:id="8529928">
      <w:bodyDiv w:val="1"/>
      <w:marLeft w:val="0"/>
      <w:marRight w:val="0"/>
      <w:marTop w:val="0"/>
      <w:marBottom w:val="0"/>
      <w:divBdr>
        <w:top w:val="none" w:sz="0" w:space="0" w:color="auto"/>
        <w:left w:val="none" w:sz="0" w:space="0" w:color="auto"/>
        <w:bottom w:val="none" w:sz="0" w:space="0" w:color="auto"/>
        <w:right w:val="none" w:sz="0" w:space="0" w:color="auto"/>
      </w:divBdr>
    </w:div>
    <w:div w:id="12192301">
      <w:bodyDiv w:val="1"/>
      <w:marLeft w:val="0"/>
      <w:marRight w:val="0"/>
      <w:marTop w:val="0"/>
      <w:marBottom w:val="0"/>
      <w:divBdr>
        <w:top w:val="none" w:sz="0" w:space="0" w:color="auto"/>
        <w:left w:val="none" w:sz="0" w:space="0" w:color="auto"/>
        <w:bottom w:val="none" w:sz="0" w:space="0" w:color="auto"/>
        <w:right w:val="none" w:sz="0" w:space="0" w:color="auto"/>
      </w:divBdr>
    </w:div>
    <w:div w:id="15472291">
      <w:bodyDiv w:val="1"/>
      <w:marLeft w:val="0"/>
      <w:marRight w:val="0"/>
      <w:marTop w:val="0"/>
      <w:marBottom w:val="0"/>
      <w:divBdr>
        <w:top w:val="none" w:sz="0" w:space="0" w:color="auto"/>
        <w:left w:val="none" w:sz="0" w:space="0" w:color="auto"/>
        <w:bottom w:val="none" w:sz="0" w:space="0" w:color="auto"/>
        <w:right w:val="none" w:sz="0" w:space="0" w:color="auto"/>
      </w:divBdr>
    </w:div>
    <w:div w:id="16586284">
      <w:bodyDiv w:val="1"/>
      <w:marLeft w:val="0"/>
      <w:marRight w:val="0"/>
      <w:marTop w:val="0"/>
      <w:marBottom w:val="0"/>
      <w:divBdr>
        <w:top w:val="none" w:sz="0" w:space="0" w:color="auto"/>
        <w:left w:val="none" w:sz="0" w:space="0" w:color="auto"/>
        <w:bottom w:val="none" w:sz="0" w:space="0" w:color="auto"/>
        <w:right w:val="none" w:sz="0" w:space="0" w:color="auto"/>
      </w:divBdr>
    </w:div>
    <w:div w:id="19859724">
      <w:bodyDiv w:val="1"/>
      <w:marLeft w:val="0"/>
      <w:marRight w:val="0"/>
      <w:marTop w:val="0"/>
      <w:marBottom w:val="0"/>
      <w:divBdr>
        <w:top w:val="none" w:sz="0" w:space="0" w:color="auto"/>
        <w:left w:val="none" w:sz="0" w:space="0" w:color="auto"/>
        <w:bottom w:val="none" w:sz="0" w:space="0" w:color="auto"/>
        <w:right w:val="none" w:sz="0" w:space="0" w:color="auto"/>
      </w:divBdr>
    </w:div>
    <w:div w:id="21790206">
      <w:bodyDiv w:val="1"/>
      <w:marLeft w:val="0"/>
      <w:marRight w:val="0"/>
      <w:marTop w:val="0"/>
      <w:marBottom w:val="0"/>
      <w:divBdr>
        <w:top w:val="none" w:sz="0" w:space="0" w:color="auto"/>
        <w:left w:val="none" w:sz="0" w:space="0" w:color="auto"/>
        <w:bottom w:val="none" w:sz="0" w:space="0" w:color="auto"/>
        <w:right w:val="none" w:sz="0" w:space="0" w:color="auto"/>
      </w:divBdr>
    </w:div>
    <w:div w:id="22022658">
      <w:bodyDiv w:val="1"/>
      <w:marLeft w:val="0"/>
      <w:marRight w:val="0"/>
      <w:marTop w:val="0"/>
      <w:marBottom w:val="0"/>
      <w:divBdr>
        <w:top w:val="none" w:sz="0" w:space="0" w:color="auto"/>
        <w:left w:val="none" w:sz="0" w:space="0" w:color="auto"/>
        <w:bottom w:val="none" w:sz="0" w:space="0" w:color="auto"/>
        <w:right w:val="none" w:sz="0" w:space="0" w:color="auto"/>
      </w:divBdr>
    </w:div>
    <w:div w:id="31420444">
      <w:bodyDiv w:val="1"/>
      <w:marLeft w:val="0"/>
      <w:marRight w:val="0"/>
      <w:marTop w:val="0"/>
      <w:marBottom w:val="0"/>
      <w:divBdr>
        <w:top w:val="none" w:sz="0" w:space="0" w:color="auto"/>
        <w:left w:val="none" w:sz="0" w:space="0" w:color="auto"/>
        <w:bottom w:val="none" w:sz="0" w:space="0" w:color="auto"/>
        <w:right w:val="none" w:sz="0" w:space="0" w:color="auto"/>
      </w:divBdr>
    </w:div>
    <w:div w:id="40598394">
      <w:bodyDiv w:val="1"/>
      <w:marLeft w:val="0"/>
      <w:marRight w:val="0"/>
      <w:marTop w:val="0"/>
      <w:marBottom w:val="0"/>
      <w:divBdr>
        <w:top w:val="none" w:sz="0" w:space="0" w:color="auto"/>
        <w:left w:val="none" w:sz="0" w:space="0" w:color="auto"/>
        <w:bottom w:val="none" w:sz="0" w:space="0" w:color="auto"/>
        <w:right w:val="none" w:sz="0" w:space="0" w:color="auto"/>
      </w:divBdr>
    </w:div>
    <w:div w:id="57214608">
      <w:bodyDiv w:val="1"/>
      <w:marLeft w:val="0"/>
      <w:marRight w:val="0"/>
      <w:marTop w:val="0"/>
      <w:marBottom w:val="0"/>
      <w:divBdr>
        <w:top w:val="none" w:sz="0" w:space="0" w:color="auto"/>
        <w:left w:val="none" w:sz="0" w:space="0" w:color="auto"/>
        <w:bottom w:val="none" w:sz="0" w:space="0" w:color="auto"/>
        <w:right w:val="none" w:sz="0" w:space="0" w:color="auto"/>
      </w:divBdr>
    </w:div>
    <w:div w:id="59719700">
      <w:bodyDiv w:val="1"/>
      <w:marLeft w:val="0"/>
      <w:marRight w:val="0"/>
      <w:marTop w:val="0"/>
      <w:marBottom w:val="0"/>
      <w:divBdr>
        <w:top w:val="none" w:sz="0" w:space="0" w:color="auto"/>
        <w:left w:val="none" w:sz="0" w:space="0" w:color="auto"/>
        <w:bottom w:val="none" w:sz="0" w:space="0" w:color="auto"/>
        <w:right w:val="none" w:sz="0" w:space="0" w:color="auto"/>
      </w:divBdr>
    </w:div>
    <w:div w:id="69616878">
      <w:bodyDiv w:val="1"/>
      <w:marLeft w:val="0"/>
      <w:marRight w:val="0"/>
      <w:marTop w:val="0"/>
      <w:marBottom w:val="0"/>
      <w:divBdr>
        <w:top w:val="none" w:sz="0" w:space="0" w:color="auto"/>
        <w:left w:val="none" w:sz="0" w:space="0" w:color="auto"/>
        <w:bottom w:val="none" w:sz="0" w:space="0" w:color="auto"/>
        <w:right w:val="none" w:sz="0" w:space="0" w:color="auto"/>
      </w:divBdr>
    </w:div>
    <w:div w:id="74253426">
      <w:bodyDiv w:val="1"/>
      <w:marLeft w:val="0"/>
      <w:marRight w:val="0"/>
      <w:marTop w:val="0"/>
      <w:marBottom w:val="0"/>
      <w:divBdr>
        <w:top w:val="none" w:sz="0" w:space="0" w:color="auto"/>
        <w:left w:val="none" w:sz="0" w:space="0" w:color="auto"/>
        <w:bottom w:val="none" w:sz="0" w:space="0" w:color="auto"/>
        <w:right w:val="none" w:sz="0" w:space="0" w:color="auto"/>
      </w:divBdr>
    </w:div>
    <w:div w:id="75133290">
      <w:bodyDiv w:val="1"/>
      <w:marLeft w:val="0"/>
      <w:marRight w:val="0"/>
      <w:marTop w:val="0"/>
      <w:marBottom w:val="0"/>
      <w:divBdr>
        <w:top w:val="none" w:sz="0" w:space="0" w:color="auto"/>
        <w:left w:val="none" w:sz="0" w:space="0" w:color="auto"/>
        <w:bottom w:val="none" w:sz="0" w:space="0" w:color="auto"/>
        <w:right w:val="none" w:sz="0" w:space="0" w:color="auto"/>
      </w:divBdr>
    </w:div>
    <w:div w:id="77362189">
      <w:bodyDiv w:val="1"/>
      <w:marLeft w:val="0"/>
      <w:marRight w:val="0"/>
      <w:marTop w:val="0"/>
      <w:marBottom w:val="0"/>
      <w:divBdr>
        <w:top w:val="none" w:sz="0" w:space="0" w:color="auto"/>
        <w:left w:val="none" w:sz="0" w:space="0" w:color="auto"/>
        <w:bottom w:val="none" w:sz="0" w:space="0" w:color="auto"/>
        <w:right w:val="none" w:sz="0" w:space="0" w:color="auto"/>
      </w:divBdr>
    </w:div>
    <w:div w:id="77406577">
      <w:bodyDiv w:val="1"/>
      <w:marLeft w:val="0"/>
      <w:marRight w:val="0"/>
      <w:marTop w:val="0"/>
      <w:marBottom w:val="0"/>
      <w:divBdr>
        <w:top w:val="none" w:sz="0" w:space="0" w:color="auto"/>
        <w:left w:val="none" w:sz="0" w:space="0" w:color="auto"/>
        <w:bottom w:val="none" w:sz="0" w:space="0" w:color="auto"/>
        <w:right w:val="none" w:sz="0" w:space="0" w:color="auto"/>
      </w:divBdr>
    </w:div>
    <w:div w:id="78261622">
      <w:bodyDiv w:val="1"/>
      <w:marLeft w:val="0"/>
      <w:marRight w:val="0"/>
      <w:marTop w:val="0"/>
      <w:marBottom w:val="0"/>
      <w:divBdr>
        <w:top w:val="none" w:sz="0" w:space="0" w:color="auto"/>
        <w:left w:val="none" w:sz="0" w:space="0" w:color="auto"/>
        <w:bottom w:val="none" w:sz="0" w:space="0" w:color="auto"/>
        <w:right w:val="none" w:sz="0" w:space="0" w:color="auto"/>
      </w:divBdr>
    </w:div>
    <w:div w:id="80372920">
      <w:bodyDiv w:val="1"/>
      <w:marLeft w:val="0"/>
      <w:marRight w:val="0"/>
      <w:marTop w:val="0"/>
      <w:marBottom w:val="0"/>
      <w:divBdr>
        <w:top w:val="none" w:sz="0" w:space="0" w:color="auto"/>
        <w:left w:val="none" w:sz="0" w:space="0" w:color="auto"/>
        <w:bottom w:val="none" w:sz="0" w:space="0" w:color="auto"/>
        <w:right w:val="none" w:sz="0" w:space="0" w:color="auto"/>
      </w:divBdr>
    </w:div>
    <w:div w:id="84307594">
      <w:bodyDiv w:val="1"/>
      <w:marLeft w:val="0"/>
      <w:marRight w:val="0"/>
      <w:marTop w:val="0"/>
      <w:marBottom w:val="0"/>
      <w:divBdr>
        <w:top w:val="none" w:sz="0" w:space="0" w:color="auto"/>
        <w:left w:val="none" w:sz="0" w:space="0" w:color="auto"/>
        <w:bottom w:val="none" w:sz="0" w:space="0" w:color="auto"/>
        <w:right w:val="none" w:sz="0" w:space="0" w:color="auto"/>
      </w:divBdr>
    </w:div>
    <w:div w:id="88698526">
      <w:bodyDiv w:val="1"/>
      <w:marLeft w:val="0"/>
      <w:marRight w:val="0"/>
      <w:marTop w:val="0"/>
      <w:marBottom w:val="0"/>
      <w:divBdr>
        <w:top w:val="none" w:sz="0" w:space="0" w:color="auto"/>
        <w:left w:val="none" w:sz="0" w:space="0" w:color="auto"/>
        <w:bottom w:val="none" w:sz="0" w:space="0" w:color="auto"/>
        <w:right w:val="none" w:sz="0" w:space="0" w:color="auto"/>
      </w:divBdr>
    </w:div>
    <w:div w:id="89474992">
      <w:bodyDiv w:val="1"/>
      <w:marLeft w:val="0"/>
      <w:marRight w:val="0"/>
      <w:marTop w:val="0"/>
      <w:marBottom w:val="0"/>
      <w:divBdr>
        <w:top w:val="none" w:sz="0" w:space="0" w:color="auto"/>
        <w:left w:val="none" w:sz="0" w:space="0" w:color="auto"/>
        <w:bottom w:val="none" w:sz="0" w:space="0" w:color="auto"/>
        <w:right w:val="none" w:sz="0" w:space="0" w:color="auto"/>
      </w:divBdr>
    </w:div>
    <w:div w:id="102573837">
      <w:bodyDiv w:val="1"/>
      <w:marLeft w:val="0"/>
      <w:marRight w:val="0"/>
      <w:marTop w:val="0"/>
      <w:marBottom w:val="0"/>
      <w:divBdr>
        <w:top w:val="none" w:sz="0" w:space="0" w:color="auto"/>
        <w:left w:val="none" w:sz="0" w:space="0" w:color="auto"/>
        <w:bottom w:val="none" w:sz="0" w:space="0" w:color="auto"/>
        <w:right w:val="none" w:sz="0" w:space="0" w:color="auto"/>
      </w:divBdr>
    </w:div>
    <w:div w:id="102657157">
      <w:bodyDiv w:val="1"/>
      <w:marLeft w:val="0"/>
      <w:marRight w:val="0"/>
      <w:marTop w:val="0"/>
      <w:marBottom w:val="0"/>
      <w:divBdr>
        <w:top w:val="none" w:sz="0" w:space="0" w:color="auto"/>
        <w:left w:val="none" w:sz="0" w:space="0" w:color="auto"/>
        <w:bottom w:val="none" w:sz="0" w:space="0" w:color="auto"/>
        <w:right w:val="none" w:sz="0" w:space="0" w:color="auto"/>
      </w:divBdr>
    </w:div>
    <w:div w:id="109325562">
      <w:bodyDiv w:val="1"/>
      <w:marLeft w:val="0"/>
      <w:marRight w:val="0"/>
      <w:marTop w:val="0"/>
      <w:marBottom w:val="0"/>
      <w:divBdr>
        <w:top w:val="none" w:sz="0" w:space="0" w:color="auto"/>
        <w:left w:val="none" w:sz="0" w:space="0" w:color="auto"/>
        <w:bottom w:val="none" w:sz="0" w:space="0" w:color="auto"/>
        <w:right w:val="none" w:sz="0" w:space="0" w:color="auto"/>
      </w:divBdr>
    </w:div>
    <w:div w:id="111018027">
      <w:bodyDiv w:val="1"/>
      <w:marLeft w:val="0"/>
      <w:marRight w:val="0"/>
      <w:marTop w:val="0"/>
      <w:marBottom w:val="0"/>
      <w:divBdr>
        <w:top w:val="none" w:sz="0" w:space="0" w:color="auto"/>
        <w:left w:val="none" w:sz="0" w:space="0" w:color="auto"/>
        <w:bottom w:val="none" w:sz="0" w:space="0" w:color="auto"/>
        <w:right w:val="none" w:sz="0" w:space="0" w:color="auto"/>
      </w:divBdr>
    </w:div>
    <w:div w:id="111678604">
      <w:bodyDiv w:val="1"/>
      <w:marLeft w:val="0"/>
      <w:marRight w:val="0"/>
      <w:marTop w:val="0"/>
      <w:marBottom w:val="0"/>
      <w:divBdr>
        <w:top w:val="none" w:sz="0" w:space="0" w:color="auto"/>
        <w:left w:val="none" w:sz="0" w:space="0" w:color="auto"/>
        <w:bottom w:val="none" w:sz="0" w:space="0" w:color="auto"/>
        <w:right w:val="none" w:sz="0" w:space="0" w:color="auto"/>
      </w:divBdr>
    </w:div>
    <w:div w:id="117529981">
      <w:bodyDiv w:val="1"/>
      <w:marLeft w:val="0"/>
      <w:marRight w:val="0"/>
      <w:marTop w:val="0"/>
      <w:marBottom w:val="0"/>
      <w:divBdr>
        <w:top w:val="none" w:sz="0" w:space="0" w:color="auto"/>
        <w:left w:val="none" w:sz="0" w:space="0" w:color="auto"/>
        <w:bottom w:val="none" w:sz="0" w:space="0" w:color="auto"/>
        <w:right w:val="none" w:sz="0" w:space="0" w:color="auto"/>
      </w:divBdr>
    </w:div>
    <w:div w:id="117729264">
      <w:bodyDiv w:val="1"/>
      <w:marLeft w:val="0"/>
      <w:marRight w:val="0"/>
      <w:marTop w:val="0"/>
      <w:marBottom w:val="0"/>
      <w:divBdr>
        <w:top w:val="none" w:sz="0" w:space="0" w:color="auto"/>
        <w:left w:val="none" w:sz="0" w:space="0" w:color="auto"/>
        <w:bottom w:val="none" w:sz="0" w:space="0" w:color="auto"/>
        <w:right w:val="none" w:sz="0" w:space="0" w:color="auto"/>
      </w:divBdr>
    </w:div>
    <w:div w:id="120390251">
      <w:bodyDiv w:val="1"/>
      <w:marLeft w:val="0"/>
      <w:marRight w:val="0"/>
      <w:marTop w:val="0"/>
      <w:marBottom w:val="0"/>
      <w:divBdr>
        <w:top w:val="none" w:sz="0" w:space="0" w:color="auto"/>
        <w:left w:val="none" w:sz="0" w:space="0" w:color="auto"/>
        <w:bottom w:val="none" w:sz="0" w:space="0" w:color="auto"/>
        <w:right w:val="none" w:sz="0" w:space="0" w:color="auto"/>
      </w:divBdr>
    </w:div>
    <w:div w:id="129133101">
      <w:bodyDiv w:val="1"/>
      <w:marLeft w:val="0"/>
      <w:marRight w:val="0"/>
      <w:marTop w:val="0"/>
      <w:marBottom w:val="0"/>
      <w:divBdr>
        <w:top w:val="none" w:sz="0" w:space="0" w:color="auto"/>
        <w:left w:val="none" w:sz="0" w:space="0" w:color="auto"/>
        <w:bottom w:val="none" w:sz="0" w:space="0" w:color="auto"/>
        <w:right w:val="none" w:sz="0" w:space="0" w:color="auto"/>
      </w:divBdr>
    </w:div>
    <w:div w:id="129714865">
      <w:bodyDiv w:val="1"/>
      <w:marLeft w:val="0"/>
      <w:marRight w:val="0"/>
      <w:marTop w:val="0"/>
      <w:marBottom w:val="0"/>
      <w:divBdr>
        <w:top w:val="none" w:sz="0" w:space="0" w:color="auto"/>
        <w:left w:val="none" w:sz="0" w:space="0" w:color="auto"/>
        <w:bottom w:val="none" w:sz="0" w:space="0" w:color="auto"/>
        <w:right w:val="none" w:sz="0" w:space="0" w:color="auto"/>
      </w:divBdr>
    </w:div>
    <w:div w:id="129981952">
      <w:bodyDiv w:val="1"/>
      <w:marLeft w:val="0"/>
      <w:marRight w:val="0"/>
      <w:marTop w:val="0"/>
      <w:marBottom w:val="0"/>
      <w:divBdr>
        <w:top w:val="none" w:sz="0" w:space="0" w:color="auto"/>
        <w:left w:val="none" w:sz="0" w:space="0" w:color="auto"/>
        <w:bottom w:val="none" w:sz="0" w:space="0" w:color="auto"/>
        <w:right w:val="none" w:sz="0" w:space="0" w:color="auto"/>
      </w:divBdr>
    </w:div>
    <w:div w:id="134419871">
      <w:bodyDiv w:val="1"/>
      <w:marLeft w:val="0"/>
      <w:marRight w:val="0"/>
      <w:marTop w:val="0"/>
      <w:marBottom w:val="0"/>
      <w:divBdr>
        <w:top w:val="none" w:sz="0" w:space="0" w:color="auto"/>
        <w:left w:val="none" w:sz="0" w:space="0" w:color="auto"/>
        <w:bottom w:val="none" w:sz="0" w:space="0" w:color="auto"/>
        <w:right w:val="none" w:sz="0" w:space="0" w:color="auto"/>
      </w:divBdr>
    </w:div>
    <w:div w:id="138428136">
      <w:bodyDiv w:val="1"/>
      <w:marLeft w:val="0"/>
      <w:marRight w:val="0"/>
      <w:marTop w:val="0"/>
      <w:marBottom w:val="0"/>
      <w:divBdr>
        <w:top w:val="none" w:sz="0" w:space="0" w:color="auto"/>
        <w:left w:val="none" w:sz="0" w:space="0" w:color="auto"/>
        <w:bottom w:val="none" w:sz="0" w:space="0" w:color="auto"/>
        <w:right w:val="none" w:sz="0" w:space="0" w:color="auto"/>
      </w:divBdr>
    </w:div>
    <w:div w:id="162743194">
      <w:bodyDiv w:val="1"/>
      <w:marLeft w:val="0"/>
      <w:marRight w:val="0"/>
      <w:marTop w:val="0"/>
      <w:marBottom w:val="0"/>
      <w:divBdr>
        <w:top w:val="none" w:sz="0" w:space="0" w:color="auto"/>
        <w:left w:val="none" w:sz="0" w:space="0" w:color="auto"/>
        <w:bottom w:val="none" w:sz="0" w:space="0" w:color="auto"/>
        <w:right w:val="none" w:sz="0" w:space="0" w:color="auto"/>
      </w:divBdr>
    </w:div>
    <w:div w:id="163398656">
      <w:bodyDiv w:val="1"/>
      <w:marLeft w:val="0"/>
      <w:marRight w:val="0"/>
      <w:marTop w:val="0"/>
      <w:marBottom w:val="0"/>
      <w:divBdr>
        <w:top w:val="none" w:sz="0" w:space="0" w:color="auto"/>
        <w:left w:val="none" w:sz="0" w:space="0" w:color="auto"/>
        <w:bottom w:val="none" w:sz="0" w:space="0" w:color="auto"/>
        <w:right w:val="none" w:sz="0" w:space="0" w:color="auto"/>
      </w:divBdr>
    </w:div>
    <w:div w:id="166214717">
      <w:bodyDiv w:val="1"/>
      <w:marLeft w:val="0"/>
      <w:marRight w:val="0"/>
      <w:marTop w:val="0"/>
      <w:marBottom w:val="0"/>
      <w:divBdr>
        <w:top w:val="none" w:sz="0" w:space="0" w:color="auto"/>
        <w:left w:val="none" w:sz="0" w:space="0" w:color="auto"/>
        <w:bottom w:val="none" w:sz="0" w:space="0" w:color="auto"/>
        <w:right w:val="none" w:sz="0" w:space="0" w:color="auto"/>
      </w:divBdr>
    </w:div>
    <w:div w:id="171576137">
      <w:bodyDiv w:val="1"/>
      <w:marLeft w:val="0"/>
      <w:marRight w:val="0"/>
      <w:marTop w:val="0"/>
      <w:marBottom w:val="0"/>
      <w:divBdr>
        <w:top w:val="none" w:sz="0" w:space="0" w:color="auto"/>
        <w:left w:val="none" w:sz="0" w:space="0" w:color="auto"/>
        <w:bottom w:val="none" w:sz="0" w:space="0" w:color="auto"/>
        <w:right w:val="none" w:sz="0" w:space="0" w:color="auto"/>
      </w:divBdr>
    </w:div>
    <w:div w:id="171605346">
      <w:bodyDiv w:val="1"/>
      <w:marLeft w:val="0"/>
      <w:marRight w:val="0"/>
      <w:marTop w:val="0"/>
      <w:marBottom w:val="0"/>
      <w:divBdr>
        <w:top w:val="none" w:sz="0" w:space="0" w:color="auto"/>
        <w:left w:val="none" w:sz="0" w:space="0" w:color="auto"/>
        <w:bottom w:val="none" w:sz="0" w:space="0" w:color="auto"/>
        <w:right w:val="none" w:sz="0" w:space="0" w:color="auto"/>
      </w:divBdr>
    </w:div>
    <w:div w:id="171846231">
      <w:bodyDiv w:val="1"/>
      <w:marLeft w:val="0"/>
      <w:marRight w:val="0"/>
      <w:marTop w:val="0"/>
      <w:marBottom w:val="0"/>
      <w:divBdr>
        <w:top w:val="none" w:sz="0" w:space="0" w:color="auto"/>
        <w:left w:val="none" w:sz="0" w:space="0" w:color="auto"/>
        <w:bottom w:val="none" w:sz="0" w:space="0" w:color="auto"/>
        <w:right w:val="none" w:sz="0" w:space="0" w:color="auto"/>
      </w:divBdr>
    </w:div>
    <w:div w:id="174538580">
      <w:bodyDiv w:val="1"/>
      <w:marLeft w:val="0"/>
      <w:marRight w:val="0"/>
      <w:marTop w:val="0"/>
      <w:marBottom w:val="0"/>
      <w:divBdr>
        <w:top w:val="none" w:sz="0" w:space="0" w:color="auto"/>
        <w:left w:val="none" w:sz="0" w:space="0" w:color="auto"/>
        <w:bottom w:val="none" w:sz="0" w:space="0" w:color="auto"/>
        <w:right w:val="none" w:sz="0" w:space="0" w:color="auto"/>
      </w:divBdr>
    </w:div>
    <w:div w:id="180632237">
      <w:bodyDiv w:val="1"/>
      <w:marLeft w:val="0"/>
      <w:marRight w:val="0"/>
      <w:marTop w:val="0"/>
      <w:marBottom w:val="0"/>
      <w:divBdr>
        <w:top w:val="none" w:sz="0" w:space="0" w:color="auto"/>
        <w:left w:val="none" w:sz="0" w:space="0" w:color="auto"/>
        <w:bottom w:val="none" w:sz="0" w:space="0" w:color="auto"/>
        <w:right w:val="none" w:sz="0" w:space="0" w:color="auto"/>
      </w:divBdr>
    </w:div>
    <w:div w:id="182599793">
      <w:bodyDiv w:val="1"/>
      <w:marLeft w:val="0"/>
      <w:marRight w:val="0"/>
      <w:marTop w:val="0"/>
      <w:marBottom w:val="0"/>
      <w:divBdr>
        <w:top w:val="none" w:sz="0" w:space="0" w:color="auto"/>
        <w:left w:val="none" w:sz="0" w:space="0" w:color="auto"/>
        <w:bottom w:val="none" w:sz="0" w:space="0" w:color="auto"/>
        <w:right w:val="none" w:sz="0" w:space="0" w:color="auto"/>
      </w:divBdr>
    </w:div>
    <w:div w:id="184289276">
      <w:bodyDiv w:val="1"/>
      <w:marLeft w:val="0"/>
      <w:marRight w:val="0"/>
      <w:marTop w:val="0"/>
      <w:marBottom w:val="0"/>
      <w:divBdr>
        <w:top w:val="none" w:sz="0" w:space="0" w:color="auto"/>
        <w:left w:val="none" w:sz="0" w:space="0" w:color="auto"/>
        <w:bottom w:val="none" w:sz="0" w:space="0" w:color="auto"/>
        <w:right w:val="none" w:sz="0" w:space="0" w:color="auto"/>
      </w:divBdr>
    </w:div>
    <w:div w:id="191190684">
      <w:bodyDiv w:val="1"/>
      <w:marLeft w:val="0"/>
      <w:marRight w:val="0"/>
      <w:marTop w:val="0"/>
      <w:marBottom w:val="0"/>
      <w:divBdr>
        <w:top w:val="none" w:sz="0" w:space="0" w:color="auto"/>
        <w:left w:val="none" w:sz="0" w:space="0" w:color="auto"/>
        <w:bottom w:val="none" w:sz="0" w:space="0" w:color="auto"/>
        <w:right w:val="none" w:sz="0" w:space="0" w:color="auto"/>
      </w:divBdr>
    </w:div>
    <w:div w:id="192690868">
      <w:bodyDiv w:val="1"/>
      <w:marLeft w:val="0"/>
      <w:marRight w:val="0"/>
      <w:marTop w:val="0"/>
      <w:marBottom w:val="0"/>
      <w:divBdr>
        <w:top w:val="none" w:sz="0" w:space="0" w:color="auto"/>
        <w:left w:val="none" w:sz="0" w:space="0" w:color="auto"/>
        <w:bottom w:val="none" w:sz="0" w:space="0" w:color="auto"/>
        <w:right w:val="none" w:sz="0" w:space="0" w:color="auto"/>
      </w:divBdr>
    </w:div>
    <w:div w:id="194197121">
      <w:bodyDiv w:val="1"/>
      <w:marLeft w:val="0"/>
      <w:marRight w:val="0"/>
      <w:marTop w:val="0"/>
      <w:marBottom w:val="0"/>
      <w:divBdr>
        <w:top w:val="none" w:sz="0" w:space="0" w:color="auto"/>
        <w:left w:val="none" w:sz="0" w:space="0" w:color="auto"/>
        <w:bottom w:val="none" w:sz="0" w:space="0" w:color="auto"/>
        <w:right w:val="none" w:sz="0" w:space="0" w:color="auto"/>
      </w:divBdr>
    </w:div>
    <w:div w:id="195779068">
      <w:bodyDiv w:val="1"/>
      <w:marLeft w:val="0"/>
      <w:marRight w:val="0"/>
      <w:marTop w:val="0"/>
      <w:marBottom w:val="0"/>
      <w:divBdr>
        <w:top w:val="none" w:sz="0" w:space="0" w:color="auto"/>
        <w:left w:val="none" w:sz="0" w:space="0" w:color="auto"/>
        <w:bottom w:val="none" w:sz="0" w:space="0" w:color="auto"/>
        <w:right w:val="none" w:sz="0" w:space="0" w:color="auto"/>
      </w:divBdr>
    </w:div>
    <w:div w:id="200673931">
      <w:bodyDiv w:val="1"/>
      <w:marLeft w:val="0"/>
      <w:marRight w:val="0"/>
      <w:marTop w:val="0"/>
      <w:marBottom w:val="0"/>
      <w:divBdr>
        <w:top w:val="none" w:sz="0" w:space="0" w:color="auto"/>
        <w:left w:val="none" w:sz="0" w:space="0" w:color="auto"/>
        <w:bottom w:val="none" w:sz="0" w:space="0" w:color="auto"/>
        <w:right w:val="none" w:sz="0" w:space="0" w:color="auto"/>
      </w:divBdr>
    </w:div>
    <w:div w:id="214463566">
      <w:bodyDiv w:val="1"/>
      <w:marLeft w:val="0"/>
      <w:marRight w:val="0"/>
      <w:marTop w:val="0"/>
      <w:marBottom w:val="0"/>
      <w:divBdr>
        <w:top w:val="none" w:sz="0" w:space="0" w:color="auto"/>
        <w:left w:val="none" w:sz="0" w:space="0" w:color="auto"/>
        <w:bottom w:val="none" w:sz="0" w:space="0" w:color="auto"/>
        <w:right w:val="none" w:sz="0" w:space="0" w:color="auto"/>
      </w:divBdr>
    </w:div>
    <w:div w:id="225724832">
      <w:bodyDiv w:val="1"/>
      <w:marLeft w:val="0"/>
      <w:marRight w:val="0"/>
      <w:marTop w:val="0"/>
      <w:marBottom w:val="0"/>
      <w:divBdr>
        <w:top w:val="none" w:sz="0" w:space="0" w:color="auto"/>
        <w:left w:val="none" w:sz="0" w:space="0" w:color="auto"/>
        <w:bottom w:val="none" w:sz="0" w:space="0" w:color="auto"/>
        <w:right w:val="none" w:sz="0" w:space="0" w:color="auto"/>
      </w:divBdr>
    </w:div>
    <w:div w:id="229924743">
      <w:bodyDiv w:val="1"/>
      <w:marLeft w:val="0"/>
      <w:marRight w:val="0"/>
      <w:marTop w:val="0"/>
      <w:marBottom w:val="0"/>
      <w:divBdr>
        <w:top w:val="none" w:sz="0" w:space="0" w:color="auto"/>
        <w:left w:val="none" w:sz="0" w:space="0" w:color="auto"/>
        <w:bottom w:val="none" w:sz="0" w:space="0" w:color="auto"/>
        <w:right w:val="none" w:sz="0" w:space="0" w:color="auto"/>
      </w:divBdr>
    </w:div>
    <w:div w:id="233130910">
      <w:bodyDiv w:val="1"/>
      <w:marLeft w:val="0"/>
      <w:marRight w:val="0"/>
      <w:marTop w:val="0"/>
      <w:marBottom w:val="0"/>
      <w:divBdr>
        <w:top w:val="none" w:sz="0" w:space="0" w:color="auto"/>
        <w:left w:val="none" w:sz="0" w:space="0" w:color="auto"/>
        <w:bottom w:val="none" w:sz="0" w:space="0" w:color="auto"/>
        <w:right w:val="none" w:sz="0" w:space="0" w:color="auto"/>
      </w:divBdr>
    </w:div>
    <w:div w:id="238713934">
      <w:bodyDiv w:val="1"/>
      <w:marLeft w:val="0"/>
      <w:marRight w:val="0"/>
      <w:marTop w:val="0"/>
      <w:marBottom w:val="0"/>
      <w:divBdr>
        <w:top w:val="none" w:sz="0" w:space="0" w:color="auto"/>
        <w:left w:val="none" w:sz="0" w:space="0" w:color="auto"/>
        <w:bottom w:val="none" w:sz="0" w:space="0" w:color="auto"/>
        <w:right w:val="none" w:sz="0" w:space="0" w:color="auto"/>
      </w:divBdr>
    </w:div>
    <w:div w:id="239870289">
      <w:bodyDiv w:val="1"/>
      <w:marLeft w:val="0"/>
      <w:marRight w:val="0"/>
      <w:marTop w:val="0"/>
      <w:marBottom w:val="0"/>
      <w:divBdr>
        <w:top w:val="none" w:sz="0" w:space="0" w:color="auto"/>
        <w:left w:val="none" w:sz="0" w:space="0" w:color="auto"/>
        <w:bottom w:val="none" w:sz="0" w:space="0" w:color="auto"/>
        <w:right w:val="none" w:sz="0" w:space="0" w:color="auto"/>
      </w:divBdr>
    </w:div>
    <w:div w:id="241183280">
      <w:bodyDiv w:val="1"/>
      <w:marLeft w:val="0"/>
      <w:marRight w:val="0"/>
      <w:marTop w:val="0"/>
      <w:marBottom w:val="0"/>
      <w:divBdr>
        <w:top w:val="none" w:sz="0" w:space="0" w:color="auto"/>
        <w:left w:val="none" w:sz="0" w:space="0" w:color="auto"/>
        <w:bottom w:val="none" w:sz="0" w:space="0" w:color="auto"/>
        <w:right w:val="none" w:sz="0" w:space="0" w:color="auto"/>
      </w:divBdr>
    </w:div>
    <w:div w:id="241448087">
      <w:bodyDiv w:val="1"/>
      <w:marLeft w:val="0"/>
      <w:marRight w:val="0"/>
      <w:marTop w:val="0"/>
      <w:marBottom w:val="0"/>
      <w:divBdr>
        <w:top w:val="none" w:sz="0" w:space="0" w:color="auto"/>
        <w:left w:val="none" w:sz="0" w:space="0" w:color="auto"/>
        <w:bottom w:val="none" w:sz="0" w:space="0" w:color="auto"/>
        <w:right w:val="none" w:sz="0" w:space="0" w:color="auto"/>
      </w:divBdr>
    </w:div>
    <w:div w:id="242304497">
      <w:bodyDiv w:val="1"/>
      <w:marLeft w:val="0"/>
      <w:marRight w:val="0"/>
      <w:marTop w:val="0"/>
      <w:marBottom w:val="0"/>
      <w:divBdr>
        <w:top w:val="none" w:sz="0" w:space="0" w:color="auto"/>
        <w:left w:val="none" w:sz="0" w:space="0" w:color="auto"/>
        <w:bottom w:val="none" w:sz="0" w:space="0" w:color="auto"/>
        <w:right w:val="none" w:sz="0" w:space="0" w:color="auto"/>
      </w:divBdr>
    </w:div>
    <w:div w:id="246769858">
      <w:bodyDiv w:val="1"/>
      <w:marLeft w:val="0"/>
      <w:marRight w:val="0"/>
      <w:marTop w:val="0"/>
      <w:marBottom w:val="0"/>
      <w:divBdr>
        <w:top w:val="none" w:sz="0" w:space="0" w:color="auto"/>
        <w:left w:val="none" w:sz="0" w:space="0" w:color="auto"/>
        <w:bottom w:val="none" w:sz="0" w:space="0" w:color="auto"/>
        <w:right w:val="none" w:sz="0" w:space="0" w:color="auto"/>
      </w:divBdr>
    </w:div>
    <w:div w:id="251552682">
      <w:bodyDiv w:val="1"/>
      <w:marLeft w:val="0"/>
      <w:marRight w:val="0"/>
      <w:marTop w:val="0"/>
      <w:marBottom w:val="0"/>
      <w:divBdr>
        <w:top w:val="none" w:sz="0" w:space="0" w:color="auto"/>
        <w:left w:val="none" w:sz="0" w:space="0" w:color="auto"/>
        <w:bottom w:val="none" w:sz="0" w:space="0" w:color="auto"/>
        <w:right w:val="none" w:sz="0" w:space="0" w:color="auto"/>
      </w:divBdr>
    </w:div>
    <w:div w:id="253518923">
      <w:bodyDiv w:val="1"/>
      <w:marLeft w:val="0"/>
      <w:marRight w:val="0"/>
      <w:marTop w:val="0"/>
      <w:marBottom w:val="0"/>
      <w:divBdr>
        <w:top w:val="none" w:sz="0" w:space="0" w:color="auto"/>
        <w:left w:val="none" w:sz="0" w:space="0" w:color="auto"/>
        <w:bottom w:val="none" w:sz="0" w:space="0" w:color="auto"/>
        <w:right w:val="none" w:sz="0" w:space="0" w:color="auto"/>
      </w:divBdr>
    </w:div>
    <w:div w:id="255133328">
      <w:bodyDiv w:val="1"/>
      <w:marLeft w:val="0"/>
      <w:marRight w:val="0"/>
      <w:marTop w:val="0"/>
      <w:marBottom w:val="0"/>
      <w:divBdr>
        <w:top w:val="none" w:sz="0" w:space="0" w:color="auto"/>
        <w:left w:val="none" w:sz="0" w:space="0" w:color="auto"/>
        <w:bottom w:val="none" w:sz="0" w:space="0" w:color="auto"/>
        <w:right w:val="none" w:sz="0" w:space="0" w:color="auto"/>
      </w:divBdr>
    </w:div>
    <w:div w:id="262808843">
      <w:bodyDiv w:val="1"/>
      <w:marLeft w:val="0"/>
      <w:marRight w:val="0"/>
      <w:marTop w:val="0"/>
      <w:marBottom w:val="0"/>
      <w:divBdr>
        <w:top w:val="none" w:sz="0" w:space="0" w:color="auto"/>
        <w:left w:val="none" w:sz="0" w:space="0" w:color="auto"/>
        <w:bottom w:val="none" w:sz="0" w:space="0" w:color="auto"/>
        <w:right w:val="none" w:sz="0" w:space="0" w:color="auto"/>
      </w:divBdr>
    </w:div>
    <w:div w:id="263612801">
      <w:bodyDiv w:val="1"/>
      <w:marLeft w:val="0"/>
      <w:marRight w:val="0"/>
      <w:marTop w:val="0"/>
      <w:marBottom w:val="0"/>
      <w:divBdr>
        <w:top w:val="none" w:sz="0" w:space="0" w:color="auto"/>
        <w:left w:val="none" w:sz="0" w:space="0" w:color="auto"/>
        <w:bottom w:val="none" w:sz="0" w:space="0" w:color="auto"/>
        <w:right w:val="none" w:sz="0" w:space="0" w:color="auto"/>
      </w:divBdr>
    </w:div>
    <w:div w:id="266928565">
      <w:bodyDiv w:val="1"/>
      <w:marLeft w:val="0"/>
      <w:marRight w:val="0"/>
      <w:marTop w:val="0"/>
      <w:marBottom w:val="0"/>
      <w:divBdr>
        <w:top w:val="none" w:sz="0" w:space="0" w:color="auto"/>
        <w:left w:val="none" w:sz="0" w:space="0" w:color="auto"/>
        <w:bottom w:val="none" w:sz="0" w:space="0" w:color="auto"/>
        <w:right w:val="none" w:sz="0" w:space="0" w:color="auto"/>
      </w:divBdr>
    </w:div>
    <w:div w:id="270168824">
      <w:bodyDiv w:val="1"/>
      <w:marLeft w:val="0"/>
      <w:marRight w:val="0"/>
      <w:marTop w:val="0"/>
      <w:marBottom w:val="0"/>
      <w:divBdr>
        <w:top w:val="none" w:sz="0" w:space="0" w:color="auto"/>
        <w:left w:val="none" w:sz="0" w:space="0" w:color="auto"/>
        <w:bottom w:val="none" w:sz="0" w:space="0" w:color="auto"/>
        <w:right w:val="none" w:sz="0" w:space="0" w:color="auto"/>
      </w:divBdr>
    </w:div>
    <w:div w:id="274482771">
      <w:bodyDiv w:val="1"/>
      <w:marLeft w:val="0"/>
      <w:marRight w:val="0"/>
      <w:marTop w:val="0"/>
      <w:marBottom w:val="0"/>
      <w:divBdr>
        <w:top w:val="none" w:sz="0" w:space="0" w:color="auto"/>
        <w:left w:val="none" w:sz="0" w:space="0" w:color="auto"/>
        <w:bottom w:val="none" w:sz="0" w:space="0" w:color="auto"/>
        <w:right w:val="none" w:sz="0" w:space="0" w:color="auto"/>
      </w:divBdr>
    </w:div>
    <w:div w:id="275674376">
      <w:bodyDiv w:val="1"/>
      <w:marLeft w:val="0"/>
      <w:marRight w:val="0"/>
      <w:marTop w:val="0"/>
      <w:marBottom w:val="0"/>
      <w:divBdr>
        <w:top w:val="none" w:sz="0" w:space="0" w:color="auto"/>
        <w:left w:val="none" w:sz="0" w:space="0" w:color="auto"/>
        <w:bottom w:val="none" w:sz="0" w:space="0" w:color="auto"/>
        <w:right w:val="none" w:sz="0" w:space="0" w:color="auto"/>
      </w:divBdr>
    </w:div>
    <w:div w:id="275873038">
      <w:bodyDiv w:val="1"/>
      <w:marLeft w:val="0"/>
      <w:marRight w:val="0"/>
      <w:marTop w:val="0"/>
      <w:marBottom w:val="0"/>
      <w:divBdr>
        <w:top w:val="none" w:sz="0" w:space="0" w:color="auto"/>
        <w:left w:val="none" w:sz="0" w:space="0" w:color="auto"/>
        <w:bottom w:val="none" w:sz="0" w:space="0" w:color="auto"/>
        <w:right w:val="none" w:sz="0" w:space="0" w:color="auto"/>
      </w:divBdr>
    </w:div>
    <w:div w:id="277108976">
      <w:bodyDiv w:val="1"/>
      <w:marLeft w:val="0"/>
      <w:marRight w:val="0"/>
      <w:marTop w:val="0"/>
      <w:marBottom w:val="0"/>
      <w:divBdr>
        <w:top w:val="none" w:sz="0" w:space="0" w:color="auto"/>
        <w:left w:val="none" w:sz="0" w:space="0" w:color="auto"/>
        <w:bottom w:val="none" w:sz="0" w:space="0" w:color="auto"/>
        <w:right w:val="none" w:sz="0" w:space="0" w:color="auto"/>
      </w:divBdr>
    </w:div>
    <w:div w:id="278953148">
      <w:bodyDiv w:val="1"/>
      <w:marLeft w:val="0"/>
      <w:marRight w:val="0"/>
      <w:marTop w:val="0"/>
      <w:marBottom w:val="0"/>
      <w:divBdr>
        <w:top w:val="none" w:sz="0" w:space="0" w:color="auto"/>
        <w:left w:val="none" w:sz="0" w:space="0" w:color="auto"/>
        <w:bottom w:val="none" w:sz="0" w:space="0" w:color="auto"/>
        <w:right w:val="none" w:sz="0" w:space="0" w:color="auto"/>
      </w:divBdr>
    </w:div>
    <w:div w:id="279411785">
      <w:bodyDiv w:val="1"/>
      <w:marLeft w:val="0"/>
      <w:marRight w:val="0"/>
      <w:marTop w:val="0"/>
      <w:marBottom w:val="0"/>
      <w:divBdr>
        <w:top w:val="none" w:sz="0" w:space="0" w:color="auto"/>
        <w:left w:val="none" w:sz="0" w:space="0" w:color="auto"/>
        <w:bottom w:val="none" w:sz="0" w:space="0" w:color="auto"/>
        <w:right w:val="none" w:sz="0" w:space="0" w:color="auto"/>
      </w:divBdr>
    </w:div>
    <w:div w:id="284048372">
      <w:bodyDiv w:val="1"/>
      <w:marLeft w:val="0"/>
      <w:marRight w:val="0"/>
      <w:marTop w:val="0"/>
      <w:marBottom w:val="0"/>
      <w:divBdr>
        <w:top w:val="none" w:sz="0" w:space="0" w:color="auto"/>
        <w:left w:val="none" w:sz="0" w:space="0" w:color="auto"/>
        <w:bottom w:val="none" w:sz="0" w:space="0" w:color="auto"/>
        <w:right w:val="none" w:sz="0" w:space="0" w:color="auto"/>
      </w:divBdr>
    </w:div>
    <w:div w:id="285278785">
      <w:bodyDiv w:val="1"/>
      <w:marLeft w:val="0"/>
      <w:marRight w:val="0"/>
      <w:marTop w:val="0"/>
      <w:marBottom w:val="0"/>
      <w:divBdr>
        <w:top w:val="none" w:sz="0" w:space="0" w:color="auto"/>
        <w:left w:val="none" w:sz="0" w:space="0" w:color="auto"/>
        <w:bottom w:val="none" w:sz="0" w:space="0" w:color="auto"/>
        <w:right w:val="none" w:sz="0" w:space="0" w:color="auto"/>
      </w:divBdr>
    </w:div>
    <w:div w:id="286081399">
      <w:bodyDiv w:val="1"/>
      <w:marLeft w:val="0"/>
      <w:marRight w:val="0"/>
      <w:marTop w:val="0"/>
      <w:marBottom w:val="0"/>
      <w:divBdr>
        <w:top w:val="none" w:sz="0" w:space="0" w:color="auto"/>
        <w:left w:val="none" w:sz="0" w:space="0" w:color="auto"/>
        <w:bottom w:val="none" w:sz="0" w:space="0" w:color="auto"/>
        <w:right w:val="none" w:sz="0" w:space="0" w:color="auto"/>
      </w:divBdr>
    </w:div>
    <w:div w:id="289408013">
      <w:bodyDiv w:val="1"/>
      <w:marLeft w:val="0"/>
      <w:marRight w:val="0"/>
      <w:marTop w:val="0"/>
      <w:marBottom w:val="0"/>
      <w:divBdr>
        <w:top w:val="none" w:sz="0" w:space="0" w:color="auto"/>
        <w:left w:val="none" w:sz="0" w:space="0" w:color="auto"/>
        <w:bottom w:val="none" w:sz="0" w:space="0" w:color="auto"/>
        <w:right w:val="none" w:sz="0" w:space="0" w:color="auto"/>
      </w:divBdr>
    </w:div>
    <w:div w:id="290866344">
      <w:bodyDiv w:val="1"/>
      <w:marLeft w:val="0"/>
      <w:marRight w:val="0"/>
      <w:marTop w:val="0"/>
      <w:marBottom w:val="0"/>
      <w:divBdr>
        <w:top w:val="none" w:sz="0" w:space="0" w:color="auto"/>
        <w:left w:val="none" w:sz="0" w:space="0" w:color="auto"/>
        <w:bottom w:val="none" w:sz="0" w:space="0" w:color="auto"/>
        <w:right w:val="none" w:sz="0" w:space="0" w:color="auto"/>
      </w:divBdr>
    </w:div>
    <w:div w:id="299925110">
      <w:bodyDiv w:val="1"/>
      <w:marLeft w:val="0"/>
      <w:marRight w:val="0"/>
      <w:marTop w:val="0"/>
      <w:marBottom w:val="0"/>
      <w:divBdr>
        <w:top w:val="none" w:sz="0" w:space="0" w:color="auto"/>
        <w:left w:val="none" w:sz="0" w:space="0" w:color="auto"/>
        <w:bottom w:val="none" w:sz="0" w:space="0" w:color="auto"/>
        <w:right w:val="none" w:sz="0" w:space="0" w:color="auto"/>
      </w:divBdr>
    </w:div>
    <w:div w:id="300699065">
      <w:bodyDiv w:val="1"/>
      <w:marLeft w:val="0"/>
      <w:marRight w:val="0"/>
      <w:marTop w:val="0"/>
      <w:marBottom w:val="0"/>
      <w:divBdr>
        <w:top w:val="none" w:sz="0" w:space="0" w:color="auto"/>
        <w:left w:val="none" w:sz="0" w:space="0" w:color="auto"/>
        <w:bottom w:val="none" w:sz="0" w:space="0" w:color="auto"/>
        <w:right w:val="none" w:sz="0" w:space="0" w:color="auto"/>
      </w:divBdr>
    </w:div>
    <w:div w:id="310528241">
      <w:bodyDiv w:val="1"/>
      <w:marLeft w:val="0"/>
      <w:marRight w:val="0"/>
      <w:marTop w:val="0"/>
      <w:marBottom w:val="0"/>
      <w:divBdr>
        <w:top w:val="none" w:sz="0" w:space="0" w:color="auto"/>
        <w:left w:val="none" w:sz="0" w:space="0" w:color="auto"/>
        <w:bottom w:val="none" w:sz="0" w:space="0" w:color="auto"/>
        <w:right w:val="none" w:sz="0" w:space="0" w:color="auto"/>
      </w:divBdr>
    </w:div>
    <w:div w:id="311174942">
      <w:bodyDiv w:val="1"/>
      <w:marLeft w:val="0"/>
      <w:marRight w:val="0"/>
      <w:marTop w:val="0"/>
      <w:marBottom w:val="0"/>
      <w:divBdr>
        <w:top w:val="none" w:sz="0" w:space="0" w:color="auto"/>
        <w:left w:val="none" w:sz="0" w:space="0" w:color="auto"/>
        <w:bottom w:val="none" w:sz="0" w:space="0" w:color="auto"/>
        <w:right w:val="none" w:sz="0" w:space="0" w:color="auto"/>
      </w:divBdr>
    </w:div>
    <w:div w:id="311636595">
      <w:bodyDiv w:val="1"/>
      <w:marLeft w:val="0"/>
      <w:marRight w:val="0"/>
      <w:marTop w:val="0"/>
      <w:marBottom w:val="0"/>
      <w:divBdr>
        <w:top w:val="none" w:sz="0" w:space="0" w:color="auto"/>
        <w:left w:val="none" w:sz="0" w:space="0" w:color="auto"/>
        <w:bottom w:val="none" w:sz="0" w:space="0" w:color="auto"/>
        <w:right w:val="none" w:sz="0" w:space="0" w:color="auto"/>
      </w:divBdr>
    </w:div>
    <w:div w:id="313918948">
      <w:bodyDiv w:val="1"/>
      <w:marLeft w:val="0"/>
      <w:marRight w:val="0"/>
      <w:marTop w:val="0"/>
      <w:marBottom w:val="0"/>
      <w:divBdr>
        <w:top w:val="none" w:sz="0" w:space="0" w:color="auto"/>
        <w:left w:val="none" w:sz="0" w:space="0" w:color="auto"/>
        <w:bottom w:val="none" w:sz="0" w:space="0" w:color="auto"/>
        <w:right w:val="none" w:sz="0" w:space="0" w:color="auto"/>
      </w:divBdr>
    </w:div>
    <w:div w:id="314728776">
      <w:bodyDiv w:val="1"/>
      <w:marLeft w:val="0"/>
      <w:marRight w:val="0"/>
      <w:marTop w:val="0"/>
      <w:marBottom w:val="0"/>
      <w:divBdr>
        <w:top w:val="none" w:sz="0" w:space="0" w:color="auto"/>
        <w:left w:val="none" w:sz="0" w:space="0" w:color="auto"/>
        <w:bottom w:val="none" w:sz="0" w:space="0" w:color="auto"/>
        <w:right w:val="none" w:sz="0" w:space="0" w:color="auto"/>
      </w:divBdr>
    </w:div>
    <w:div w:id="317811588">
      <w:bodyDiv w:val="1"/>
      <w:marLeft w:val="0"/>
      <w:marRight w:val="0"/>
      <w:marTop w:val="0"/>
      <w:marBottom w:val="0"/>
      <w:divBdr>
        <w:top w:val="none" w:sz="0" w:space="0" w:color="auto"/>
        <w:left w:val="none" w:sz="0" w:space="0" w:color="auto"/>
        <w:bottom w:val="none" w:sz="0" w:space="0" w:color="auto"/>
        <w:right w:val="none" w:sz="0" w:space="0" w:color="auto"/>
      </w:divBdr>
    </w:div>
    <w:div w:id="321350960">
      <w:bodyDiv w:val="1"/>
      <w:marLeft w:val="0"/>
      <w:marRight w:val="0"/>
      <w:marTop w:val="0"/>
      <w:marBottom w:val="0"/>
      <w:divBdr>
        <w:top w:val="none" w:sz="0" w:space="0" w:color="auto"/>
        <w:left w:val="none" w:sz="0" w:space="0" w:color="auto"/>
        <w:bottom w:val="none" w:sz="0" w:space="0" w:color="auto"/>
        <w:right w:val="none" w:sz="0" w:space="0" w:color="auto"/>
      </w:divBdr>
    </w:div>
    <w:div w:id="331881131">
      <w:bodyDiv w:val="1"/>
      <w:marLeft w:val="0"/>
      <w:marRight w:val="0"/>
      <w:marTop w:val="0"/>
      <w:marBottom w:val="0"/>
      <w:divBdr>
        <w:top w:val="none" w:sz="0" w:space="0" w:color="auto"/>
        <w:left w:val="none" w:sz="0" w:space="0" w:color="auto"/>
        <w:bottom w:val="none" w:sz="0" w:space="0" w:color="auto"/>
        <w:right w:val="none" w:sz="0" w:space="0" w:color="auto"/>
      </w:divBdr>
    </w:div>
    <w:div w:id="342711486">
      <w:bodyDiv w:val="1"/>
      <w:marLeft w:val="0"/>
      <w:marRight w:val="0"/>
      <w:marTop w:val="0"/>
      <w:marBottom w:val="0"/>
      <w:divBdr>
        <w:top w:val="none" w:sz="0" w:space="0" w:color="auto"/>
        <w:left w:val="none" w:sz="0" w:space="0" w:color="auto"/>
        <w:bottom w:val="none" w:sz="0" w:space="0" w:color="auto"/>
        <w:right w:val="none" w:sz="0" w:space="0" w:color="auto"/>
      </w:divBdr>
    </w:div>
    <w:div w:id="348877836">
      <w:bodyDiv w:val="1"/>
      <w:marLeft w:val="0"/>
      <w:marRight w:val="0"/>
      <w:marTop w:val="0"/>
      <w:marBottom w:val="0"/>
      <w:divBdr>
        <w:top w:val="none" w:sz="0" w:space="0" w:color="auto"/>
        <w:left w:val="none" w:sz="0" w:space="0" w:color="auto"/>
        <w:bottom w:val="none" w:sz="0" w:space="0" w:color="auto"/>
        <w:right w:val="none" w:sz="0" w:space="0" w:color="auto"/>
      </w:divBdr>
    </w:div>
    <w:div w:id="349727185">
      <w:bodyDiv w:val="1"/>
      <w:marLeft w:val="0"/>
      <w:marRight w:val="0"/>
      <w:marTop w:val="0"/>
      <w:marBottom w:val="0"/>
      <w:divBdr>
        <w:top w:val="none" w:sz="0" w:space="0" w:color="auto"/>
        <w:left w:val="none" w:sz="0" w:space="0" w:color="auto"/>
        <w:bottom w:val="none" w:sz="0" w:space="0" w:color="auto"/>
        <w:right w:val="none" w:sz="0" w:space="0" w:color="auto"/>
      </w:divBdr>
    </w:div>
    <w:div w:id="354774447">
      <w:bodyDiv w:val="1"/>
      <w:marLeft w:val="0"/>
      <w:marRight w:val="0"/>
      <w:marTop w:val="0"/>
      <w:marBottom w:val="0"/>
      <w:divBdr>
        <w:top w:val="none" w:sz="0" w:space="0" w:color="auto"/>
        <w:left w:val="none" w:sz="0" w:space="0" w:color="auto"/>
        <w:bottom w:val="none" w:sz="0" w:space="0" w:color="auto"/>
        <w:right w:val="none" w:sz="0" w:space="0" w:color="auto"/>
      </w:divBdr>
    </w:div>
    <w:div w:id="355739749">
      <w:bodyDiv w:val="1"/>
      <w:marLeft w:val="0"/>
      <w:marRight w:val="0"/>
      <w:marTop w:val="0"/>
      <w:marBottom w:val="0"/>
      <w:divBdr>
        <w:top w:val="none" w:sz="0" w:space="0" w:color="auto"/>
        <w:left w:val="none" w:sz="0" w:space="0" w:color="auto"/>
        <w:bottom w:val="none" w:sz="0" w:space="0" w:color="auto"/>
        <w:right w:val="none" w:sz="0" w:space="0" w:color="auto"/>
      </w:divBdr>
    </w:div>
    <w:div w:id="369453386">
      <w:bodyDiv w:val="1"/>
      <w:marLeft w:val="0"/>
      <w:marRight w:val="0"/>
      <w:marTop w:val="0"/>
      <w:marBottom w:val="0"/>
      <w:divBdr>
        <w:top w:val="none" w:sz="0" w:space="0" w:color="auto"/>
        <w:left w:val="none" w:sz="0" w:space="0" w:color="auto"/>
        <w:bottom w:val="none" w:sz="0" w:space="0" w:color="auto"/>
        <w:right w:val="none" w:sz="0" w:space="0" w:color="auto"/>
      </w:divBdr>
    </w:div>
    <w:div w:id="369885411">
      <w:bodyDiv w:val="1"/>
      <w:marLeft w:val="0"/>
      <w:marRight w:val="0"/>
      <w:marTop w:val="0"/>
      <w:marBottom w:val="0"/>
      <w:divBdr>
        <w:top w:val="none" w:sz="0" w:space="0" w:color="auto"/>
        <w:left w:val="none" w:sz="0" w:space="0" w:color="auto"/>
        <w:bottom w:val="none" w:sz="0" w:space="0" w:color="auto"/>
        <w:right w:val="none" w:sz="0" w:space="0" w:color="auto"/>
      </w:divBdr>
    </w:div>
    <w:div w:id="381755740">
      <w:bodyDiv w:val="1"/>
      <w:marLeft w:val="0"/>
      <w:marRight w:val="0"/>
      <w:marTop w:val="0"/>
      <w:marBottom w:val="0"/>
      <w:divBdr>
        <w:top w:val="none" w:sz="0" w:space="0" w:color="auto"/>
        <w:left w:val="none" w:sz="0" w:space="0" w:color="auto"/>
        <w:bottom w:val="none" w:sz="0" w:space="0" w:color="auto"/>
        <w:right w:val="none" w:sz="0" w:space="0" w:color="auto"/>
      </w:divBdr>
    </w:div>
    <w:div w:id="391736443">
      <w:bodyDiv w:val="1"/>
      <w:marLeft w:val="0"/>
      <w:marRight w:val="0"/>
      <w:marTop w:val="0"/>
      <w:marBottom w:val="0"/>
      <w:divBdr>
        <w:top w:val="none" w:sz="0" w:space="0" w:color="auto"/>
        <w:left w:val="none" w:sz="0" w:space="0" w:color="auto"/>
        <w:bottom w:val="none" w:sz="0" w:space="0" w:color="auto"/>
        <w:right w:val="none" w:sz="0" w:space="0" w:color="auto"/>
      </w:divBdr>
    </w:div>
    <w:div w:id="399863312">
      <w:bodyDiv w:val="1"/>
      <w:marLeft w:val="0"/>
      <w:marRight w:val="0"/>
      <w:marTop w:val="0"/>
      <w:marBottom w:val="0"/>
      <w:divBdr>
        <w:top w:val="none" w:sz="0" w:space="0" w:color="auto"/>
        <w:left w:val="none" w:sz="0" w:space="0" w:color="auto"/>
        <w:bottom w:val="none" w:sz="0" w:space="0" w:color="auto"/>
        <w:right w:val="none" w:sz="0" w:space="0" w:color="auto"/>
      </w:divBdr>
    </w:div>
    <w:div w:id="400325664">
      <w:bodyDiv w:val="1"/>
      <w:marLeft w:val="0"/>
      <w:marRight w:val="0"/>
      <w:marTop w:val="0"/>
      <w:marBottom w:val="0"/>
      <w:divBdr>
        <w:top w:val="none" w:sz="0" w:space="0" w:color="auto"/>
        <w:left w:val="none" w:sz="0" w:space="0" w:color="auto"/>
        <w:bottom w:val="none" w:sz="0" w:space="0" w:color="auto"/>
        <w:right w:val="none" w:sz="0" w:space="0" w:color="auto"/>
      </w:divBdr>
    </w:div>
    <w:div w:id="401366304">
      <w:bodyDiv w:val="1"/>
      <w:marLeft w:val="0"/>
      <w:marRight w:val="0"/>
      <w:marTop w:val="0"/>
      <w:marBottom w:val="0"/>
      <w:divBdr>
        <w:top w:val="none" w:sz="0" w:space="0" w:color="auto"/>
        <w:left w:val="none" w:sz="0" w:space="0" w:color="auto"/>
        <w:bottom w:val="none" w:sz="0" w:space="0" w:color="auto"/>
        <w:right w:val="none" w:sz="0" w:space="0" w:color="auto"/>
      </w:divBdr>
    </w:div>
    <w:div w:id="403837351">
      <w:bodyDiv w:val="1"/>
      <w:marLeft w:val="0"/>
      <w:marRight w:val="0"/>
      <w:marTop w:val="0"/>
      <w:marBottom w:val="0"/>
      <w:divBdr>
        <w:top w:val="none" w:sz="0" w:space="0" w:color="auto"/>
        <w:left w:val="none" w:sz="0" w:space="0" w:color="auto"/>
        <w:bottom w:val="none" w:sz="0" w:space="0" w:color="auto"/>
        <w:right w:val="none" w:sz="0" w:space="0" w:color="auto"/>
      </w:divBdr>
    </w:div>
    <w:div w:id="410005512">
      <w:bodyDiv w:val="1"/>
      <w:marLeft w:val="0"/>
      <w:marRight w:val="0"/>
      <w:marTop w:val="0"/>
      <w:marBottom w:val="0"/>
      <w:divBdr>
        <w:top w:val="none" w:sz="0" w:space="0" w:color="auto"/>
        <w:left w:val="none" w:sz="0" w:space="0" w:color="auto"/>
        <w:bottom w:val="none" w:sz="0" w:space="0" w:color="auto"/>
        <w:right w:val="none" w:sz="0" w:space="0" w:color="auto"/>
      </w:divBdr>
    </w:div>
    <w:div w:id="411050870">
      <w:bodyDiv w:val="1"/>
      <w:marLeft w:val="0"/>
      <w:marRight w:val="0"/>
      <w:marTop w:val="0"/>
      <w:marBottom w:val="0"/>
      <w:divBdr>
        <w:top w:val="none" w:sz="0" w:space="0" w:color="auto"/>
        <w:left w:val="none" w:sz="0" w:space="0" w:color="auto"/>
        <w:bottom w:val="none" w:sz="0" w:space="0" w:color="auto"/>
        <w:right w:val="none" w:sz="0" w:space="0" w:color="auto"/>
      </w:divBdr>
    </w:div>
    <w:div w:id="414085065">
      <w:bodyDiv w:val="1"/>
      <w:marLeft w:val="0"/>
      <w:marRight w:val="0"/>
      <w:marTop w:val="0"/>
      <w:marBottom w:val="0"/>
      <w:divBdr>
        <w:top w:val="none" w:sz="0" w:space="0" w:color="auto"/>
        <w:left w:val="none" w:sz="0" w:space="0" w:color="auto"/>
        <w:bottom w:val="none" w:sz="0" w:space="0" w:color="auto"/>
        <w:right w:val="none" w:sz="0" w:space="0" w:color="auto"/>
      </w:divBdr>
    </w:div>
    <w:div w:id="417292695">
      <w:bodyDiv w:val="1"/>
      <w:marLeft w:val="0"/>
      <w:marRight w:val="0"/>
      <w:marTop w:val="0"/>
      <w:marBottom w:val="0"/>
      <w:divBdr>
        <w:top w:val="none" w:sz="0" w:space="0" w:color="auto"/>
        <w:left w:val="none" w:sz="0" w:space="0" w:color="auto"/>
        <w:bottom w:val="none" w:sz="0" w:space="0" w:color="auto"/>
        <w:right w:val="none" w:sz="0" w:space="0" w:color="auto"/>
      </w:divBdr>
    </w:div>
    <w:div w:id="417556682">
      <w:bodyDiv w:val="1"/>
      <w:marLeft w:val="0"/>
      <w:marRight w:val="0"/>
      <w:marTop w:val="0"/>
      <w:marBottom w:val="0"/>
      <w:divBdr>
        <w:top w:val="none" w:sz="0" w:space="0" w:color="auto"/>
        <w:left w:val="none" w:sz="0" w:space="0" w:color="auto"/>
        <w:bottom w:val="none" w:sz="0" w:space="0" w:color="auto"/>
        <w:right w:val="none" w:sz="0" w:space="0" w:color="auto"/>
      </w:divBdr>
    </w:div>
    <w:div w:id="430515918">
      <w:bodyDiv w:val="1"/>
      <w:marLeft w:val="0"/>
      <w:marRight w:val="0"/>
      <w:marTop w:val="0"/>
      <w:marBottom w:val="0"/>
      <w:divBdr>
        <w:top w:val="none" w:sz="0" w:space="0" w:color="auto"/>
        <w:left w:val="none" w:sz="0" w:space="0" w:color="auto"/>
        <w:bottom w:val="none" w:sz="0" w:space="0" w:color="auto"/>
        <w:right w:val="none" w:sz="0" w:space="0" w:color="auto"/>
      </w:divBdr>
    </w:div>
    <w:div w:id="430668373">
      <w:bodyDiv w:val="1"/>
      <w:marLeft w:val="0"/>
      <w:marRight w:val="0"/>
      <w:marTop w:val="0"/>
      <w:marBottom w:val="0"/>
      <w:divBdr>
        <w:top w:val="none" w:sz="0" w:space="0" w:color="auto"/>
        <w:left w:val="none" w:sz="0" w:space="0" w:color="auto"/>
        <w:bottom w:val="none" w:sz="0" w:space="0" w:color="auto"/>
        <w:right w:val="none" w:sz="0" w:space="0" w:color="auto"/>
      </w:divBdr>
    </w:div>
    <w:div w:id="448008528">
      <w:bodyDiv w:val="1"/>
      <w:marLeft w:val="0"/>
      <w:marRight w:val="0"/>
      <w:marTop w:val="0"/>
      <w:marBottom w:val="0"/>
      <w:divBdr>
        <w:top w:val="none" w:sz="0" w:space="0" w:color="auto"/>
        <w:left w:val="none" w:sz="0" w:space="0" w:color="auto"/>
        <w:bottom w:val="none" w:sz="0" w:space="0" w:color="auto"/>
        <w:right w:val="none" w:sz="0" w:space="0" w:color="auto"/>
      </w:divBdr>
    </w:div>
    <w:div w:id="459349549">
      <w:bodyDiv w:val="1"/>
      <w:marLeft w:val="0"/>
      <w:marRight w:val="0"/>
      <w:marTop w:val="0"/>
      <w:marBottom w:val="0"/>
      <w:divBdr>
        <w:top w:val="none" w:sz="0" w:space="0" w:color="auto"/>
        <w:left w:val="none" w:sz="0" w:space="0" w:color="auto"/>
        <w:bottom w:val="none" w:sz="0" w:space="0" w:color="auto"/>
        <w:right w:val="none" w:sz="0" w:space="0" w:color="auto"/>
      </w:divBdr>
    </w:div>
    <w:div w:id="469711979">
      <w:bodyDiv w:val="1"/>
      <w:marLeft w:val="0"/>
      <w:marRight w:val="0"/>
      <w:marTop w:val="0"/>
      <w:marBottom w:val="0"/>
      <w:divBdr>
        <w:top w:val="none" w:sz="0" w:space="0" w:color="auto"/>
        <w:left w:val="none" w:sz="0" w:space="0" w:color="auto"/>
        <w:bottom w:val="none" w:sz="0" w:space="0" w:color="auto"/>
        <w:right w:val="none" w:sz="0" w:space="0" w:color="auto"/>
      </w:divBdr>
    </w:div>
    <w:div w:id="475343127">
      <w:bodyDiv w:val="1"/>
      <w:marLeft w:val="0"/>
      <w:marRight w:val="0"/>
      <w:marTop w:val="0"/>
      <w:marBottom w:val="0"/>
      <w:divBdr>
        <w:top w:val="none" w:sz="0" w:space="0" w:color="auto"/>
        <w:left w:val="none" w:sz="0" w:space="0" w:color="auto"/>
        <w:bottom w:val="none" w:sz="0" w:space="0" w:color="auto"/>
        <w:right w:val="none" w:sz="0" w:space="0" w:color="auto"/>
      </w:divBdr>
    </w:div>
    <w:div w:id="476261345">
      <w:bodyDiv w:val="1"/>
      <w:marLeft w:val="0"/>
      <w:marRight w:val="0"/>
      <w:marTop w:val="0"/>
      <w:marBottom w:val="0"/>
      <w:divBdr>
        <w:top w:val="none" w:sz="0" w:space="0" w:color="auto"/>
        <w:left w:val="none" w:sz="0" w:space="0" w:color="auto"/>
        <w:bottom w:val="none" w:sz="0" w:space="0" w:color="auto"/>
        <w:right w:val="none" w:sz="0" w:space="0" w:color="auto"/>
      </w:divBdr>
    </w:div>
    <w:div w:id="483476008">
      <w:bodyDiv w:val="1"/>
      <w:marLeft w:val="0"/>
      <w:marRight w:val="0"/>
      <w:marTop w:val="0"/>
      <w:marBottom w:val="0"/>
      <w:divBdr>
        <w:top w:val="none" w:sz="0" w:space="0" w:color="auto"/>
        <w:left w:val="none" w:sz="0" w:space="0" w:color="auto"/>
        <w:bottom w:val="none" w:sz="0" w:space="0" w:color="auto"/>
        <w:right w:val="none" w:sz="0" w:space="0" w:color="auto"/>
      </w:divBdr>
    </w:div>
    <w:div w:id="487402404">
      <w:bodyDiv w:val="1"/>
      <w:marLeft w:val="0"/>
      <w:marRight w:val="0"/>
      <w:marTop w:val="0"/>
      <w:marBottom w:val="0"/>
      <w:divBdr>
        <w:top w:val="none" w:sz="0" w:space="0" w:color="auto"/>
        <w:left w:val="none" w:sz="0" w:space="0" w:color="auto"/>
        <w:bottom w:val="none" w:sz="0" w:space="0" w:color="auto"/>
        <w:right w:val="none" w:sz="0" w:space="0" w:color="auto"/>
      </w:divBdr>
    </w:div>
    <w:div w:id="492530638">
      <w:bodyDiv w:val="1"/>
      <w:marLeft w:val="0"/>
      <w:marRight w:val="0"/>
      <w:marTop w:val="0"/>
      <w:marBottom w:val="0"/>
      <w:divBdr>
        <w:top w:val="none" w:sz="0" w:space="0" w:color="auto"/>
        <w:left w:val="none" w:sz="0" w:space="0" w:color="auto"/>
        <w:bottom w:val="none" w:sz="0" w:space="0" w:color="auto"/>
        <w:right w:val="none" w:sz="0" w:space="0" w:color="auto"/>
      </w:divBdr>
    </w:div>
    <w:div w:id="499806941">
      <w:bodyDiv w:val="1"/>
      <w:marLeft w:val="0"/>
      <w:marRight w:val="0"/>
      <w:marTop w:val="0"/>
      <w:marBottom w:val="0"/>
      <w:divBdr>
        <w:top w:val="none" w:sz="0" w:space="0" w:color="auto"/>
        <w:left w:val="none" w:sz="0" w:space="0" w:color="auto"/>
        <w:bottom w:val="none" w:sz="0" w:space="0" w:color="auto"/>
        <w:right w:val="none" w:sz="0" w:space="0" w:color="auto"/>
      </w:divBdr>
    </w:div>
    <w:div w:id="500853871">
      <w:bodyDiv w:val="1"/>
      <w:marLeft w:val="0"/>
      <w:marRight w:val="0"/>
      <w:marTop w:val="0"/>
      <w:marBottom w:val="0"/>
      <w:divBdr>
        <w:top w:val="none" w:sz="0" w:space="0" w:color="auto"/>
        <w:left w:val="none" w:sz="0" w:space="0" w:color="auto"/>
        <w:bottom w:val="none" w:sz="0" w:space="0" w:color="auto"/>
        <w:right w:val="none" w:sz="0" w:space="0" w:color="auto"/>
      </w:divBdr>
    </w:div>
    <w:div w:id="503402376">
      <w:bodyDiv w:val="1"/>
      <w:marLeft w:val="0"/>
      <w:marRight w:val="0"/>
      <w:marTop w:val="0"/>
      <w:marBottom w:val="0"/>
      <w:divBdr>
        <w:top w:val="none" w:sz="0" w:space="0" w:color="auto"/>
        <w:left w:val="none" w:sz="0" w:space="0" w:color="auto"/>
        <w:bottom w:val="none" w:sz="0" w:space="0" w:color="auto"/>
        <w:right w:val="none" w:sz="0" w:space="0" w:color="auto"/>
      </w:divBdr>
    </w:div>
    <w:div w:id="504855917">
      <w:bodyDiv w:val="1"/>
      <w:marLeft w:val="0"/>
      <w:marRight w:val="0"/>
      <w:marTop w:val="0"/>
      <w:marBottom w:val="0"/>
      <w:divBdr>
        <w:top w:val="none" w:sz="0" w:space="0" w:color="auto"/>
        <w:left w:val="none" w:sz="0" w:space="0" w:color="auto"/>
        <w:bottom w:val="none" w:sz="0" w:space="0" w:color="auto"/>
        <w:right w:val="none" w:sz="0" w:space="0" w:color="auto"/>
      </w:divBdr>
    </w:div>
    <w:div w:id="506209309">
      <w:bodyDiv w:val="1"/>
      <w:marLeft w:val="0"/>
      <w:marRight w:val="0"/>
      <w:marTop w:val="0"/>
      <w:marBottom w:val="0"/>
      <w:divBdr>
        <w:top w:val="none" w:sz="0" w:space="0" w:color="auto"/>
        <w:left w:val="none" w:sz="0" w:space="0" w:color="auto"/>
        <w:bottom w:val="none" w:sz="0" w:space="0" w:color="auto"/>
        <w:right w:val="none" w:sz="0" w:space="0" w:color="auto"/>
      </w:divBdr>
    </w:div>
    <w:div w:id="515924189">
      <w:bodyDiv w:val="1"/>
      <w:marLeft w:val="0"/>
      <w:marRight w:val="0"/>
      <w:marTop w:val="0"/>
      <w:marBottom w:val="0"/>
      <w:divBdr>
        <w:top w:val="none" w:sz="0" w:space="0" w:color="auto"/>
        <w:left w:val="none" w:sz="0" w:space="0" w:color="auto"/>
        <w:bottom w:val="none" w:sz="0" w:space="0" w:color="auto"/>
        <w:right w:val="none" w:sz="0" w:space="0" w:color="auto"/>
      </w:divBdr>
    </w:div>
    <w:div w:id="516120178">
      <w:bodyDiv w:val="1"/>
      <w:marLeft w:val="0"/>
      <w:marRight w:val="0"/>
      <w:marTop w:val="0"/>
      <w:marBottom w:val="0"/>
      <w:divBdr>
        <w:top w:val="none" w:sz="0" w:space="0" w:color="auto"/>
        <w:left w:val="none" w:sz="0" w:space="0" w:color="auto"/>
        <w:bottom w:val="none" w:sz="0" w:space="0" w:color="auto"/>
        <w:right w:val="none" w:sz="0" w:space="0" w:color="auto"/>
      </w:divBdr>
    </w:div>
    <w:div w:id="516962563">
      <w:bodyDiv w:val="1"/>
      <w:marLeft w:val="0"/>
      <w:marRight w:val="0"/>
      <w:marTop w:val="0"/>
      <w:marBottom w:val="0"/>
      <w:divBdr>
        <w:top w:val="none" w:sz="0" w:space="0" w:color="auto"/>
        <w:left w:val="none" w:sz="0" w:space="0" w:color="auto"/>
        <w:bottom w:val="none" w:sz="0" w:space="0" w:color="auto"/>
        <w:right w:val="none" w:sz="0" w:space="0" w:color="auto"/>
      </w:divBdr>
    </w:div>
    <w:div w:id="517088083">
      <w:bodyDiv w:val="1"/>
      <w:marLeft w:val="0"/>
      <w:marRight w:val="0"/>
      <w:marTop w:val="0"/>
      <w:marBottom w:val="0"/>
      <w:divBdr>
        <w:top w:val="none" w:sz="0" w:space="0" w:color="auto"/>
        <w:left w:val="none" w:sz="0" w:space="0" w:color="auto"/>
        <w:bottom w:val="none" w:sz="0" w:space="0" w:color="auto"/>
        <w:right w:val="none" w:sz="0" w:space="0" w:color="auto"/>
      </w:divBdr>
    </w:div>
    <w:div w:id="518080470">
      <w:bodyDiv w:val="1"/>
      <w:marLeft w:val="0"/>
      <w:marRight w:val="0"/>
      <w:marTop w:val="0"/>
      <w:marBottom w:val="0"/>
      <w:divBdr>
        <w:top w:val="none" w:sz="0" w:space="0" w:color="auto"/>
        <w:left w:val="none" w:sz="0" w:space="0" w:color="auto"/>
        <w:bottom w:val="none" w:sz="0" w:space="0" w:color="auto"/>
        <w:right w:val="none" w:sz="0" w:space="0" w:color="auto"/>
      </w:divBdr>
    </w:div>
    <w:div w:id="520094009">
      <w:bodyDiv w:val="1"/>
      <w:marLeft w:val="0"/>
      <w:marRight w:val="0"/>
      <w:marTop w:val="0"/>
      <w:marBottom w:val="0"/>
      <w:divBdr>
        <w:top w:val="none" w:sz="0" w:space="0" w:color="auto"/>
        <w:left w:val="none" w:sz="0" w:space="0" w:color="auto"/>
        <w:bottom w:val="none" w:sz="0" w:space="0" w:color="auto"/>
        <w:right w:val="none" w:sz="0" w:space="0" w:color="auto"/>
      </w:divBdr>
    </w:div>
    <w:div w:id="523059413">
      <w:bodyDiv w:val="1"/>
      <w:marLeft w:val="0"/>
      <w:marRight w:val="0"/>
      <w:marTop w:val="0"/>
      <w:marBottom w:val="0"/>
      <w:divBdr>
        <w:top w:val="none" w:sz="0" w:space="0" w:color="auto"/>
        <w:left w:val="none" w:sz="0" w:space="0" w:color="auto"/>
        <w:bottom w:val="none" w:sz="0" w:space="0" w:color="auto"/>
        <w:right w:val="none" w:sz="0" w:space="0" w:color="auto"/>
      </w:divBdr>
    </w:div>
    <w:div w:id="525142322">
      <w:bodyDiv w:val="1"/>
      <w:marLeft w:val="0"/>
      <w:marRight w:val="0"/>
      <w:marTop w:val="0"/>
      <w:marBottom w:val="0"/>
      <w:divBdr>
        <w:top w:val="none" w:sz="0" w:space="0" w:color="auto"/>
        <w:left w:val="none" w:sz="0" w:space="0" w:color="auto"/>
        <w:bottom w:val="none" w:sz="0" w:space="0" w:color="auto"/>
        <w:right w:val="none" w:sz="0" w:space="0" w:color="auto"/>
      </w:divBdr>
    </w:div>
    <w:div w:id="529881089">
      <w:bodyDiv w:val="1"/>
      <w:marLeft w:val="0"/>
      <w:marRight w:val="0"/>
      <w:marTop w:val="0"/>
      <w:marBottom w:val="0"/>
      <w:divBdr>
        <w:top w:val="none" w:sz="0" w:space="0" w:color="auto"/>
        <w:left w:val="none" w:sz="0" w:space="0" w:color="auto"/>
        <w:bottom w:val="none" w:sz="0" w:space="0" w:color="auto"/>
        <w:right w:val="none" w:sz="0" w:space="0" w:color="auto"/>
      </w:divBdr>
    </w:div>
    <w:div w:id="535965863">
      <w:bodyDiv w:val="1"/>
      <w:marLeft w:val="0"/>
      <w:marRight w:val="0"/>
      <w:marTop w:val="0"/>
      <w:marBottom w:val="0"/>
      <w:divBdr>
        <w:top w:val="none" w:sz="0" w:space="0" w:color="auto"/>
        <w:left w:val="none" w:sz="0" w:space="0" w:color="auto"/>
        <w:bottom w:val="none" w:sz="0" w:space="0" w:color="auto"/>
        <w:right w:val="none" w:sz="0" w:space="0" w:color="auto"/>
      </w:divBdr>
    </w:div>
    <w:div w:id="542442528">
      <w:bodyDiv w:val="1"/>
      <w:marLeft w:val="0"/>
      <w:marRight w:val="0"/>
      <w:marTop w:val="0"/>
      <w:marBottom w:val="0"/>
      <w:divBdr>
        <w:top w:val="none" w:sz="0" w:space="0" w:color="auto"/>
        <w:left w:val="none" w:sz="0" w:space="0" w:color="auto"/>
        <w:bottom w:val="none" w:sz="0" w:space="0" w:color="auto"/>
        <w:right w:val="none" w:sz="0" w:space="0" w:color="auto"/>
      </w:divBdr>
    </w:div>
    <w:div w:id="543912170">
      <w:bodyDiv w:val="1"/>
      <w:marLeft w:val="0"/>
      <w:marRight w:val="0"/>
      <w:marTop w:val="0"/>
      <w:marBottom w:val="0"/>
      <w:divBdr>
        <w:top w:val="none" w:sz="0" w:space="0" w:color="auto"/>
        <w:left w:val="none" w:sz="0" w:space="0" w:color="auto"/>
        <w:bottom w:val="none" w:sz="0" w:space="0" w:color="auto"/>
        <w:right w:val="none" w:sz="0" w:space="0" w:color="auto"/>
      </w:divBdr>
    </w:div>
    <w:div w:id="545070846">
      <w:bodyDiv w:val="1"/>
      <w:marLeft w:val="0"/>
      <w:marRight w:val="0"/>
      <w:marTop w:val="0"/>
      <w:marBottom w:val="0"/>
      <w:divBdr>
        <w:top w:val="none" w:sz="0" w:space="0" w:color="auto"/>
        <w:left w:val="none" w:sz="0" w:space="0" w:color="auto"/>
        <w:bottom w:val="none" w:sz="0" w:space="0" w:color="auto"/>
        <w:right w:val="none" w:sz="0" w:space="0" w:color="auto"/>
      </w:divBdr>
    </w:div>
    <w:div w:id="545337610">
      <w:bodyDiv w:val="1"/>
      <w:marLeft w:val="0"/>
      <w:marRight w:val="0"/>
      <w:marTop w:val="0"/>
      <w:marBottom w:val="0"/>
      <w:divBdr>
        <w:top w:val="none" w:sz="0" w:space="0" w:color="auto"/>
        <w:left w:val="none" w:sz="0" w:space="0" w:color="auto"/>
        <w:bottom w:val="none" w:sz="0" w:space="0" w:color="auto"/>
        <w:right w:val="none" w:sz="0" w:space="0" w:color="auto"/>
      </w:divBdr>
    </w:div>
    <w:div w:id="551189334">
      <w:bodyDiv w:val="1"/>
      <w:marLeft w:val="0"/>
      <w:marRight w:val="0"/>
      <w:marTop w:val="0"/>
      <w:marBottom w:val="0"/>
      <w:divBdr>
        <w:top w:val="none" w:sz="0" w:space="0" w:color="auto"/>
        <w:left w:val="none" w:sz="0" w:space="0" w:color="auto"/>
        <w:bottom w:val="none" w:sz="0" w:space="0" w:color="auto"/>
        <w:right w:val="none" w:sz="0" w:space="0" w:color="auto"/>
      </w:divBdr>
    </w:div>
    <w:div w:id="555749549">
      <w:bodyDiv w:val="1"/>
      <w:marLeft w:val="0"/>
      <w:marRight w:val="0"/>
      <w:marTop w:val="0"/>
      <w:marBottom w:val="0"/>
      <w:divBdr>
        <w:top w:val="none" w:sz="0" w:space="0" w:color="auto"/>
        <w:left w:val="none" w:sz="0" w:space="0" w:color="auto"/>
        <w:bottom w:val="none" w:sz="0" w:space="0" w:color="auto"/>
        <w:right w:val="none" w:sz="0" w:space="0" w:color="auto"/>
      </w:divBdr>
    </w:div>
    <w:div w:id="568658916">
      <w:bodyDiv w:val="1"/>
      <w:marLeft w:val="0"/>
      <w:marRight w:val="0"/>
      <w:marTop w:val="0"/>
      <w:marBottom w:val="0"/>
      <w:divBdr>
        <w:top w:val="none" w:sz="0" w:space="0" w:color="auto"/>
        <w:left w:val="none" w:sz="0" w:space="0" w:color="auto"/>
        <w:bottom w:val="none" w:sz="0" w:space="0" w:color="auto"/>
        <w:right w:val="none" w:sz="0" w:space="0" w:color="auto"/>
      </w:divBdr>
    </w:div>
    <w:div w:id="573323129">
      <w:bodyDiv w:val="1"/>
      <w:marLeft w:val="0"/>
      <w:marRight w:val="0"/>
      <w:marTop w:val="0"/>
      <w:marBottom w:val="0"/>
      <w:divBdr>
        <w:top w:val="none" w:sz="0" w:space="0" w:color="auto"/>
        <w:left w:val="none" w:sz="0" w:space="0" w:color="auto"/>
        <w:bottom w:val="none" w:sz="0" w:space="0" w:color="auto"/>
        <w:right w:val="none" w:sz="0" w:space="0" w:color="auto"/>
      </w:divBdr>
    </w:div>
    <w:div w:id="574364329">
      <w:bodyDiv w:val="1"/>
      <w:marLeft w:val="0"/>
      <w:marRight w:val="0"/>
      <w:marTop w:val="0"/>
      <w:marBottom w:val="0"/>
      <w:divBdr>
        <w:top w:val="none" w:sz="0" w:space="0" w:color="auto"/>
        <w:left w:val="none" w:sz="0" w:space="0" w:color="auto"/>
        <w:bottom w:val="none" w:sz="0" w:space="0" w:color="auto"/>
        <w:right w:val="none" w:sz="0" w:space="0" w:color="auto"/>
      </w:divBdr>
    </w:div>
    <w:div w:id="575745798">
      <w:bodyDiv w:val="1"/>
      <w:marLeft w:val="0"/>
      <w:marRight w:val="0"/>
      <w:marTop w:val="0"/>
      <w:marBottom w:val="0"/>
      <w:divBdr>
        <w:top w:val="none" w:sz="0" w:space="0" w:color="auto"/>
        <w:left w:val="none" w:sz="0" w:space="0" w:color="auto"/>
        <w:bottom w:val="none" w:sz="0" w:space="0" w:color="auto"/>
        <w:right w:val="none" w:sz="0" w:space="0" w:color="auto"/>
      </w:divBdr>
    </w:div>
    <w:div w:id="576136724">
      <w:bodyDiv w:val="1"/>
      <w:marLeft w:val="0"/>
      <w:marRight w:val="0"/>
      <w:marTop w:val="0"/>
      <w:marBottom w:val="0"/>
      <w:divBdr>
        <w:top w:val="none" w:sz="0" w:space="0" w:color="auto"/>
        <w:left w:val="none" w:sz="0" w:space="0" w:color="auto"/>
        <w:bottom w:val="none" w:sz="0" w:space="0" w:color="auto"/>
        <w:right w:val="none" w:sz="0" w:space="0" w:color="auto"/>
      </w:divBdr>
    </w:div>
    <w:div w:id="588008476">
      <w:bodyDiv w:val="1"/>
      <w:marLeft w:val="0"/>
      <w:marRight w:val="0"/>
      <w:marTop w:val="0"/>
      <w:marBottom w:val="0"/>
      <w:divBdr>
        <w:top w:val="none" w:sz="0" w:space="0" w:color="auto"/>
        <w:left w:val="none" w:sz="0" w:space="0" w:color="auto"/>
        <w:bottom w:val="none" w:sz="0" w:space="0" w:color="auto"/>
        <w:right w:val="none" w:sz="0" w:space="0" w:color="auto"/>
      </w:divBdr>
    </w:div>
    <w:div w:id="588974986">
      <w:bodyDiv w:val="1"/>
      <w:marLeft w:val="0"/>
      <w:marRight w:val="0"/>
      <w:marTop w:val="0"/>
      <w:marBottom w:val="0"/>
      <w:divBdr>
        <w:top w:val="none" w:sz="0" w:space="0" w:color="auto"/>
        <w:left w:val="none" w:sz="0" w:space="0" w:color="auto"/>
        <w:bottom w:val="none" w:sz="0" w:space="0" w:color="auto"/>
        <w:right w:val="none" w:sz="0" w:space="0" w:color="auto"/>
      </w:divBdr>
    </w:div>
    <w:div w:id="592471962">
      <w:bodyDiv w:val="1"/>
      <w:marLeft w:val="0"/>
      <w:marRight w:val="0"/>
      <w:marTop w:val="0"/>
      <w:marBottom w:val="0"/>
      <w:divBdr>
        <w:top w:val="none" w:sz="0" w:space="0" w:color="auto"/>
        <w:left w:val="none" w:sz="0" w:space="0" w:color="auto"/>
        <w:bottom w:val="none" w:sz="0" w:space="0" w:color="auto"/>
        <w:right w:val="none" w:sz="0" w:space="0" w:color="auto"/>
      </w:divBdr>
    </w:div>
    <w:div w:id="592520330">
      <w:bodyDiv w:val="1"/>
      <w:marLeft w:val="0"/>
      <w:marRight w:val="0"/>
      <w:marTop w:val="0"/>
      <w:marBottom w:val="0"/>
      <w:divBdr>
        <w:top w:val="none" w:sz="0" w:space="0" w:color="auto"/>
        <w:left w:val="none" w:sz="0" w:space="0" w:color="auto"/>
        <w:bottom w:val="none" w:sz="0" w:space="0" w:color="auto"/>
        <w:right w:val="none" w:sz="0" w:space="0" w:color="auto"/>
      </w:divBdr>
    </w:div>
    <w:div w:id="592780853">
      <w:bodyDiv w:val="1"/>
      <w:marLeft w:val="0"/>
      <w:marRight w:val="0"/>
      <w:marTop w:val="0"/>
      <w:marBottom w:val="0"/>
      <w:divBdr>
        <w:top w:val="none" w:sz="0" w:space="0" w:color="auto"/>
        <w:left w:val="none" w:sz="0" w:space="0" w:color="auto"/>
        <w:bottom w:val="none" w:sz="0" w:space="0" w:color="auto"/>
        <w:right w:val="none" w:sz="0" w:space="0" w:color="auto"/>
      </w:divBdr>
    </w:div>
    <w:div w:id="593243662">
      <w:bodyDiv w:val="1"/>
      <w:marLeft w:val="0"/>
      <w:marRight w:val="0"/>
      <w:marTop w:val="0"/>
      <w:marBottom w:val="0"/>
      <w:divBdr>
        <w:top w:val="none" w:sz="0" w:space="0" w:color="auto"/>
        <w:left w:val="none" w:sz="0" w:space="0" w:color="auto"/>
        <w:bottom w:val="none" w:sz="0" w:space="0" w:color="auto"/>
        <w:right w:val="none" w:sz="0" w:space="0" w:color="auto"/>
      </w:divBdr>
    </w:div>
    <w:div w:id="597755049">
      <w:bodyDiv w:val="1"/>
      <w:marLeft w:val="0"/>
      <w:marRight w:val="0"/>
      <w:marTop w:val="0"/>
      <w:marBottom w:val="0"/>
      <w:divBdr>
        <w:top w:val="none" w:sz="0" w:space="0" w:color="auto"/>
        <w:left w:val="none" w:sz="0" w:space="0" w:color="auto"/>
        <w:bottom w:val="none" w:sz="0" w:space="0" w:color="auto"/>
        <w:right w:val="none" w:sz="0" w:space="0" w:color="auto"/>
      </w:divBdr>
    </w:div>
    <w:div w:id="604576532">
      <w:bodyDiv w:val="1"/>
      <w:marLeft w:val="0"/>
      <w:marRight w:val="0"/>
      <w:marTop w:val="0"/>
      <w:marBottom w:val="0"/>
      <w:divBdr>
        <w:top w:val="none" w:sz="0" w:space="0" w:color="auto"/>
        <w:left w:val="none" w:sz="0" w:space="0" w:color="auto"/>
        <w:bottom w:val="none" w:sz="0" w:space="0" w:color="auto"/>
        <w:right w:val="none" w:sz="0" w:space="0" w:color="auto"/>
      </w:divBdr>
    </w:div>
    <w:div w:id="611211419">
      <w:bodyDiv w:val="1"/>
      <w:marLeft w:val="0"/>
      <w:marRight w:val="0"/>
      <w:marTop w:val="0"/>
      <w:marBottom w:val="0"/>
      <w:divBdr>
        <w:top w:val="none" w:sz="0" w:space="0" w:color="auto"/>
        <w:left w:val="none" w:sz="0" w:space="0" w:color="auto"/>
        <w:bottom w:val="none" w:sz="0" w:space="0" w:color="auto"/>
        <w:right w:val="none" w:sz="0" w:space="0" w:color="auto"/>
      </w:divBdr>
    </w:div>
    <w:div w:id="613100319">
      <w:bodyDiv w:val="1"/>
      <w:marLeft w:val="0"/>
      <w:marRight w:val="0"/>
      <w:marTop w:val="0"/>
      <w:marBottom w:val="0"/>
      <w:divBdr>
        <w:top w:val="none" w:sz="0" w:space="0" w:color="auto"/>
        <w:left w:val="none" w:sz="0" w:space="0" w:color="auto"/>
        <w:bottom w:val="none" w:sz="0" w:space="0" w:color="auto"/>
        <w:right w:val="none" w:sz="0" w:space="0" w:color="auto"/>
      </w:divBdr>
    </w:div>
    <w:div w:id="615522185">
      <w:bodyDiv w:val="1"/>
      <w:marLeft w:val="0"/>
      <w:marRight w:val="0"/>
      <w:marTop w:val="0"/>
      <w:marBottom w:val="0"/>
      <w:divBdr>
        <w:top w:val="none" w:sz="0" w:space="0" w:color="auto"/>
        <w:left w:val="none" w:sz="0" w:space="0" w:color="auto"/>
        <w:bottom w:val="none" w:sz="0" w:space="0" w:color="auto"/>
        <w:right w:val="none" w:sz="0" w:space="0" w:color="auto"/>
      </w:divBdr>
    </w:div>
    <w:div w:id="622229172">
      <w:bodyDiv w:val="1"/>
      <w:marLeft w:val="0"/>
      <w:marRight w:val="0"/>
      <w:marTop w:val="0"/>
      <w:marBottom w:val="0"/>
      <w:divBdr>
        <w:top w:val="none" w:sz="0" w:space="0" w:color="auto"/>
        <w:left w:val="none" w:sz="0" w:space="0" w:color="auto"/>
        <w:bottom w:val="none" w:sz="0" w:space="0" w:color="auto"/>
        <w:right w:val="none" w:sz="0" w:space="0" w:color="auto"/>
      </w:divBdr>
    </w:div>
    <w:div w:id="622922595">
      <w:bodyDiv w:val="1"/>
      <w:marLeft w:val="0"/>
      <w:marRight w:val="0"/>
      <w:marTop w:val="0"/>
      <w:marBottom w:val="0"/>
      <w:divBdr>
        <w:top w:val="none" w:sz="0" w:space="0" w:color="auto"/>
        <w:left w:val="none" w:sz="0" w:space="0" w:color="auto"/>
        <w:bottom w:val="none" w:sz="0" w:space="0" w:color="auto"/>
        <w:right w:val="none" w:sz="0" w:space="0" w:color="auto"/>
      </w:divBdr>
    </w:div>
    <w:div w:id="627514714">
      <w:bodyDiv w:val="1"/>
      <w:marLeft w:val="0"/>
      <w:marRight w:val="0"/>
      <w:marTop w:val="0"/>
      <w:marBottom w:val="0"/>
      <w:divBdr>
        <w:top w:val="none" w:sz="0" w:space="0" w:color="auto"/>
        <w:left w:val="none" w:sz="0" w:space="0" w:color="auto"/>
        <w:bottom w:val="none" w:sz="0" w:space="0" w:color="auto"/>
        <w:right w:val="none" w:sz="0" w:space="0" w:color="auto"/>
      </w:divBdr>
    </w:div>
    <w:div w:id="630863729">
      <w:bodyDiv w:val="1"/>
      <w:marLeft w:val="0"/>
      <w:marRight w:val="0"/>
      <w:marTop w:val="0"/>
      <w:marBottom w:val="0"/>
      <w:divBdr>
        <w:top w:val="none" w:sz="0" w:space="0" w:color="auto"/>
        <w:left w:val="none" w:sz="0" w:space="0" w:color="auto"/>
        <w:bottom w:val="none" w:sz="0" w:space="0" w:color="auto"/>
        <w:right w:val="none" w:sz="0" w:space="0" w:color="auto"/>
      </w:divBdr>
    </w:div>
    <w:div w:id="631012487">
      <w:bodyDiv w:val="1"/>
      <w:marLeft w:val="0"/>
      <w:marRight w:val="0"/>
      <w:marTop w:val="0"/>
      <w:marBottom w:val="0"/>
      <w:divBdr>
        <w:top w:val="none" w:sz="0" w:space="0" w:color="auto"/>
        <w:left w:val="none" w:sz="0" w:space="0" w:color="auto"/>
        <w:bottom w:val="none" w:sz="0" w:space="0" w:color="auto"/>
        <w:right w:val="none" w:sz="0" w:space="0" w:color="auto"/>
      </w:divBdr>
    </w:div>
    <w:div w:id="632097214">
      <w:bodyDiv w:val="1"/>
      <w:marLeft w:val="0"/>
      <w:marRight w:val="0"/>
      <w:marTop w:val="0"/>
      <w:marBottom w:val="0"/>
      <w:divBdr>
        <w:top w:val="none" w:sz="0" w:space="0" w:color="auto"/>
        <w:left w:val="none" w:sz="0" w:space="0" w:color="auto"/>
        <w:bottom w:val="none" w:sz="0" w:space="0" w:color="auto"/>
        <w:right w:val="none" w:sz="0" w:space="0" w:color="auto"/>
      </w:divBdr>
    </w:div>
    <w:div w:id="635335164">
      <w:bodyDiv w:val="1"/>
      <w:marLeft w:val="0"/>
      <w:marRight w:val="0"/>
      <w:marTop w:val="0"/>
      <w:marBottom w:val="0"/>
      <w:divBdr>
        <w:top w:val="none" w:sz="0" w:space="0" w:color="auto"/>
        <w:left w:val="none" w:sz="0" w:space="0" w:color="auto"/>
        <w:bottom w:val="none" w:sz="0" w:space="0" w:color="auto"/>
        <w:right w:val="none" w:sz="0" w:space="0" w:color="auto"/>
      </w:divBdr>
    </w:div>
    <w:div w:id="642271175">
      <w:bodyDiv w:val="1"/>
      <w:marLeft w:val="0"/>
      <w:marRight w:val="0"/>
      <w:marTop w:val="0"/>
      <w:marBottom w:val="0"/>
      <w:divBdr>
        <w:top w:val="none" w:sz="0" w:space="0" w:color="auto"/>
        <w:left w:val="none" w:sz="0" w:space="0" w:color="auto"/>
        <w:bottom w:val="none" w:sz="0" w:space="0" w:color="auto"/>
        <w:right w:val="none" w:sz="0" w:space="0" w:color="auto"/>
      </w:divBdr>
    </w:div>
    <w:div w:id="646128935">
      <w:bodyDiv w:val="1"/>
      <w:marLeft w:val="0"/>
      <w:marRight w:val="0"/>
      <w:marTop w:val="0"/>
      <w:marBottom w:val="0"/>
      <w:divBdr>
        <w:top w:val="none" w:sz="0" w:space="0" w:color="auto"/>
        <w:left w:val="none" w:sz="0" w:space="0" w:color="auto"/>
        <w:bottom w:val="none" w:sz="0" w:space="0" w:color="auto"/>
        <w:right w:val="none" w:sz="0" w:space="0" w:color="auto"/>
      </w:divBdr>
    </w:div>
    <w:div w:id="648900708">
      <w:bodyDiv w:val="1"/>
      <w:marLeft w:val="0"/>
      <w:marRight w:val="0"/>
      <w:marTop w:val="0"/>
      <w:marBottom w:val="0"/>
      <w:divBdr>
        <w:top w:val="none" w:sz="0" w:space="0" w:color="auto"/>
        <w:left w:val="none" w:sz="0" w:space="0" w:color="auto"/>
        <w:bottom w:val="none" w:sz="0" w:space="0" w:color="auto"/>
        <w:right w:val="none" w:sz="0" w:space="0" w:color="auto"/>
      </w:divBdr>
    </w:div>
    <w:div w:id="649286809">
      <w:bodyDiv w:val="1"/>
      <w:marLeft w:val="0"/>
      <w:marRight w:val="0"/>
      <w:marTop w:val="0"/>
      <w:marBottom w:val="0"/>
      <w:divBdr>
        <w:top w:val="none" w:sz="0" w:space="0" w:color="auto"/>
        <w:left w:val="none" w:sz="0" w:space="0" w:color="auto"/>
        <w:bottom w:val="none" w:sz="0" w:space="0" w:color="auto"/>
        <w:right w:val="none" w:sz="0" w:space="0" w:color="auto"/>
      </w:divBdr>
    </w:div>
    <w:div w:id="655107581">
      <w:bodyDiv w:val="1"/>
      <w:marLeft w:val="0"/>
      <w:marRight w:val="0"/>
      <w:marTop w:val="0"/>
      <w:marBottom w:val="0"/>
      <w:divBdr>
        <w:top w:val="none" w:sz="0" w:space="0" w:color="auto"/>
        <w:left w:val="none" w:sz="0" w:space="0" w:color="auto"/>
        <w:bottom w:val="none" w:sz="0" w:space="0" w:color="auto"/>
        <w:right w:val="none" w:sz="0" w:space="0" w:color="auto"/>
      </w:divBdr>
    </w:div>
    <w:div w:id="656419580">
      <w:bodyDiv w:val="1"/>
      <w:marLeft w:val="0"/>
      <w:marRight w:val="0"/>
      <w:marTop w:val="0"/>
      <w:marBottom w:val="0"/>
      <w:divBdr>
        <w:top w:val="none" w:sz="0" w:space="0" w:color="auto"/>
        <w:left w:val="none" w:sz="0" w:space="0" w:color="auto"/>
        <w:bottom w:val="none" w:sz="0" w:space="0" w:color="auto"/>
        <w:right w:val="none" w:sz="0" w:space="0" w:color="auto"/>
      </w:divBdr>
    </w:div>
    <w:div w:id="658846845">
      <w:bodyDiv w:val="1"/>
      <w:marLeft w:val="0"/>
      <w:marRight w:val="0"/>
      <w:marTop w:val="0"/>
      <w:marBottom w:val="0"/>
      <w:divBdr>
        <w:top w:val="none" w:sz="0" w:space="0" w:color="auto"/>
        <w:left w:val="none" w:sz="0" w:space="0" w:color="auto"/>
        <w:bottom w:val="none" w:sz="0" w:space="0" w:color="auto"/>
        <w:right w:val="none" w:sz="0" w:space="0" w:color="auto"/>
      </w:divBdr>
    </w:div>
    <w:div w:id="667560267">
      <w:bodyDiv w:val="1"/>
      <w:marLeft w:val="0"/>
      <w:marRight w:val="0"/>
      <w:marTop w:val="0"/>
      <w:marBottom w:val="0"/>
      <w:divBdr>
        <w:top w:val="none" w:sz="0" w:space="0" w:color="auto"/>
        <w:left w:val="none" w:sz="0" w:space="0" w:color="auto"/>
        <w:bottom w:val="none" w:sz="0" w:space="0" w:color="auto"/>
        <w:right w:val="none" w:sz="0" w:space="0" w:color="auto"/>
      </w:divBdr>
    </w:div>
    <w:div w:id="670258020">
      <w:bodyDiv w:val="1"/>
      <w:marLeft w:val="0"/>
      <w:marRight w:val="0"/>
      <w:marTop w:val="0"/>
      <w:marBottom w:val="0"/>
      <w:divBdr>
        <w:top w:val="none" w:sz="0" w:space="0" w:color="auto"/>
        <w:left w:val="none" w:sz="0" w:space="0" w:color="auto"/>
        <w:bottom w:val="none" w:sz="0" w:space="0" w:color="auto"/>
        <w:right w:val="none" w:sz="0" w:space="0" w:color="auto"/>
      </w:divBdr>
    </w:div>
    <w:div w:id="670570440">
      <w:bodyDiv w:val="1"/>
      <w:marLeft w:val="0"/>
      <w:marRight w:val="0"/>
      <w:marTop w:val="0"/>
      <w:marBottom w:val="0"/>
      <w:divBdr>
        <w:top w:val="none" w:sz="0" w:space="0" w:color="auto"/>
        <w:left w:val="none" w:sz="0" w:space="0" w:color="auto"/>
        <w:bottom w:val="none" w:sz="0" w:space="0" w:color="auto"/>
        <w:right w:val="none" w:sz="0" w:space="0" w:color="auto"/>
      </w:divBdr>
    </w:div>
    <w:div w:id="670987212">
      <w:bodyDiv w:val="1"/>
      <w:marLeft w:val="0"/>
      <w:marRight w:val="0"/>
      <w:marTop w:val="0"/>
      <w:marBottom w:val="0"/>
      <w:divBdr>
        <w:top w:val="none" w:sz="0" w:space="0" w:color="auto"/>
        <w:left w:val="none" w:sz="0" w:space="0" w:color="auto"/>
        <w:bottom w:val="none" w:sz="0" w:space="0" w:color="auto"/>
        <w:right w:val="none" w:sz="0" w:space="0" w:color="auto"/>
      </w:divBdr>
    </w:div>
    <w:div w:id="671104670">
      <w:bodyDiv w:val="1"/>
      <w:marLeft w:val="0"/>
      <w:marRight w:val="0"/>
      <w:marTop w:val="0"/>
      <w:marBottom w:val="0"/>
      <w:divBdr>
        <w:top w:val="none" w:sz="0" w:space="0" w:color="auto"/>
        <w:left w:val="none" w:sz="0" w:space="0" w:color="auto"/>
        <w:bottom w:val="none" w:sz="0" w:space="0" w:color="auto"/>
        <w:right w:val="none" w:sz="0" w:space="0" w:color="auto"/>
      </w:divBdr>
    </w:div>
    <w:div w:id="672997033">
      <w:bodyDiv w:val="1"/>
      <w:marLeft w:val="0"/>
      <w:marRight w:val="0"/>
      <w:marTop w:val="0"/>
      <w:marBottom w:val="0"/>
      <w:divBdr>
        <w:top w:val="none" w:sz="0" w:space="0" w:color="auto"/>
        <w:left w:val="none" w:sz="0" w:space="0" w:color="auto"/>
        <w:bottom w:val="none" w:sz="0" w:space="0" w:color="auto"/>
        <w:right w:val="none" w:sz="0" w:space="0" w:color="auto"/>
      </w:divBdr>
    </w:div>
    <w:div w:id="674840120">
      <w:bodyDiv w:val="1"/>
      <w:marLeft w:val="0"/>
      <w:marRight w:val="0"/>
      <w:marTop w:val="0"/>
      <w:marBottom w:val="0"/>
      <w:divBdr>
        <w:top w:val="none" w:sz="0" w:space="0" w:color="auto"/>
        <w:left w:val="none" w:sz="0" w:space="0" w:color="auto"/>
        <w:bottom w:val="none" w:sz="0" w:space="0" w:color="auto"/>
        <w:right w:val="none" w:sz="0" w:space="0" w:color="auto"/>
      </w:divBdr>
    </w:div>
    <w:div w:id="698747215">
      <w:bodyDiv w:val="1"/>
      <w:marLeft w:val="0"/>
      <w:marRight w:val="0"/>
      <w:marTop w:val="0"/>
      <w:marBottom w:val="0"/>
      <w:divBdr>
        <w:top w:val="none" w:sz="0" w:space="0" w:color="auto"/>
        <w:left w:val="none" w:sz="0" w:space="0" w:color="auto"/>
        <w:bottom w:val="none" w:sz="0" w:space="0" w:color="auto"/>
        <w:right w:val="none" w:sz="0" w:space="0" w:color="auto"/>
      </w:divBdr>
    </w:div>
    <w:div w:id="705251233">
      <w:bodyDiv w:val="1"/>
      <w:marLeft w:val="0"/>
      <w:marRight w:val="0"/>
      <w:marTop w:val="0"/>
      <w:marBottom w:val="0"/>
      <w:divBdr>
        <w:top w:val="none" w:sz="0" w:space="0" w:color="auto"/>
        <w:left w:val="none" w:sz="0" w:space="0" w:color="auto"/>
        <w:bottom w:val="none" w:sz="0" w:space="0" w:color="auto"/>
        <w:right w:val="none" w:sz="0" w:space="0" w:color="auto"/>
      </w:divBdr>
    </w:div>
    <w:div w:id="708802464">
      <w:bodyDiv w:val="1"/>
      <w:marLeft w:val="0"/>
      <w:marRight w:val="0"/>
      <w:marTop w:val="0"/>
      <w:marBottom w:val="0"/>
      <w:divBdr>
        <w:top w:val="none" w:sz="0" w:space="0" w:color="auto"/>
        <w:left w:val="none" w:sz="0" w:space="0" w:color="auto"/>
        <w:bottom w:val="none" w:sz="0" w:space="0" w:color="auto"/>
        <w:right w:val="none" w:sz="0" w:space="0" w:color="auto"/>
      </w:divBdr>
    </w:div>
    <w:div w:id="710038188">
      <w:bodyDiv w:val="1"/>
      <w:marLeft w:val="0"/>
      <w:marRight w:val="0"/>
      <w:marTop w:val="0"/>
      <w:marBottom w:val="0"/>
      <w:divBdr>
        <w:top w:val="none" w:sz="0" w:space="0" w:color="auto"/>
        <w:left w:val="none" w:sz="0" w:space="0" w:color="auto"/>
        <w:bottom w:val="none" w:sz="0" w:space="0" w:color="auto"/>
        <w:right w:val="none" w:sz="0" w:space="0" w:color="auto"/>
      </w:divBdr>
    </w:div>
    <w:div w:id="711924419">
      <w:bodyDiv w:val="1"/>
      <w:marLeft w:val="0"/>
      <w:marRight w:val="0"/>
      <w:marTop w:val="0"/>
      <w:marBottom w:val="0"/>
      <w:divBdr>
        <w:top w:val="none" w:sz="0" w:space="0" w:color="auto"/>
        <w:left w:val="none" w:sz="0" w:space="0" w:color="auto"/>
        <w:bottom w:val="none" w:sz="0" w:space="0" w:color="auto"/>
        <w:right w:val="none" w:sz="0" w:space="0" w:color="auto"/>
      </w:divBdr>
    </w:div>
    <w:div w:id="715281768">
      <w:bodyDiv w:val="1"/>
      <w:marLeft w:val="0"/>
      <w:marRight w:val="0"/>
      <w:marTop w:val="0"/>
      <w:marBottom w:val="0"/>
      <w:divBdr>
        <w:top w:val="none" w:sz="0" w:space="0" w:color="auto"/>
        <w:left w:val="none" w:sz="0" w:space="0" w:color="auto"/>
        <w:bottom w:val="none" w:sz="0" w:space="0" w:color="auto"/>
        <w:right w:val="none" w:sz="0" w:space="0" w:color="auto"/>
      </w:divBdr>
    </w:div>
    <w:div w:id="715668206">
      <w:bodyDiv w:val="1"/>
      <w:marLeft w:val="0"/>
      <w:marRight w:val="0"/>
      <w:marTop w:val="0"/>
      <w:marBottom w:val="0"/>
      <w:divBdr>
        <w:top w:val="none" w:sz="0" w:space="0" w:color="auto"/>
        <w:left w:val="none" w:sz="0" w:space="0" w:color="auto"/>
        <w:bottom w:val="none" w:sz="0" w:space="0" w:color="auto"/>
        <w:right w:val="none" w:sz="0" w:space="0" w:color="auto"/>
      </w:divBdr>
    </w:div>
    <w:div w:id="717389569">
      <w:bodyDiv w:val="1"/>
      <w:marLeft w:val="0"/>
      <w:marRight w:val="0"/>
      <w:marTop w:val="0"/>
      <w:marBottom w:val="0"/>
      <w:divBdr>
        <w:top w:val="none" w:sz="0" w:space="0" w:color="auto"/>
        <w:left w:val="none" w:sz="0" w:space="0" w:color="auto"/>
        <w:bottom w:val="none" w:sz="0" w:space="0" w:color="auto"/>
        <w:right w:val="none" w:sz="0" w:space="0" w:color="auto"/>
      </w:divBdr>
    </w:div>
    <w:div w:id="719941309">
      <w:bodyDiv w:val="1"/>
      <w:marLeft w:val="0"/>
      <w:marRight w:val="0"/>
      <w:marTop w:val="0"/>
      <w:marBottom w:val="0"/>
      <w:divBdr>
        <w:top w:val="none" w:sz="0" w:space="0" w:color="auto"/>
        <w:left w:val="none" w:sz="0" w:space="0" w:color="auto"/>
        <w:bottom w:val="none" w:sz="0" w:space="0" w:color="auto"/>
        <w:right w:val="none" w:sz="0" w:space="0" w:color="auto"/>
      </w:divBdr>
    </w:div>
    <w:div w:id="731000196">
      <w:bodyDiv w:val="1"/>
      <w:marLeft w:val="0"/>
      <w:marRight w:val="0"/>
      <w:marTop w:val="0"/>
      <w:marBottom w:val="0"/>
      <w:divBdr>
        <w:top w:val="none" w:sz="0" w:space="0" w:color="auto"/>
        <w:left w:val="none" w:sz="0" w:space="0" w:color="auto"/>
        <w:bottom w:val="none" w:sz="0" w:space="0" w:color="auto"/>
        <w:right w:val="none" w:sz="0" w:space="0" w:color="auto"/>
      </w:divBdr>
    </w:div>
    <w:div w:id="735979707">
      <w:bodyDiv w:val="1"/>
      <w:marLeft w:val="0"/>
      <w:marRight w:val="0"/>
      <w:marTop w:val="0"/>
      <w:marBottom w:val="0"/>
      <w:divBdr>
        <w:top w:val="none" w:sz="0" w:space="0" w:color="auto"/>
        <w:left w:val="none" w:sz="0" w:space="0" w:color="auto"/>
        <w:bottom w:val="none" w:sz="0" w:space="0" w:color="auto"/>
        <w:right w:val="none" w:sz="0" w:space="0" w:color="auto"/>
      </w:divBdr>
    </w:div>
    <w:div w:id="736247380">
      <w:bodyDiv w:val="1"/>
      <w:marLeft w:val="0"/>
      <w:marRight w:val="0"/>
      <w:marTop w:val="0"/>
      <w:marBottom w:val="0"/>
      <w:divBdr>
        <w:top w:val="none" w:sz="0" w:space="0" w:color="auto"/>
        <w:left w:val="none" w:sz="0" w:space="0" w:color="auto"/>
        <w:bottom w:val="none" w:sz="0" w:space="0" w:color="auto"/>
        <w:right w:val="none" w:sz="0" w:space="0" w:color="auto"/>
      </w:divBdr>
    </w:div>
    <w:div w:id="739597678">
      <w:bodyDiv w:val="1"/>
      <w:marLeft w:val="0"/>
      <w:marRight w:val="0"/>
      <w:marTop w:val="0"/>
      <w:marBottom w:val="0"/>
      <w:divBdr>
        <w:top w:val="none" w:sz="0" w:space="0" w:color="auto"/>
        <w:left w:val="none" w:sz="0" w:space="0" w:color="auto"/>
        <w:bottom w:val="none" w:sz="0" w:space="0" w:color="auto"/>
        <w:right w:val="none" w:sz="0" w:space="0" w:color="auto"/>
      </w:divBdr>
    </w:div>
    <w:div w:id="743840348">
      <w:bodyDiv w:val="1"/>
      <w:marLeft w:val="0"/>
      <w:marRight w:val="0"/>
      <w:marTop w:val="0"/>
      <w:marBottom w:val="0"/>
      <w:divBdr>
        <w:top w:val="none" w:sz="0" w:space="0" w:color="auto"/>
        <w:left w:val="none" w:sz="0" w:space="0" w:color="auto"/>
        <w:bottom w:val="none" w:sz="0" w:space="0" w:color="auto"/>
        <w:right w:val="none" w:sz="0" w:space="0" w:color="auto"/>
      </w:divBdr>
    </w:div>
    <w:div w:id="752748366">
      <w:bodyDiv w:val="1"/>
      <w:marLeft w:val="0"/>
      <w:marRight w:val="0"/>
      <w:marTop w:val="0"/>
      <w:marBottom w:val="0"/>
      <w:divBdr>
        <w:top w:val="none" w:sz="0" w:space="0" w:color="auto"/>
        <w:left w:val="none" w:sz="0" w:space="0" w:color="auto"/>
        <w:bottom w:val="none" w:sz="0" w:space="0" w:color="auto"/>
        <w:right w:val="none" w:sz="0" w:space="0" w:color="auto"/>
      </w:divBdr>
    </w:div>
    <w:div w:id="756175175">
      <w:bodyDiv w:val="1"/>
      <w:marLeft w:val="0"/>
      <w:marRight w:val="0"/>
      <w:marTop w:val="0"/>
      <w:marBottom w:val="0"/>
      <w:divBdr>
        <w:top w:val="none" w:sz="0" w:space="0" w:color="auto"/>
        <w:left w:val="none" w:sz="0" w:space="0" w:color="auto"/>
        <w:bottom w:val="none" w:sz="0" w:space="0" w:color="auto"/>
        <w:right w:val="none" w:sz="0" w:space="0" w:color="auto"/>
      </w:divBdr>
    </w:div>
    <w:div w:id="758453317">
      <w:bodyDiv w:val="1"/>
      <w:marLeft w:val="0"/>
      <w:marRight w:val="0"/>
      <w:marTop w:val="0"/>
      <w:marBottom w:val="0"/>
      <w:divBdr>
        <w:top w:val="none" w:sz="0" w:space="0" w:color="auto"/>
        <w:left w:val="none" w:sz="0" w:space="0" w:color="auto"/>
        <w:bottom w:val="none" w:sz="0" w:space="0" w:color="auto"/>
        <w:right w:val="none" w:sz="0" w:space="0" w:color="auto"/>
      </w:divBdr>
    </w:div>
    <w:div w:id="758798467">
      <w:bodyDiv w:val="1"/>
      <w:marLeft w:val="0"/>
      <w:marRight w:val="0"/>
      <w:marTop w:val="0"/>
      <w:marBottom w:val="0"/>
      <w:divBdr>
        <w:top w:val="none" w:sz="0" w:space="0" w:color="auto"/>
        <w:left w:val="none" w:sz="0" w:space="0" w:color="auto"/>
        <w:bottom w:val="none" w:sz="0" w:space="0" w:color="auto"/>
        <w:right w:val="none" w:sz="0" w:space="0" w:color="auto"/>
      </w:divBdr>
    </w:div>
    <w:div w:id="761221284">
      <w:bodyDiv w:val="1"/>
      <w:marLeft w:val="0"/>
      <w:marRight w:val="0"/>
      <w:marTop w:val="0"/>
      <w:marBottom w:val="0"/>
      <w:divBdr>
        <w:top w:val="none" w:sz="0" w:space="0" w:color="auto"/>
        <w:left w:val="none" w:sz="0" w:space="0" w:color="auto"/>
        <w:bottom w:val="none" w:sz="0" w:space="0" w:color="auto"/>
        <w:right w:val="none" w:sz="0" w:space="0" w:color="auto"/>
      </w:divBdr>
    </w:div>
    <w:div w:id="762577411">
      <w:bodyDiv w:val="1"/>
      <w:marLeft w:val="0"/>
      <w:marRight w:val="0"/>
      <w:marTop w:val="0"/>
      <w:marBottom w:val="0"/>
      <w:divBdr>
        <w:top w:val="none" w:sz="0" w:space="0" w:color="auto"/>
        <w:left w:val="none" w:sz="0" w:space="0" w:color="auto"/>
        <w:bottom w:val="none" w:sz="0" w:space="0" w:color="auto"/>
        <w:right w:val="none" w:sz="0" w:space="0" w:color="auto"/>
      </w:divBdr>
    </w:div>
    <w:div w:id="764375728">
      <w:bodyDiv w:val="1"/>
      <w:marLeft w:val="0"/>
      <w:marRight w:val="0"/>
      <w:marTop w:val="0"/>
      <w:marBottom w:val="0"/>
      <w:divBdr>
        <w:top w:val="none" w:sz="0" w:space="0" w:color="auto"/>
        <w:left w:val="none" w:sz="0" w:space="0" w:color="auto"/>
        <w:bottom w:val="none" w:sz="0" w:space="0" w:color="auto"/>
        <w:right w:val="none" w:sz="0" w:space="0" w:color="auto"/>
      </w:divBdr>
    </w:div>
    <w:div w:id="767772300">
      <w:bodyDiv w:val="1"/>
      <w:marLeft w:val="0"/>
      <w:marRight w:val="0"/>
      <w:marTop w:val="0"/>
      <w:marBottom w:val="0"/>
      <w:divBdr>
        <w:top w:val="none" w:sz="0" w:space="0" w:color="auto"/>
        <w:left w:val="none" w:sz="0" w:space="0" w:color="auto"/>
        <w:bottom w:val="none" w:sz="0" w:space="0" w:color="auto"/>
        <w:right w:val="none" w:sz="0" w:space="0" w:color="auto"/>
      </w:divBdr>
    </w:div>
    <w:div w:id="770859862">
      <w:bodyDiv w:val="1"/>
      <w:marLeft w:val="0"/>
      <w:marRight w:val="0"/>
      <w:marTop w:val="0"/>
      <w:marBottom w:val="0"/>
      <w:divBdr>
        <w:top w:val="none" w:sz="0" w:space="0" w:color="auto"/>
        <w:left w:val="none" w:sz="0" w:space="0" w:color="auto"/>
        <w:bottom w:val="none" w:sz="0" w:space="0" w:color="auto"/>
        <w:right w:val="none" w:sz="0" w:space="0" w:color="auto"/>
      </w:divBdr>
    </w:div>
    <w:div w:id="776683975">
      <w:bodyDiv w:val="1"/>
      <w:marLeft w:val="0"/>
      <w:marRight w:val="0"/>
      <w:marTop w:val="0"/>
      <w:marBottom w:val="0"/>
      <w:divBdr>
        <w:top w:val="none" w:sz="0" w:space="0" w:color="auto"/>
        <w:left w:val="none" w:sz="0" w:space="0" w:color="auto"/>
        <w:bottom w:val="none" w:sz="0" w:space="0" w:color="auto"/>
        <w:right w:val="none" w:sz="0" w:space="0" w:color="auto"/>
      </w:divBdr>
    </w:div>
    <w:div w:id="777913963">
      <w:bodyDiv w:val="1"/>
      <w:marLeft w:val="0"/>
      <w:marRight w:val="0"/>
      <w:marTop w:val="0"/>
      <w:marBottom w:val="0"/>
      <w:divBdr>
        <w:top w:val="none" w:sz="0" w:space="0" w:color="auto"/>
        <w:left w:val="none" w:sz="0" w:space="0" w:color="auto"/>
        <w:bottom w:val="none" w:sz="0" w:space="0" w:color="auto"/>
        <w:right w:val="none" w:sz="0" w:space="0" w:color="auto"/>
      </w:divBdr>
    </w:div>
    <w:div w:id="782067705">
      <w:bodyDiv w:val="1"/>
      <w:marLeft w:val="0"/>
      <w:marRight w:val="0"/>
      <w:marTop w:val="0"/>
      <w:marBottom w:val="0"/>
      <w:divBdr>
        <w:top w:val="none" w:sz="0" w:space="0" w:color="auto"/>
        <w:left w:val="none" w:sz="0" w:space="0" w:color="auto"/>
        <w:bottom w:val="none" w:sz="0" w:space="0" w:color="auto"/>
        <w:right w:val="none" w:sz="0" w:space="0" w:color="auto"/>
      </w:divBdr>
    </w:div>
    <w:div w:id="786195671">
      <w:bodyDiv w:val="1"/>
      <w:marLeft w:val="0"/>
      <w:marRight w:val="0"/>
      <w:marTop w:val="0"/>
      <w:marBottom w:val="0"/>
      <w:divBdr>
        <w:top w:val="none" w:sz="0" w:space="0" w:color="auto"/>
        <w:left w:val="none" w:sz="0" w:space="0" w:color="auto"/>
        <w:bottom w:val="none" w:sz="0" w:space="0" w:color="auto"/>
        <w:right w:val="none" w:sz="0" w:space="0" w:color="auto"/>
      </w:divBdr>
    </w:div>
    <w:div w:id="793793258">
      <w:bodyDiv w:val="1"/>
      <w:marLeft w:val="0"/>
      <w:marRight w:val="0"/>
      <w:marTop w:val="0"/>
      <w:marBottom w:val="0"/>
      <w:divBdr>
        <w:top w:val="none" w:sz="0" w:space="0" w:color="auto"/>
        <w:left w:val="none" w:sz="0" w:space="0" w:color="auto"/>
        <w:bottom w:val="none" w:sz="0" w:space="0" w:color="auto"/>
        <w:right w:val="none" w:sz="0" w:space="0" w:color="auto"/>
      </w:divBdr>
    </w:div>
    <w:div w:id="794909853">
      <w:bodyDiv w:val="1"/>
      <w:marLeft w:val="0"/>
      <w:marRight w:val="0"/>
      <w:marTop w:val="0"/>
      <w:marBottom w:val="0"/>
      <w:divBdr>
        <w:top w:val="none" w:sz="0" w:space="0" w:color="auto"/>
        <w:left w:val="none" w:sz="0" w:space="0" w:color="auto"/>
        <w:bottom w:val="none" w:sz="0" w:space="0" w:color="auto"/>
        <w:right w:val="none" w:sz="0" w:space="0" w:color="auto"/>
      </w:divBdr>
    </w:div>
    <w:div w:id="795567380">
      <w:bodyDiv w:val="1"/>
      <w:marLeft w:val="0"/>
      <w:marRight w:val="0"/>
      <w:marTop w:val="0"/>
      <w:marBottom w:val="0"/>
      <w:divBdr>
        <w:top w:val="none" w:sz="0" w:space="0" w:color="auto"/>
        <w:left w:val="none" w:sz="0" w:space="0" w:color="auto"/>
        <w:bottom w:val="none" w:sz="0" w:space="0" w:color="auto"/>
        <w:right w:val="none" w:sz="0" w:space="0" w:color="auto"/>
      </w:divBdr>
    </w:div>
    <w:div w:id="801845206">
      <w:bodyDiv w:val="1"/>
      <w:marLeft w:val="0"/>
      <w:marRight w:val="0"/>
      <w:marTop w:val="0"/>
      <w:marBottom w:val="0"/>
      <w:divBdr>
        <w:top w:val="none" w:sz="0" w:space="0" w:color="auto"/>
        <w:left w:val="none" w:sz="0" w:space="0" w:color="auto"/>
        <w:bottom w:val="none" w:sz="0" w:space="0" w:color="auto"/>
        <w:right w:val="none" w:sz="0" w:space="0" w:color="auto"/>
      </w:divBdr>
    </w:div>
    <w:div w:id="805708116">
      <w:bodyDiv w:val="1"/>
      <w:marLeft w:val="0"/>
      <w:marRight w:val="0"/>
      <w:marTop w:val="0"/>
      <w:marBottom w:val="0"/>
      <w:divBdr>
        <w:top w:val="none" w:sz="0" w:space="0" w:color="auto"/>
        <w:left w:val="none" w:sz="0" w:space="0" w:color="auto"/>
        <w:bottom w:val="none" w:sz="0" w:space="0" w:color="auto"/>
        <w:right w:val="none" w:sz="0" w:space="0" w:color="auto"/>
      </w:divBdr>
    </w:div>
    <w:div w:id="807554286">
      <w:bodyDiv w:val="1"/>
      <w:marLeft w:val="0"/>
      <w:marRight w:val="0"/>
      <w:marTop w:val="0"/>
      <w:marBottom w:val="0"/>
      <w:divBdr>
        <w:top w:val="none" w:sz="0" w:space="0" w:color="auto"/>
        <w:left w:val="none" w:sz="0" w:space="0" w:color="auto"/>
        <w:bottom w:val="none" w:sz="0" w:space="0" w:color="auto"/>
        <w:right w:val="none" w:sz="0" w:space="0" w:color="auto"/>
      </w:divBdr>
    </w:div>
    <w:div w:id="811403919">
      <w:bodyDiv w:val="1"/>
      <w:marLeft w:val="0"/>
      <w:marRight w:val="0"/>
      <w:marTop w:val="0"/>
      <w:marBottom w:val="0"/>
      <w:divBdr>
        <w:top w:val="none" w:sz="0" w:space="0" w:color="auto"/>
        <w:left w:val="none" w:sz="0" w:space="0" w:color="auto"/>
        <w:bottom w:val="none" w:sz="0" w:space="0" w:color="auto"/>
        <w:right w:val="none" w:sz="0" w:space="0" w:color="auto"/>
      </w:divBdr>
    </w:div>
    <w:div w:id="813640181">
      <w:bodyDiv w:val="1"/>
      <w:marLeft w:val="0"/>
      <w:marRight w:val="0"/>
      <w:marTop w:val="0"/>
      <w:marBottom w:val="0"/>
      <w:divBdr>
        <w:top w:val="none" w:sz="0" w:space="0" w:color="auto"/>
        <w:left w:val="none" w:sz="0" w:space="0" w:color="auto"/>
        <w:bottom w:val="none" w:sz="0" w:space="0" w:color="auto"/>
        <w:right w:val="none" w:sz="0" w:space="0" w:color="auto"/>
      </w:divBdr>
    </w:div>
    <w:div w:id="814109856">
      <w:bodyDiv w:val="1"/>
      <w:marLeft w:val="0"/>
      <w:marRight w:val="0"/>
      <w:marTop w:val="0"/>
      <w:marBottom w:val="0"/>
      <w:divBdr>
        <w:top w:val="none" w:sz="0" w:space="0" w:color="auto"/>
        <w:left w:val="none" w:sz="0" w:space="0" w:color="auto"/>
        <w:bottom w:val="none" w:sz="0" w:space="0" w:color="auto"/>
        <w:right w:val="none" w:sz="0" w:space="0" w:color="auto"/>
      </w:divBdr>
    </w:div>
    <w:div w:id="821315666">
      <w:bodyDiv w:val="1"/>
      <w:marLeft w:val="0"/>
      <w:marRight w:val="0"/>
      <w:marTop w:val="0"/>
      <w:marBottom w:val="0"/>
      <w:divBdr>
        <w:top w:val="none" w:sz="0" w:space="0" w:color="auto"/>
        <w:left w:val="none" w:sz="0" w:space="0" w:color="auto"/>
        <w:bottom w:val="none" w:sz="0" w:space="0" w:color="auto"/>
        <w:right w:val="none" w:sz="0" w:space="0" w:color="auto"/>
      </w:divBdr>
    </w:div>
    <w:div w:id="824248018">
      <w:bodyDiv w:val="1"/>
      <w:marLeft w:val="0"/>
      <w:marRight w:val="0"/>
      <w:marTop w:val="0"/>
      <w:marBottom w:val="0"/>
      <w:divBdr>
        <w:top w:val="none" w:sz="0" w:space="0" w:color="auto"/>
        <w:left w:val="none" w:sz="0" w:space="0" w:color="auto"/>
        <w:bottom w:val="none" w:sz="0" w:space="0" w:color="auto"/>
        <w:right w:val="none" w:sz="0" w:space="0" w:color="auto"/>
      </w:divBdr>
    </w:div>
    <w:div w:id="825976615">
      <w:bodyDiv w:val="1"/>
      <w:marLeft w:val="0"/>
      <w:marRight w:val="0"/>
      <w:marTop w:val="0"/>
      <w:marBottom w:val="0"/>
      <w:divBdr>
        <w:top w:val="none" w:sz="0" w:space="0" w:color="auto"/>
        <w:left w:val="none" w:sz="0" w:space="0" w:color="auto"/>
        <w:bottom w:val="none" w:sz="0" w:space="0" w:color="auto"/>
        <w:right w:val="none" w:sz="0" w:space="0" w:color="auto"/>
      </w:divBdr>
    </w:div>
    <w:div w:id="835153308">
      <w:bodyDiv w:val="1"/>
      <w:marLeft w:val="0"/>
      <w:marRight w:val="0"/>
      <w:marTop w:val="0"/>
      <w:marBottom w:val="0"/>
      <w:divBdr>
        <w:top w:val="none" w:sz="0" w:space="0" w:color="auto"/>
        <w:left w:val="none" w:sz="0" w:space="0" w:color="auto"/>
        <w:bottom w:val="none" w:sz="0" w:space="0" w:color="auto"/>
        <w:right w:val="none" w:sz="0" w:space="0" w:color="auto"/>
      </w:divBdr>
    </w:div>
    <w:div w:id="843401556">
      <w:bodyDiv w:val="1"/>
      <w:marLeft w:val="0"/>
      <w:marRight w:val="0"/>
      <w:marTop w:val="0"/>
      <w:marBottom w:val="0"/>
      <w:divBdr>
        <w:top w:val="none" w:sz="0" w:space="0" w:color="auto"/>
        <w:left w:val="none" w:sz="0" w:space="0" w:color="auto"/>
        <w:bottom w:val="none" w:sz="0" w:space="0" w:color="auto"/>
        <w:right w:val="none" w:sz="0" w:space="0" w:color="auto"/>
      </w:divBdr>
    </w:div>
    <w:div w:id="845752490">
      <w:bodyDiv w:val="1"/>
      <w:marLeft w:val="0"/>
      <w:marRight w:val="0"/>
      <w:marTop w:val="0"/>
      <w:marBottom w:val="0"/>
      <w:divBdr>
        <w:top w:val="none" w:sz="0" w:space="0" w:color="auto"/>
        <w:left w:val="none" w:sz="0" w:space="0" w:color="auto"/>
        <w:bottom w:val="none" w:sz="0" w:space="0" w:color="auto"/>
        <w:right w:val="none" w:sz="0" w:space="0" w:color="auto"/>
      </w:divBdr>
    </w:div>
    <w:div w:id="846480519">
      <w:bodyDiv w:val="1"/>
      <w:marLeft w:val="0"/>
      <w:marRight w:val="0"/>
      <w:marTop w:val="0"/>
      <w:marBottom w:val="0"/>
      <w:divBdr>
        <w:top w:val="none" w:sz="0" w:space="0" w:color="auto"/>
        <w:left w:val="none" w:sz="0" w:space="0" w:color="auto"/>
        <w:bottom w:val="none" w:sz="0" w:space="0" w:color="auto"/>
        <w:right w:val="none" w:sz="0" w:space="0" w:color="auto"/>
      </w:divBdr>
    </w:div>
    <w:div w:id="848375034">
      <w:bodyDiv w:val="1"/>
      <w:marLeft w:val="0"/>
      <w:marRight w:val="0"/>
      <w:marTop w:val="0"/>
      <w:marBottom w:val="0"/>
      <w:divBdr>
        <w:top w:val="none" w:sz="0" w:space="0" w:color="auto"/>
        <w:left w:val="none" w:sz="0" w:space="0" w:color="auto"/>
        <w:bottom w:val="none" w:sz="0" w:space="0" w:color="auto"/>
        <w:right w:val="none" w:sz="0" w:space="0" w:color="auto"/>
      </w:divBdr>
    </w:div>
    <w:div w:id="859121619">
      <w:bodyDiv w:val="1"/>
      <w:marLeft w:val="0"/>
      <w:marRight w:val="0"/>
      <w:marTop w:val="0"/>
      <w:marBottom w:val="0"/>
      <w:divBdr>
        <w:top w:val="none" w:sz="0" w:space="0" w:color="auto"/>
        <w:left w:val="none" w:sz="0" w:space="0" w:color="auto"/>
        <w:bottom w:val="none" w:sz="0" w:space="0" w:color="auto"/>
        <w:right w:val="none" w:sz="0" w:space="0" w:color="auto"/>
      </w:divBdr>
    </w:div>
    <w:div w:id="859854558">
      <w:bodyDiv w:val="1"/>
      <w:marLeft w:val="0"/>
      <w:marRight w:val="0"/>
      <w:marTop w:val="0"/>
      <w:marBottom w:val="0"/>
      <w:divBdr>
        <w:top w:val="none" w:sz="0" w:space="0" w:color="auto"/>
        <w:left w:val="none" w:sz="0" w:space="0" w:color="auto"/>
        <w:bottom w:val="none" w:sz="0" w:space="0" w:color="auto"/>
        <w:right w:val="none" w:sz="0" w:space="0" w:color="auto"/>
      </w:divBdr>
    </w:div>
    <w:div w:id="867068141">
      <w:bodyDiv w:val="1"/>
      <w:marLeft w:val="0"/>
      <w:marRight w:val="0"/>
      <w:marTop w:val="0"/>
      <w:marBottom w:val="0"/>
      <w:divBdr>
        <w:top w:val="none" w:sz="0" w:space="0" w:color="auto"/>
        <w:left w:val="none" w:sz="0" w:space="0" w:color="auto"/>
        <w:bottom w:val="none" w:sz="0" w:space="0" w:color="auto"/>
        <w:right w:val="none" w:sz="0" w:space="0" w:color="auto"/>
      </w:divBdr>
    </w:div>
    <w:div w:id="868956510">
      <w:bodyDiv w:val="1"/>
      <w:marLeft w:val="0"/>
      <w:marRight w:val="0"/>
      <w:marTop w:val="0"/>
      <w:marBottom w:val="0"/>
      <w:divBdr>
        <w:top w:val="none" w:sz="0" w:space="0" w:color="auto"/>
        <w:left w:val="none" w:sz="0" w:space="0" w:color="auto"/>
        <w:bottom w:val="none" w:sz="0" w:space="0" w:color="auto"/>
        <w:right w:val="none" w:sz="0" w:space="0" w:color="auto"/>
      </w:divBdr>
    </w:div>
    <w:div w:id="869610547">
      <w:bodyDiv w:val="1"/>
      <w:marLeft w:val="0"/>
      <w:marRight w:val="0"/>
      <w:marTop w:val="0"/>
      <w:marBottom w:val="0"/>
      <w:divBdr>
        <w:top w:val="none" w:sz="0" w:space="0" w:color="auto"/>
        <w:left w:val="none" w:sz="0" w:space="0" w:color="auto"/>
        <w:bottom w:val="none" w:sz="0" w:space="0" w:color="auto"/>
        <w:right w:val="none" w:sz="0" w:space="0" w:color="auto"/>
      </w:divBdr>
    </w:div>
    <w:div w:id="870343009">
      <w:bodyDiv w:val="1"/>
      <w:marLeft w:val="0"/>
      <w:marRight w:val="0"/>
      <w:marTop w:val="0"/>
      <w:marBottom w:val="0"/>
      <w:divBdr>
        <w:top w:val="none" w:sz="0" w:space="0" w:color="auto"/>
        <w:left w:val="none" w:sz="0" w:space="0" w:color="auto"/>
        <w:bottom w:val="none" w:sz="0" w:space="0" w:color="auto"/>
        <w:right w:val="none" w:sz="0" w:space="0" w:color="auto"/>
      </w:divBdr>
    </w:div>
    <w:div w:id="870612139">
      <w:bodyDiv w:val="1"/>
      <w:marLeft w:val="0"/>
      <w:marRight w:val="0"/>
      <w:marTop w:val="0"/>
      <w:marBottom w:val="0"/>
      <w:divBdr>
        <w:top w:val="none" w:sz="0" w:space="0" w:color="auto"/>
        <w:left w:val="none" w:sz="0" w:space="0" w:color="auto"/>
        <w:bottom w:val="none" w:sz="0" w:space="0" w:color="auto"/>
        <w:right w:val="none" w:sz="0" w:space="0" w:color="auto"/>
      </w:divBdr>
    </w:div>
    <w:div w:id="871262046">
      <w:bodyDiv w:val="1"/>
      <w:marLeft w:val="0"/>
      <w:marRight w:val="0"/>
      <w:marTop w:val="0"/>
      <w:marBottom w:val="0"/>
      <w:divBdr>
        <w:top w:val="none" w:sz="0" w:space="0" w:color="auto"/>
        <w:left w:val="none" w:sz="0" w:space="0" w:color="auto"/>
        <w:bottom w:val="none" w:sz="0" w:space="0" w:color="auto"/>
        <w:right w:val="none" w:sz="0" w:space="0" w:color="auto"/>
      </w:divBdr>
    </w:div>
    <w:div w:id="874731299">
      <w:bodyDiv w:val="1"/>
      <w:marLeft w:val="0"/>
      <w:marRight w:val="0"/>
      <w:marTop w:val="0"/>
      <w:marBottom w:val="0"/>
      <w:divBdr>
        <w:top w:val="none" w:sz="0" w:space="0" w:color="auto"/>
        <w:left w:val="none" w:sz="0" w:space="0" w:color="auto"/>
        <w:bottom w:val="none" w:sz="0" w:space="0" w:color="auto"/>
        <w:right w:val="none" w:sz="0" w:space="0" w:color="auto"/>
      </w:divBdr>
    </w:div>
    <w:div w:id="880750853">
      <w:bodyDiv w:val="1"/>
      <w:marLeft w:val="0"/>
      <w:marRight w:val="0"/>
      <w:marTop w:val="0"/>
      <w:marBottom w:val="0"/>
      <w:divBdr>
        <w:top w:val="none" w:sz="0" w:space="0" w:color="auto"/>
        <w:left w:val="none" w:sz="0" w:space="0" w:color="auto"/>
        <w:bottom w:val="none" w:sz="0" w:space="0" w:color="auto"/>
        <w:right w:val="none" w:sz="0" w:space="0" w:color="auto"/>
      </w:divBdr>
    </w:div>
    <w:div w:id="882788876">
      <w:bodyDiv w:val="1"/>
      <w:marLeft w:val="0"/>
      <w:marRight w:val="0"/>
      <w:marTop w:val="0"/>
      <w:marBottom w:val="0"/>
      <w:divBdr>
        <w:top w:val="none" w:sz="0" w:space="0" w:color="auto"/>
        <w:left w:val="none" w:sz="0" w:space="0" w:color="auto"/>
        <w:bottom w:val="none" w:sz="0" w:space="0" w:color="auto"/>
        <w:right w:val="none" w:sz="0" w:space="0" w:color="auto"/>
      </w:divBdr>
    </w:div>
    <w:div w:id="893007623">
      <w:bodyDiv w:val="1"/>
      <w:marLeft w:val="0"/>
      <w:marRight w:val="0"/>
      <w:marTop w:val="0"/>
      <w:marBottom w:val="0"/>
      <w:divBdr>
        <w:top w:val="none" w:sz="0" w:space="0" w:color="auto"/>
        <w:left w:val="none" w:sz="0" w:space="0" w:color="auto"/>
        <w:bottom w:val="none" w:sz="0" w:space="0" w:color="auto"/>
        <w:right w:val="none" w:sz="0" w:space="0" w:color="auto"/>
      </w:divBdr>
    </w:div>
    <w:div w:id="897936567">
      <w:bodyDiv w:val="1"/>
      <w:marLeft w:val="0"/>
      <w:marRight w:val="0"/>
      <w:marTop w:val="0"/>
      <w:marBottom w:val="0"/>
      <w:divBdr>
        <w:top w:val="none" w:sz="0" w:space="0" w:color="auto"/>
        <w:left w:val="none" w:sz="0" w:space="0" w:color="auto"/>
        <w:bottom w:val="none" w:sz="0" w:space="0" w:color="auto"/>
        <w:right w:val="none" w:sz="0" w:space="0" w:color="auto"/>
      </w:divBdr>
    </w:div>
    <w:div w:id="904343654">
      <w:bodyDiv w:val="1"/>
      <w:marLeft w:val="0"/>
      <w:marRight w:val="0"/>
      <w:marTop w:val="0"/>
      <w:marBottom w:val="0"/>
      <w:divBdr>
        <w:top w:val="none" w:sz="0" w:space="0" w:color="auto"/>
        <w:left w:val="none" w:sz="0" w:space="0" w:color="auto"/>
        <w:bottom w:val="none" w:sz="0" w:space="0" w:color="auto"/>
        <w:right w:val="none" w:sz="0" w:space="0" w:color="auto"/>
      </w:divBdr>
    </w:div>
    <w:div w:id="909388594">
      <w:bodyDiv w:val="1"/>
      <w:marLeft w:val="0"/>
      <w:marRight w:val="0"/>
      <w:marTop w:val="0"/>
      <w:marBottom w:val="0"/>
      <w:divBdr>
        <w:top w:val="none" w:sz="0" w:space="0" w:color="auto"/>
        <w:left w:val="none" w:sz="0" w:space="0" w:color="auto"/>
        <w:bottom w:val="none" w:sz="0" w:space="0" w:color="auto"/>
        <w:right w:val="none" w:sz="0" w:space="0" w:color="auto"/>
      </w:divBdr>
    </w:div>
    <w:div w:id="911894425">
      <w:bodyDiv w:val="1"/>
      <w:marLeft w:val="0"/>
      <w:marRight w:val="0"/>
      <w:marTop w:val="0"/>
      <w:marBottom w:val="0"/>
      <w:divBdr>
        <w:top w:val="none" w:sz="0" w:space="0" w:color="auto"/>
        <w:left w:val="none" w:sz="0" w:space="0" w:color="auto"/>
        <w:bottom w:val="none" w:sz="0" w:space="0" w:color="auto"/>
        <w:right w:val="none" w:sz="0" w:space="0" w:color="auto"/>
      </w:divBdr>
    </w:div>
    <w:div w:id="913008595">
      <w:bodyDiv w:val="1"/>
      <w:marLeft w:val="0"/>
      <w:marRight w:val="0"/>
      <w:marTop w:val="0"/>
      <w:marBottom w:val="0"/>
      <w:divBdr>
        <w:top w:val="none" w:sz="0" w:space="0" w:color="auto"/>
        <w:left w:val="none" w:sz="0" w:space="0" w:color="auto"/>
        <w:bottom w:val="none" w:sz="0" w:space="0" w:color="auto"/>
        <w:right w:val="none" w:sz="0" w:space="0" w:color="auto"/>
      </w:divBdr>
    </w:div>
    <w:div w:id="914821853">
      <w:bodyDiv w:val="1"/>
      <w:marLeft w:val="0"/>
      <w:marRight w:val="0"/>
      <w:marTop w:val="0"/>
      <w:marBottom w:val="0"/>
      <w:divBdr>
        <w:top w:val="none" w:sz="0" w:space="0" w:color="auto"/>
        <w:left w:val="none" w:sz="0" w:space="0" w:color="auto"/>
        <w:bottom w:val="none" w:sz="0" w:space="0" w:color="auto"/>
        <w:right w:val="none" w:sz="0" w:space="0" w:color="auto"/>
      </w:divBdr>
    </w:div>
    <w:div w:id="915044273">
      <w:bodyDiv w:val="1"/>
      <w:marLeft w:val="0"/>
      <w:marRight w:val="0"/>
      <w:marTop w:val="0"/>
      <w:marBottom w:val="0"/>
      <w:divBdr>
        <w:top w:val="none" w:sz="0" w:space="0" w:color="auto"/>
        <w:left w:val="none" w:sz="0" w:space="0" w:color="auto"/>
        <w:bottom w:val="none" w:sz="0" w:space="0" w:color="auto"/>
        <w:right w:val="none" w:sz="0" w:space="0" w:color="auto"/>
      </w:divBdr>
    </w:div>
    <w:div w:id="922031139">
      <w:bodyDiv w:val="1"/>
      <w:marLeft w:val="0"/>
      <w:marRight w:val="0"/>
      <w:marTop w:val="0"/>
      <w:marBottom w:val="0"/>
      <w:divBdr>
        <w:top w:val="none" w:sz="0" w:space="0" w:color="auto"/>
        <w:left w:val="none" w:sz="0" w:space="0" w:color="auto"/>
        <w:bottom w:val="none" w:sz="0" w:space="0" w:color="auto"/>
        <w:right w:val="none" w:sz="0" w:space="0" w:color="auto"/>
      </w:divBdr>
    </w:div>
    <w:div w:id="922185944">
      <w:bodyDiv w:val="1"/>
      <w:marLeft w:val="0"/>
      <w:marRight w:val="0"/>
      <w:marTop w:val="0"/>
      <w:marBottom w:val="0"/>
      <w:divBdr>
        <w:top w:val="none" w:sz="0" w:space="0" w:color="auto"/>
        <w:left w:val="none" w:sz="0" w:space="0" w:color="auto"/>
        <w:bottom w:val="none" w:sz="0" w:space="0" w:color="auto"/>
        <w:right w:val="none" w:sz="0" w:space="0" w:color="auto"/>
      </w:divBdr>
    </w:div>
    <w:div w:id="929125628">
      <w:bodyDiv w:val="1"/>
      <w:marLeft w:val="0"/>
      <w:marRight w:val="0"/>
      <w:marTop w:val="0"/>
      <w:marBottom w:val="0"/>
      <w:divBdr>
        <w:top w:val="none" w:sz="0" w:space="0" w:color="auto"/>
        <w:left w:val="none" w:sz="0" w:space="0" w:color="auto"/>
        <w:bottom w:val="none" w:sz="0" w:space="0" w:color="auto"/>
        <w:right w:val="none" w:sz="0" w:space="0" w:color="auto"/>
      </w:divBdr>
    </w:div>
    <w:div w:id="930897917">
      <w:bodyDiv w:val="1"/>
      <w:marLeft w:val="0"/>
      <w:marRight w:val="0"/>
      <w:marTop w:val="0"/>
      <w:marBottom w:val="0"/>
      <w:divBdr>
        <w:top w:val="none" w:sz="0" w:space="0" w:color="auto"/>
        <w:left w:val="none" w:sz="0" w:space="0" w:color="auto"/>
        <w:bottom w:val="none" w:sz="0" w:space="0" w:color="auto"/>
        <w:right w:val="none" w:sz="0" w:space="0" w:color="auto"/>
      </w:divBdr>
    </w:div>
    <w:div w:id="942881857">
      <w:bodyDiv w:val="1"/>
      <w:marLeft w:val="0"/>
      <w:marRight w:val="0"/>
      <w:marTop w:val="0"/>
      <w:marBottom w:val="0"/>
      <w:divBdr>
        <w:top w:val="none" w:sz="0" w:space="0" w:color="auto"/>
        <w:left w:val="none" w:sz="0" w:space="0" w:color="auto"/>
        <w:bottom w:val="none" w:sz="0" w:space="0" w:color="auto"/>
        <w:right w:val="none" w:sz="0" w:space="0" w:color="auto"/>
      </w:divBdr>
    </w:div>
    <w:div w:id="947198140">
      <w:bodyDiv w:val="1"/>
      <w:marLeft w:val="0"/>
      <w:marRight w:val="0"/>
      <w:marTop w:val="0"/>
      <w:marBottom w:val="0"/>
      <w:divBdr>
        <w:top w:val="none" w:sz="0" w:space="0" w:color="auto"/>
        <w:left w:val="none" w:sz="0" w:space="0" w:color="auto"/>
        <w:bottom w:val="none" w:sz="0" w:space="0" w:color="auto"/>
        <w:right w:val="none" w:sz="0" w:space="0" w:color="auto"/>
      </w:divBdr>
    </w:div>
    <w:div w:id="956644091">
      <w:bodyDiv w:val="1"/>
      <w:marLeft w:val="0"/>
      <w:marRight w:val="0"/>
      <w:marTop w:val="0"/>
      <w:marBottom w:val="0"/>
      <w:divBdr>
        <w:top w:val="none" w:sz="0" w:space="0" w:color="auto"/>
        <w:left w:val="none" w:sz="0" w:space="0" w:color="auto"/>
        <w:bottom w:val="none" w:sz="0" w:space="0" w:color="auto"/>
        <w:right w:val="none" w:sz="0" w:space="0" w:color="auto"/>
      </w:divBdr>
    </w:div>
    <w:div w:id="959459559">
      <w:bodyDiv w:val="1"/>
      <w:marLeft w:val="0"/>
      <w:marRight w:val="0"/>
      <w:marTop w:val="0"/>
      <w:marBottom w:val="0"/>
      <w:divBdr>
        <w:top w:val="none" w:sz="0" w:space="0" w:color="auto"/>
        <w:left w:val="none" w:sz="0" w:space="0" w:color="auto"/>
        <w:bottom w:val="none" w:sz="0" w:space="0" w:color="auto"/>
        <w:right w:val="none" w:sz="0" w:space="0" w:color="auto"/>
      </w:divBdr>
    </w:div>
    <w:div w:id="964119439">
      <w:bodyDiv w:val="1"/>
      <w:marLeft w:val="0"/>
      <w:marRight w:val="0"/>
      <w:marTop w:val="0"/>
      <w:marBottom w:val="0"/>
      <w:divBdr>
        <w:top w:val="none" w:sz="0" w:space="0" w:color="auto"/>
        <w:left w:val="none" w:sz="0" w:space="0" w:color="auto"/>
        <w:bottom w:val="none" w:sz="0" w:space="0" w:color="auto"/>
        <w:right w:val="none" w:sz="0" w:space="0" w:color="auto"/>
      </w:divBdr>
    </w:div>
    <w:div w:id="965770595">
      <w:bodyDiv w:val="1"/>
      <w:marLeft w:val="0"/>
      <w:marRight w:val="0"/>
      <w:marTop w:val="0"/>
      <w:marBottom w:val="0"/>
      <w:divBdr>
        <w:top w:val="none" w:sz="0" w:space="0" w:color="auto"/>
        <w:left w:val="none" w:sz="0" w:space="0" w:color="auto"/>
        <w:bottom w:val="none" w:sz="0" w:space="0" w:color="auto"/>
        <w:right w:val="none" w:sz="0" w:space="0" w:color="auto"/>
      </w:divBdr>
    </w:div>
    <w:div w:id="972439376">
      <w:bodyDiv w:val="1"/>
      <w:marLeft w:val="0"/>
      <w:marRight w:val="0"/>
      <w:marTop w:val="0"/>
      <w:marBottom w:val="0"/>
      <w:divBdr>
        <w:top w:val="none" w:sz="0" w:space="0" w:color="auto"/>
        <w:left w:val="none" w:sz="0" w:space="0" w:color="auto"/>
        <w:bottom w:val="none" w:sz="0" w:space="0" w:color="auto"/>
        <w:right w:val="none" w:sz="0" w:space="0" w:color="auto"/>
      </w:divBdr>
    </w:div>
    <w:div w:id="979656632">
      <w:bodyDiv w:val="1"/>
      <w:marLeft w:val="0"/>
      <w:marRight w:val="0"/>
      <w:marTop w:val="0"/>
      <w:marBottom w:val="0"/>
      <w:divBdr>
        <w:top w:val="none" w:sz="0" w:space="0" w:color="auto"/>
        <w:left w:val="none" w:sz="0" w:space="0" w:color="auto"/>
        <w:bottom w:val="none" w:sz="0" w:space="0" w:color="auto"/>
        <w:right w:val="none" w:sz="0" w:space="0" w:color="auto"/>
      </w:divBdr>
    </w:div>
    <w:div w:id="979723430">
      <w:bodyDiv w:val="1"/>
      <w:marLeft w:val="0"/>
      <w:marRight w:val="0"/>
      <w:marTop w:val="0"/>
      <w:marBottom w:val="0"/>
      <w:divBdr>
        <w:top w:val="none" w:sz="0" w:space="0" w:color="auto"/>
        <w:left w:val="none" w:sz="0" w:space="0" w:color="auto"/>
        <w:bottom w:val="none" w:sz="0" w:space="0" w:color="auto"/>
        <w:right w:val="none" w:sz="0" w:space="0" w:color="auto"/>
      </w:divBdr>
    </w:div>
    <w:div w:id="979844947">
      <w:bodyDiv w:val="1"/>
      <w:marLeft w:val="0"/>
      <w:marRight w:val="0"/>
      <w:marTop w:val="0"/>
      <w:marBottom w:val="0"/>
      <w:divBdr>
        <w:top w:val="none" w:sz="0" w:space="0" w:color="auto"/>
        <w:left w:val="none" w:sz="0" w:space="0" w:color="auto"/>
        <w:bottom w:val="none" w:sz="0" w:space="0" w:color="auto"/>
        <w:right w:val="none" w:sz="0" w:space="0" w:color="auto"/>
      </w:divBdr>
    </w:div>
    <w:div w:id="979992067">
      <w:bodyDiv w:val="1"/>
      <w:marLeft w:val="0"/>
      <w:marRight w:val="0"/>
      <w:marTop w:val="0"/>
      <w:marBottom w:val="0"/>
      <w:divBdr>
        <w:top w:val="none" w:sz="0" w:space="0" w:color="auto"/>
        <w:left w:val="none" w:sz="0" w:space="0" w:color="auto"/>
        <w:bottom w:val="none" w:sz="0" w:space="0" w:color="auto"/>
        <w:right w:val="none" w:sz="0" w:space="0" w:color="auto"/>
      </w:divBdr>
    </w:div>
    <w:div w:id="980185369">
      <w:bodyDiv w:val="1"/>
      <w:marLeft w:val="0"/>
      <w:marRight w:val="0"/>
      <w:marTop w:val="0"/>
      <w:marBottom w:val="0"/>
      <w:divBdr>
        <w:top w:val="none" w:sz="0" w:space="0" w:color="auto"/>
        <w:left w:val="none" w:sz="0" w:space="0" w:color="auto"/>
        <w:bottom w:val="none" w:sz="0" w:space="0" w:color="auto"/>
        <w:right w:val="none" w:sz="0" w:space="0" w:color="auto"/>
      </w:divBdr>
    </w:div>
    <w:div w:id="986282792">
      <w:bodyDiv w:val="1"/>
      <w:marLeft w:val="0"/>
      <w:marRight w:val="0"/>
      <w:marTop w:val="0"/>
      <w:marBottom w:val="0"/>
      <w:divBdr>
        <w:top w:val="none" w:sz="0" w:space="0" w:color="auto"/>
        <w:left w:val="none" w:sz="0" w:space="0" w:color="auto"/>
        <w:bottom w:val="none" w:sz="0" w:space="0" w:color="auto"/>
        <w:right w:val="none" w:sz="0" w:space="0" w:color="auto"/>
      </w:divBdr>
    </w:div>
    <w:div w:id="988903925">
      <w:bodyDiv w:val="1"/>
      <w:marLeft w:val="0"/>
      <w:marRight w:val="0"/>
      <w:marTop w:val="0"/>
      <w:marBottom w:val="0"/>
      <w:divBdr>
        <w:top w:val="none" w:sz="0" w:space="0" w:color="auto"/>
        <w:left w:val="none" w:sz="0" w:space="0" w:color="auto"/>
        <w:bottom w:val="none" w:sz="0" w:space="0" w:color="auto"/>
        <w:right w:val="none" w:sz="0" w:space="0" w:color="auto"/>
      </w:divBdr>
    </w:div>
    <w:div w:id="989210172">
      <w:bodyDiv w:val="1"/>
      <w:marLeft w:val="0"/>
      <w:marRight w:val="0"/>
      <w:marTop w:val="0"/>
      <w:marBottom w:val="0"/>
      <w:divBdr>
        <w:top w:val="none" w:sz="0" w:space="0" w:color="auto"/>
        <w:left w:val="none" w:sz="0" w:space="0" w:color="auto"/>
        <w:bottom w:val="none" w:sz="0" w:space="0" w:color="auto"/>
        <w:right w:val="none" w:sz="0" w:space="0" w:color="auto"/>
      </w:divBdr>
    </w:div>
    <w:div w:id="992181490">
      <w:bodyDiv w:val="1"/>
      <w:marLeft w:val="0"/>
      <w:marRight w:val="0"/>
      <w:marTop w:val="0"/>
      <w:marBottom w:val="0"/>
      <w:divBdr>
        <w:top w:val="none" w:sz="0" w:space="0" w:color="auto"/>
        <w:left w:val="none" w:sz="0" w:space="0" w:color="auto"/>
        <w:bottom w:val="none" w:sz="0" w:space="0" w:color="auto"/>
        <w:right w:val="none" w:sz="0" w:space="0" w:color="auto"/>
      </w:divBdr>
    </w:div>
    <w:div w:id="997656611">
      <w:bodyDiv w:val="1"/>
      <w:marLeft w:val="0"/>
      <w:marRight w:val="0"/>
      <w:marTop w:val="0"/>
      <w:marBottom w:val="0"/>
      <w:divBdr>
        <w:top w:val="none" w:sz="0" w:space="0" w:color="auto"/>
        <w:left w:val="none" w:sz="0" w:space="0" w:color="auto"/>
        <w:bottom w:val="none" w:sz="0" w:space="0" w:color="auto"/>
        <w:right w:val="none" w:sz="0" w:space="0" w:color="auto"/>
      </w:divBdr>
    </w:div>
    <w:div w:id="1000738870">
      <w:bodyDiv w:val="1"/>
      <w:marLeft w:val="0"/>
      <w:marRight w:val="0"/>
      <w:marTop w:val="0"/>
      <w:marBottom w:val="0"/>
      <w:divBdr>
        <w:top w:val="none" w:sz="0" w:space="0" w:color="auto"/>
        <w:left w:val="none" w:sz="0" w:space="0" w:color="auto"/>
        <w:bottom w:val="none" w:sz="0" w:space="0" w:color="auto"/>
        <w:right w:val="none" w:sz="0" w:space="0" w:color="auto"/>
      </w:divBdr>
    </w:div>
    <w:div w:id="1003633156">
      <w:bodyDiv w:val="1"/>
      <w:marLeft w:val="0"/>
      <w:marRight w:val="0"/>
      <w:marTop w:val="0"/>
      <w:marBottom w:val="0"/>
      <w:divBdr>
        <w:top w:val="none" w:sz="0" w:space="0" w:color="auto"/>
        <w:left w:val="none" w:sz="0" w:space="0" w:color="auto"/>
        <w:bottom w:val="none" w:sz="0" w:space="0" w:color="auto"/>
        <w:right w:val="none" w:sz="0" w:space="0" w:color="auto"/>
      </w:divBdr>
    </w:div>
    <w:div w:id="1005865241">
      <w:bodyDiv w:val="1"/>
      <w:marLeft w:val="0"/>
      <w:marRight w:val="0"/>
      <w:marTop w:val="0"/>
      <w:marBottom w:val="0"/>
      <w:divBdr>
        <w:top w:val="none" w:sz="0" w:space="0" w:color="auto"/>
        <w:left w:val="none" w:sz="0" w:space="0" w:color="auto"/>
        <w:bottom w:val="none" w:sz="0" w:space="0" w:color="auto"/>
        <w:right w:val="none" w:sz="0" w:space="0" w:color="auto"/>
      </w:divBdr>
    </w:div>
    <w:div w:id="1007252619">
      <w:bodyDiv w:val="1"/>
      <w:marLeft w:val="0"/>
      <w:marRight w:val="0"/>
      <w:marTop w:val="0"/>
      <w:marBottom w:val="0"/>
      <w:divBdr>
        <w:top w:val="none" w:sz="0" w:space="0" w:color="auto"/>
        <w:left w:val="none" w:sz="0" w:space="0" w:color="auto"/>
        <w:bottom w:val="none" w:sz="0" w:space="0" w:color="auto"/>
        <w:right w:val="none" w:sz="0" w:space="0" w:color="auto"/>
      </w:divBdr>
    </w:div>
    <w:div w:id="1014112113">
      <w:bodyDiv w:val="1"/>
      <w:marLeft w:val="0"/>
      <w:marRight w:val="0"/>
      <w:marTop w:val="0"/>
      <w:marBottom w:val="0"/>
      <w:divBdr>
        <w:top w:val="none" w:sz="0" w:space="0" w:color="auto"/>
        <w:left w:val="none" w:sz="0" w:space="0" w:color="auto"/>
        <w:bottom w:val="none" w:sz="0" w:space="0" w:color="auto"/>
        <w:right w:val="none" w:sz="0" w:space="0" w:color="auto"/>
      </w:divBdr>
    </w:div>
    <w:div w:id="1016687047">
      <w:bodyDiv w:val="1"/>
      <w:marLeft w:val="0"/>
      <w:marRight w:val="0"/>
      <w:marTop w:val="0"/>
      <w:marBottom w:val="0"/>
      <w:divBdr>
        <w:top w:val="none" w:sz="0" w:space="0" w:color="auto"/>
        <w:left w:val="none" w:sz="0" w:space="0" w:color="auto"/>
        <w:bottom w:val="none" w:sz="0" w:space="0" w:color="auto"/>
        <w:right w:val="none" w:sz="0" w:space="0" w:color="auto"/>
      </w:divBdr>
    </w:div>
    <w:div w:id="1027678385">
      <w:bodyDiv w:val="1"/>
      <w:marLeft w:val="0"/>
      <w:marRight w:val="0"/>
      <w:marTop w:val="0"/>
      <w:marBottom w:val="0"/>
      <w:divBdr>
        <w:top w:val="none" w:sz="0" w:space="0" w:color="auto"/>
        <w:left w:val="none" w:sz="0" w:space="0" w:color="auto"/>
        <w:bottom w:val="none" w:sz="0" w:space="0" w:color="auto"/>
        <w:right w:val="none" w:sz="0" w:space="0" w:color="auto"/>
      </w:divBdr>
    </w:div>
    <w:div w:id="1033379306">
      <w:bodyDiv w:val="1"/>
      <w:marLeft w:val="0"/>
      <w:marRight w:val="0"/>
      <w:marTop w:val="0"/>
      <w:marBottom w:val="0"/>
      <w:divBdr>
        <w:top w:val="none" w:sz="0" w:space="0" w:color="auto"/>
        <w:left w:val="none" w:sz="0" w:space="0" w:color="auto"/>
        <w:bottom w:val="none" w:sz="0" w:space="0" w:color="auto"/>
        <w:right w:val="none" w:sz="0" w:space="0" w:color="auto"/>
      </w:divBdr>
    </w:div>
    <w:div w:id="1042167092">
      <w:bodyDiv w:val="1"/>
      <w:marLeft w:val="0"/>
      <w:marRight w:val="0"/>
      <w:marTop w:val="0"/>
      <w:marBottom w:val="0"/>
      <w:divBdr>
        <w:top w:val="none" w:sz="0" w:space="0" w:color="auto"/>
        <w:left w:val="none" w:sz="0" w:space="0" w:color="auto"/>
        <w:bottom w:val="none" w:sz="0" w:space="0" w:color="auto"/>
        <w:right w:val="none" w:sz="0" w:space="0" w:color="auto"/>
      </w:divBdr>
    </w:div>
    <w:div w:id="1054086447">
      <w:bodyDiv w:val="1"/>
      <w:marLeft w:val="0"/>
      <w:marRight w:val="0"/>
      <w:marTop w:val="0"/>
      <w:marBottom w:val="0"/>
      <w:divBdr>
        <w:top w:val="none" w:sz="0" w:space="0" w:color="auto"/>
        <w:left w:val="none" w:sz="0" w:space="0" w:color="auto"/>
        <w:bottom w:val="none" w:sz="0" w:space="0" w:color="auto"/>
        <w:right w:val="none" w:sz="0" w:space="0" w:color="auto"/>
      </w:divBdr>
    </w:div>
    <w:div w:id="1060596347">
      <w:bodyDiv w:val="1"/>
      <w:marLeft w:val="0"/>
      <w:marRight w:val="0"/>
      <w:marTop w:val="0"/>
      <w:marBottom w:val="0"/>
      <w:divBdr>
        <w:top w:val="none" w:sz="0" w:space="0" w:color="auto"/>
        <w:left w:val="none" w:sz="0" w:space="0" w:color="auto"/>
        <w:bottom w:val="none" w:sz="0" w:space="0" w:color="auto"/>
        <w:right w:val="none" w:sz="0" w:space="0" w:color="auto"/>
      </w:divBdr>
    </w:div>
    <w:div w:id="1060985147">
      <w:bodyDiv w:val="1"/>
      <w:marLeft w:val="0"/>
      <w:marRight w:val="0"/>
      <w:marTop w:val="0"/>
      <w:marBottom w:val="0"/>
      <w:divBdr>
        <w:top w:val="none" w:sz="0" w:space="0" w:color="auto"/>
        <w:left w:val="none" w:sz="0" w:space="0" w:color="auto"/>
        <w:bottom w:val="none" w:sz="0" w:space="0" w:color="auto"/>
        <w:right w:val="none" w:sz="0" w:space="0" w:color="auto"/>
      </w:divBdr>
    </w:div>
    <w:div w:id="1062413203">
      <w:bodyDiv w:val="1"/>
      <w:marLeft w:val="0"/>
      <w:marRight w:val="0"/>
      <w:marTop w:val="0"/>
      <w:marBottom w:val="0"/>
      <w:divBdr>
        <w:top w:val="none" w:sz="0" w:space="0" w:color="auto"/>
        <w:left w:val="none" w:sz="0" w:space="0" w:color="auto"/>
        <w:bottom w:val="none" w:sz="0" w:space="0" w:color="auto"/>
        <w:right w:val="none" w:sz="0" w:space="0" w:color="auto"/>
      </w:divBdr>
    </w:div>
    <w:div w:id="1064138516">
      <w:bodyDiv w:val="1"/>
      <w:marLeft w:val="0"/>
      <w:marRight w:val="0"/>
      <w:marTop w:val="0"/>
      <w:marBottom w:val="0"/>
      <w:divBdr>
        <w:top w:val="none" w:sz="0" w:space="0" w:color="auto"/>
        <w:left w:val="none" w:sz="0" w:space="0" w:color="auto"/>
        <w:bottom w:val="none" w:sz="0" w:space="0" w:color="auto"/>
        <w:right w:val="none" w:sz="0" w:space="0" w:color="auto"/>
      </w:divBdr>
    </w:div>
    <w:div w:id="1069964090">
      <w:bodyDiv w:val="1"/>
      <w:marLeft w:val="0"/>
      <w:marRight w:val="0"/>
      <w:marTop w:val="0"/>
      <w:marBottom w:val="0"/>
      <w:divBdr>
        <w:top w:val="none" w:sz="0" w:space="0" w:color="auto"/>
        <w:left w:val="none" w:sz="0" w:space="0" w:color="auto"/>
        <w:bottom w:val="none" w:sz="0" w:space="0" w:color="auto"/>
        <w:right w:val="none" w:sz="0" w:space="0" w:color="auto"/>
      </w:divBdr>
    </w:div>
    <w:div w:id="1077870772">
      <w:bodyDiv w:val="1"/>
      <w:marLeft w:val="0"/>
      <w:marRight w:val="0"/>
      <w:marTop w:val="0"/>
      <w:marBottom w:val="0"/>
      <w:divBdr>
        <w:top w:val="none" w:sz="0" w:space="0" w:color="auto"/>
        <w:left w:val="none" w:sz="0" w:space="0" w:color="auto"/>
        <w:bottom w:val="none" w:sz="0" w:space="0" w:color="auto"/>
        <w:right w:val="none" w:sz="0" w:space="0" w:color="auto"/>
      </w:divBdr>
    </w:div>
    <w:div w:id="1078985829">
      <w:bodyDiv w:val="1"/>
      <w:marLeft w:val="0"/>
      <w:marRight w:val="0"/>
      <w:marTop w:val="0"/>
      <w:marBottom w:val="0"/>
      <w:divBdr>
        <w:top w:val="none" w:sz="0" w:space="0" w:color="auto"/>
        <w:left w:val="none" w:sz="0" w:space="0" w:color="auto"/>
        <w:bottom w:val="none" w:sz="0" w:space="0" w:color="auto"/>
        <w:right w:val="none" w:sz="0" w:space="0" w:color="auto"/>
      </w:divBdr>
    </w:div>
    <w:div w:id="1081485169">
      <w:bodyDiv w:val="1"/>
      <w:marLeft w:val="0"/>
      <w:marRight w:val="0"/>
      <w:marTop w:val="0"/>
      <w:marBottom w:val="0"/>
      <w:divBdr>
        <w:top w:val="none" w:sz="0" w:space="0" w:color="auto"/>
        <w:left w:val="none" w:sz="0" w:space="0" w:color="auto"/>
        <w:bottom w:val="none" w:sz="0" w:space="0" w:color="auto"/>
        <w:right w:val="none" w:sz="0" w:space="0" w:color="auto"/>
      </w:divBdr>
    </w:div>
    <w:div w:id="1084885196">
      <w:bodyDiv w:val="1"/>
      <w:marLeft w:val="0"/>
      <w:marRight w:val="0"/>
      <w:marTop w:val="0"/>
      <w:marBottom w:val="0"/>
      <w:divBdr>
        <w:top w:val="none" w:sz="0" w:space="0" w:color="auto"/>
        <w:left w:val="none" w:sz="0" w:space="0" w:color="auto"/>
        <w:bottom w:val="none" w:sz="0" w:space="0" w:color="auto"/>
        <w:right w:val="none" w:sz="0" w:space="0" w:color="auto"/>
      </w:divBdr>
    </w:div>
    <w:div w:id="1087844817">
      <w:bodyDiv w:val="1"/>
      <w:marLeft w:val="0"/>
      <w:marRight w:val="0"/>
      <w:marTop w:val="0"/>
      <w:marBottom w:val="0"/>
      <w:divBdr>
        <w:top w:val="none" w:sz="0" w:space="0" w:color="auto"/>
        <w:left w:val="none" w:sz="0" w:space="0" w:color="auto"/>
        <w:bottom w:val="none" w:sz="0" w:space="0" w:color="auto"/>
        <w:right w:val="none" w:sz="0" w:space="0" w:color="auto"/>
      </w:divBdr>
    </w:div>
    <w:div w:id="1089160896">
      <w:bodyDiv w:val="1"/>
      <w:marLeft w:val="0"/>
      <w:marRight w:val="0"/>
      <w:marTop w:val="0"/>
      <w:marBottom w:val="0"/>
      <w:divBdr>
        <w:top w:val="none" w:sz="0" w:space="0" w:color="auto"/>
        <w:left w:val="none" w:sz="0" w:space="0" w:color="auto"/>
        <w:bottom w:val="none" w:sz="0" w:space="0" w:color="auto"/>
        <w:right w:val="none" w:sz="0" w:space="0" w:color="auto"/>
      </w:divBdr>
    </w:div>
    <w:div w:id="1094206007">
      <w:bodyDiv w:val="1"/>
      <w:marLeft w:val="0"/>
      <w:marRight w:val="0"/>
      <w:marTop w:val="0"/>
      <w:marBottom w:val="0"/>
      <w:divBdr>
        <w:top w:val="none" w:sz="0" w:space="0" w:color="auto"/>
        <w:left w:val="none" w:sz="0" w:space="0" w:color="auto"/>
        <w:bottom w:val="none" w:sz="0" w:space="0" w:color="auto"/>
        <w:right w:val="none" w:sz="0" w:space="0" w:color="auto"/>
      </w:divBdr>
    </w:div>
    <w:div w:id="1098404273">
      <w:bodyDiv w:val="1"/>
      <w:marLeft w:val="0"/>
      <w:marRight w:val="0"/>
      <w:marTop w:val="0"/>
      <w:marBottom w:val="0"/>
      <w:divBdr>
        <w:top w:val="none" w:sz="0" w:space="0" w:color="auto"/>
        <w:left w:val="none" w:sz="0" w:space="0" w:color="auto"/>
        <w:bottom w:val="none" w:sz="0" w:space="0" w:color="auto"/>
        <w:right w:val="none" w:sz="0" w:space="0" w:color="auto"/>
      </w:divBdr>
    </w:div>
    <w:div w:id="1102721730">
      <w:bodyDiv w:val="1"/>
      <w:marLeft w:val="0"/>
      <w:marRight w:val="0"/>
      <w:marTop w:val="0"/>
      <w:marBottom w:val="0"/>
      <w:divBdr>
        <w:top w:val="none" w:sz="0" w:space="0" w:color="auto"/>
        <w:left w:val="none" w:sz="0" w:space="0" w:color="auto"/>
        <w:bottom w:val="none" w:sz="0" w:space="0" w:color="auto"/>
        <w:right w:val="none" w:sz="0" w:space="0" w:color="auto"/>
      </w:divBdr>
    </w:div>
    <w:div w:id="1104348249">
      <w:bodyDiv w:val="1"/>
      <w:marLeft w:val="0"/>
      <w:marRight w:val="0"/>
      <w:marTop w:val="0"/>
      <w:marBottom w:val="0"/>
      <w:divBdr>
        <w:top w:val="none" w:sz="0" w:space="0" w:color="auto"/>
        <w:left w:val="none" w:sz="0" w:space="0" w:color="auto"/>
        <w:bottom w:val="none" w:sz="0" w:space="0" w:color="auto"/>
        <w:right w:val="none" w:sz="0" w:space="0" w:color="auto"/>
      </w:divBdr>
    </w:div>
    <w:div w:id="1105156789">
      <w:bodyDiv w:val="1"/>
      <w:marLeft w:val="0"/>
      <w:marRight w:val="0"/>
      <w:marTop w:val="0"/>
      <w:marBottom w:val="0"/>
      <w:divBdr>
        <w:top w:val="none" w:sz="0" w:space="0" w:color="auto"/>
        <w:left w:val="none" w:sz="0" w:space="0" w:color="auto"/>
        <w:bottom w:val="none" w:sz="0" w:space="0" w:color="auto"/>
        <w:right w:val="none" w:sz="0" w:space="0" w:color="auto"/>
      </w:divBdr>
    </w:div>
    <w:div w:id="1119295893">
      <w:bodyDiv w:val="1"/>
      <w:marLeft w:val="0"/>
      <w:marRight w:val="0"/>
      <w:marTop w:val="0"/>
      <w:marBottom w:val="0"/>
      <w:divBdr>
        <w:top w:val="none" w:sz="0" w:space="0" w:color="auto"/>
        <w:left w:val="none" w:sz="0" w:space="0" w:color="auto"/>
        <w:bottom w:val="none" w:sz="0" w:space="0" w:color="auto"/>
        <w:right w:val="none" w:sz="0" w:space="0" w:color="auto"/>
      </w:divBdr>
    </w:div>
    <w:div w:id="1120301021">
      <w:bodyDiv w:val="1"/>
      <w:marLeft w:val="0"/>
      <w:marRight w:val="0"/>
      <w:marTop w:val="0"/>
      <w:marBottom w:val="0"/>
      <w:divBdr>
        <w:top w:val="none" w:sz="0" w:space="0" w:color="auto"/>
        <w:left w:val="none" w:sz="0" w:space="0" w:color="auto"/>
        <w:bottom w:val="none" w:sz="0" w:space="0" w:color="auto"/>
        <w:right w:val="none" w:sz="0" w:space="0" w:color="auto"/>
      </w:divBdr>
    </w:div>
    <w:div w:id="1124618190">
      <w:bodyDiv w:val="1"/>
      <w:marLeft w:val="0"/>
      <w:marRight w:val="0"/>
      <w:marTop w:val="0"/>
      <w:marBottom w:val="0"/>
      <w:divBdr>
        <w:top w:val="none" w:sz="0" w:space="0" w:color="auto"/>
        <w:left w:val="none" w:sz="0" w:space="0" w:color="auto"/>
        <w:bottom w:val="none" w:sz="0" w:space="0" w:color="auto"/>
        <w:right w:val="none" w:sz="0" w:space="0" w:color="auto"/>
      </w:divBdr>
    </w:div>
    <w:div w:id="1127771137">
      <w:bodyDiv w:val="1"/>
      <w:marLeft w:val="0"/>
      <w:marRight w:val="0"/>
      <w:marTop w:val="0"/>
      <w:marBottom w:val="0"/>
      <w:divBdr>
        <w:top w:val="none" w:sz="0" w:space="0" w:color="auto"/>
        <w:left w:val="none" w:sz="0" w:space="0" w:color="auto"/>
        <w:bottom w:val="none" w:sz="0" w:space="0" w:color="auto"/>
        <w:right w:val="none" w:sz="0" w:space="0" w:color="auto"/>
      </w:divBdr>
    </w:div>
    <w:div w:id="1129854928">
      <w:bodyDiv w:val="1"/>
      <w:marLeft w:val="0"/>
      <w:marRight w:val="0"/>
      <w:marTop w:val="0"/>
      <w:marBottom w:val="0"/>
      <w:divBdr>
        <w:top w:val="none" w:sz="0" w:space="0" w:color="auto"/>
        <w:left w:val="none" w:sz="0" w:space="0" w:color="auto"/>
        <w:bottom w:val="none" w:sz="0" w:space="0" w:color="auto"/>
        <w:right w:val="none" w:sz="0" w:space="0" w:color="auto"/>
      </w:divBdr>
    </w:div>
    <w:div w:id="1133522688">
      <w:bodyDiv w:val="1"/>
      <w:marLeft w:val="0"/>
      <w:marRight w:val="0"/>
      <w:marTop w:val="0"/>
      <w:marBottom w:val="0"/>
      <w:divBdr>
        <w:top w:val="none" w:sz="0" w:space="0" w:color="auto"/>
        <w:left w:val="none" w:sz="0" w:space="0" w:color="auto"/>
        <w:bottom w:val="none" w:sz="0" w:space="0" w:color="auto"/>
        <w:right w:val="none" w:sz="0" w:space="0" w:color="auto"/>
      </w:divBdr>
    </w:div>
    <w:div w:id="1143499521">
      <w:bodyDiv w:val="1"/>
      <w:marLeft w:val="0"/>
      <w:marRight w:val="0"/>
      <w:marTop w:val="0"/>
      <w:marBottom w:val="0"/>
      <w:divBdr>
        <w:top w:val="none" w:sz="0" w:space="0" w:color="auto"/>
        <w:left w:val="none" w:sz="0" w:space="0" w:color="auto"/>
        <w:bottom w:val="none" w:sz="0" w:space="0" w:color="auto"/>
        <w:right w:val="none" w:sz="0" w:space="0" w:color="auto"/>
      </w:divBdr>
    </w:div>
    <w:div w:id="1146900040">
      <w:bodyDiv w:val="1"/>
      <w:marLeft w:val="0"/>
      <w:marRight w:val="0"/>
      <w:marTop w:val="0"/>
      <w:marBottom w:val="0"/>
      <w:divBdr>
        <w:top w:val="none" w:sz="0" w:space="0" w:color="auto"/>
        <w:left w:val="none" w:sz="0" w:space="0" w:color="auto"/>
        <w:bottom w:val="none" w:sz="0" w:space="0" w:color="auto"/>
        <w:right w:val="none" w:sz="0" w:space="0" w:color="auto"/>
      </w:divBdr>
    </w:div>
    <w:div w:id="1147673540">
      <w:bodyDiv w:val="1"/>
      <w:marLeft w:val="0"/>
      <w:marRight w:val="0"/>
      <w:marTop w:val="0"/>
      <w:marBottom w:val="0"/>
      <w:divBdr>
        <w:top w:val="none" w:sz="0" w:space="0" w:color="auto"/>
        <w:left w:val="none" w:sz="0" w:space="0" w:color="auto"/>
        <w:bottom w:val="none" w:sz="0" w:space="0" w:color="auto"/>
        <w:right w:val="none" w:sz="0" w:space="0" w:color="auto"/>
      </w:divBdr>
    </w:div>
    <w:div w:id="1151212551">
      <w:bodyDiv w:val="1"/>
      <w:marLeft w:val="0"/>
      <w:marRight w:val="0"/>
      <w:marTop w:val="0"/>
      <w:marBottom w:val="0"/>
      <w:divBdr>
        <w:top w:val="none" w:sz="0" w:space="0" w:color="auto"/>
        <w:left w:val="none" w:sz="0" w:space="0" w:color="auto"/>
        <w:bottom w:val="none" w:sz="0" w:space="0" w:color="auto"/>
        <w:right w:val="none" w:sz="0" w:space="0" w:color="auto"/>
      </w:divBdr>
    </w:div>
    <w:div w:id="1164470367">
      <w:bodyDiv w:val="1"/>
      <w:marLeft w:val="0"/>
      <w:marRight w:val="0"/>
      <w:marTop w:val="0"/>
      <w:marBottom w:val="0"/>
      <w:divBdr>
        <w:top w:val="none" w:sz="0" w:space="0" w:color="auto"/>
        <w:left w:val="none" w:sz="0" w:space="0" w:color="auto"/>
        <w:bottom w:val="none" w:sz="0" w:space="0" w:color="auto"/>
        <w:right w:val="none" w:sz="0" w:space="0" w:color="auto"/>
      </w:divBdr>
    </w:div>
    <w:div w:id="1168448092">
      <w:bodyDiv w:val="1"/>
      <w:marLeft w:val="0"/>
      <w:marRight w:val="0"/>
      <w:marTop w:val="0"/>
      <w:marBottom w:val="0"/>
      <w:divBdr>
        <w:top w:val="none" w:sz="0" w:space="0" w:color="auto"/>
        <w:left w:val="none" w:sz="0" w:space="0" w:color="auto"/>
        <w:bottom w:val="none" w:sz="0" w:space="0" w:color="auto"/>
        <w:right w:val="none" w:sz="0" w:space="0" w:color="auto"/>
      </w:divBdr>
    </w:div>
    <w:div w:id="1182400953">
      <w:bodyDiv w:val="1"/>
      <w:marLeft w:val="0"/>
      <w:marRight w:val="0"/>
      <w:marTop w:val="0"/>
      <w:marBottom w:val="0"/>
      <w:divBdr>
        <w:top w:val="none" w:sz="0" w:space="0" w:color="auto"/>
        <w:left w:val="none" w:sz="0" w:space="0" w:color="auto"/>
        <w:bottom w:val="none" w:sz="0" w:space="0" w:color="auto"/>
        <w:right w:val="none" w:sz="0" w:space="0" w:color="auto"/>
      </w:divBdr>
    </w:div>
    <w:div w:id="1182622424">
      <w:bodyDiv w:val="1"/>
      <w:marLeft w:val="0"/>
      <w:marRight w:val="0"/>
      <w:marTop w:val="0"/>
      <w:marBottom w:val="0"/>
      <w:divBdr>
        <w:top w:val="none" w:sz="0" w:space="0" w:color="auto"/>
        <w:left w:val="none" w:sz="0" w:space="0" w:color="auto"/>
        <w:bottom w:val="none" w:sz="0" w:space="0" w:color="auto"/>
        <w:right w:val="none" w:sz="0" w:space="0" w:color="auto"/>
      </w:divBdr>
    </w:div>
    <w:div w:id="1188173733">
      <w:bodyDiv w:val="1"/>
      <w:marLeft w:val="0"/>
      <w:marRight w:val="0"/>
      <w:marTop w:val="0"/>
      <w:marBottom w:val="0"/>
      <w:divBdr>
        <w:top w:val="none" w:sz="0" w:space="0" w:color="auto"/>
        <w:left w:val="none" w:sz="0" w:space="0" w:color="auto"/>
        <w:bottom w:val="none" w:sz="0" w:space="0" w:color="auto"/>
        <w:right w:val="none" w:sz="0" w:space="0" w:color="auto"/>
      </w:divBdr>
    </w:div>
    <w:div w:id="1189488822">
      <w:bodyDiv w:val="1"/>
      <w:marLeft w:val="0"/>
      <w:marRight w:val="0"/>
      <w:marTop w:val="0"/>
      <w:marBottom w:val="0"/>
      <w:divBdr>
        <w:top w:val="none" w:sz="0" w:space="0" w:color="auto"/>
        <w:left w:val="none" w:sz="0" w:space="0" w:color="auto"/>
        <w:bottom w:val="none" w:sz="0" w:space="0" w:color="auto"/>
        <w:right w:val="none" w:sz="0" w:space="0" w:color="auto"/>
      </w:divBdr>
    </w:div>
    <w:div w:id="1200892667">
      <w:bodyDiv w:val="1"/>
      <w:marLeft w:val="0"/>
      <w:marRight w:val="0"/>
      <w:marTop w:val="0"/>
      <w:marBottom w:val="0"/>
      <w:divBdr>
        <w:top w:val="none" w:sz="0" w:space="0" w:color="auto"/>
        <w:left w:val="none" w:sz="0" w:space="0" w:color="auto"/>
        <w:bottom w:val="none" w:sz="0" w:space="0" w:color="auto"/>
        <w:right w:val="none" w:sz="0" w:space="0" w:color="auto"/>
      </w:divBdr>
    </w:div>
    <w:div w:id="1208303132">
      <w:bodyDiv w:val="1"/>
      <w:marLeft w:val="0"/>
      <w:marRight w:val="0"/>
      <w:marTop w:val="0"/>
      <w:marBottom w:val="0"/>
      <w:divBdr>
        <w:top w:val="none" w:sz="0" w:space="0" w:color="auto"/>
        <w:left w:val="none" w:sz="0" w:space="0" w:color="auto"/>
        <w:bottom w:val="none" w:sz="0" w:space="0" w:color="auto"/>
        <w:right w:val="none" w:sz="0" w:space="0" w:color="auto"/>
      </w:divBdr>
    </w:div>
    <w:div w:id="1211841151">
      <w:bodyDiv w:val="1"/>
      <w:marLeft w:val="0"/>
      <w:marRight w:val="0"/>
      <w:marTop w:val="0"/>
      <w:marBottom w:val="0"/>
      <w:divBdr>
        <w:top w:val="none" w:sz="0" w:space="0" w:color="auto"/>
        <w:left w:val="none" w:sz="0" w:space="0" w:color="auto"/>
        <w:bottom w:val="none" w:sz="0" w:space="0" w:color="auto"/>
        <w:right w:val="none" w:sz="0" w:space="0" w:color="auto"/>
      </w:divBdr>
    </w:div>
    <w:div w:id="1211959260">
      <w:bodyDiv w:val="1"/>
      <w:marLeft w:val="0"/>
      <w:marRight w:val="0"/>
      <w:marTop w:val="0"/>
      <w:marBottom w:val="0"/>
      <w:divBdr>
        <w:top w:val="none" w:sz="0" w:space="0" w:color="auto"/>
        <w:left w:val="none" w:sz="0" w:space="0" w:color="auto"/>
        <w:bottom w:val="none" w:sz="0" w:space="0" w:color="auto"/>
        <w:right w:val="none" w:sz="0" w:space="0" w:color="auto"/>
      </w:divBdr>
    </w:div>
    <w:div w:id="1212882589">
      <w:bodyDiv w:val="1"/>
      <w:marLeft w:val="0"/>
      <w:marRight w:val="0"/>
      <w:marTop w:val="0"/>
      <w:marBottom w:val="0"/>
      <w:divBdr>
        <w:top w:val="none" w:sz="0" w:space="0" w:color="auto"/>
        <w:left w:val="none" w:sz="0" w:space="0" w:color="auto"/>
        <w:bottom w:val="none" w:sz="0" w:space="0" w:color="auto"/>
        <w:right w:val="none" w:sz="0" w:space="0" w:color="auto"/>
      </w:divBdr>
    </w:div>
    <w:div w:id="1216233880">
      <w:bodyDiv w:val="1"/>
      <w:marLeft w:val="0"/>
      <w:marRight w:val="0"/>
      <w:marTop w:val="0"/>
      <w:marBottom w:val="0"/>
      <w:divBdr>
        <w:top w:val="none" w:sz="0" w:space="0" w:color="auto"/>
        <w:left w:val="none" w:sz="0" w:space="0" w:color="auto"/>
        <w:bottom w:val="none" w:sz="0" w:space="0" w:color="auto"/>
        <w:right w:val="none" w:sz="0" w:space="0" w:color="auto"/>
      </w:divBdr>
    </w:div>
    <w:div w:id="1218080487">
      <w:bodyDiv w:val="1"/>
      <w:marLeft w:val="0"/>
      <w:marRight w:val="0"/>
      <w:marTop w:val="0"/>
      <w:marBottom w:val="0"/>
      <w:divBdr>
        <w:top w:val="none" w:sz="0" w:space="0" w:color="auto"/>
        <w:left w:val="none" w:sz="0" w:space="0" w:color="auto"/>
        <w:bottom w:val="none" w:sz="0" w:space="0" w:color="auto"/>
        <w:right w:val="none" w:sz="0" w:space="0" w:color="auto"/>
      </w:divBdr>
    </w:div>
    <w:div w:id="1224291482">
      <w:bodyDiv w:val="1"/>
      <w:marLeft w:val="0"/>
      <w:marRight w:val="0"/>
      <w:marTop w:val="0"/>
      <w:marBottom w:val="0"/>
      <w:divBdr>
        <w:top w:val="none" w:sz="0" w:space="0" w:color="auto"/>
        <w:left w:val="none" w:sz="0" w:space="0" w:color="auto"/>
        <w:bottom w:val="none" w:sz="0" w:space="0" w:color="auto"/>
        <w:right w:val="none" w:sz="0" w:space="0" w:color="auto"/>
      </w:divBdr>
    </w:div>
    <w:div w:id="1225751520">
      <w:bodyDiv w:val="1"/>
      <w:marLeft w:val="0"/>
      <w:marRight w:val="0"/>
      <w:marTop w:val="0"/>
      <w:marBottom w:val="0"/>
      <w:divBdr>
        <w:top w:val="none" w:sz="0" w:space="0" w:color="auto"/>
        <w:left w:val="none" w:sz="0" w:space="0" w:color="auto"/>
        <w:bottom w:val="none" w:sz="0" w:space="0" w:color="auto"/>
        <w:right w:val="none" w:sz="0" w:space="0" w:color="auto"/>
      </w:divBdr>
    </w:div>
    <w:div w:id="1228999348">
      <w:bodyDiv w:val="1"/>
      <w:marLeft w:val="0"/>
      <w:marRight w:val="0"/>
      <w:marTop w:val="0"/>
      <w:marBottom w:val="0"/>
      <w:divBdr>
        <w:top w:val="none" w:sz="0" w:space="0" w:color="auto"/>
        <w:left w:val="none" w:sz="0" w:space="0" w:color="auto"/>
        <w:bottom w:val="none" w:sz="0" w:space="0" w:color="auto"/>
        <w:right w:val="none" w:sz="0" w:space="0" w:color="auto"/>
      </w:divBdr>
    </w:div>
    <w:div w:id="1229337653">
      <w:bodyDiv w:val="1"/>
      <w:marLeft w:val="0"/>
      <w:marRight w:val="0"/>
      <w:marTop w:val="0"/>
      <w:marBottom w:val="0"/>
      <w:divBdr>
        <w:top w:val="none" w:sz="0" w:space="0" w:color="auto"/>
        <w:left w:val="none" w:sz="0" w:space="0" w:color="auto"/>
        <w:bottom w:val="none" w:sz="0" w:space="0" w:color="auto"/>
        <w:right w:val="none" w:sz="0" w:space="0" w:color="auto"/>
      </w:divBdr>
    </w:div>
    <w:div w:id="1229533896">
      <w:bodyDiv w:val="1"/>
      <w:marLeft w:val="0"/>
      <w:marRight w:val="0"/>
      <w:marTop w:val="0"/>
      <w:marBottom w:val="0"/>
      <w:divBdr>
        <w:top w:val="none" w:sz="0" w:space="0" w:color="auto"/>
        <w:left w:val="none" w:sz="0" w:space="0" w:color="auto"/>
        <w:bottom w:val="none" w:sz="0" w:space="0" w:color="auto"/>
        <w:right w:val="none" w:sz="0" w:space="0" w:color="auto"/>
      </w:divBdr>
    </w:div>
    <w:div w:id="1235242112">
      <w:bodyDiv w:val="1"/>
      <w:marLeft w:val="0"/>
      <w:marRight w:val="0"/>
      <w:marTop w:val="0"/>
      <w:marBottom w:val="0"/>
      <w:divBdr>
        <w:top w:val="none" w:sz="0" w:space="0" w:color="auto"/>
        <w:left w:val="none" w:sz="0" w:space="0" w:color="auto"/>
        <w:bottom w:val="none" w:sz="0" w:space="0" w:color="auto"/>
        <w:right w:val="none" w:sz="0" w:space="0" w:color="auto"/>
      </w:divBdr>
    </w:div>
    <w:div w:id="1239293602">
      <w:bodyDiv w:val="1"/>
      <w:marLeft w:val="0"/>
      <w:marRight w:val="0"/>
      <w:marTop w:val="0"/>
      <w:marBottom w:val="0"/>
      <w:divBdr>
        <w:top w:val="none" w:sz="0" w:space="0" w:color="auto"/>
        <w:left w:val="none" w:sz="0" w:space="0" w:color="auto"/>
        <w:bottom w:val="none" w:sz="0" w:space="0" w:color="auto"/>
        <w:right w:val="none" w:sz="0" w:space="0" w:color="auto"/>
      </w:divBdr>
    </w:div>
    <w:div w:id="1239753315">
      <w:bodyDiv w:val="1"/>
      <w:marLeft w:val="0"/>
      <w:marRight w:val="0"/>
      <w:marTop w:val="0"/>
      <w:marBottom w:val="0"/>
      <w:divBdr>
        <w:top w:val="none" w:sz="0" w:space="0" w:color="auto"/>
        <w:left w:val="none" w:sz="0" w:space="0" w:color="auto"/>
        <w:bottom w:val="none" w:sz="0" w:space="0" w:color="auto"/>
        <w:right w:val="none" w:sz="0" w:space="0" w:color="auto"/>
      </w:divBdr>
    </w:div>
    <w:div w:id="1240092169">
      <w:bodyDiv w:val="1"/>
      <w:marLeft w:val="0"/>
      <w:marRight w:val="0"/>
      <w:marTop w:val="0"/>
      <w:marBottom w:val="0"/>
      <w:divBdr>
        <w:top w:val="none" w:sz="0" w:space="0" w:color="auto"/>
        <w:left w:val="none" w:sz="0" w:space="0" w:color="auto"/>
        <w:bottom w:val="none" w:sz="0" w:space="0" w:color="auto"/>
        <w:right w:val="none" w:sz="0" w:space="0" w:color="auto"/>
      </w:divBdr>
    </w:div>
    <w:div w:id="1240336109">
      <w:bodyDiv w:val="1"/>
      <w:marLeft w:val="0"/>
      <w:marRight w:val="0"/>
      <w:marTop w:val="0"/>
      <w:marBottom w:val="0"/>
      <w:divBdr>
        <w:top w:val="none" w:sz="0" w:space="0" w:color="auto"/>
        <w:left w:val="none" w:sz="0" w:space="0" w:color="auto"/>
        <w:bottom w:val="none" w:sz="0" w:space="0" w:color="auto"/>
        <w:right w:val="none" w:sz="0" w:space="0" w:color="auto"/>
      </w:divBdr>
    </w:div>
    <w:div w:id="1246111365">
      <w:bodyDiv w:val="1"/>
      <w:marLeft w:val="0"/>
      <w:marRight w:val="0"/>
      <w:marTop w:val="0"/>
      <w:marBottom w:val="0"/>
      <w:divBdr>
        <w:top w:val="none" w:sz="0" w:space="0" w:color="auto"/>
        <w:left w:val="none" w:sz="0" w:space="0" w:color="auto"/>
        <w:bottom w:val="none" w:sz="0" w:space="0" w:color="auto"/>
        <w:right w:val="none" w:sz="0" w:space="0" w:color="auto"/>
      </w:divBdr>
    </w:div>
    <w:div w:id="1253053851">
      <w:bodyDiv w:val="1"/>
      <w:marLeft w:val="0"/>
      <w:marRight w:val="0"/>
      <w:marTop w:val="0"/>
      <w:marBottom w:val="0"/>
      <w:divBdr>
        <w:top w:val="none" w:sz="0" w:space="0" w:color="auto"/>
        <w:left w:val="none" w:sz="0" w:space="0" w:color="auto"/>
        <w:bottom w:val="none" w:sz="0" w:space="0" w:color="auto"/>
        <w:right w:val="none" w:sz="0" w:space="0" w:color="auto"/>
      </w:divBdr>
    </w:div>
    <w:div w:id="1254165451">
      <w:bodyDiv w:val="1"/>
      <w:marLeft w:val="0"/>
      <w:marRight w:val="0"/>
      <w:marTop w:val="0"/>
      <w:marBottom w:val="0"/>
      <w:divBdr>
        <w:top w:val="none" w:sz="0" w:space="0" w:color="auto"/>
        <w:left w:val="none" w:sz="0" w:space="0" w:color="auto"/>
        <w:bottom w:val="none" w:sz="0" w:space="0" w:color="auto"/>
        <w:right w:val="none" w:sz="0" w:space="0" w:color="auto"/>
      </w:divBdr>
    </w:div>
    <w:div w:id="1256091809">
      <w:bodyDiv w:val="1"/>
      <w:marLeft w:val="0"/>
      <w:marRight w:val="0"/>
      <w:marTop w:val="0"/>
      <w:marBottom w:val="0"/>
      <w:divBdr>
        <w:top w:val="none" w:sz="0" w:space="0" w:color="auto"/>
        <w:left w:val="none" w:sz="0" w:space="0" w:color="auto"/>
        <w:bottom w:val="none" w:sz="0" w:space="0" w:color="auto"/>
        <w:right w:val="none" w:sz="0" w:space="0" w:color="auto"/>
      </w:divBdr>
    </w:div>
    <w:div w:id="1257715156">
      <w:bodyDiv w:val="1"/>
      <w:marLeft w:val="0"/>
      <w:marRight w:val="0"/>
      <w:marTop w:val="0"/>
      <w:marBottom w:val="0"/>
      <w:divBdr>
        <w:top w:val="none" w:sz="0" w:space="0" w:color="auto"/>
        <w:left w:val="none" w:sz="0" w:space="0" w:color="auto"/>
        <w:bottom w:val="none" w:sz="0" w:space="0" w:color="auto"/>
        <w:right w:val="none" w:sz="0" w:space="0" w:color="auto"/>
      </w:divBdr>
    </w:div>
    <w:div w:id="1261644935">
      <w:bodyDiv w:val="1"/>
      <w:marLeft w:val="0"/>
      <w:marRight w:val="0"/>
      <w:marTop w:val="0"/>
      <w:marBottom w:val="0"/>
      <w:divBdr>
        <w:top w:val="none" w:sz="0" w:space="0" w:color="auto"/>
        <w:left w:val="none" w:sz="0" w:space="0" w:color="auto"/>
        <w:bottom w:val="none" w:sz="0" w:space="0" w:color="auto"/>
        <w:right w:val="none" w:sz="0" w:space="0" w:color="auto"/>
      </w:divBdr>
    </w:div>
    <w:div w:id="1262253376">
      <w:bodyDiv w:val="1"/>
      <w:marLeft w:val="0"/>
      <w:marRight w:val="0"/>
      <w:marTop w:val="0"/>
      <w:marBottom w:val="0"/>
      <w:divBdr>
        <w:top w:val="none" w:sz="0" w:space="0" w:color="auto"/>
        <w:left w:val="none" w:sz="0" w:space="0" w:color="auto"/>
        <w:bottom w:val="none" w:sz="0" w:space="0" w:color="auto"/>
        <w:right w:val="none" w:sz="0" w:space="0" w:color="auto"/>
      </w:divBdr>
    </w:div>
    <w:div w:id="1264074581">
      <w:bodyDiv w:val="1"/>
      <w:marLeft w:val="0"/>
      <w:marRight w:val="0"/>
      <w:marTop w:val="0"/>
      <w:marBottom w:val="0"/>
      <w:divBdr>
        <w:top w:val="none" w:sz="0" w:space="0" w:color="auto"/>
        <w:left w:val="none" w:sz="0" w:space="0" w:color="auto"/>
        <w:bottom w:val="none" w:sz="0" w:space="0" w:color="auto"/>
        <w:right w:val="none" w:sz="0" w:space="0" w:color="auto"/>
      </w:divBdr>
    </w:div>
    <w:div w:id="1268350306">
      <w:bodyDiv w:val="1"/>
      <w:marLeft w:val="0"/>
      <w:marRight w:val="0"/>
      <w:marTop w:val="0"/>
      <w:marBottom w:val="0"/>
      <w:divBdr>
        <w:top w:val="none" w:sz="0" w:space="0" w:color="auto"/>
        <w:left w:val="none" w:sz="0" w:space="0" w:color="auto"/>
        <w:bottom w:val="none" w:sz="0" w:space="0" w:color="auto"/>
        <w:right w:val="none" w:sz="0" w:space="0" w:color="auto"/>
      </w:divBdr>
    </w:div>
    <w:div w:id="1269775909">
      <w:bodyDiv w:val="1"/>
      <w:marLeft w:val="0"/>
      <w:marRight w:val="0"/>
      <w:marTop w:val="0"/>
      <w:marBottom w:val="0"/>
      <w:divBdr>
        <w:top w:val="none" w:sz="0" w:space="0" w:color="auto"/>
        <w:left w:val="none" w:sz="0" w:space="0" w:color="auto"/>
        <w:bottom w:val="none" w:sz="0" w:space="0" w:color="auto"/>
        <w:right w:val="none" w:sz="0" w:space="0" w:color="auto"/>
      </w:divBdr>
    </w:div>
    <w:div w:id="1271739400">
      <w:bodyDiv w:val="1"/>
      <w:marLeft w:val="0"/>
      <w:marRight w:val="0"/>
      <w:marTop w:val="0"/>
      <w:marBottom w:val="0"/>
      <w:divBdr>
        <w:top w:val="none" w:sz="0" w:space="0" w:color="auto"/>
        <w:left w:val="none" w:sz="0" w:space="0" w:color="auto"/>
        <w:bottom w:val="none" w:sz="0" w:space="0" w:color="auto"/>
        <w:right w:val="none" w:sz="0" w:space="0" w:color="auto"/>
      </w:divBdr>
    </w:div>
    <w:div w:id="1276791408">
      <w:bodyDiv w:val="1"/>
      <w:marLeft w:val="0"/>
      <w:marRight w:val="0"/>
      <w:marTop w:val="0"/>
      <w:marBottom w:val="0"/>
      <w:divBdr>
        <w:top w:val="none" w:sz="0" w:space="0" w:color="auto"/>
        <w:left w:val="none" w:sz="0" w:space="0" w:color="auto"/>
        <w:bottom w:val="none" w:sz="0" w:space="0" w:color="auto"/>
        <w:right w:val="none" w:sz="0" w:space="0" w:color="auto"/>
      </w:divBdr>
    </w:div>
    <w:div w:id="1281372933">
      <w:bodyDiv w:val="1"/>
      <w:marLeft w:val="0"/>
      <w:marRight w:val="0"/>
      <w:marTop w:val="0"/>
      <w:marBottom w:val="0"/>
      <w:divBdr>
        <w:top w:val="none" w:sz="0" w:space="0" w:color="auto"/>
        <w:left w:val="none" w:sz="0" w:space="0" w:color="auto"/>
        <w:bottom w:val="none" w:sz="0" w:space="0" w:color="auto"/>
        <w:right w:val="none" w:sz="0" w:space="0" w:color="auto"/>
      </w:divBdr>
    </w:div>
    <w:div w:id="1287859178">
      <w:bodyDiv w:val="1"/>
      <w:marLeft w:val="0"/>
      <w:marRight w:val="0"/>
      <w:marTop w:val="0"/>
      <w:marBottom w:val="0"/>
      <w:divBdr>
        <w:top w:val="none" w:sz="0" w:space="0" w:color="auto"/>
        <w:left w:val="none" w:sz="0" w:space="0" w:color="auto"/>
        <w:bottom w:val="none" w:sz="0" w:space="0" w:color="auto"/>
        <w:right w:val="none" w:sz="0" w:space="0" w:color="auto"/>
      </w:divBdr>
    </w:div>
    <w:div w:id="1297175618">
      <w:bodyDiv w:val="1"/>
      <w:marLeft w:val="0"/>
      <w:marRight w:val="0"/>
      <w:marTop w:val="0"/>
      <w:marBottom w:val="0"/>
      <w:divBdr>
        <w:top w:val="none" w:sz="0" w:space="0" w:color="auto"/>
        <w:left w:val="none" w:sz="0" w:space="0" w:color="auto"/>
        <w:bottom w:val="none" w:sz="0" w:space="0" w:color="auto"/>
        <w:right w:val="none" w:sz="0" w:space="0" w:color="auto"/>
      </w:divBdr>
    </w:div>
    <w:div w:id="1299648642">
      <w:bodyDiv w:val="1"/>
      <w:marLeft w:val="0"/>
      <w:marRight w:val="0"/>
      <w:marTop w:val="0"/>
      <w:marBottom w:val="0"/>
      <w:divBdr>
        <w:top w:val="none" w:sz="0" w:space="0" w:color="auto"/>
        <w:left w:val="none" w:sz="0" w:space="0" w:color="auto"/>
        <w:bottom w:val="none" w:sz="0" w:space="0" w:color="auto"/>
        <w:right w:val="none" w:sz="0" w:space="0" w:color="auto"/>
      </w:divBdr>
    </w:div>
    <w:div w:id="1305352250">
      <w:bodyDiv w:val="1"/>
      <w:marLeft w:val="0"/>
      <w:marRight w:val="0"/>
      <w:marTop w:val="0"/>
      <w:marBottom w:val="0"/>
      <w:divBdr>
        <w:top w:val="none" w:sz="0" w:space="0" w:color="auto"/>
        <w:left w:val="none" w:sz="0" w:space="0" w:color="auto"/>
        <w:bottom w:val="none" w:sz="0" w:space="0" w:color="auto"/>
        <w:right w:val="none" w:sz="0" w:space="0" w:color="auto"/>
      </w:divBdr>
    </w:div>
    <w:div w:id="1309672008">
      <w:bodyDiv w:val="1"/>
      <w:marLeft w:val="0"/>
      <w:marRight w:val="0"/>
      <w:marTop w:val="0"/>
      <w:marBottom w:val="0"/>
      <w:divBdr>
        <w:top w:val="none" w:sz="0" w:space="0" w:color="auto"/>
        <w:left w:val="none" w:sz="0" w:space="0" w:color="auto"/>
        <w:bottom w:val="none" w:sz="0" w:space="0" w:color="auto"/>
        <w:right w:val="none" w:sz="0" w:space="0" w:color="auto"/>
      </w:divBdr>
    </w:div>
    <w:div w:id="1321228954">
      <w:bodyDiv w:val="1"/>
      <w:marLeft w:val="0"/>
      <w:marRight w:val="0"/>
      <w:marTop w:val="0"/>
      <w:marBottom w:val="0"/>
      <w:divBdr>
        <w:top w:val="none" w:sz="0" w:space="0" w:color="auto"/>
        <w:left w:val="none" w:sz="0" w:space="0" w:color="auto"/>
        <w:bottom w:val="none" w:sz="0" w:space="0" w:color="auto"/>
        <w:right w:val="none" w:sz="0" w:space="0" w:color="auto"/>
      </w:divBdr>
    </w:div>
    <w:div w:id="1337032085">
      <w:bodyDiv w:val="1"/>
      <w:marLeft w:val="0"/>
      <w:marRight w:val="0"/>
      <w:marTop w:val="0"/>
      <w:marBottom w:val="0"/>
      <w:divBdr>
        <w:top w:val="none" w:sz="0" w:space="0" w:color="auto"/>
        <w:left w:val="none" w:sz="0" w:space="0" w:color="auto"/>
        <w:bottom w:val="none" w:sz="0" w:space="0" w:color="auto"/>
        <w:right w:val="none" w:sz="0" w:space="0" w:color="auto"/>
      </w:divBdr>
    </w:div>
    <w:div w:id="1340888557">
      <w:bodyDiv w:val="1"/>
      <w:marLeft w:val="0"/>
      <w:marRight w:val="0"/>
      <w:marTop w:val="0"/>
      <w:marBottom w:val="0"/>
      <w:divBdr>
        <w:top w:val="none" w:sz="0" w:space="0" w:color="auto"/>
        <w:left w:val="none" w:sz="0" w:space="0" w:color="auto"/>
        <w:bottom w:val="none" w:sz="0" w:space="0" w:color="auto"/>
        <w:right w:val="none" w:sz="0" w:space="0" w:color="auto"/>
      </w:divBdr>
    </w:div>
    <w:div w:id="1342001404">
      <w:bodyDiv w:val="1"/>
      <w:marLeft w:val="0"/>
      <w:marRight w:val="0"/>
      <w:marTop w:val="0"/>
      <w:marBottom w:val="0"/>
      <w:divBdr>
        <w:top w:val="none" w:sz="0" w:space="0" w:color="auto"/>
        <w:left w:val="none" w:sz="0" w:space="0" w:color="auto"/>
        <w:bottom w:val="none" w:sz="0" w:space="0" w:color="auto"/>
        <w:right w:val="none" w:sz="0" w:space="0" w:color="auto"/>
      </w:divBdr>
    </w:div>
    <w:div w:id="1346714914">
      <w:bodyDiv w:val="1"/>
      <w:marLeft w:val="0"/>
      <w:marRight w:val="0"/>
      <w:marTop w:val="0"/>
      <w:marBottom w:val="0"/>
      <w:divBdr>
        <w:top w:val="none" w:sz="0" w:space="0" w:color="auto"/>
        <w:left w:val="none" w:sz="0" w:space="0" w:color="auto"/>
        <w:bottom w:val="none" w:sz="0" w:space="0" w:color="auto"/>
        <w:right w:val="none" w:sz="0" w:space="0" w:color="auto"/>
      </w:divBdr>
    </w:div>
    <w:div w:id="1351640961">
      <w:bodyDiv w:val="1"/>
      <w:marLeft w:val="0"/>
      <w:marRight w:val="0"/>
      <w:marTop w:val="0"/>
      <w:marBottom w:val="0"/>
      <w:divBdr>
        <w:top w:val="none" w:sz="0" w:space="0" w:color="auto"/>
        <w:left w:val="none" w:sz="0" w:space="0" w:color="auto"/>
        <w:bottom w:val="none" w:sz="0" w:space="0" w:color="auto"/>
        <w:right w:val="none" w:sz="0" w:space="0" w:color="auto"/>
      </w:divBdr>
    </w:div>
    <w:div w:id="1353727777">
      <w:bodyDiv w:val="1"/>
      <w:marLeft w:val="0"/>
      <w:marRight w:val="0"/>
      <w:marTop w:val="0"/>
      <w:marBottom w:val="0"/>
      <w:divBdr>
        <w:top w:val="none" w:sz="0" w:space="0" w:color="auto"/>
        <w:left w:val="none" w:sz="0" w:space="0" w:color="auto"/>
        <w:bottom w:val="none" w:sz="0" w:space="0" w:color="auto"/>
        <w:right w:val="none" w:sz="0" w:space="0" w:color="auto"/>
      </w:divBdr>
    </w:div>
    <w:div w:id="1358699215">
      <w:bodyDiv w:val="1"/>
      <w:marLeft w:val="0"/>
      <w:marRight w:val="0"/>
      <w:marTop w:val="0"/>
      <w:marBottom w:val="0"/>
      <w:divBdr>
        <w:top w:val="none" w:sz="0" w:space="0" w:color="auto"/>
        <w:left w:val="none" w:sz="0" w:space="0" w:color="auto"/>
        <w:bottom w:val="none" w:sz="0" w:space="0" w:color="auto"/>
        <w:right w:val="none" w:sz="0" w:space="0" w:color="auto"/>
      </w:divBdr>
    </w:div>
    <w:div w:id="1362436721">
      <w:bodyDiv w:val="1"/>
      <w:marLeft w:val="0"/>
      <w:marRight w:val="0"/>
      <w:marTop w:val="0"/>
      <w:marBottom w:val="0"/>
      <w:divBdr>
        <w:top w:val="none" w:sz="0" w:space="0" w:color="auto"/>
        <w:left w:val="none" w:sz="0" w:space="0" w:color="auto"/>
        <w:bottom w:val="none" w:sz="0" w:space="0" w:color="auto"/>
        <w:right w:val="none" w:sz="0" w:space="0" w:color="auto"/>
      </w:divBdr>
    </w:div>
    <w:div w:id="1372878203">
      <w:bodyDiv w:val="1"/>
      <w:marLeft w:val="0"/>
      <w:marRight w:val="0"/>
      <w:marTop w:val="0"/>
      <w:marBottom w:val="0"/>
      <w:divBdr>
        <w:top w:val="none" w:sz="0" w:space="0" w:color="auto"/>
        <w:left w:val="none" w:sz="0" w:space="0" w:color="auto"/>
        <w:bottom w:val="none" w:sz="0" w:space="0" w:color="auto"/>
        <w:right w:val="none" w:sz="0" w:space="0" w:color="auto"/>
      </w:divBdr>
    </w:div>
    <w:div w:id="1376857091">
      <w:bodyDiv w:val="1"/>
      <w:marLeft w:val="0"/>
      <w:marRight w:val="0"/>
      <w:marTop w:val="0"/>
      <w:marBottom w:val="0"/>
      <w:divBdr>
        <w:top w:val="none" w:sz="0" w:space="0" w:color="auto"/>
        <w:left w:val="none" w:sz="0" w:space="0" w:color="auto"/>
        <w:bottom w:val="none" w:sz="0" w:space="0" w:color="auto"/>
        <w:right w:val="none" w:sz="0" w:space="0" w:color="auto"/>
      </w:divBdr>
    </w:div>
    <w:div w:id="1379207657">
      <w:bodyDiv w:val="1"/>
      <w:marLeft w:val="0"/>
      <w:marRight w:val="0"/>
      <w:marTop w:val="0"/>
      <w:marBottom w:val="0"/>
      <w:divBdr>
        <w:top w:val="none" w:sz="0" w:space="0" w:color="auto"/>
        <w:left w:val="none" w:sz="0" w:space="0" w:color="auto"/>
        <w:bottom w:val="none" w:sz="0" w:space="0" w:color="auto"/>
        <w:right w:val="none" w:sz="0" w:space="0" w:color="auto"/>
      </w:divBdr>
    </w:div>
    <w:div w:id="1382899054">
      <w:bodyDiv w:val="1"/>
      <w:marLeft w:val="0"/>
      <w:marRight w:val="0"/>
      <w:marTop w:val="0"/>
      <w:marBottom w:val="0"/>
      <w:divBdr>
        <w:top w:val="none" w:sz="0" w:space="0" w:color="auto"/>
        <w:left w:val="none" w:sz="0" w:space="0" w:color="auto"/>
        <w:bottom w:val="none" w:sz="0" w:space="0" w:color="auto"/>
        <w:right w:val="none" w:sz="0" w:space="0" w:color="auto"/>
      </w:divBdr>
    </w:div>
    <w:div w:id="1384788762">
      <w:bodyDiv w:val="1"/>
      <w:marLeft w:val="0"/>
      <w:marRight w:val="0"/>
      <w:marTop w:val="0"/>
      <w:marBottom w:val="0"/>
      <w:divBdr>
        <w:top w:val="none" w:sz="0" w:space="0" w:color="auto"/>
        <w:left w:val="none" w:sz="0" w:space="0" w:color="auto"/>
        <w:bottom w:val="none" w:sz="0" w:space="0" w:color="auto"/>
        <w:right w:val="none" w:sz="0" w:space="0" w:color="auto"/>
      </w:divBdr>
    </w:div>
    <w:div w:id="1385443392">
      <w:bodyDiv w:val="1"/>
      <w:marLeft w:val="0"/>
      <w:marRight w:val="0"/>
      <w:marTop w:val="0"/>
      <w:marBottom w:val="0"/>
      <w:divBdr>
        <w:top w:val="none" w:sz="0" w:space="0" w:color="auto"/>
        <w:left w:val="none" w:sz="0" w:space="0" w:color="auto"/>
        <w:bottom w:val="none" w:sz="0" w:space="0" w:color="auto"/>
        <w:right w:val="none" w:sz="0" w:space="0" w:color="auto"/>
      </w:divBdr>
    </w:div>
    <w:div w:id="1387604332">
      <w:bodyDiv w:val="1"/>
      <w:marLeft w:val="0"/>
      <w:marRight w:val="0"/>
      <w:marTop w:val="0"/>
      <w:marBottom w:val="0"/>
      <w:divBdr>
        <w:top w:val="none" w:sz="0" w:space="0" w:color="auto"/>
        <w:left w:val="none" w:sz="0" w:space="0" w:color="auto"/>
        <w:bottom w:val="none" w:sz="0" w:space="0" w:color="auto"/>
        <w:right w:val="none" w:sz="0" w:space="0" w:color="auto"/>
      </w:divBdr>
    </w:div>
    <w:div w:id="1390618613">
      <w:bodyDiv w:val="1"/>
      <w:marLeft w:val="0"/>
      <w:marRight w:val="0"/>
      <w:marTop w:val="0"/>
      <w:marBottom w:val="0"/>
      <w:divBdr>
        <w:top w:val="none" w:sz="0" w:space="0" w:color="auto"/>
        <w:left w:val="none" w:sz="0" w:space="0" w:color="auto"/>
        <w:bottom w:val="none" w:sz="0" w:space="0" w:color="auto"/>
        <w:right w:val="none" w:sz="0" w:space="0" w:color="auto"/>
      </w:divBdr>
    </w:div>
    <w:div w:id="1408305339">
      <w:bodyDiv w:val="1"/>
      <w:marLeft w:val="0"/>
      <w:marRight w:val="0"/>
      <w:marTop w:val="0"/>
      <w:marBottom w:val="0"/>
      <w:divBdr>
        <w:top w:val="none" w:sz="0" w:space="0" w:color="auto"/>
        <w:left w:val="none" w:sz="0" w:space="0" w:color="auto"/>
        <w:bottom w:val="none" w:sz="0" w:space="0" w:color="auto"/>
        <w:right w:val="none" w:sz="0" w:space="0" w:color="auto"/>
      </w:divBdr>
    </w:div>
    <w:div w:id="1410882110">
      <w:bodyDiv w:val="1"/>
      <w:marLeft w:val="0"/>
      <w:marRight w:val="0"/>
      <w:marTop w:val="0"/>
      <w:marBottom w:val="0"/>
      <w:divBdr>
        <w:top w:val="none" w:sz="0" w:space="0" w:color="auto"/>
        <w:left w:val="none" w:sz="0" w:space="0" w:color="auto"/>
        <w:bottom w:val="none" w:sz="0" w:space="0" w:color="auto"/>
        <w:right w:val="none" w:sz="0" w:space="0" w:color="auto"/>
      </w:divBdr>
    </w:div>
    <w:div w:id="1412772391">
      <w:bodyDiv w:val="1"/>
      <w:marLeft w:val="0"/>
      <w:marRight w:val="0"/>
      <w:marTop w:val="0"/>
      <w:marBottom w:val="0"/>
      <w:divBdr>
        <w:top w:val="none" w:sz="0" w:space="0" w:color="auto"/>
        <w:left w:val="none" w:sz="0" w:space="0" w:color="auto"/>
        <w:bottom w:val="none" w:sz="0" w:space="0" w:color="auto"/>
        <w:right w:val="none" w:sz="0" w:space="0" w:color="auto"/>
      </w:divBdr>
    </w:div>
    <w:div w:id="1412892913">
      <w:bodyDiv w:val="1"/>
      <w:marLeft w:val="0"/>
      <w:marRight w:val="0"/>
      <w:marTop w:val="0"/>
      <w:marBottom w:val="0"/>
      <w:divBdr>
        <w:top w:val="none" w:sz="0" w:space="0" w:color="auto"/>
        <w:left w:val="none" w:sz="0" w:space="0" w:color="auto"/>
        <w:bottom w:val="none" w:sz="0" w:space="0" w:color="auto"/>
        <w:right w:val="none" w:sz="0" w:space="0" w:color="auto"/>
      </w:divBdr>
    </w:div>
    <w:div w:id="1414275878">
      <w:bodyDiv w:val="1"/>
      <w:marLeft w:val="0"/>
      <w:marRight w:val="0"/>
      <w:marTop w:val="0"/>
      <w:marBottom w:val="0"/>
      <w:divBdr>
        <w:top w:val="none" w:sz="0" w:space="0" w:color="auto"/>
        <w:left w:val="none" w:sz="0" w:space="0" w:color="auto"/>
        <w:bottom w:val="none" w:sz="0" w:space="0" w:color="auto"/>
        <w:right w:val="none" w:sz="0" w:space="0" w:color="auto"/>
      </w:divBdr>
    </w:div>
    <w:div w:id="1432047981">
      <w:bodyDiv w:val="1"/>
      <w:marLeft w:val="0"/>
      <w:marRight w:val="0"/>
      <w:marTop w:val="0"/>
      <w:marBottom w:val="0"/>
      <w:divBdr>
        <w:top w:val="none" w:sz="0" w:space="0" w:color="auto"/>
        <w:left w:val="none" w:sz="0" w:space="0" w:color="auto"/>
        <w:bottom w:val="none" w:sz="0" w:space="0" w:color="auto"/>
        <w:right w:val="none" w:sz="0" w:space="0" w:color="auto"/>
      </w:divBdr>
    </w:div>
    <w:div w:id="1432316506">
      <w:bodyDiv w:val="1"/>
      <w:marLeft w:val="0"/>
      <w:marRight w:val="0"/>
      <w:marTop w:val="0"/>
      <w:marBottom w:val="0"/>
      <w:divBdr>
        <w:top w:val="none" w:sz="0" w:space="0" w:color="auto"/>
        <w:left w:val="none" w:sz="0" w:space="0" w:color="auto"/>
        <w:bottom w:val="none" w:sz="0" w:space="0" w:color="auto"/>
        <w:right w:val="none" w:sz="0" w:space="0" w:color="auto"/>
      </w:divBdr>
    </w:div>
    <w:div w:id="1434549326">
      <w:bodyDiv w:val="1"/>
      <w:marLeft w:val="0"/>
      <w:marRight w:val="0"/>
      <w:marTop w:val="0"/>
      <w:marBottom w:val="0"/>
      <w:divBdr>
        <w:top w:val="none" w:sz="0" w:space="0" w:color="auto"/>
        <w:left w:val="none" w:sz="0" w:space="0" w:color="auto"/>
        <w:bottom w:val="none" w:sz="0" w:space="0" w:color="auto"/>
        <w:right w:val="none" w:sz="0" w:space="0" w:color="auto"/>
      </w:divBdr>
    </w:div>
    <w:div w:id="1445422318">
      <w:bodyDiv w:val="1"/>
      <w:marLeft w:val="0"/>
      <w:marRight w:val="0"/>
      <w:marTop w:val="0"/>
      <w:marBottom w:val="0"/>
      <w:divBdr>
        <w:top w:val="none" w:sz="0" w:space="0" w:color="auto"/>
        <w:left w:val="none" w:sz="0" w:space="0" w:color="auto"/>
        <w:bottom w:val="none" w:sz="0" w:space="0" w:color="auto"/>
        <w:right w:val="none" w:sz="0" w:space="0" w:color="auto"/>
      </w:divBdr>
    </w:div>
    <w:div w:id="1446000582">
      <w:bodyDiv w:val="1"/>
      <w:marLeft w:val="0"/>
      <w:marRight w:val="0"/>
      <w:marTop w:val="0"/>
      <w:marBottom w:val="0"/>
      <w:divBdr>
        <w:top w:val="none" w:sz="0" w:space="0" w:color="auto"/>
        <w:left w:val="none" w:sz="0" w:space="0" w:color="auto"/>
        <w:bottom w:val="none" w:sz="0" w:space="0" w:color="auto"/>
        <w:right w:val="none" w:sz="0" w:space="0" w:color="auto"/>
      </w:divBdr>
    </w:div>
    <w:div w:id="1456829727">
      <w:bodyDiv w:val="1"/>
      <w:marLeft w:val="0"/>
      <w:marRight w:val="0"/>
      <w:marTop w:val="0"/>
      <w:marBottom w:val="0"/>
      <w:divBdr>
        <w:top w:val="none" w:sz="0" w:space="0" w:color="auto"/>
        <w:left w:val="none" w:sz="0" w:space="0" w:color="auto"/>
        <w:bottom w:val="none" w:sz="0" w:space="0" w:color="auto"/>
        <w:right w:val="none" w:sz="0" w:space="0" w:color="auto"/>
      </w:divBdr>
    </w:div>
    <w:div w:id="1458253558">
      <w:bodyDiv w:val="1"/>
      <w:marLeft w:val="0"/>
      <w:marRight w:val="0"/>
      <w:marTop w:val="0"/>
      <w:marBottom w:val="0"/>
      <w:divBdr>
        <w:top w:val="none" w:sz="0" w:space="0" w:color="auto"/>
        <w:left w:val="none" w:sz="0" w:space="0" w:color="auto"/>
        <w:bottom w:val="none" w:sz="0" w:space="0" w:color="auto"/>
        <w:right w:val="none" w:sz="0" w:space="0" w:color="auto"/>
      </w:divBdr>
    </w:div>
    <w:div w:id="1463502917">
      <w:bodyDiv w:val="1"/>
      <w:marLeft w:val="0"/>
      <w:marRight w:val="0"/>
      <w:marTop w:val="0"/>
      <w:marBottom w:val="0"/>
      <w:divBdr>
        <w:top w:val="none" w:sz="0" w:space="0" w:color="auto"/>
        <w:left w:val="none" w:sz="0" w:space="0" w:color="auto"/>
        <w:bottom w:val="none" w:sz="0" w:space="0" w:color="auto"/>
        <w:right w:val="none" w:sz="0" w:space="0" w:color="auto"/>
      </w:divBdr>
    </w:div>
    <w:div w:id="1465151918">
      <w:bodyDiv w:val="1"/>
      <w:marLeft w:val="0"/>
      <w:marRight w:val="0"/>
      <w:marTop w:val="0"/>
      <w:marBottom w:val="0"/>
      <w:divBdr>
        <w:top w:val="none" w:sz="0" w:space="0" w:color="auto"/>
        <w:left w:val="none" w:sz="0" w:space="0" w:color="auto"/>
        <w:bottom w:val="none" w:sz="0" w:space="0" w:color="auto"/>
        <w:right w:val="none" w:sz="0" w:space="0" w:color="auto"/>
      </w:divBdr>
    </w:div>
    <w:div w:id="1469282586">
      <w:bodyDiv w:val="1"/>
      <w:marLeft w:val="0"/>
      <w:marRight w:val="0"/>
      <w:marTop w:val="0"/>
      <w:marBottom w:val="0"/>
      <w:divBdr>
        <w:top w:val="none" w:sz="0" w:space="0" w:color="auto"/>
        <w:left w:val="none" w:sz="0" w:space="0" w:color="auto"/>
        <w:bottom w:val="none" w:sz="0" w:space="0" w:color="auto"/>
        <w:right w:val="none" w:sz="0" w:space="0" w:color="auto"/>
      </w:divBdr>
    </w:div>
    <w:div w:id="1469779494">
      <w:bodyDiv w:val="1"/>
      <w:marLeft w:val="0"/>
      <w:marRight w:val="0"/>
      <w:marTop w:val="0"/>
      <w:marBottom w:val="0"/>
      <w:divBdr>
        <w:top w:val="none" w:sz="0" w:space="0" w:color="auto"/>
        <w:left w:val="none" w:sz="0" w:space="0" w:color="auto"/>
        <w:bottom w:val="none" w:sz="0" w:space="0" w:color="auto"/>
        <w:right w:val="none" w:sz="0" w:space="0" w:color="auto"/>
      </w:divBdr>
    </w:div>
    <w:div w:id="1473408027">
      <w:bodyDiv w:val="1"/>
      <w:marLeft w:val="0"/>
      <w:marRight w:val="0"/>
      <w:marTop w:val="0"/>
      <w:marBottom w:val="0"/>
      <w:divBdr>
        <w:top w:val="none" w:sz="0" w:space="0" w:color="auto"/>
        <w:left w:val="none" w:sz="0" w:space="0" w:color="auto"/>
        <w:bottom w:val="none" w:sz="0" w:space="0" w:color="auto"/>
        <w:right w:val="none" w:sz="0" w:space="0" w:color="auto"/>
      </w:divBdr>
    </w:div>
    <w:div w:id="1474563492">
      <w:bodyDiv w:val="1"/>
      <w:marLeft w:val="0"/>
      <w:marRight w:val="0"/>
      <w:marTop w:val="0"/>
      <w:marBottom w:val="0"/>
      <w:divBdr>
        <w:top w:val="none" w:sz="0" w:space="0" w:color="auto"/>
        <w:left w:val="none" w:sz="0" w:space="0" w:color="auto"/>
        <w:bottom w:val="none" w:sz="0" w:space="0" w:color="auto"/>
        <w:right w:val="none" w:sz="0" w:space="0" w:color="auto"/>
      </w:divBdr>
    </w:div>
    <w:div w:id="1478913382">
      <w:bodyDiv w:val="1"/>
      <w:marLeft w:val="0"/>
      <w:marRight w:val="0"/>
      <w:marTop w:val="0"/>
      <w:marBottom w:val="0"/>
      <w:divBdr>
        <w:top w:val="none" w:sz="0" w:space="0" w:color="auto"/>
        <w:left w:val="none" w:sz="0" w:space="0" w:color="auto"/>
        <w:bottom w:val="none" w:sz="0" w:space="0" w:color="auto"/>
        <w:right w:val="none" w:sz="0" w:space="0" w:color="auto"/>
      </w:divBdr>
    </w:div>
    <w:div w:id="1480221585">
      <w:bodyDiv w:val="1"/>
      <w:marLeft w:val="0"/>
      <w:marRight w:val="0"/>
      <w:marTop w:val="0"/>
      <w:marBottom w:val="0"/>
      <w:divBdr>
        <w:top w:val="none" w:sz="0" w:space="0" w:color="auto"/>
        <w:left w:val="none" w:sz="0" w:space="0" w:color="auto"/>
        <w:bottom w:val="none" w:sz="0" w:space="0" w:color="auto"/>
        <w:right w:val="none" w:sz="0" w:space="0" w:color="auto"/>
      </w:divBdr>
    </w:div>
    <w:div w:id="1480538877">
      <w:bodyDiv w:val="1"/>
      <w:marLeft w:val="0"/>
      <w:marRight w:val="0"/>
      <w:marTop w:val="0"/>
      <w:marBottom w:val="0"/>
      <w:divBdr>
        <w:top w:val="none" w:sz="0" w:space="0" w:color="auto"/>
        <w:left w:val="none" w:sz="0" w:space="0" w:color="auto"/>
        <w:bottom w:val="none" w:sz="0" w:space="0" w:color="auto"/>
        <w:right w:val="none" w:sz="0" w:space="0" w:color="auto"/>
      </w:divBdr>
    </w:div>
    <w:div w:id="1486317165">
      <w:bodyDiv w:val="1"/>
      <w:marLeft w:val="0"/>
      <w:marRight w:val="0"/>
      <w:marTop w:val="0"/>
      <w:marBottom w:val="0"/>
      <w:divBdr>
        <w:top w:val="none" w:sz="0" w:space="0" w:color="auto"/>
        <w:left w:val="none" w:sz="0" w:space="0" w:color="auto"/>
        <w:bottom w:val="none" w:sz="0" w:space="0" w:color="auto"/>
        <w:right w:val="none" w:sz="0" w:space="0" w:color="auto"/>
      </w:divBdr>
    </w:div>
    <w:div w:id="1488866089">
      <w:bodyDiv w:val="1"/>
      <w:marLeft w:val="0"/>
      <w:marRight w:val="0"/>
      <w:marTop w:val="0"/>
      <w:marBottom w:val="0"/>
      <w:divBdr>
        <w:top w:val="none" w:sz="0" w:space="0" w:color="auto"/>
        <w:left w:val="none" w:sz="0" w:space="0" w:color="auto"/>
        <w:bottom w:val="none" w:sz="0" w:space="0" w:color="auto"/>
        <w:right w:val="none" w:sz="0" w:space="0" w:color="auto"/>
      </w:divBdr>
    </w:div>
    <w:div w:id="1489394824">
      <w:bodyDiv w:val="1"/>
      <w:marLeft w:val="0"/>
      <w:marRight w:val="0"/>
      <w:marTop w:val="0"/>
      <w:marBottom w:val="0"/>
      <w:divBdr>
        <w:top w:val="none" w:sz="0" w:space="0" w:color="auto"/>
        <w:left w:val="none" w:sz="0" w:space="0" w:color="auto"/>
        <w:bottom w:val="none" w:sz="0" w:space="0" w:color="auto"/>
        <w:right w:val="none" w:sz="0" w:space="0" w:color="auto"/>
      </w:divBdr>
    </w:div>
    <w:div w:id="1495729893">
      <w:bodyDiv w:val="1"/>
      <w:marLeft w:val="0"/>
      <w:marRight w:val="0"/>
      <w:marTop w:val="0"/>
      <w:marBottom w:val="0"/>
      <w:divBdr>
        <w:top w:val="none" w:sz="0" w:space="0" w:color="auto"/>
        <w:left w:val="none" w:sz="0" w:space="0" w:color="auto"/>
        <w:bottom w:val="none" w:sz="0" w:space="0" w:color="auto"/>
        <w:right w:val="none" w:sz="0" w:space="0" w:color="auto"/>
      </w:divBdr>
    </w:div>
    <w:div w:id="1497264554">
      <w:bodyDiv w:val="1"/>
      <w:marLeft w:val="0"/>
      <w:marRight w:val="0"/>
      <w:marTop w:val="0"/>
      <w:marBottom w:val="0"/>
      <w:divBdr>
        <w:top w:val="none" w:sz="0" w:space="0" w:color="auto"/>
        <w:left w:val="none" w:sz="0" w:space="0" w:color="auto"/>
        <w:bottom w:val="none" w:sz="0" w:space="0" w:color="auto"/>
        <w:right w:val="none" w:sz="0" w:space="0" w:color="auto"/>
      </w:divBdr>
    </w:div>
    <w:div w:id="1497961518">
      <w:bodyDiv w:val="1"/>
      <w:marLeft w:val="0"/>
      <w:marRight w:val="0"/>
      <w:marTop w:val="0"/>
      <w:marBottom w:val="0"/>
      <w:divBdr>
        <w:top w:val="none" w:sz="0" w:space="0" w:color="auto"/>
        <w:left w:val="none" w:sz="0" w:space="0" w:color="auto"/>
        <w:bottom w:val="none" w:sz="0" w:space="0" w:color="auto"/>
        <w:right w:val="none" w:sz="0" w:space="0" w:color="auto"/>
      </w:divBdr>
    </w:div>
    <w:div w:id="1500388944">
      <w:bodyDiv w:val="1"/>
      <w:marLeft w:val="0"/>
      <w:marRight w:val="0"/>
      <w:marTop w:val="0"/>
      <w:marBottom w:val="0"/>
      <w:divBdr>
        <w:top w:val="none" w:sz="0" w:space="0" w:color="auto"/>
        <w:left w:val="none" w:sz="0" w:space="0" w:color="auto"/>
        <w:bottom w:val="none" w:sz="0" w:space="0" w:color="auto"/>
        <w:right w:val="none" w:sz="0" w:space="0" w:color="auto"/>
      </w:divBdr>
    </w:div>
    <w:div w:id="1506937318">
      <w:bodyDiv w:val="1"/>
      <w:marLeft w:val="0"/>
      <w:marRight w:val="0"/>
      <w:marTop w:val="0"/>
      <w:marBottom w:val="0"/>
      <w:divBdr>
        <w:top w:val="none" w:sz="0" w:space="0" w:color="auto"/>
        <w:left w:val="none" w:sz="0" w:space="0" w:color="auto"/>
        <w:bottom w:val="none" w:sz="0" w:space="0" w:color="auto"/>
        <w:right w:val="none" w:sz="0" w:space="0" w:color="auto"/>
      </w:divBdr>
    </w:div>
    <w:div w:id="1513757501">
      <w:bodyDiv w:val="1"/>
      <w:marLeft w:val="0"/>
      <w:marRight w:val="0"/>
      <w:marTop w:val="0"/>
      <w:marBottom w:val="0"/>
      <w:divBdr>
        <w:top w:val="none" w:sz="0" w:space="0" w:color="auto"/>
        <w:left w:val="none" w:sz="0" w:space="0" w:color="auto"/>
        <w:bottom w:val="none" w:sz="0" w:space="0" w:color="auto"/>
        <w:right w:val="none" w:sz="0" w:space="0" w:color="auto"/>
      </w:divBdr>
    </w:div>
    <w:div w:id="1514757318">
      <w:bodyDiv w:val="1"/>
      <w:marLeft w:val="0"/>
      <w:marRight w:val="0"/>
      <w:marTop w:val="0"/>
      <w:marBottom w:val="0"/>
      <w:divBdr>
        <w:top w:val="none" w:sz="0" w:space="0" w:color="auto"/>
        <w:left w:val="none" w:sz="0" w:space="0" w:color="auto"/>
        <w:bottom w:val="none" w:sz="0" w:space="0" w:color="auto"/>
        <w:right w:val="none" w:sz="0" w:space="0" w:color="auto"/>
      </w:divBdr>
    </w:div>
    <w:div w:id="1514958192">
      <w:bodyDiv w:val="1"/>
      <w:marLeft w:val="0"/>
      <w:marRight w:val="0"/>
      <w:marTop w:val="0"/>
      <w:marBottom w:val="0"/>
      <w:divBdr>
        <w:top w:val="none" w:sz="0" w:space="0" w:color="auto"/>
        <w:left w:val="none" w:sz="0" w:space="0" w:color="auto"/>
        <w:bottom w:val="none" w:sz="0" w:space="0" w:color="auto"/>
        <w:right w:val="none" w:sz="0" w:space="0" w:color="auto"/>
      </w:divBdr>
    </w:div>
    <w:div w:id="1521317887">
      <w:bodyDiv w:val="1"/>
      <w:marLeft w:val="0"/>
      <w:marRight w:val="0"/>
      <w:marTop w:val="0"/>
      <w:marBottom w:val="0"/>
      <w:divBdr>
        <w:top w:val="none" w:sz="0" w:space="0" w:color="auto"/>
        <w:left w:val="none" w:sz="0" w:space="0" w:color="auto"/>
        <w:bottom w:val="none" w:sz="0" w:space="0" w:color="auto"/>
        <w:right w:val="none" w:sz="0" w:space="0" w:color="auto"/>
      </w:divBdr>
    </w:div>
    <w:div w:id="1529444445">
      <w:bodyDiv w:val="1"/>
      <w:marLeft w:val="0"/>
      <w:marRight w:val="0"/>
      <w:marTop w:val="0"/>
      <w:marBottom w:val="0"/>
      <w:divBdr>
        <w:top w:val="none" w:sz="0" w:space="0" w:color="auto"/>
        <w:left w:val="none" w:sz="0" w:space="0" w:color="auto"/>
        <w:bottom w:val="none" w:sz="0" w:space="0" w:color="auto"/>
        <w:right w:val="none" w:sz="0" w:space="0" w:color="auto"/>
      </w:divBdr>
    </w:div>
    <w:div w:id="1531802482">
      <w:bodyDiv w:val="1"/>
      <w:marLeft w:val="0"/>
      <w:marRight w:val="0"/>
      <w:marTop w:val="0"/>
      <w:marBottom w:val="0"/>
      <w:divBdr>
        <w:top w:val="none" w:sz="0" w:space="0" w:color="auto"/>
        <w:left w:val="none" w:sz="0" w:space="0" w:color="auto"/>
        <w:bottom w:val="none" w:sz="0" w:space="0" w:color="auto"/>
        <w:right w:val="none" w:sz="0" w:space="0" w:color="auto"/>
      </w:divBdr>
    </w:div>
    <w:div w:id="1532572325">
      <w:bodyDiv w:val="1"/>
      <w:marLeft w:val="0"/>
      <w:marRight w:val="0"/>
      <w:marTop w:val="0"/>
      <w:marBottom w:val="0"/>
      <w:divBdr>
        <w:top w:val="none" w:sz="0" w:space="0" w:color="auto"/>
        <w:left w:val="none" w:sz="0" w:space="0" w:color="auto"/>
        <w:bottom w:val="none" w:sz="0" w:space="0" w:color="auto"/>
        <w:right w:val="none" w:sz="0" w:space="0" w:color="auto"/>
      </w:divBdr>
    </w:div>
    <w:div w:id="1534684244">
      <w:bodyDiv w:val="1"/>
      <w:marLeft w:val="0"/>
      <w:marRight w:val="0"/>
      <w:marTop w:val="0"/>
      <w:marBottom w:val="0"/>
      <w:divBdr>
        <w:top w:val="none" w:sz="0" w:space="0" w:color="auto"/>
        <w:left w:val="none" w:sz="0" w:space="0" w:color="auto"/>
        <w:bottom w:val="none" w:sz="0" w:space="0" w:color="auto"/>
        <w:right w:val="none" w:sz="0" w:space="0" w:color="auto"/>
      </w:divBdr>
    </w:div>
    <w:div w:id="1536232347">
      <w:bodyDiv w:val="1"/>
      <w:marLeft w:val="0"/>
      <w:marRight w:val="0"/>
      <w:marTop w:val="0"/>
      <w:marBottom w:val="0"/>
      <w:divBdr>
        <w:top w:val="none" w:sz="0" w:space="0" w:color="auto"/>
        <w:left w:val="none" w:sz="0" w:space="0" w:color="auto"/>
        <w:bottom w:val="none" w:sz="0" w:space="0" w:color="auto"/>
        <w:right w:val="none" w:sz="0" w:space="0" w:color="auto"/>
      </w:divBdr>
    </w:div>
    <w:div w:id="1537084012">
      <w:bodyDiv w:val="1"/>
      <w:marLeft w:val="0"/>
      <w:marRight w:val="0"/>
      <w:marTop w:val="0"/>
      <w:marBottom w:val="0"/>
      <w:divBdr>
        <w:top w:val="none" w:sz="0" w:space="0" w:color="auto"/>
        <w:left w:val="none" w:sz="0" w:space="0" w:color="auto"/>
        <w:bottom w:val="none" w:sz="0" w:space="0" w:color="auto"/>
        <w:right w:val="none" w:sz="0" w:space="0" w:color="auto"/>
      </w:divBdr>
    </w:div>
    <w:div w:id="1542326127">
      <w:bodyDiv w:val="1"/>
      <w:marLeft w:val="0"/>
      <w:marRight w:val="0"/>
      <w:marTop w:val="0"/>
      <w:marBottom w:val="0"/>
      <w:divBdr>
        <w:top w:val="none" w:sz="0" w:space="0" w:color="auto"/>
        <w:left w:val="none" w:sz="0" w:space="0" w:color="auto"/>
        <w:bottom w:val="none" w:sz="0" w:space="0" w:color="auto"/>
        <w:right w:val="none" w:sz="0" w:space="0" w:color="auto"/>
      </w:divBdr>
    </w:div>
    <w:div w:id="1560477711">
      <w:bodyDiv w:val="1"/>
      <w:marLeft w:val="0"/>
      <w:marRight w:val="0"/>
      <w:marTop w:val="0"/>
      <w:marBottom w:val="0"/>
      <w:divBdr>
        <w:top w:val="none" w:sz="0" w:space="0" w:color="auto"/>
        <w:left w:val="none" w:sz="0" w:space="0" w:color="auto"/>
        <w:bottom w:val="none" w:sz="0" w:space="0" w:color="auto"/>
        <w:right w:val="none" w:sz="0" w:space="0" w:color="auto"/>
      </w:divBdr>
    </w:div>
    <w:div w:id="1561017307">
      <w:bodyDiv w:val="1"/>
      <w:marLeft w:val="0"/>
      <w:marRight w:val="0"/>
      <w:marTop w:val="0"/>
      <w:marBottom w:val="0"/>
      <w:divBdr>
        <w:top w:val="none" w:sz="0" w:space="0" w:color="auto"/>
        <w:left w:val="none" w:sz="0" w:space="0" w:color="auto"/>
        <w:bottom w:val="none" w:sz="0" w:space="0" w:color="auto"/>
        <w:right w:val="none" w:sz="0" w:space="0" w:color="auto"/>
      </w:divBdr>
    </w:div>
    <w:div w:id="1561288181">
      <w:bodyDiv w:val="1"/>
      <w:marLeft w:val="0"/>
      <w:marRight w:val="0"/>
      <w:marTop w:val="0"/>
      <w:marBottom w:val="0"/>
      <w:divBdr>
        <w:top w:val="none" w:sz="0" w:space="0" w:color="auto"/>
        <w:left w:val="none" w:sz="0" w:space="0" w:color="auto"/>
        <w:bottom w:val="none" w:sz="0" w:space="0" w:color="auto"/>
        <w:right w:val="none" w:sz="0" w:space="0" w:color="auto"/>
      </w:divBdr>
    </w:div>
    <w:div w:id="1561398450">
      <w:bodyDiv w:val="1"/>
      <w:marLeft w:val="0"/>
      <w:marRight w:val="0"/>
      <w:marTop w:val="0"/>
      <w:marBottom w:val="0"/>
      <w:divBdr>
        <w:top w:val="none" w:sz="0" w:space="0" w:color="auto"/>
        <w:left w:val="none" w:sz="0" w:space="0" w:color="auto"/>
        <w:bottom w:val="none" w:sz="0" w:space="0" w:color="auto"/>
        <w:right w:val="none" w:sz="0" w:space="0" w:color="auto"/>
      </w:divBdr>
    </w:div>
    <w:div w:id="1565723740">
      <w:bodyDiv w:val="1"/>
      <w:marLeft w:val="0"/>
      <w:marRight w:val="0"/>
      <w:marTop w:val="0"/>
      <w:marBottom w:val="0"/>
      <w:divBdr>
        <w:top w:val="none" w:sz="0" w:space="0" w:color="auto"/>
        <w:left w:val="none" w:sz="0" w:space="0" w:color="auto"/>
        <w:bottom w:val="none" w:sz="0" w:space="0" w:color="auto"/>
        <w:right w:val="none" w:sz="0" w:space="0" w:color="auto"/>
      </w:divBdr>
    </w:div>
    <w:div w:id="1568109947">
      <w:bodyDiv w:val="1"/>
      <w:marLeft w:val="0"/>
      <w:marRight w:val="0"/>
      <w:marTop w:val="0"/>
      <w:marBottom w:val="0"/>
      <w:divBdr>
        <w:top w:val="none" w:sz="0" w:space="0" w:color="auto"/>
        <w:left w:val="none" w:sz="0" w:space="0" w:color="auto"/>
        <w:bottom w:val="none" w:sz="0" w:space="0" w:color="auto"/>
        <w:right w:val="none" w:sz="0" w:space="0" w:color="auto"/>
      </w:divBdr>
    </w:div>
    <w:div w:id="1568875608">
      <w:bodyDiv w:val="1"/>
      <w:marLeft w:val="0"/>
      <w:marRight w:val="0"/>
      <w:marTop w:val="0"/>
      <w:marBottom w:val="0"/>
      <w:divBdr>
        <w:top w:val="none" w:sz="0" w:space="0" w:color="auto"/>
        <w:left w:val="none" w:sz="0" w:space="0" w:color="auto"/>
        <w:bottom w:val="none" w:sz="0" w:space="0" w:color="auto"/>
        <w:right w:val="none" w:sz="0" w:space="0" w:color="auto"/>
      </w:divBdr>
    </w:div>
    <w:div w:id="1571425874">
      <w:bodyDiv w:val="1"/>
      <w:marLeft w:val="0"/>
      <w:marRight w:val="0"/>
      <w:marTop w:val="0"/>
      <w:marBottom w:val="0"/>
      <w:divBdr>
        <w:top w:val="none" w:sz="0" w:space="0" w:color="auto"/>
        <w:left w:val="none" w:sz="0" w:space="0" w:color="auto"/>
        <w:bottom w:val="none" w:sz="0" w:space="0" w:color="auto"/>
        <w:right w:val="none" w:sz="0" w:space="0" w:color="auto"/>
      </w:divBdr>
    </w:div>
    <w:div w:id="1576084544">
      <w:bodyDiv w:val="1"/>
      <w:marLeft w:val="0"/>
      <w:marRight w:val="0"/>
      <w:marTop w:val="0"/>
      <w:marBottom w:val="0"/>
      <w:divBdr>
        <w:top w:val="none" w:sz="0" w:space="0" w:color="auto"/>
        <w:left w:val="none" w:sz="0" w:space="0" w:color="auto"/>
        <w:bottom w:val="none" w:sz="0" w:space="0" w:color="auto"/>
        <w:right w:val="none" w:sz="0" w:space="0" w:color="auto"/>
      </w:divBdr>
    </w:div>
    <w:div w:id="1579483358">
      <w:bodyDiv w:val="1"/>
      <w:marLeft w:val="0"/>
      <w:marRight w:val="0"/>
      <w:marTop w:val="0"/>
      <w:marBottom w:val="0"/>
      <w:divBdr>
        <w:top w:val="none" w:sz="0" w:space="0" w:color="auto"/>
        <w:left w:val="none" w:sz="0" w:space="0" w:color="auto"/>
        <w:bottom w:val="none" w:sz="0" w:space="0" w:color="auto"/>
        <w:right w:val="none" w:sz="0" w:space="0" w:color="auto"/>
      </w:divBdr>
    </w:div>
    <w:div w:id="1579557201">
      <w:bodyDiv w:val="1"/>
      <w:marLeft w:val="0"/>
      <w:marRight w:val="0"/>
      <w:marTop w:val="0"/>
      <w:marBottom w:val="0"/>
      <w:divBdr>
        <w:top w:val="none" w:sz="0" w:space="0" w:color="auto"/>
        <w:left w:val="none" w:sz="0" w:space="0" w:color="auto"/>
        <w:bottom w:val="none" w:sz="0" w:space="0" w:color="auto"/>
        <w:right w:val="none" w:sz="0" w:space="0" w:color="auto"/>
      </w:divBdr>
    </w:div>
    <w:div w:id="1580169294">
      <w:bodyDiv w:val="1"/>
      <w:marLeft w:val="0"/>
      <w:marRight w:val="0"/>
      <w:marTop w:val="0"/>
      <w:marBottom w:val="0"/>
      <w:divBdr>
        <w:top w:val="none" w:sz="0" w:space="0" w:color="auto"/>
        <w:left w:val="none" w:sz="0" w:space="0" w:color="auto"/>
        <w:bottom w:val="none" w:sz="0" w:space="0" w:color="auto"/>
        <w:right w:val="none" w:sz="0" w:space="0" w:color="auto"/>
      </w:divBdr>
    </w:div>
    <w:div w:id="1586376100">
      <w:bodyDiv w:val="1"/>
      <w:marLeft w:val="0"/>
      <w:marRight w:val="0"/>
      <w:marTop w:val="0"/>
      <w:marBottom w:val="0"/>
      <w:divBdr>
        <w:top w:val="none" w:sz="0" w:space="0" w:color="auto"/>
        <w:left w:val="none" w:sz="0" w:space="0" w:color="auto"/>
        <w:bottom w:val="none" w:sz="0" w:space="0" w:color="auto"/>
        <w:right w:val="none" w:sz="0" w:space="0" w:color="auto"/>
      </w:divBdr>
    </w:div>
    <w:div w:id="1591542007">
      <w:bodyDiv w:val="1"/>
      <w:marLeft w:val="0"/>
      <w:marRight w:val="0"/>
      <w:marTop w:val="0"/>
      <w:marBottom w:val="0"/>
      <w:divBdr>
        <w:top w:val="none" w:sz="0" w:space="0" w:color="auto"/>
        <w:left w:val="none" w:sz="0" w:space="0" w:color="auto"/>
        <w:bottom w:val="none" w:sz="0" w:space="0" w:color="auto"/>
        <w:right w:val="none" w:sz="0" w:space="0" w:color="auto"/>
      </w:divBdr>
    </w:div>
    <w:div w:id="1594439162">
      <w:bodyDiv w:val="1"/>
      <w:marLeft w:val="0"/>
      <w:marRight w:val="0"/>
      <w:marTop w:val="0"/>
      <w:marBottom w:val="0"/>
      <w:divBdr>
        <w:top w:val="none" w:sz="0" w:space="0" w:color="auto"/>
        <w:left w:val="none" w:sz="0" w:space="0" w:color="auto"/>
        <w:bottom w:val="none" w:sz="0" w:space="0" w:color="auto"/>
        <w:right w:val="none" w:sz="0" w:space="0" w:color="auto"/>
      </w:divBdr>
    </w:div>
    <w:div w:id="1594586555">
      <w:bodyDiv w:val="1"/>
      <w:marLeft w:val="0"/>
      <w:marRight w:val="0"/>
      <w:marTop w:val="0"/>
      <w:marBottom w:val="0"/>
      <w:divBdr>
        <w:top w:val="none" w:sz="0" w:space="0" w:color="auto"/>
        <w:left w:val="none" w:sz="0" w:space="0" w:color="auto"/>
        <w:bottom w:val="none" w:sz="0" w:space="0" w:color="auto"/>
        <w:right w:val="none" w:sz="0" w:space="0" w:color="auto"/>
      </w:divBdr>
    </w:div>
    <w:div w:id="1595942323">
      <w:bodyDiv w:val="1"/>
      <w:marLeft w:val="0"/>
      <w:marRight w:val="0"/>
      <w:marTop w:val="0"/>
      <w:marBottom w:val="0"/>
      <w:divBdr>
        <w:top w:val="none" w:sz="0" w:space="0" w:color="auto"/>
        <w:left w:val="none" w:sz="0" w:space="0" w:color="auto"/>
        <w:bottom w:val="none" w:sz="0" w:space="0" w:color="auto"/>
        <w:right w:val="none" w:sz="0" w:space="0" w:color="auto"/>
      </w:divBdr>
    </w:div>
    <w:div w:id="1601182088">
      <w:bodyDiv w:val="1"/>
      <w:marLeft w:val="0"/>
      <w:marRight w:val="0"/>
      <w:marTop w:val="0"/>
      <w:marBottom w:val="0"/>
      <w:divBdr>
        <w:top w:val="none" w:sz="0" w:space="0" w:color="auto"/>
        <w:left w:val="none" w:sz="0" w:space="0" w:color="auto"/>
        <w:bottom w:val="none" w:sz="0" w:space="0" w:color="auto"/>
        <w:right w:val="none" w:sz="0" w:space="0" w:color="auto"/>
      </w:divBdr>
    </w:div>
    <w:div w:id="1605460325">
      <w:bodyDiv w:val="1"/>
      <w:marLeft w:val="0"/>
      <w:marRight w:val="0"/>
      <w:marTop w:val="0"/>
      <w:marBottom w:val="0"/>
      <w:divBdr>
        <w:top w:val="none" w:sz="0" w:space="0" w:color="auto"/>
        <w:left w:val="none" w:sz="0" w:space="0" w:color="auto"/>
        <w:bottom w:val="none" w:sz="0" w:space="0" w:color="auto"/>
        <w:right w:val="none" w:sz="0" w:space="0" w:color="auto"/>
      </w:divBdr>
    </w:div>
    <w:div w:id="1607543807">
      <w:bodyDiv w:val="1"/>
      <w:marLeft w:val="0"/>
      <w:marRight w:val="0"/>
      <w:marTop w:val="0"/>
      <w:marBottom w:val="0"/>
      <w:divBdr>
        <w:top w:val="none" w:sz="0" w:space="0" w:color="auto"/>
        <w:left w:val="none" w:sz="0" w:space="0" w:color="auto"/>
        <w:bottom w:val="none" w:sz="0" w:space="0" w:color="auto"/>
        <w:right w:val="none" w:sz="0" w:space="0" w:color="auto"/>
      </w:divBdr>
    </w:div>
    <w:div w:id="1615601528">
      <w:bodyDiv w:val="1"/>
      <w:marLeft w:val="0"/>
      <w:marRight w:val="0"/>
      <w:marTop w:val="0"/>
      <w:marBottom w:val="0"/>
      <w:divBdr>
        <w:top w:val="none" w:sz="0" w:space="0" w:color="auto"/>
        <w:left w:val="none" w:sz="0" w:space="0" w:color="auto"/>
        <w:bottom w:val="none" w:sz="0" w:space="0" w:color="auto"/>
        <w:right w:val="none" w:sz="0" w:space="0" w:color="auto"/>
      </w:divBdr>
    </w:div>
    <w:div w:id="1622228475">
      <w:bodyDiv w:val="1"/>
      <w:marLeft w:val="0"/>
      <w:marRight w:val="0"/>
      <w:marTop w:val="0"/>
      <w:marBottom w:val="0"/>
      <w:divBdr>
        <w:top w:val="none" w:sz="0" w:space="0" w:color="auto"/>
        <w:left w:val="none" w:sz="0" w:space="0" w:color="auto"/>
        <w:bottom w:val="none" w:sz="0" w:space="0" w:color="auto"/>
        <w:right w:val="none" w:sz="0" w:space="0" w:color="auto"/>
      </w:divBdr>
    </w:div>
    <w:div w:id="1623222238">
      <w:bodyDiv w:val="1"/>
      <w:marLeft w:val="0"/>
      <w:marRight w:val="0"/>
      <w:marTop w:val="0"/>
      <w:marBottom w:val="0"/>
      <w:divBdr>
        <w:top w:val="none" w:sz="0" w:space="0" w:color="auto"/>
        <w:left w:val="none" w:sz="0" w:space="0" w:color="auto"/>
        <w:bottom w:val="none" w:sz="0" w:space="0" w:color="auto"/>
        <w:right w:val="none" w:sz="0" w:space="0" w:color="auto"/>
      </w:divBdr>
    </w:div>
    <w:div w:id="1629122249">
      <w:bodyDiv w:val="1"/>
      <w:marLeft w:val="0"/>
      <w:marRight w:val="0"/>
      <w:marTop w:val="0"/>
      <w:marBottom w:val="0"/>
      <w:divBdr>
        <w:top w:val="none" w:sz="0" w:space="0" w:color="auto"/>
        <w:left w:val="none" w:sz="0" w:space="0" w:color="auto"/>
        <w:bottom w:val="none" w:sz="0" w:space="0" w:color="auto"/>
        <w:right w:val="none" w:sz="0" w:space="0" w:color="auto"/>
      </w:divBdr>
    </w:div>
    <w:div w:id="1629818196">
      <w:bodyDiv w:val="1"/>
      <w:marLeft w:val="0"/>
      <w:marRight w:val="0"/>
      <w:marTop w:val="0"/>
      <w:marBottom w:val="0"/>
      <w:divBdr>
        <w:top w:val="none" w:sz="0" w:space="0" w:color="auto"/>
        <w:left w:val="none" w:sz="0" w:space="0" w:color="auto"/>
        <w:bottom w:val="none" w:sz="0" w:space="0" w:color="auto"/>
        <w:right w:val="none" w:sz="0" w:space="0" w:color="auto"/>
      </w:divBdr>
    </w:div>
    <w:div w:id="1630940346">
      <w:bodyDiv w:val="1"/>
      <w:marLeft w:val="0"/>
      <w:marRight w:val="0"/>
      <w:marTop w:val="0"/>
      <w:marBottom w:val="0"/>
      <w:divBdr>
        <w:top w:val="none" w:sz="0" w:space="0" w:color="auto"/>
        <w:left w:val="none" w:sz="0" w:space="0" w:color="auto"/>
        <w:bottom w:val="none" w:sz="0" w:space="0" w:color="auto"/>
        <w:right w:val="none" w:sz="0" w:space="0" w:color="auto"/>
      </w:divBdr>
    </w:div>
    <w:div w:id="1634753318">
      <w:bodyDiv w:val="1"/>
      <w:marLeft w:val="0"/>
      <w:marRight w:val="0"/>
      <w:marTop w:val="0"/>
      <w:marBottom w:val="0"/>
      <w:divBdr>
        <w:top w:val="none" w:sz="0" w:space="0" w:color="auto"/>
        <w:left w:val="none" w:sz="0" w:space="0" w:color="auto"/>
        <w:bottom w:val="none" w:sz="0" w:space="0" w:color="auto"/>
        <w:right w:val="none" w:sz="0" w:space="0" w:color="auto"/>
      </w:divBdr>
    </w:div>
    <w:div w:id="1635257961">
      <w:bodyDiv w:val="1"/>
      <w:marLeft w:val="0"/>
      <w:marRight w:val="0"/>
      <w:marTop w:val="0"/>
      <w:marBottom w:val="0"/>
      <w:divBdr>
        <w:top w:val="none" w:sz="0" w:space="0" w:color="auto"/>
        <w:left w:val="none" w:sz="0" w:space="0" w:color="auto"/>
        <w:bottom w:val="none" w:sz="0" w:space="0" w:color="auto"/>
        <w:right w:val="none" w:sz="0" w:space="0" w:color="auto"/>
      </w:divBdr>
    </w:div>
    <w:div w:id="1646397242">
      <w:bodyDiv w:val="1"/>
      <w:marLeft w:val="0"/>
      <w:marRight w:val="0"/>
      <w:marTop w:val="0"/>
      <w:marBottom w:val="0"/>
      <w:divBdr>
        <w:top w:val="none" w:sz="0" w:space="0" w:color="auto"/>
        <w:left w:val="none" w:sz="0" w:space="0" w:color="auto"/>
        <w:bottom w:val="none" w:sz="0" w:space="0" w:color="auto"/>
        <w:right w:val="none" w:sz="0" w:space="0" w:color="auto"/>
      </w:divBdr>
    </w:div>
    <w:div w:id="1646856085">
      <w:bodyDiv w:val="1"/>
      <w:marLeft w:val="0"/>
      <w:marRight w:val="0"/>
      <w:marTop w:val="0"/>
      <w:marBottom w:val="0"/>
      <w:divBdr>
        <w:top w:val="none" w:sz="0" w:space="0" w:color="auto"/>
        <w:left w:val="none" w:sz="0" w:space="0" w:color="auto"/>
        <w:bottom w:val="none" w:sz="0" w:space="0" w:color="auto"/>
        <w:right w:val="none" w:sz="0" w:space="0" w:color="auto"/>
      </w:divBdr>
    </w:div>
    <w:div w:id="1647393786">
      <w:bodyDiv w:val="1"/>
      <w:marLeft w:val="0"/>
      <w:marRight w:val="0"/>
      <w:marTop w:val="0"/>
      <w:marBottom w:val="0"/>
      <w:divBdr>
        <w:top w:val="none" w:sz="0" w:space="0" w:color="auto"/>
        <w:left w:val="none" w:sz="0" w:space="0" w:color="auto"/>
        <w:bottom w:val="none" w:sz="0" w:space="0" w:color="auto"/>
        <w:right w:val="none" w:sz="0" w:space="0" w:color="auto"/>
      </w:divBdr>
    </w:div>
    <w:div w:id="1649554066">
      <w:bodyDiv w:val="1"/>
      <w:marLeft w:val="0"/>
      <w:marRight w:val="0"/>
      <w:marTop w:val="0"/>
      <w:marBottom w:val="0"/>
      <w:divBdr>
        <w:top w:val="none" w:sz="0" w:space="0" w:color="auto"/>
        <w:left w:val="none" w:sz="0" w:space="0" w:color="auto"/>
        <w:bottom w:val="none" w:sz="0" w:space="0" w:color="auto"/>
        <w:right w:val="none" w:sz="0" w:space="0" w:color="auto"/>
      </w:divBdr>
    </w:div>
    <w:div w:id="1655722352">
      <w:bodyDiv w:val="1"/>
      <w:marLeft w:val="0"/>
      <w:marRight w:val="0"/>
      <w:marTop w:val="0"/>
      <w:marBottom w:val="0"/>
      <w:divBdr>
        <w:top w:val="none" w:sz="0" w:space="0" w:color="auto"/>
        <w:left w:val="none" w:sz="0" w:space="0" w:color="auto"/>
        <w:bottom w:val="none" w:sz="0" w:space="0" w:color="auto"/>
        <w:right w:val="none" w:sz="0" w:space="0" w:color="auto"/>
      </w:divBdr>
    </w:div>
    <w:div w:id="1661732578">
      <w:bodyDiv w:val="1"/>
      <w:marLeft w:val="0"/>
      <w:marRight w:val="0"/>
      <w:marTop w:val="0"/>
      <w:marBottom w:val="0"/>
      <w:divBdr>
        <w:top w:val="none" w:sz="0" w:space="0" w:color="auto"/>
        <w:left w:val="none" w:sz="0" w:space="0" w:color="auto"/>
        <w:bottom w:val="none" w:sz="0" w:space="0" w:color="auto"/>
        <w:right w:val="none" w:sz="0" w:space="0" w:color="auto"/>
      </w:divBdr>
    </w:div>
    <w:div w:id="1664353792">
      <w:bodyDiv w:val="1"/>
      <w:marLeft w:val="0"/>
      <w:marRight w:val="0"/>
      <w:marTop w:val="0"/>
      <w:marBottom w:val="0"/>
      <w:divBdr>
        <w:top w:val="none" w:sz="0" w:space="0" w:color="auto"/>
        <w:left w:val="none" w:sz="0" w:space="0" w:color="auto"/>
        <w:bottom w:val="none" w:sz="0" w:space="0" w:color="auto"/>
        <w:right w:val="none" w:sz="0" w:space="0" w:color="auto"/>
      </w:divBdr>
    </w:div>
    <w:div w:id="1664553822">
      <w:bodyDiv w:val="1"/>
      <w:marLeft w:val="0"/>
      <w:marRight w:val="0"/>
      <w:marTop w:val="0"/>
      <w:marBottom w:val="0"/>
      <w:divBdr>
        <w:top w:val="none" w:sz="0" w:space="0" w:color="auto"/>
        <w:left w:val="none" w:sz="0" w:space="0" w:color="auto"/>
        <w:bottom w:val="none" w:sz="0" w:space="0" w:color="auto"/>
        <w:right w:val="none" w:sz="0" w:space="0" w:color="auto"/>
      </w:divBdr>
    </w:div>
    <w:div w:id="1668708785">
      <w:bodyDiv w:val="1"/>
      <w:marLeft w:val="0"/>
      <w:marRight w:val="0"/>
      <w:marTop w:val="0"/>
      <w:marBottom w:val="0"/>
      <w:divBdr>
        <w:top w:val="none" w:sz="0" w:space="0" w:color="auto"/>
        <w:left w:val="none" w:sz="0" w:space="0" w:color="auto"/>
        <w:bottom w:val="none" w:sz="0" w:space="0" w:color="auto"/>
        <w:right w:val="none" w:sz="0" w:space="0" w:color="auto"/>
      </w:divBdr>
    </w:div>
    <w:div w:id="1669093321">
      <w:bodyDiv w:val="1"/>
      <w:marLeft w:val="0"/>
      <w:marRight w:val="0"/>
      <w:marTop w:val="0"/>
      <w:marBottom w:val="0"/>
      <w:divBdr>
        <w:top w:val="none" w:sz="0" w:space="0" w:color="auto"/>
        <w:left w:val="none" w:sz="0" w:space="0" w:color="auto"/>
        <w:bottom w:val="none" w:sz="0" w:space="0" w:color="auto"/>
        <w:right w:val="none" w:sz="0" w:space="0" w:color="auto"/>
      </w:divBdr>
    </w:div>
    <w:div w:id="1674455140">
      <w:bodyDiv w:val="1"/>
      <w:marLeft w:val="0"/>
      <w:marRight w:val="0"/>
      <w:marTop w:val="0"/>
      <w:marBottom w:val="0"/>
      <w:divBdr>
        <w:top w:val="none" w:sz="0" w:space="0" w:color="auto"/>
        <w:left w:val="none" w:sz="0" w:space="0" w:color="auto"/>
        <w:bottom w:val="none" w:sz="0" w:space="0" w:color="auto"/>
        <w:right w:val="none" w:sz="0" w:space="0" w:color="auto"/>
      </w:divBdr>
    </w:div>
    <w:div w:id="1677882709">
      <w:bodyDiv w:val="1"/>
      <w:marLeft w:val="0"/>
      <w:marRight w:val="0"/>
      <w:marTop w:val="0"/>
      <w:marBottom w:val="0"/>
      <w:divBdr>
        <w:top w:val="none" w:sz="0" w:space="0" w:color="auto"/>
        <w:left w:val="none" w:sz="0" w:space="0" w:color="auto"/>
        <w:bottom w:val="none" w:sz="0" w:space="0" w:color="auto"/>
        <w:right w:val="none" w:sz="0" w:space="0" w:color="auto"/>
      </w:divBdr>
    </w:div>
    <w:div w:id="1682511001">
      <w:bodyDiv w:val="1"/>
      <w:marLeft w:val="0"/>
      <w:marRight w:val="0"/>
      <w:marTop w:val="0"/>
      <w:marBottom w:val="0"/>
      <w:divBdr>
        <w:top w:val="none" w:sz="0" w:space="0" w:color="auto"/>
        <w:left w:val="none" w:sz="0" w:space="0" w:color="auto"/>
        <w:bottom w:val="none" w:sz="0" w:space="0" w:color="auto"/>
        <w:right w:val="none" w:sz="0" w:space="0" w:color="auto"/>
      </w:divBdr>
    </w:div>
    <w:div w:id="1683044489">
      <w:bodyDiv w:val="1"/>
      <w:marLeft w:val="0"/>
      <w:marRight w:val="0"/>
      <w:marTop w:val="0"/>
      <w:marBottom w:val="0"/>
      <w:divBdr>
        <w:top w:val="none" w:sz="0" w:space="0" w:color="auto"/>
        <w:left w:val="none" w:sz="0" w:space="0" w:color="auto"/>
        <w:bottom w:val="none" w:sz="0" w:space="0" w:color="auto"/>
        <w:right w:val="none" w:sz="0" w:space="0" w:color="auto"/>
      </w:divBdr>
    </w:div>
    <w:div w:id="1685471959">
      <w:bodyDiv w:val="1"/>
      <w:marLeft w:val="0"/>
      <w:marRight w:val="0"/>
      <w:marTop w:val="0"/>
      <w:marBottom w:val="0"/>
      <w:divBdr>
        <w:top w:val="none" w:sz="0" w:space="0" w:color="auto"/>
        <w:left w:val="none" w:sz="0" w:space="0" w:color="auto"/>
        <w:bottom w:val="none" w:sz="0" w:space="0" w:color="auto"/>
        <w:right w:val="none" w:sz="0" w:space="0" w:color="auto"/>
      </w:divBdr>
    </w:div>
    <w:div w:id="1691906854">
      <w:bodyDiv w:val="1"/>
      <w:marLeft w:val="0"/>
      <w:marRight w:val="0"/>
      <w:marTop w:val="0"/>
      <w:marBottom w:val="0"/>
      <w:divBdr>
        <w:top w:val="none" w:sz="0" w:space="0" w:color="auto"/>
        <w:left w:val="none" w:sz="0" w:space="0" w:color="auto"/>
        <w:bottom w:val="none" w:sz="0" w:space="0" w:color="auto"/>
        <w:right w:val="none" w:sz="0" w:space="0" w:color="auto"/>
      </w:divBdr>
    </w:div>
    <w:div w:id="1695109030">
      <w:bodyDiv w:val="1"/>
      <w:marLeft w:val="0"/>
      <w:marRight w:val="0"/>
      <w:marTop w:val="0"/>
      <w:marBottom w:val="0"/>
      <w:divBdr>
        <w:top w:val="none" w:sz="0" w:space="0" w:color="auto"/>
        <w:left w:val="none" w:sz="0" w:space="0" w:color="auto"/>
        <w:bottom w:val="none" w:sz="0" w:space="0" w:color="auto"/>
        <w:right w:val="none" w:sz="0" w:space="0" w:color="auto"/>
      </w:divBdr>
    </w:div>
    <w:div w:id="1695109538">
      <w:bodyDiv w:val="1"/>
      <w:marLeft w:val="0"/>
      <w:marRight w:val="0"/>
      <w:marTop w:val="0"/>
      <w:marBottom w:val="0"/>
      <w:divBdr>
        <w:top w:val="none" w:sz="0" w:space="0" w:color="auto"/>
        <w:left w:val="none" w:sz="0" w:space="0" w:color="auto"/>
        <w:bottom w:val="none" w:sz="0" w:space="0" w:color="auto"/>
        <w:right w:val="none" w:sz="0" w:space="0" w:color="auto"/>
      </w:divBdr>
    </w:div>
    <w:div w:id="1697460836">
      <w:bodyDiv w:val="1"/>
      <w:marLeft w:val="0"/>
      <w:marRight w:val="0"/>
      <w:marTop w:val="0"/>
      <w:marBottom w:val="0"/>
      <w:divBdr>
        <w:top w:val="none" w:sz="0" w:space="0" w:color="auto"/>
        <w:left w:val="none" w:sz="0" w:space="0" w:color="auto"/>
        <w:bottom w:val="none" w:sz="0" w:space="0" w:color="auto"/>
        <w:right w:val="none" w:sz="0" w:space="0" w:color="auto"/>
      </w:divBdr>
    </w:div>
    <w:div w:id="1699621478">
      <w:bodyDiv w:val="1"/>
      <w:marLeft w:val="0"/>
      <w:marRight w:val="0"/>
      <w:marTop w:val="0"/>
      <w:marBottom w:val="0"/>
      <w:divBdr>
        <w:top w:val="none" w:sz="0" w:space="0" w:color="auto"/>
        <w:left w:val="none" w:sz="0" w:space="0" w:color="auto"/>
        <w:bottom w:val="none" w:sz="0" w:space="0" w:color="auto"/>
        <w:right w:val="none" w:sz="0" w:space="0" w:color="auto"/>
      </w:divBdr>
    </w:div>
    <w:div w:id="1706364085">
      <w:bodyDiv w:val="1"/>
      <w:marLeft w:val="0"/>
      <w:marRight w:val="0"/>
      <w:marTop w:val="0"/>
      <w:marBottom w:val="0"/>
      <w:divBdr>
        <w:top w:val="none" w:sz="0" w:space="0" w:color="auto"/>
        <w:left w:val="none" w:sz="0" w:space="0" w:color="auto"/>
        <w:bottom w:val="none" w:sz="0" w:space="0" w:color="auto"/>
        <w:right w:val="none" w:sz="0" w:space="0" w:color="auto"/>
      </w:divBdr>
    </w:div>
    <w:div w:id="1710300613">
      <w:bodyDiv w:val="1"/>
      <w:marLeft w:val="0"/>
      <w:marRight w:val="0"/>
      <w:marTop w:val="0"/>
      <w:marBottom w:val="0"/>
      <w:divBdr>
        <w:top w:val="none" w:sz="0" w:space="0" w:color="auto"/>
        <w:left w:val="none" w:sz="0" w:space="0" w:color="auto"/>
        <w:bottom w:val="none" w:sz="0" w:space="0" w:color="auto"/>
        <w:right w:val="none" w:sz="0" w:space="0" w:color="auto"/>
      </w:divBdr>
    </w:div>
    <w:div w:id="1713262910">
      <w:bodyDiv w:val="1"/>
      <w:marLeft w:val="0"/>
      <w:marRight w:val="0"/>
      <w:marTop w:val="0"/>
      <w:marBottom w:val="0"/>
      <w:divBdr>
        <w:top w:val="none" w:sz="0" w:space="0" w:color="auto"/>
        <w:left w:val="none" w:sz="0" w:space="0" w:color="auto"/>
        <w:bottom w:val="none" w:sz="0" w:space="0" w:color="auto"/>
        <w:right w:val="none" w:sz="0" w:space="0" w:color="auto"/>
      </w:divBdr>
    </w:div>
    <w:div w:id="1713730131">
      <w:bodyDiv w:val="1"/>
      <w:marLeft w:val="0"/>
      <w:marRight w:val="0"/>
      <w:marTop w:val="0"/>
      <w:marBottom w:val="0"/>
      <w:divBdr>
        <w:top w:val="none" w:sz="0" w:space="0" w:color="auto"/>
        <w:left w:val="none" w:sz="0" w:space="0" w:color="auto"/>
        <w:bottom w:val="none" w:sz="0" w:space="0" w:color="auto"/>
        <w:right w:val="none" w:sz="0" w:space="0" w:color="auto"/>
      </w:divBdr>
    </w:div>
    <w:div w:id="1714885220">
      <w:bodyDiv w:val="1"/>
      <w:marLeft w:val="0"/>
      <w:marRight w:val="0"/>
      <w:marTop w:val="0"/>
      <w:marBottom w:val="0"/>
      <w:divBdr>
        <w:top w:val="none" w:sz="0" w:space="0" w:color="auto"/>
        <w:left w:val="none" w:sz="0" w:space="0" w:color="auto"/>
        <w:bottom w:val="none" w:sz="0" w:space="0" w:color="auto"/>
        <w:right w:val="none" w:sz="0" w:space="0" w:color="auto"/>
      </w:divBdr>
    </w:div>
    <w:div w:id="1718551211">
      <w:bodyDiv w:val="1"/>
      <w:marLeft w:val="0"/>
      <w:marRight w:val="0"/>
      <w:marTop w:val="0"/>
      <w:marBottom w:val="0"/>
      <w:divBdr>
        <w:top w:val="none" w:sz="0" w:space="0" w:color="auto"/>
        <w:left w:val="none" w:sz="0" w:space="0" w:color="auto"/>
        <w:bottom w:val="none" w:sz="0" w:space="0" w:color="auto"/>
        <w:right w:val="none" w:sz="0" w:space="0" w:color="auto"/>
      </w:divBdr>
    </w:div>
    <w:div w:id="1719889810">
      <w:bodyDiv w:val="1"/>
      <w:marLeft w:val="0"/>
      <w:marRight w:val="0"/>
      <w:marTop w:val="0"/>
      <w:marBottom w:val="0"/>
      <w:divBdr>
        <w:top w:val="none" w:sz="0" w:space="0" w:color="auto"/>
        <w:left w:val="none" w:sz="0" w:space="0" w:color="auto"/>
        <w:bottom w:val="none" w:sz="0" w:space="0" w:color="auto"/>
        <w:right w:val="none" w:sz="0" w:space="0" w:color="auto"/>
      </w:divBdr>
    </w:div>
    <w:div w:id="1720933367">
      <w:bodyDiv w:val="1"/>
      <w:marLeft w:val="0"/>
      <w:marRight w:val="0"/>
      <w:marTop w:val="0"/>
      <w:marBottom w:val="0"/>
      <w:divBdr>
        <w:top w:val="none" w:sz="0" w:space="0" w:color="auto"/>
        <w:left w:val="none" w:sz="0" w:space="0" w:color="auto"/>
        <w:bottom w:val="none" w:sz="0" w:space="0" w:color="auto"/>
        <w:right w:val="none" w:sz="0" w:space="0" w:color="auto"/>
      </w:divBdr>
    </w:div>
    <w:div w:id="1720982462">
      <w:bodyDiv w:val="1"/>
      <w:marLeft w:val="0"/>
      <w:marRight w:val="0"/>
      <w:marTop w:val="0"/>
      <w:marBottom w:val="0"/>
      <w:divBdr>
        <w:top w:val="none" w:sz="0" w:space="0" w:color="auto"/>
        <w:left w:val="none" w:sz="0" w:space="0" w:color="auto"/>
        <w:bottom w:val="none" w:sz="0" w:space="0" w:color="auto"/>
        <w:right w:val="none" w:sz="0" w:space="0" w:color="auto"/>
      </w:divBdr>
    </w:div>
    <w:div w:id="1721398989">
      <w:bodyDiv w:val="1"/>
      <w:marLeft w:val="0"/>
      <w:marRight w:val="0"/>
      <w:marTop w:val="0"/>
      <w:marBottom w:val="0"/>
      <w:divBdr>
        <w:top w:val="none" w:sz="0" w:space="0" w:color="auto"/>
        <w:left w:val="none" w:sz="0" w:space="0" w:color="auto"/>
        <w:bottom w:val="none" w:sz="0" w:space="0" w:color="auto"/>
        <w:right w:val="none" w:sz="0" w:space="0" w:color="auto"/>
      </w:divBdr>
    </w:div>
    <w:div w:id="1725372313">
      <w:bodyDiv w:val="1"/>
      <w:marLeft w:val="0"/>
      <w:marRight w:val="0"/>
      <w:marTop w:val="0"/>
      <w:marBottom w:val="0"/>
      <w:divBdr>
        <w:top w:val="none" w:sz="0" w:space="0" w:color="auto"/>
        <w:left w:val="none" w:sz="0" w:space="0" w:color="auto"/>
        <w:bottom w:val="none" w:sz="0" w:space="0" w:color="auto"/>
        <w:right w:val="none" w:sz="0" w:space="0" w:color="auto"/>
      </w:divBdr>
    </w:div>
    <w:div w:id="1732924486">
      <w:bodyDiv w:val="1"/>
      <w:marLeft w:val="0"/>
      <w:marRight w:val="0"/>
      <w:marTop w:val="0"/>
      <w:marBottom w:val="0"/>
      <w:divBdr>
        <w:top w:val="none" w:sz="0" w:space="0" w:color="auto"/>
        <w:left w:val="none" w:sz="0" w:space="0" w:color="auto"/>
        <w:bottom w:val="none" w:sz="0" w:space="0" w:color="auto"/>
        <w:right w:val="none" w:sz="0" w:space="0" w:color="auto"/>
      </w:divBdr>
    </w:div>
    <w:div w:id="1734238577">
      <w:bodyDiv w:val="1"/>
      <w:marLeft w:val="0"/>
      <w:marRight w:val="0"/>
      <w:marTop w:val="0"/>
      <w:marBottom w:val="0"/>
      <w:divBdr>
        <w:top w:val="none" w:sz="0" w:space="0" w:color="auto"/>
        <w:left w:val="none" w:sz="0" w:space="0" w:color="auto"/>
        <w:bottom w:val="none" w:sz="0" w:space="0" w:color="auto"/>
        <w:right w:val="none" w:sz="0" w:space="0" w:color="auto"/>
      </w:divBdr>
    </w:div>
    <w:div w:id="1737514378">
      <w:bodyDiv w:val="1"/>
      <w:marLeft w:val="0"/>
      <w:marRight w:val="0"/>
      <w:marTop w:val="0"/>
      <w:marBottom w:val="0"/>
      <w:divBdr>
        <w:top w:val="none" w:sz="0" w:space="0" w:color="auto"/>
        <w:left w:val="none" w:sz="0" w:space="0" w:color="auto"/>
        <w:bottom w:val="none" w:sz="0" w:space="0" w:color="auto"/>
        <w:right w:val="none" w:sz="0" w:space="0" w:color="auto"/>
      </w:divBdr>
    </w:div>
    <w:div w:id="1744260054">
      <w:bodyDiv w:val="1"/>
      <w:marLeft w:val="0"/>
      <w:marRight w:val="0"/>
      <w:marTop w:val="0"/>
      <w:marBottom w:val="0"/>
      <w:divBdr>
        <w:top w:val="none" w:sz="0" w:space="0" w:color="auto"/>
        <w:left w:val="none" w:sz="0" w:space="0" w:color="auto"/>
        <w:bottom w:val="none" w:sz="0" w:space="0" w:color="auto"/>
        <w:right w:val="none" w:sz="0" w:space="0" w:color="auto"/>
      </w:divBdr>
    </w:div>
    <w:div w:id="1745182753">
      <w:bodyDiv w:val="1"/>
      <w:marLeft w:val="0"/>
      <w:marRight w:val="0"/>
      <w:marTop w:val="0"/>
      <w:marBottom w:val="0"/>
      <w:divBdr>
        <w:top w:val="none" w:sz="0" w:space="0" w:color="auto"/>
        <w:left w:val="none" w:sz="0" w:space="0" w:color="auto"/>
        <w:bottom w:val="none" w:sz="0" w:space="0" w:color="auto"/>
        <w:right w:val="none" w:sz="0" w:space="0" w:color="auto"/>
      </w:divBdr>
    </w:div>
    <w:div w:id="1753356050">
      <w:bodyDiv w:val="1"/>
      <w:marLeft w:val="0"/>
      <w:marRight w:val="0"/>
      <w:marTop w:val="0"/>
      <w:marBottom w:val="0"/>
      <w:divBdr>
        <w:top w:val="none" w:sz="0" w:space="0" w:color="auto"/>
        <w:left w:val="none" w:sz="0" w:space="0" w:color="auto"/>
        <w:bottom w:val="none" w:sz="0" w:space="0" w:color="auto"/>
        <w:right w:val="none" w:sz="0" w:space="0" w:color="auto"/>
      </w:divBdr>
    </w:div>
    <w:div w:id="1756510622">
      <w:bodyDiv w:val="1"/>
      <w:marLeft w:val="0"/>
      <w:marRight w:val="0"/>
      <w:marTop w:val="0"/>
      <w:marBottom w:val="0"/>
      <w:divBdr>
        <w:top w:val="none" w:sz="0" w:space="0" w:color="auto"/>
        <w:left w:val="none" w:sz="0" w:space="0" w:color="auto"/>
        <w:bottom w:val="none" w:sz="0" w:space="0" w:color="auto"/>
        <w:right w:val="none" w:sz="0" w:space="0" w:color="auto"/>
      </w:divBdr>
    </w:div>
    <w:div w:id="1756590898">
      <w:bodyDiv w:val="1"/>
      <w:marLeft w:val="0"/>
      <w:marRight w:val="0"/>
      <w:marTop w:val="0"/>
      <w:marBottom w:val="0"/>
      <w:divBdr>
        <w:top w:val="none" w:sz="0" w:space="0" w:color="auto"/>
        <w:left w:val="none" w:sz="0" w:space="0" w:color="auto"/>
        <w:bottom w:val="none" w:sz="0" w:space="0" w:color="auto"/>
        <w:right w:val="none" w:sz="0" w:space="0" w:color="auto"/>
      </w:divBdr>
    </w:div>
    <w:div w:id="1756627851">
      <w:bodyDiv w:val="1"/>
      <w:marLeft w:val="0"/>
      <w:marRight w:val="0"/>
      <w:marTop w:val="0"/>
      <w:marBottom w:val="0"/>
      <w:divBdr>
        <w:top w:val="none" w:sz="0" w:space="0" w:color="auto"/>
        <w:left w:val="none" w:sz="0" w:space="0" w:color="auto"/>
        <w:bottom w:val="none" w:sz="0" w:space="0" w:color="auto"/>
        <w:right w:val="none" w:sz="0" w:space="0" w:color="auto"/>
      </w:divBdr>
    </w:div>
    <w:div w:id="1757511128">
      <w:bodyDiv w:val="1"/>
      <w:marLeft w:val="0"/>
      <w:marRight w:val="0"/>
      <w:marTop w:val="0"/>
      <w:marBottom w:val="0"/>
      <w:divBdr>
        <w:top w:val="none" w:sz="0" w:space="0" w:color="auto"/>
        <w:left w:val="none" w:sz="0" w:space="0" w:color="auto"/>
        <w:bottom w:val="none" w:sz="0" w:space="0" w:color="auto"/>
        <w:right w:val="none" w:sz="0" w:space="0" w:color="auto"/>
      </w:divBdr>
    </w:div>
    <w:div w:id="1757627988">
      <w:bodyDiv w:val="1"/>
      <w:marLeft w:val="0"/>
      <w:marRight w:val="0"/>
      <w:marTop w:val="0"/>
      <w:marBottom w:val="0"/>
      <w:divBdr>
        <w:top w:val="none" w:sz="0" w:space="0" w:color="auto"/>
        <w:left w:val="none" w:sz="0" w:space="0" w:color="auto"/>
        <w:bottom w:val="none" w:sz="0" w:space="0" w:color="auto"/>
        <w:right w:val="none" w:sz="0" w:space="0" w:color="auto"/>
      </w:divBdr>
    </w:div>
    <w:div w:id="1758668070">
      <w:bodyDiv w:val="1"/>
      <w:marLeft w:val="0"/>
      <w:marRight w:val="0"/>
      <w:marTop w:val="0"/>
      <w:marBottom w:val="0"/>
      <w:divBdr>
        <w:top w:val="none" w:sz="0" w:space="0" w:color="auto"/>
        <w:left w:val="none" w:sz="0" w:space="0" w:color="auto"/>
        <w:bottom w:val="none" w:sz="0" w:space="0" w:color="auto"/>
        <w:right w:val="none" w:sz="0" w:space="0" w:color="auto"/>
      </w:divBdr>
    </w:div>
    <w:div w:id="1759403220">
      <w:bodyDiv w:val="1"/>
      <w:marLeft w:val="0"/>
      <w:marRight w:val="0"/>
      <w:marTop w:val="0"/>
      <w:marBottom w:val="0"/>
      <w:divBdr>
        <w:top w:val="none" w:sz="0" w:space="0" w:color="auto"/>
        <w:left w:val="none" w:sz="0" w:space="0" w:color="auto"/>
        <w:bottom w:val="none" w:sz="0" w:space="0" w:color="auto"/>
        <w:right w:val="none" w:sz="0" w:space="0" w:color="auto"/>
      </w:divBdr>
    </w:div>
    <w:div w:id="1765297327">
      <w:bodyDiv w:val="1"/>
      <w:marLeft w:val="0"/>
      <w:marRight w:val="0"/>
      <w:marTop w:val="0"/>
      <w:marBottom w:val="0"/>
      <w:divBdr>
        <w:top w:val="none" w:sz="0" w:space="0" w:color="auto"/>
        <w:left w:val="none" w:sz="0" w:space="0" w:color="auto"/>
        <w:bottom w:val="none" w:sz="0" w:space="0" w:color="auto"/>
        <w:right w:val="none" w:sz="0" w:space="0" w:color="auto"/>
      </w:divBdr>
    </w:div>
    <w:div w:id="1773087864">
      <w:bodyDiv w:val="1"/>
      <w:marLeft w:val="0"/>
      <w:marRight w:val="0"/>
      <w:marTop w:val="0"/>
      <w:marBottom w:val="0"/>
      <w:divBdr>
        <w:top w:val="none" w:sz="0" w:space="0" w:color="auto"/>
        <w:left w:val="none" w:sz="0" w:space="0" w:color="auto"/>
        <w:bottom w:val="none" w:sz="0" w:space="0" w:color="auto"/>
        <w:right w:val="none" w:sz="0" w:space="0" w:color="auto"/>
      </w:divBdr>
    </w:div>
    <w:div w:id="1773817818">
      <w:bodyDiv w:val="1"/>
      <w:marLeft w:val="0"/>
      <w:marRight w:val="0"/>
      <w:marTop w:val="0"/>
      <w:marBottom w:val="0"/>
      <w:divBdr>
        <w:top w:val="none" w:sz="0" w:space="0" w:color="auto"/>
        <w:left w:val="none" w:sz="0" w:space="0" w:color="auto"/>
        <w:bottom w:val="none" w:sz="0" w:space="0" w:color="auto"/>
        <w:right w:val="none" w:sz="0" w:space="0" w:color="auto"/>
      </w:divBdr>
    </w:div>
    <w:div w:id="1780031541">
      <w:bodyDiv w:val="1"/>
      <w:marLeft w:val="0"/>
      <w:marRight w:val="0"/>
      <w:marTop w:val="0"/>
      <w:marBottom w:val="0"/>
      <w:divBdr>
        <w:top w:val="none" w:sz="0" w:space="0" w:color="auto"/>
        <w:left w:val="none" w:sz="0" w:space="0" w:color="auto"/>
        <w:bottom w:val="none" w:sz="0" w:space="0" w:color="auto"/>
        <w:right w:val="none" w:sz="0" w:space="0" w:color="auto"/>
      </w:divBdr>
    </w:div>
    <w:div w:id="1783570758">
      <w:bodyDiv w:val="1"/>
      <w:marLeft w:val="0"/>
      <w:marRight w:val="0"/>
      <w:marTop w:val="0"/>
      <w:marBottom w:val="0"/>
      <w:divBdr>
        <w:top w:val="none" w:sz="0" w:space="0" w:color="auto"/>
        <w:left w:val="none" w:sz="0" w:space="0" w:color="auto"/>
        <w:bottom w:val="none" w:sz="0" w:space="0" w:color="auto"/>
        <w:right w:val="none" w:sz="0" w:space="0" w:color="auto"/>
      </w:divBdr>
    </w:div>
    <w:div w:id="1786343467">
      <w:bodyDiv w:val="1"/>
      <w:marLeft w:val="0"/>
      <w:marRight w:val="0"/>
      <w:marTop w:val="0"/>
      <w:marBottom w:val="0"/>
      <w:divBdr>
        <w:top w:val="none" w:sz="0" w:space="0" w:color="auto"/>
        <w:left w:val="none" w:sz="0" w:space="0" w:color="auto"/>
        <w:bottom w:val="none" w:sz="0" w:space="0" w:color="auto"/>
        <w:right w:val="none" w:sz="0" w:space="0" w:color="auto"/>
      </w:divBdr>
    </w:div>
    <w:div w:id="1789153882">
      <w:bodyDiv w:val="1"/>
      <w:marLeft w:val="0"/>
      <w:marRight w:val="0"/>
      <w:marTop w:val="0"/>
      <w:marBottom w:val="0"/>
      <w:divBdr>
        <w:top w:val="none" w:sz="0" w:space="0" w:color="auto"/>
        <w:left w:val="none" w:sz="0" w:space="0" w:color="auto"/>
        <w:bottom w:val="none" w:sz="0" w:space="0" w:color="auto"/>
        <w:right w:val="none" w:sz="0" w:space="0" w:color="auto"/>
      </w:divBdr>
    </w:div>
    <w:div w:id="1790008215">
      <w:bodyDiv w:val="1"/>
      <w:marLeft w:val="0"/>
      <w:marRight w:val="0"/>
      <w:marTop w:val="0"/>
      <w:marBottom w:val="0"/>
      <w:divBdr>
        <w:top w:val="none" w:sz="0" w:space="0" w:color="auto"/>
        <w:left w:val="none" w:sz="0" w:space="0" w:color="auto"/>
        <w:bottom w:val="none" w:sz="0" w:space="0" w:color="auto"/>
        <w:right w:val="none" w:sz="0" w:space="0" w:color="auto"/>
      </w:divBdr>
    </w:div>
    <w:div w:id="1790930022">
      <w:bodyDiv w:val="1"/>
      <w:marLeft w:val="0"/>
      <w:marRight w:val="0"/>
      <w:marTop w:val="0"/>
      <w:marBottom w:val="0"/>
      <w:divBdr>
        <w:top w:val="none" w:sz="0" w:space="0" w:color="auto"/>
        <w:left w:val="none" w:sz="0" w:space="0" w:color="auto"/>
        <w:bottom w:val="none" w:sz="0" w:space="0" w:color="auto"/>
        <w:right w:val="none" w:sz="0" w:space="0" w:color="auto"/>
      </w:divBdr>
    </w:div>
    <w:div w:id="1791510568">
      <w:bodyDiv w:val="1"/>
      <w:marLeft w:val="0"/>
      <w:marRight w:val="0"/>
      <w:marTop w:val="0"/>
      <w:marBottom w:val="0"/>
      <w:divBdr>
        <w:top w:val="none" w:sz="0" w:space="0" w:color="auto"/>
        <w:left w:val="none" w:sz="0" w:space="0" w:color="auto"/>
        <w:bottom w:val="none" w:sz="0" w:space="0" w:color="auto"/>
        <w:right w:val="none" w:sz="0" w:space="0" w:color="auto"/>
      </w:divBdr>
    </w:div>
    <w:div w:id="1792281348">
      <w:bodyDiv w:val="1"/>
      <w:marLeft w:val="0"/>
      <w:marRight w:val="0"/>
      <w:marTop w:val="0"/>
      <w:marBottom w:val="0"/>
      <w:divBdr>
        <w:top w:val="none" w:sz="0" w:space="0" w:color="auto"/>
        <w:left w:val="none" w:sz="0" w:space="0" w:color="auto"/>
        <w:bottom w:val="none" w:sz="0" w:space="0" w:color="auto"/>
        <w:right w:val="none" w:sz="0" w:space="0" w:color="auto"/>
      </w:divBdr>
    </w:div>
    <w:div w:id="1798335414">
      <w:bodyDiv w:val="1"/>
      <w:marLeft w:val="0"/>
      <w:marRight w:val="0"/>
      <w:marTop w:val="0"/>
      <w:marBottom w:val="0"/>
      <w:divBdr>
        <w:top w:val="none" w:sz="0" w:space="0" w:color="auto"/>
        <w:left w:val="none" w:sz="0" w:space="0" w:color="auto"/>
        <w:bottom w:val="none" w:sz="0" w:space="0" w:color="auto"/>
        <w:right w:val="none" w:sz="0" w:space="0" w:color="auto"/>
      </w:divBdr>
    </w:div>
    <w:div w:id="1805468434">
      <w:bodyDiv w:val="1"/>
      <w:marLeft w:val="0"/>
      <w:marRight w:val="0"/>
      <w:marTop w:val="0"/>
      <w:marBottom w:val="0"/>
      <w:divBdr>
        <w:top w:val="none" w:sz="0" w:space="0" w:color="auto"/>
        <w:left w:val="none" w:sz="0" w:space="0" w:color="auto"/>
        <w:bottom w:val="none" w:sz="0" w:space="0" w:color="auto"/>
        <w:right w:val="none" w:sz="0" w:space="0" w:color="auto"/>
      </w:divBdr>
    </w:div>
    <w:div w:id="1805585383">
      <w:bodyDiv w:val="1"/>
      <w:marLeft w:val="0"/>
      <w:marRight w:val="0"/>
      <w:marTop w:val="0"/>
      <w:marBottom w:val="0"/>
      <w:divBdr>
        <w:top w:val="none" w:sz="0" w:space="0" w:color="auto"/>
        <w:left w:val="none" w:sz="0" w:space="0" w:color="auto"/>
        <w:bottom w:val="none" w:sz="0" w:space="0" w:color="auto"/>
        <w:right w:val="none" w:sz="0" w:space="0" w:color="auto"/>
      </w:divBdr>
    </w:div>
    <w:div w:id="1806192996">
      <w:bodyDiv w:val="1"/>
      <w:marLeft w:val="0"/>
      <w:marRight w:val="0"/>
      <w:marTop w:val="0"/>
      <w:marBottom w:val="0"/>
      <w:divBdr>
        <w:top w:val="none" w:sz="0" w:space="0" w:color="auto"/>
        <w:left w:val="none" w:sz="0" w:space="0" w:color="auto"/>
        <w:bottom w:val="none" w:sz="0" w:space="0" w:color="auto"/>
        <w:right w:val="none" w:sz="0" w:space="0" w:color="auto"/>
      </w:divBdr>
    </w:div>
    <w:div w:id="1808472672">
      <w:bodyDiv w:val="1"/>
      <w:marLeft w:val="0"/>
      <w:marRight w:val="0"/>
      <w:marTop w:val="0"/>
      <w:marBottom w:val="0"/>
      <w:divBdr>
        <w:top w:val="none" w:sz="0" w:space="0" w:color="auto"/>
        <w:left w:val="none" w:sz="0" w:space="0" w:color="auto"/>
        <w:bottom w:val="none" w:sz="0" w:space="0" w:color="auto"/>
        <w:right w:val="none" w:sz="0" w:space="0" w:color="auto"/>
      </w:divBdr>
    </w:div>
    <w:div w:id="1811049688">
      <w:bodyDiv w:val="1"/>
      <w:marLeft w:val="0"/>
      <w:marRight w:val="0"/>
      <w:marTop w:val="0"/>
      <w:marBottom w:val="0"/>
      <w:divBdr>
        <w:top w:val="none" w:sz="0" w:space="0" w:color="auto"/>
        <w:left w:val="none" w:sz="0" w:space="0" w:color="auto"/>
        <w:bottom w:val="none" w:sz="0" w:space="0" w:color="auto"/>
        <w:right w:val="none" w:sz="0" w:space="0" w:color="auto"/>
      </w:divBdr>
    </w:div>
    <w:div w:id="1812822436">
      <w:bodyDiv w:val="1"/>
      <w:marLeft w:val="0"/>
      <w:marRight w:val="0"/>
      <w:marTop w:val="0"/>
      <w:marBottom w:val="0"/>
      <w:divBdr>
        <w:top w:val="none" w:sz="0" w:space="0" w:color="auto"/>
        <w:left w:val="none" w:sz="0" w:space="0" w:color="auto"/>
        <w:bottom w:val="none" w:sz="0" w:space="0" w:color="auto"/>
        <w:right w:val="none" w:sz="0" w:space="0" w:color="auto"/>
      </w:divBdr>
    </w:div>
    <w:div w:id="1822580241">
      <w:bodyDiv w:val="1"/>
      <w:marLeft w:val="0"/>
      <w:marRight w:val="0"/>
      <w:marTop w:val="0"/>
      <w:marBottom w:val="0"/>
      <w:divBdr>
        <w:top w:val="none" w:sz="0" w:space="0" w:color="auto"/>
        <w:left w:val="none" w:sz="0" w:space="0" w:color="auto"/>
        <w:bottom w:val="none" w:sz="0" w:space="0" w:color="auto"/>
        <w:right w:val="none" w:sz="0" w:space="0" w:color="auto"/>
      </w:divBdr>
    </w:div>
    <w:div w:id="1823039881">
      <w:bodyDiv w:val="1"/>
      <w:marLeft w:val="0"/>
      <w:marRight w:val="0"/>
      <w:marTop w:val="0"/>
      <w:marBottom w:val="0"/>
      <w:divBdr>
        <w:top w:val="none" w:sz="0" w:space="0" w:color="auto"/>
        <w:left w:val="none" w:sz="0" w:space="0" w:color="auto"/>
        <w:bottom w:val="none" w:sz="0" w:space="0" w:color="auto"/>
        <w:right w:val="none" w:sz="0" w:space="0" w:color="auto"/>
      </w:divBdr>
    </w:div>
    <w:div w:id="1828083308">
      <w:bodyDiv w:val="1"/>
      <w:marLeft w:val="0"/>
      <w:marRight w:val="0"/>
      <w:marTop w:val="0"/>
      <w:marBottom w:val="0"/>
      <w:divBdr>
        <w:top w:val="none" w:sz="0" w:space="0" w:color="auto"/>
        <w:left w:val="none" w:sz="0" w:space="0" w:color="auto"/>
        <w:bottom w:val="none" w:sz="0" w:space="0" w:color="auto"/>
        <w:right w:val="none" w:sz="0" w:space="0" w:color="auto"/>
      </w:divBdr>
    </w:div>
    <w:div w:id="1833184172">
      <w:bodyDiv w:val="1"/>
      <w:marLeft w:val="0"/>
      <w:marRight w:val="0"/>
      <w:marTop w:val="0"/>
      <w:marBottom w:val="0"/>
      <w:divBdr>
        <w:top w:val="none" w:sz="0" w:space="0" w:color="auto"/>
        <w:left w:val="none" w:sz="0" w:space="0" w:color="auto"/>
        <w:bottom w:val="none" w:sz="0" w:space="0" w:color="auto"/>
        <w:right w:val="none" w:sz="0" w:space="0" w:color="auto"/>
      </w:divBdr>
    </w:div>
    <w:div w:id="1848056760">
      <w:bodyDiv w:val="1"/>
      <w:marLeft w:val="0"/>
      <w:marRight w:val="0"/>
      <w:marTop w:val="0"/>
      <w:marBottom w:val="0"/>
      <w:divBdr>
        <w:top w:val="none" w:sz="0" w:space="0" w:color="auto"/>
        <w:left w:val="none" w:sz="0" w:space="0" w:color="auto"/>
        <w:bottom w:val="none" w:sz="0" w:space="0" w:color="auto"/>
        <w:right w:val="none" w:sz="0" w:space="0" w:color="auto"/>
      </w:divBdr>
    </w:div>
    <w:div w:id="1848984517">
      <w:bodyDiv w:val="1"/>
      <w:marLeft w:val="0"/>
      <w:marRight w:val="0"/>
      <w:marTop w:val="0"/>
      <w:marBottom w:val="0"/>
      <w:divBdr>
        <w:top w:val="none" w:sz="0" w:space="0" w:color="auto"/>
        <w:left w:val="none" w:sz="0" w:space="0" w:color="auto"/>
        <w:bottom w:val="none" w:sz="0" w:space="0" w:color="auto"/>
        <w:right w:val="none" w:sz="0" w:space="0" w:color="auto"/>
      </w:divBdr>
    </w:div>
    <w:div w:id="1849322432">
      <w:bodyDiv w:val="1"/>
      <w:marLeft w:val="0"/>
      <w:marRight w:val="0"/>
      <w:marTop w:val="0"/>
      <w:marBottom w:val="0"/>
      <w:divBdr>
        <w:top w:val="none" w:sz="0" w:space="0" w:color="auto"/>
        <w:left w:val="none" w:sz="0" w:space="0" w:color="auto"/>
        <w:bottom w:val="none" w:sz="0" w:space="0" w:color="auto"/>
        <w:right w:val="none" w:sz="0" w:space="0" w:color="auto"/>
      </w:divBdr>
    </w:div>
    <w:div w:id="1862086648">
      <w:bodyDiv w:val="1"/>
      <w:marLeft w:val="0"/>
      <w:marRight w:val="0"/>
      <w:marTop w:val="0"/>
      <w:marBottom w:val="0"/>
      <w:divBdr>
        <w:top w:val="none" w:sz="0" w:space="0" w:color="auto"/>
        <w:left w:val="none" w:sz="0" w:space="0" w:color="auto"/>
        <w:bottom w:val="none" w:sz="0" w:space="0" w:color="auto"/>
        <w:right w:val="none" w:sz="0" w:space="0" w:color="auto"/>
      </w:divBdr>
    </w:div>
    <w:div w:id="1865903601">
      <w:bodyDiv w:val="1"/>
      <w:marLeft w:val="0"/>
      <w:marRight w:val="0"/>
      <w:marTop w:val="0"/>
      <w:marBottom w:val="0"/>
      <w:divBdr>
        <w:top w:val="none" w:sz="0" w:space="0" w:color="auto"/>
        <w:left w:val="none" w:sz="0" w:space="0" w:color="auto"/>
        <w:bottom w:val="none" w:sz="0" w:space="0" w:color="auto"/>
        <w:right w:val="none" w:sz="0" w:space="0" w:color="auto"/>
      </w:divBdr>
    </w:div>
    <w:div w:id="1871794320">
      <w:bodyDiv w:val="1"/>
      <w:marLeft w:val="0"/>
      <w:marRight w:val="0"/>
      <w:marTop w:val="0"/>
      <w:marBottom w:val="0"/>
      <w:divBdr>
        <w:top w:val="none" w:sz="0" w:space="0" w:color="auto"/>
        <w:left w:val="none" w:sz="0" w:space="0" w:color="auto"/>
        <w:bottom w:val="none" w:sz="0" w:space="0" w:color="auto"/>
        <w:right w:val="none" w:sz="0" w:space="0" w:color="auto"/>
      </w:divBdr>
    </w:div>
    <w:div w:id="1879276837">
      <w:bodyDiv w:val="1"/>
      <w:marLeft w:val="0"/>
      <w:marRight w:val="0"/>
      <w:marTop w:val="0"/>
      <w:marBottom w:val="0"/>
      <w:divBdr>
        <w:top w:val="none" w:sz="0" w:space="0" w:color="auto"/>
        <w:left w:val="none" w:sz="0" w:space="0" w:color="auto"/>
        <w:bottom w:val="none" w:sz="0" w:space="0" w:color="auto"/>
        <w:right w:val="none" w:sz="0" w:space="0" w:color="auto"/>
      </w:divBdr>
    </w:div>
    <w:div w:id="1879707197">
      <w:bodyDiv w:val="1"/>
      <w:marLeft w:val="0"/>
      <w:marRight w:val="0"/>
      <w:marTop w:val="0"/>
      <w:marBottom w:val="0"/>
      <w:divBdr>
        <w:top w:val="none" w:sz="0" w:space="0" w:color="auto"/>
        <w:left w:val="none" w:sz="0" w:space="0" w:color="auto"/>
        <w:bottom w:val="none" w:sz="0" w:space="0" w:color="auto"/>
        <w:right w:val="none" w:sz="0" w:space="0" w:color="auto"/>
      </w:divBdr>
    </w:div>
    <w:div w:id="1882546629">
      <w:bodyDiv w:val="1"/>
      <w:marLeft w:val="0"/>
      <w:marRight w:val="0"/>
      <w:marTop w:val="0"/>
      <w:marBottom w:val="0"/>
      <w:divBdr>
        <w:top w:val="none" w:sz="0" w:space="0" w:color="auto"/>
        <w:left w:val="none" w:sz="0" w:space="0" w:color="auto"/>
        <w:bottom w:val="none" w:sz="0" w:space="0" w:color="auto"/>
        <w:right w:val="none" w:sz="0" w:space="0" w:color="auto"/>
      </w:divBdr>
    </w:div>
    <w:div w:id="1892761306">
      <w:bodyDiv w:val="1"/>
      <w:marLeft w:val="0"/>
      <w:marRight w:val="0"/>
      <w:marTop w:val="0"/>
      <w:marBottom w:val="0"/>
      <w:divBdr>
        <w:top w:val="none" w:sz="0" w:space="0" w:color="auto"/>
        <w:left w:val="none" w:sz="0" w:space="0" w:color="auto"/>
        <w:bottom w:val="none" w:sz="0" w:space="0" w:color="auto"/>
        <w:right w:val="none" w:sz="0" w:space="0" w:color="auto"/>
      </w:divBdr>
    </w:div>
    <w:div w:id="1894348395">
      <w:bodyDiv w:val="1"/>
      <w:marLeft w:val="0"/>
      <w:marRight w:val="0"/>
      <w:marTop w:val="0"/>
      <w:marBottom w:val="0"/>
      <w:divBdr>
        <w:top w:val="none" w:sz="0" w:space="0" w:color="auto"/>
        <w:left w:val="none" w:sz="0" w:space="0" w:color="auto"/>
        <w:bottom w:val="none" w:sz="0" w:space="0" w:color="auto"/>
        <w:right w:val="none" w:sz="0" w:space="0" w:color="auto"/>
      </w:divBdr>
    </w:div>
    <w:div w:id="1898273886">
      <w:bodyDiv w:val="1"/>
      <w:marLeft w:val="0"/>
      <w:marRight w:val="0"/>
      <w:marTop w:val="0"/>
      <w:marBottom w:val="0"/>
      <w:divBdr>
        <w:top w:val="none" w:sz="0" w:space="0" w:color="auto"/>
        <w:left w:val="none" w:sz="0" w:space="0" w:color="auto"/>
        <w:bottom w:val="none" w:sz="0" w:space="0" w:color="auto"/>
        <w:right w:val="none" w:sz="0" w:space="0" w:color="auto"/>
      </w:divBdr>
    </w:div>
    <w:div w:id="1898780029">
      <w:bodyDiv w:val="1"/>
      <w:marLeft w:val="0"/>
      <w:marRight w:val="0"/>
      <w:marTop w:val="0"/>
      <w:marBottom w:val="0"/>
      <w:divBdr>
        <w:top w:val="none" w:sz="0" w:space="0" w:color="auto"/>
        <w:left w:val="none" w:sz="0" w:space="0" w:color="auto"/>
        <w:bottom w:val="none" w:sz="0" w:space="0" w:color="auto"/>
        <w:right w:val="none" w:sz="0" w:space="0" w:color="auto"/>
      </w:divBdr>
    </w:div>
    <w:div w:id="1901360717">
      <w:bodyDiv w:val="1"/>
      <w:marLeft w:val="0"/>
      <w:marRight w:val="0"/>
      <w:marTop w:val="0"/>
      <w:marBottom w:val="0"/>
      <w:divBdr>
        <w:top w:val="none" w:sz="0" w:space="0" w:color="auto"/>
        <w:left w:val="none" w:sz="0" w:space="0" w:color="auto"/>
        <w:bottom w:val="none" w:sz="0" w:space="0" w:color="auto"/>
        <w:right w:val="none" w:sz="0" w:space="0" w:color="auto"/>
      </w:divBdr>
    </w:div>
    <w:div w:id="1901551869">
      <w:bodyDiv w:val="1"/>
      <w:marLeft w:val="0"/>
      <w:marRight w:val="0"/>
      <w:marTop w:val="0"/>
      <w:marBottom w:val="0"/>
      <w:divBdr>
        <w:top w:val="none" w:sz="0" w:space="0" w:color="auto"/>
        <w:left w:val="none" w:sz="0" w:space="0" w:color="auto"/>
        <w:bottom w:val="none" w:sz="0" w:space="0" w:color="auto"/>
        <w:right w:val="none" w:sz="0" w:space="0" w:color="auto"/>
      </w:divBdr>
    </w:div>
    <w:div w:id="1903321967">
      <w:bodyDiv w:val="1"/>
      <w:marLeft w:val="0"/>
      <w:marRight w:val="0"/>
      <w:marTop w:val="0"/>
      <w:marBottom w:val="0"/>
      <w:divBdr>
        <w:top w:val="none" w:sz="0" w:space="0" w:color="auto"/>
        <w:left w:val="none" w:sz="0" w:space="0" w:color="auto"/>
        <w:bottom w:val="none" w:sz="0" w:space="0" w:color="auto"/>
        <w:right w:val="none" w:sz="0" w:space="0" w:color="auto"/>
      </w:divBdr>
    </w:div>
    <w:div w:id="1904171497">
      <w:bodyDiv w:val="1"/>
      <w:marLeft w:val="0"/>
      <w:marRight w:val="0"/>
      <w:marTop w:val="0"/>
      <w:marBottom w:val="0"/>
      <w:divBdr>
        <w:top w:val="none" w:sz="0" w:space="0" w:color="auto"/>
        <w:left w:val="none" w:sz="0" w:space="0" w:color="auto"/>
        <w:bottom w:val="none" w:sz="0" w:space="0" w:color="auto"/>
        <w:right w:val="none" w:sz="0" w:space="0" w:color="auto"/>
      </w:divBdr>
    </w:div>
    <w:div w:id="1904638886">
      <w:bodyDiv w:val="1"/>
      <w:marLeft w:val="0"/>
      <w:marRight w:val="0"/>
      <w:marTop w:val="0"/>
      <w:marBottom w:val="0"/>
      <w:divBdr>
        <w:top w:val="none" w:sz="0" w:space="0" w:color="auto"/>
        <w:left w:val="none" w:sz="0" w:space="0" w:color="auto"/>
        <w:bottom w:val="none" w:sz="0" w:space="0" w:color="auto"/>
        <w:right w:val="none" w:sz="0" w:space="0" w:color="auto"/>
      </w:divBdr>
    </w:div>
    <w:div w:id="1906453404">
      <w:bodyDiv w:val="1"/>
      <w:marLeft w:val="0"/>
      <w:marRight w:val="0"/>
      <w:marTop w:val="0"/>
      <w:marBottom w:val="0"/>
      <w:divBdr>
        <w:top w:val="none" w:sz="0" w:space="0" w:color="auto"/>
        <w:left w:val="none" w:sz="0" w:space="0" w:color="auto"/>
        <w:bottom w:val="none" w:sz="0" w:space="0" w:color="auto"/>
        <w:right w:val="none" w:sz="0" w:space="0" w:color="auto"/>
      </w:divBdr>
    </w:div>
    <w:div w:id="1907034978">
      <w:bodyDiv w:val="1"/>
      <w:marLeft w:val="0"/>
      <w:marRight w:val="0"/>
      <w:marTop w:val="0"/>
      <w:marBottom w:val="0"/>
      <w:divBdr>
        <w:top w:val="none" w:sz="0" w:space="0" w:color="auto"/>
        <w:left w:val="none" w:sz="0" w:space="0" w:color="auto"/>
        <w:bottom w:val="none" w:sz="0" w:space="0" w:color="auto"/>
        <w:right w:val="none" w:sz="0" w:space="0" w:color="auto"/>
      </w:divBdr>
    </w:div>
    <w:div w:id="1909073139">
      <w:bodyDiv w:val="1"/>
      <w:marLeft w:val="0"/>
      <w:marRight w:val="0"/>
      <w:marTop w:val="0"/>
      <w:marBottom w:val="0"/>
      <w:divBdr>
        <w:top w:val="none" w:sz="0" w:space="0" w:color="auto"/>
        <w:left w:val="none" w:sz="0" w:space="0" w:color="auto"/>
        <w:bottom w:val="none" w:sz="0" w:space="0" w:color="auto"/>
        <w:right w:val="none" w:sz="0" w:space="0" w:color="auto"/>
      </w:divBdr>
    </w:div>
    <w:div w:id="1909459959">
      <w:bodyDiv w:val="1"/>
      <w:marLeft w:val="0"/>
      <w:marRight w:val="0"/>
      <w:marTop w:val="0"/>
      <w:marBottom w:val="0"/>
      <w:divBdr>
        <w:top w:val="none" w:sz="0" w:space="0" w:color="auto"/>
        <w:left w:val="none" w:sz="0" w:space="0" w:color="auto"/>
        <w:bottom w:val="none" w:sz="0" w:space="0" w:color="auto"/>
        <w:right w:val="none" w:sz="0" w:space="0" w:color="auto"/>
      </w:divBdr>
    </w:div>
    <w:div w:id="1909536428">
      <w:bodyDiv w:val="1"/>
      <w:marLeft w:val="0"/>
      <w:marRight w:val="0"/>
      <w:marTop w:val="0"/>
      <w:marBottom w:val="0"/>
      <w:divBdr>
        <w:top w:val="none" w:sz="0" w:space="0" w:color="auto"/>
        <w:left w:val="none" w:sz="0" w:space="0" w:color="auto"/>
        <w:bottom w:val="none" w:sz="0" w:space="0" w:color="auto"/>
        <w:right w:val="none" w:sz="0" w:space="0" w:color="auto"/>
      </w:divBdr>
    </w:div>
    <w:div w:id="1921326762">
      <w:bodyDiv w:val="1"/>
      <w:marLeft w:val="0"/>
      <w:marRight w:val="0"/>
      <w:marTop w:val="0"/>
      <w:marBottom w:val="0"/>
      <w:divBdr>
        <w:top w:val="none" w:sz="0" w:space="0" w:color="auto"/>
        <w:left w:val="none" w:sz="0" w:space="0" w:color="auto"/>
        <w:bottom w:val="none" w:sz="0" w:space="0" w:color="auto"/>
        <w:right w:val="none" w:sz="0" w:space="0" w:color="auto"/>
      </w:divBdr>
    </w:div>
    <w:div w:id="1923029433">
      <w:bodyDiv w:val="1"/>
      <w:marLeft w:val="0"/>
      <w:marRight w:val="0"/>
      <w:marTop w:val="0"/>
      <w:marBottom w:val="0"/>
      <w:divBdr>
        <w:top w:val="none" w:sz="0" w:space="0" w:color="auto"/>
        <w:left w:val="none" w:sz="0" w:space="0" w:color="auto"/>
        <w:bottom w:val="none" w:sz="0" w:space="0" w:color="auto"/>
        <w:right w:val="none" w:sz="0" w:space="0" w:color="auto"/>
      </w:divBdr>
    </w:div>
    <w:div w:id="1933124534">
      <w:bodyDiv w:val="1"/>
      <w:marLeft w:val="0"/>
      <w:marRight w:val="0"/>
      <w:marTop w:val="0"/>
      <w:marBottom w:val="0"/>
      <w:divBdr>
        <w:top w:val="none" w:sz="0" w:space="0" w:color="auto"/>
        <w:left w:val="none" w:sz="0" w:space="0" w:color="auto"/>
        <w:bottom w:val="none" w:sz="0" w:space="0" w:color="auto"/>
        <w:right w:val="none" w:sz="0" w:space="0" w:color="auto"/>
      </w:divBdr>
    </w:div>
    <w:div w:id="1939827745">
      <w:bodyDiv w:val="1"/>
      <w:marLeft w:val="0"/>
      <w:marRight w:val="0"/>
      <w:marTop w:val="0"/>
      <w:marBottom w:val="0"/>
      <w:divBdr>
        <w:top w:val="none" w:sz="0" w:space="0" w:color="auto"/>
        <w:left w:val="none" w:sz="0" w:space="0" w:color="auto"/>
        <w:bottom w:val="none" w:sz="0" w:space="0" w:color="auto"/>
        <w:right w:val="none" w:sz="0" w:space="0" w:color="auto"/>
      </w:divBdr>
    </w:div>
    <w:div w:id="1941333001">
      <w:bodyDiv w:val="1"/>
      <w:marLeft w:val="0"/>
      <w:marRight w:val="0"/>
      <w:marTop w:val="0"/>
      <w:marBottom w:val="0"/>
      <w:divBdr>
        <w:top w:val="none" w:sz="0" w:space="0" w:color="auto"/>
        <w:left w:val="none" w:sz="0" w:space="0" w:color="auto"/>
        <w:bottom w:val="none" w:sz="0" w:space="0" w:color="auto"/>
        <w:right w:val="none" w:sz="0" w:space="0" w:color="auto"/>
      </w:divBdr>
    </w:div>
    <w:div w:id="1942298216">
      <w:bodyDiv w:val="1"/>
      <w:marLeft w:val="0"/>
      <w:marRight w:val="0"/>
      <w:marTop w:val="0"/>
      <w:marBottom w:val="0"/>
      <w:divBdr>
        <w:top w:val="none" w:sz="0" w:space="0" w:color="auto"/>
        <w:left w:val="none" w:sz="0" w:space="0" w:color="auto"/>
        <w:bottom w:val="none" w:sz="0" w:space="0" w:color="auto"/>
        <w:right w:val="none" w:sz="0" w:space="0" w:color="auto"/>
      </w:divBdr>
    </w:div>
    <w:div w:id="1942715898">
      <w:bodyDiv w:val="1"/>
      <w:marLeft w:val="0"/>
      <w:marRight w:val="0"/>
      <w:marTop w:val="0"/>
      <w:marBottom w:val="0"/>
      <w:divBdr>
        <w:top w:val="none" w:sz="0" w:space="0" w:color="auto"/>
        <w:left w:val="none" w:sz="0" w:space="0" w:color="auto"/>
        <w:bottom w:val="none" w:sz="0" w:space="0" w:color="auto"/>
        <w:right w:val="none" w:sz="0" w:space="0" w:color="auto"/>
      </w:divBdr>
    </w:div>
    <w:div w:id="1948461695">
      <w:bodyDiv w:val="1"/>
      <w:marLeft w:val="0"/>
      <w:marRight w:val="0"/>
      <w:marTop w:val="0"/>
      <w:marBottom w:val="0"/>
      <w:divBdr>
        <w:top w:val="none" w:sz="0" w:space="0" w:color="auto"/>
        <w:left w:val="none" w:sz="0" w:space="0" w:color="auto"/>
        <w:bottom w:val="none" w:sz="0" w:space="0" w:color="auto"/>
        <w:right w:val="none" w:sz="0" w:space="0" w:color="auto"/>
      </w:divBdr>
    </w:div>
    <w:div w:id="1953977648">
      <w:bodyDiv w:val="1"/>
      <w:marLeft w:val="0"/>
      <w:marRight w:val="0"/>
      <w:marTop w:val="0"/>
      <w:marBottom w:val="0"/>
      <w:divBdr>
        <w:top w:val="none" w:sz="0" w:space="0" w:color="auto"/>
        <w:left w:val="none" w:sz="0" w:space="0" w:color="auto"/>
        <w:bottom w:val="none" w:sz="0" w:space="0" w:color="auto"/>
        <w:right w:val="none" w:sz="0" w:space="0" w:color="auto"/>
      </w:divBdr>
    </w:div>
    <w:div w:id="1958754124">
      <w:bodyDiv w:val="1"/>
      <w:marLeft w:val="0"/>
      <w:marRight w:val="0"/>
      <w:marTop w:val="0"/>
      <w:marBottom w:val="0"/>
      <w:divBdr>
        <w:top w:val="none" w:sz="0" w:space="0" w:color="auto"/>
        <w:left w:val="none" w:sz="0" w:space="0" w:color="auto"/>
        <w:bottom w:val="none" w:sz="0" w:space="0" w:color="auto"/>
        <w:right w:val="none" w:sz="0" w:space="0" w:color="auto"/>
      </w:divBdr>
    </w:div>
    <w:div w:id="1959212550">
      <w:bodyDiv w:val="1"/>
      <w:marLeft w:val="0"/>
      <w:marRight w:val="0"/>
      <w:marTop w:val="0"/>
      <w:marBottom w:val="0"/>
      <w:divBdr>
        <w:top w:val="none" w:sz="0" w:space="0" w:color="auto"/>
        <w:left w:val="none" w:sz="0" w:space="0" w:color="auto"/>
        <w:bottom w:val="none" w:sz="0" w:space="0" w:color="auto"/>
        <w:right w:val="none" w:sz="0" w:space="0" w:color="auto"/>
      </w:divBdr>
    </w:div>
    <w:div w:id="1959330871">
      <w:bodyDiv w:val="1"/>
      <w:marLeft w:val="0"/>
      <w:marRight w:val="0"/>
      <w:marTop w:val="0"/>
      <w:marBottom w:val="0"/>
      <w:divBdr>
        <w:top w:val="none" w:sz="0" w:space="0" w:color="auto"/>
        <w:left w:val="none" w:sz="0" w:space="0" w:color="auto"/>
        <w:bottom w:val="none" w:sz="0" w:space="0" w:color="auto"/>
        <w:right w:val="none" w:sz="0" w:space="0" w:color="auto"/>
      </w:divBdr>
    </w:div>
    <w:div w:id="1960136498">
      <w:bodyDiv w:val="1"/>
      <w:marLeft w:val="0"/>
      <w:marRight w:val="0"/>
      <w:marTop w:val="0"/>
      <w:marBottom w:val="0"/>
      <w:divBdr>
        <w:top w:val="none" w:sz="0" w:space="0" w:color="auto"/>
        <w:left w:val="none" w:sz="0" w:space="0" w:color="auto"/>
        <w:bottom w:val="none" w:sz="0" w:space="0" w:color="auto"/>
        <w:right w:val="none" w:sz="0" w:space="0" w:color="auto"/>
      </w:divBdr>
    </w:div>
    <w:div w:id="1961566531">
      <w:bodyDiv w:val="1"/>
      <w:marLeft w:val="0"/>
      <w:marRight w:val="0"/>
      <w:marTop w:val="0"/>
      <w:marBottom w:val="0"/>
      <w:divBdr>
        <w:top w:val="none" w:sz="0" w:space="0" w:color="auto"/>
        <w:left w:val="none" w:sz="0" w:space="0" w:color="auto"/>
        <w:bottom w:val="none" w:sz="0" w:space="0" w:color="auto"/>
        <w:right w:val="none" w:sz="0" w:space="0" w:color="auto"/>
      </w:divBdr>
    </w:div>
    <w:div w:id="1965190977">
      <w:bodyDiv w:val="1"/>
      <w:marLeft w:val="0"/>
      <w:marRight w:val="0"/>
      <w:marTop w:val="0"/>
      <w:marBottom w:val="0"/>
      <w:divBdr>
        <w:top w:val="none" w:sz="0" w:space="0" w:color="auto"/>
        <w:left w:val="none" w:sz="0" w:space="0" w:color="auto"/>
        <w:bottom w:val="none" w:sz="0" w:space="0" w:color="auto"/>
        <w:right w:val="none" w:sz="0" w:space="0" w:color="auto"/>
      </w:divBdr>
    </w:div>
    <w:div w:id="1965380188">
      <w:bodyDiv w:val="1"/>
      <w:marLeft w:val="0"/>
      <w:marRight w:val="0"/>
      <w:marTop w:val="0"/>
      <w:marBottom w:val="0"/>
      <w:divBdr>
        <w:top w:val="none" w:sz="0" w:space="0" w:color="auto"/>
        <w:left w:val="none" w:sz="0" w:space="0" w:color="auto"/>
        <w:bottom w:val="none" w:sz="0" w:space="0" w:color="auto"/>
        <w:right w:val="none" w:sz="0" w:space="0" w:color="auto"/>
      </w:divBdr>
    </w:div>
    <w:div w:id="1969388495">
      <w:bodyDiv w:val="1"/>
      <w:marLeft w:val="0"/>
      <w:marRight w:val="0"/>
      <w:marTop w:val="0"/>
      <w:marBottom w:val="0"/>
      <w:divBdr>
        <w:top w:val="none" w:sz="0" w:space="0" w:color="auto"/>
        <w:left w:val="none" w:sz="0" w:space="0" w:color="auto"/>
        <w:bottom w:val="none" w:sz="0" w:space="0" w:color="auto"/>
        <w:right w:val="none" w:sz="0" w:space="0" w:color="auto"/>
      </w:divBdr>
    </w:div>
    <w:div w:id="1971981687">
      <w:bodyDiv w:val="1"/>
      <w:marLeft w:val="0"/>
      <w:marRight w:val="0"/>
      <w:marTop w:val="0"/>
      <w:marBottom w:val="0"/>
      <w:divBdr>
        <w:top w:val="none" w:sz="0" w:space="0" w:color="auto"/>
        <w:left w:val="none" w:sz="0" w:space="0" w:color="auto"/>
        <w:bottom w:val="none" w:sz="0" w:space="0" w:color="auto"/>
        <w:right w:val="none" w:sz="0" w:space="0" w:color="auto"/>
      </w:divBdr>
    </w:div>
    <w:div w:id="1978100573">
      <w:bodyDiv w:val="1"/>
      <w:marLeft w:val="0"/>
      <w:marRight w:val="0"/>
      <w:marTop w:val="0"/>
      <w:marBottom w:val="0"/>
      <w:divBdr>
        <w:top w:val="none" w:sz="0" w:space="0" w:color="auto"/>
        <w:left w:val="none" w:sz="0" w:space="0" w:color="auto"/>
        <w:bottom w:val="none" w:sz="0" w:space="0" w:color="auto"/>
        <w:right w:val="none" w:sz="0" w:space="0" w:color="auto"/>
      </w:divBdr>
    </w:div>
    <w:div w:id="1981379145">
      <w:bodyDiv w:val="1"/>
      <w:marLeft w:val="0"/>
      <w:marRight w:val="0"/>
      <w:marTop w:val="0"/>
      <w:marBottom w:val="0"/>
      <w:divBdr>
        <w:top w:val="none" w:sz="0" w:space="0" w:color="auto"/>
        <w:left w:val="none" w:sz="0" w:space="0" w:color="auto"/>
        <w:bottom w:val="none" w:sz="0" w:space="0" w:color="auto"/>
        <w:right w:val="none" w:sz="0" w:space="0" w:color="auto"/>
      </w:divBdr>
    </w:div>
    <w:div w:id="1988781220">
      <w:bodyDiv w:val="1"/>
      <w:marLeft w:val="0"/>
      <w:marRight w:val="0"/>
      <w:marTop w:val="0"/>
      <w:marBottom w:val="0"/>
      <w:divBdr>
        <w:top w:val="none" w:sz="0" w:space="0" w:color="auto"/>
        <w:left w:val="none" w:sz="0" w:space="0" w:color="auto"/>
        <w:bottom w:val="none" w:sz="0" w:space="0" w:color="auto"/>
        <w:right w:val="none" w:sz="0" w:space="0" w:color="auto"/>
      </w:divBdr>
    </w:div>
    <w:div w:id="1996835348">
      <w:bodyDiv w:val="1"/>
      <w:marLeft w:val="0"/>
      <w:marRight w:val="0"/>
      <w:marTop w:val="0"/>
      <w:marBottom w:val="0"/>
      <w:divBdr>
        <w:top w:val="none" w:sz="0" w:space="0" w:color="auto"/>
        <w:left w:val="none" w:sz="0" w:space="0" w:color="auto"/>
        <w:bottom w:val="none" w:sz="0" w:space="0" w:color="auto"/>
        <w:right w:val="none" w:sz="0" w:space="0" w:color="auto"/>
      </w:divBdr>
    </w:div>
    <w:div w:id="2008744705">
      <w:bodyDiv w:val="1"/>
      <w:marLeft w:val="0"/>
      <w:marRight w:val="0"/>
      <w:marTop w:val="0"/>
      <w:marBottom w:val="0"/>
      <w:divBdr>
        <w:top w:val="none" w:sz="0" w:space="0" w:color="auto"/>
        <w:left w:val="none" w:sz="0" w:space="0" w:color="auto"/>
        <w:bottom w:val="none" w:sz="0" w:space="0" w:color="auto"/>
        <w:right w:val="none" w:sz="0" w:space="0" w:color="auto"/>
      </w:divBdr>
    </w:div>
    <w:div w:id="2014336994">
      <w:bodyDiv w:val="1"/>
      <w:marLeft w:val="0"/>
      <w:marRight w:val="0"/>
      <w:marTop w:val="0"/>
      <w:marBottom w:val="0"/>
      <w:divBdr>
        <w:top w:val="none" w:sz="0" w:space="0" w:color="auto"/>
        <w:left w:val="none" w:sz="0" w:space="0" w:color="auto"/>
        <w:bottom w:val="none" w:sz="0" w:space="0" w:color="auto"/>
        <w:right w:val="none" w:sz="0" w:space="0" w:color="auto"/>
      </w:divBdr>
    </w:div>
    <w:div w:id="2014796476">
      <w:bodyDiv w:val="1"/>
      <w:marLeft w:val="0"/>
      <w:marRight w:val="0"/>
      <w:marTop w:val="0"/>
      <w:marBottom w:val="0"/>
      <w:divBdr>
        <w:top w:val="none" w:sz="0" w:space="0" w:color="auto"/>
        <w:left w:val="none" w:sz="0" w:space="0" w:color="auto"/>
        <w:bottom w:val="none" w:sz="0" w:space="0" w:color="auto"/>
        <w:right w:val="none" w:sz="0" w:space="0" w:color="auto"/>
      </w:divBdr>
    </w:div>
    <w:div w:id="2015645914">
      <w:bodyDiv w:val="1"/>
      <w:marLeft w:val="0"/>
      <w:marRight w:val="0"/>
      <w:marTop w:val="0"/>
      <w:marBottom w:val="0"/>
      <w:divBdr>
        <w:top w:val="none" w:sz="0" w:space="0" w:color="auto"/>
        <w:left w:val="none" w:sz="0" w:space="0" w:color="auto"/>
        <w:bottom w:val="none" w:sz="0" w:space="0" w:color="auto"/>
        <w:right w:val="none" w:sz="0" w:space="0" w:color="auto"/>
      </w:divBdr>
    </w:div>
    <w:div w:id="2028942769">
      <w:bodyDiv w:val="1"/>
      <w:marLeft w:val="0"/>
      <w:marRight w:val="0"/>
      <w:marTop w:val="0"/>
      <w:marBottom w:val="0"/>
      <w:divBdr>
        <w:top w:val="none" w:sz="0" w:space="0" w:color="auto"/>
        <w:left w:val="none" w:sz="0" w:space="0" w:color="auto"/>
        <w:bottom w:val="none" w:sz="0" w:space="0" w:color="auto"/>
        <w:right w:val="none" w:sz="0" w:space="0" w:color="auto"/>
      </w:divBdr>
    </w:div>
    <w:div w:id="2031102918">
      <w:bodyDiv w:val="1"/>
      <w:marLeft w:val="0"/>
      <w:marRight w:val="0"/>
      <w:marTop w:val="0"/>
      <w:marBottom w:val="0"/>
      <w:divBdr>
        <w:top w:val="none" w:sz="0" w:space="0" w:color="auto"/>
        <w:left w:val="none" w:sz="0" w:space="0" w:color="auto"/>
        <w:bottom w:val="none" w:sz="0" w:space="0" w:color="auto"/>
        <w:right w:val="none" w:sz="0" w:space="0" w:color="auto"/>
      </w:divBdr>
    </w:div>
    <w:div w:id="2037196494">
      <w:bodyDiv w:val="1"/>
      <w:marLeft w:val="0"/>
      <w:marRight w:val="0"/>
      <w:marTop w:val="0"/>
      <w:marBottom w:val="0"/>
      <w:divBdr>
        <w:top w:val="none" w:sz="0" w:space="0" w:color="auto"/>
        <w:left w:val="none" w:sz="0" w:space="0" w:color="auto"/>
        <w:bottom w:val="none" w:sz="0" w:space="0" w:color="auto"/>
        <w:right w:val="none" w:sz="0" w:space="0" w:color="auto"/>
      </w:divBdr>
    </w:div>
    <w:div w:id="2041198692">
      <w:bodyDiv w:val="1"/>
      <w:marLeft w:val="0"/>
      <w:marRight w:val="0"/>
      <w:marTop w:val="0"/>
      <w:marBottom w:val="0"/>
      <w:divBdr>
        <w:top w:val="none" w:sz="0" w:space="0" w:color="auto"/>
        <w:left w:val="none" w:sz="0" w:space="0" w:color="auto"/>
        <w:bottom w:val="none" w:sz="0" w:space="0" w:color="auto"/>
        <w:right w:val="none" w:sz="0" w:space="0" w:color="auto"/>
      </w:divBdr>
    </w:div>
    <w:div w:id="2045598298">
      <w:bodyDiv w:val="1"/>
      <w:marLeft w:val="0"/>
      <w:marRight w:val="0"/>
      <w:marTop w:val="0"/>
      <w:marBottom w:val="0"/>
      <w:divBdr>
        <w:top w:val="none" w:sz="0" w:space="0" w:color="auto"/>
        <w:left w:val="none" w:sz="0" w:space="0" w:color="auto"/>
        <w:bottom w:val="none" w:sz="0" w:space="0" w:color="auto"/>
        <w:right w:val="none" w:sz="0" w:space="0" w:color="auto"/>
      </w:divBdr>
    </w:div>
    <w:div w:id="2056808555">
      <w:bodyDiv w:val="1"/>
      <w:marLeft w:val="0"/>
      <w:marRight w:val="0"/>
      <w:marTop w:val="0"/>
      <w:marBottom w:val="0"/>
      <w:divBdr>
        <w:top w:val="none" w:sz="0" w:space="0" w:color="auto"/>
        <w:left w:val="none" w:sz="0" w:space="0" w:color="auto"/>
        <w:bottom w:val="none" w:sz="0" w:space="0" w:color="auto"/>
        <w:right w:val="none" w:sz="0" w:space="0" w:color="auto"/>
      </w:divBdr>
    </w:div>
    <w:div w:id="2057510965">
      <w:bodyDiv w:val="1"/>
      <w:marLeft w:val="0"/>
      <w:marRight w:val="0"/>
      <w:marTop w:val="0"/>
      <w:marBottom w:val="0"/>
      <w:divBdr>
        <w:top w:val="none" w:sz="0" w:space="0" w:color="auto"/>
        <w:left w:val="none" w:sz="0" w:space="0" w:color="auto"/>
        <w:bottom w:val="none" w:sz="0" w:space="0" w:color="auto"/>
        <w:right w:val="none" w:sz="0" w:space="0" w:color="auto"/>
      </w:divBdr>
    </w:div>
    <w:div w:id="2060662669">
      <w:bodyDiv w:val="1"/>
      <w:marLeft w:val="0"/>
      <w:marRight w:val="0"/>
      <w:marTop w:val="0"/>
      <w:marBottom w:val="0"/>
      <w:divBdr>
        <w:top w:val="none" w:sz="0" w:space="0" w:color="auto"/>
        <w:left w:val="none" w:sz="0" w:space="0" w:color="auto"/>
        <w:bottom w:val="none" w:sz="0" w:space="0" w:color="auto"/>
        <w:right w:val="none" w:sz="0" w:space="0" w:color="auto"/>
      </w:divBdr>
    </w:div>
    <w:div w:id="2065835350">
      <w:bodyDiv w:val="1"/>
      <w:marLeft w:val="0"/>
      <w:marRight w:val="0"/>
      <w:marTop w:val="0"/>
      <w:marBottom w:val="0"/>
      <w:divBdr>
        <w:top w:val="none" w:sz="0" w:space="0" w:color="auto"/>
        <w:left w:val="none" w:sz="0" w:space="0" w:color="auto"/>
        <w:bottom w:val="none" w:sz="0" w:space="0" w:color="auto"/>
        <w:right w:val="none" w:sz="0" w:space="0" w:color="auto"/>
      </w:divBdr>
    </w:div>
    <w:div w:id="2067801263">
      <w:bodyDiv w:val="1"/>
      <w:marLeft w:val="0"/>
      <w:marRight w:val="0"/>
      <w:marTop w:val="0"/>
      <w:marBottom w:val="0"/>
      <w:divBdr>
        <w:top w:val="none" w:sz="0" w:space="0" w:color="auto"/>
        <w:left w:val="none" w:sz="0" w:space="0" w:color="auto"/>
        <w:bottom w:val="none" w:sz="0" w:space="0" w:color="auto"/>
        <w:right w:val="none" w:sz="0" w:space="0" w:color="auto"/>
      </w:divBdr>
    </w:div>
    <w:div w:id="2070296720">
      <w:bodyDiv w:val="1"/>
      <w:marLeft w:val="0"/>
      <w:marRight w:val="0"/>
      <w:marTop w:val="0"/>
      <w:marBottom w:val="0"/>
      <w:divBdr>
        <w:top w:val="none" w:sz="0" w:space="0" w:color="auto"/>
        <w:left w:val="none" w:sz="0" w:space="0" w:color="auto"/>
        <w:bottom w:val="none" w:sz="0" w:space="0" w:color="auto"/>
        <w:right w:val="none" w:sz="0" w:space="0" w:color="auto"/>
      </w:divBdr>
    </w:div>
    <w:div w:id="2076001920">
      <w:bodyDiv w:val="1"/>
      <w:marLeft w:val="0"/>
      <w:marRight w:val="0"/>
      <w:marTop w:val="0"/>
      <w:marBottom w:val="0"/>
      <w:divBdr>
        <w:top w:val="none" w:sz="0" w:space="0" w:color="auto"/>
        <w:left w:val="none" w:sz="0" w:space="0" w:color="auto"/>
        <w:bottom w:val="none" w:sz="0" w:space="0" w:color="auto"/>
        <w:right w:val="none" w:sz="0" w:space="0" w:color="auto"/>
      </w:divBdr>
    </w:div>
    <w:div w:id="2076588400">
      <w:bodyDiv w:val="1"/>
      <w:marLeft w:val="0"/>
      <w:marRight w:val="0"/>
      <w:marTop w:val="0"/>
      <w:marBottom w:val="0"/>
      <w:divBdr>
        <w:top w:val="none" w:sz="0" w:space="0" w:color="auto"/>
        <w:left w:val="none" w:sz="0" w:space="0" w:color="auto"/>
        <w:bottom w:val="none" w:sz="0" w:space="0" w:color="auto"/>
        <w:right w:val="none" w:sz="0" w:space="0" w:color="auto"/>
      </w:divBdr>
    </w:div>
    <w:div w:id="2086998623">
      <w:bodyDiv w:val="1"/>
      <w:marLeft w:val="0"/>
      <w:marRight w:val="0"/>
      <w:marTop w:val="0"/>
      <w:marBottom w:val="0"/>
      <w:divBdr>
        <w:top w:val="none" w:sz="0" w:space="0" w:color="auto"/>
        <w:left w:val="none" w:sz="0" w:space="0" w:color="auto"/>
        <w:bottom w:val="none" w:sz="0" w:space="0" w:color="auto"/>
        <w:right w:val="none" w:sz="0" w:space="0" w:color="auto"/>
      </w:divBdr>
    </w:div>
    <w:div w:id="2102994125">
      <w:bodyDiv w:val="1"/>
      <w:marLeft w:val="0"/>
      <w:marRight w:val="0"/>
      <w:marTop w:val="0"/>
      <w:marBottom w:val="0"/>
      <w:divBdr>
        <w:top w:val="none" w:sz="0" w:space="0" w:color="auto"/>
        <w:left w:val="none" w:sz="0" w:space="0" w:color="auto"/>
        <w:bottom w:val="none" w:sz="0" w:space="0" w:color="auto"/>
        <w:right w:val="none" w:sz="0" w:space="0" w:color="auto"/>
      </w:divBdr>
    </w:div>
    <w:div w:id="2103797901">
      <w:bodyDiv w:val="1"/>
      <w:marLeft w:val="0"/>
      <w:marRight w:val="0"/>
      <w:marTop w:val="0"/>
      <w:marBottom w:val="0"/>
      <w:divBdr>
        <w:top w:val="none" w:sz="0" w:space="0" w:color="auto"/>
        <w:left w:val="none" w:sz="0" w:space="0" w:color="auto"/>
        <w:bottom w:val="none" w:sz="0" w:space="0" w:color="auto"/>
        <w:right w:val="none" w:sz="0" w:space="0" w:color="auto"/>
      </w:divBdr>
    </w:div>
    <w:div w:id="2105760498">
      <w:bodyDiv w:val="1"/>
      <w:marLeft w:val="0"/>
      <w:marRight w:val="0"/>
      <w:marTop w:val="0"/>
      <w:marBottom w:val="0"/>
      <w:divBdr>
        <w:top w:val="none" w:sz="0" w:space="0" w:color="auto"/>
        <w:left w:val="none" w:sz="0" w:space="0" w:color="auto"/>
        <w:bottom w:val="none" w:sz="0" w:space="0" w:color="auto"/>
        <w:right w:val="none" w:sz="0" w:space="0" w:color="auto"/>
      </w:divBdr>
    </w:div>
    <w:div w:id="2112895184">
      <w:bodyDiv w:val="1"/>
      <w:marLeft w:val="0"/>
      <w:marRight w:val="0"/>
      <w:marTop w:val="0"/>
      <w:marBottom w:val="0"/>
      <w:divBdr>
        <w:top w:val="none" w:sz="0" w:space="0" w:color="auto"/>
        <w:left w:val="none" w:sz="0" w:space="0" w:color="auto"/>
        <w:bottom w:val="none" w:sz="0" w:space="0" w:color="auto"/>
        <w:right w:val="none" w:sz="0" w:space="0" w:color="auto"/>
      </w:divBdr>
    </w:div>
    <w:div w:id="2114547962">
      <w:bodyDiv w:val="1"/>
      <w:marLeft w:val="0"/>
      <w:marRight w:val="0"/>
      <w:marTop w:val="0"/>
      <w:marBottom w:val="0"/>
      <w:divBdr>
        <w:top w:val="none" w:sz="0" w:space="0" w:color="auto"/>
        <w:left w:val="none" w:sz="0" w:space="0" w:color="auto"/>
        <w:bottom w:val="none" w:sz="0" w:space="0" w:color="auto"/>
        <w:right w:val="none" w:sz="0" w:space="0" w:color="auto"/>
      </w:divBdr>
    </w:div>
    <w:div w:id="2117022465">
      <w:bodyDiv w:val="1"/>
      <w:marLeft w:val="0"/>
      <w:marRight w:val="0"/>
      <w:marTop w:val="0"/>
      <w:marBottom w:val="0"/>
      <w:divBdr>
        <w:top w:val="none" w:sz="0" w:space="0" w:color="auto"/>
        <w:left w:val="none" w:sz="0" w:space="0" w:color="auto"/>
        <w:bottom w:val="none" w:sz="0" w:space="0" w:color="auto"/>
        <w:right w:val="none" w:sz="0" w:space="0" w:color="auto"/>
      </w:divBdr>
    </w:div>
    <w:div w:id="2118327202">
      <w:bodyDiv w:val="1"/>
      <w:marLeft w:val="0"/>
      <w:marRight w:val="0"/>
      <w:marTop w:val="0"/>
      <w:marBottom w:val="0"/>
      <w:divBdr>
        <w:top w:val="none" w:sz="0" w:space="0" w:color="auto"/>
        <w:left w:val="none" w:sz="0" w:space="0" w:color="auto"/>
        <w:bottom w:val="none" w:sz="0" w:space="0" w:color="auto"/>
        <w:right w:val="none" w:sz="0" w:space="0" w:color="auto"/>
      </w:divBdr>
    </w:div>
    <w:div w:id="2118719363">
      <w:bodyDiv w:val="1"/>
      <w:marLeft w:val="0"/>
      <w:marRight w:val="0"/>
      <w:marTop w:val="0"/>
      <w:marBottom w:val="0"/>
      <w:divBdr>
        <w:top w:val="none" w:sz="0" w:space="0" w:color="auto"/>
        <w:left w:val="none" w:sz="0" w:space="0" w:color="auto"/>
        <w:bottom w:val="none" w:sz="0" w:space="0" w:color="auto"/>
        <w:right w:val="none" w:sz="0" w:space="0" w:color="auto"/>
      </w:divBdr>
    </w:div>
    <w:div w:id="2129813915">
      <w:bodyDiv w:val="1"/>
      <w:marLeft w:val="0"/>
      <w:marRight w:val="0"/>
      <w:marTop w:val="0"/>
      <w:marBottom w:val="0"/>
      <w:divBdr>
        <w:top w:val="none" w:sz="0" w:space="0" w:color="auto"/>
        <w:left w:val="none" w:sz="0" w:space="0" w:color="auto"/>
        <w:bottom w:val="none" w:sz="0" w:space="0" w:color="auto"/>
        <w:right w:val="none" w:sz="0" w:space="0" w:color="auto"/>
      </w:divBdr>
    </w:div>
    <w:div w:id="2135102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Bri03</b:Tag>
    <b:SourceType>JournalArticle</b:SourceType>
    <b:Guid>{3C17A4C5-704B-4C30-AA15-B8A47B9BF209}</b:Guid>
    <b:Title>Observer ratings of health and sickness: can other people tell us anything about our health that we don't already know?</b:Title>
    <b:JournalName>Health Psychology</b:JournalName>
    <b:Year>2003</b:Year>
    <b:Pages>471</b:Pages>
    <b:Volume>22</b:Volume>
    <b:Issue>5</b:Issue>
    <b:DOI>10.1037/0278-6133.22.5.471</b:DOI>
    <b:Author>
      <b:Author>
        <b:NameList>
          <b:Person>
            <b:Last>Brissette</b:Last>
            <b:First>I</b:First>
          </b:Person>
          <b:Person>
            <b:Last>Leventhal</b:Last>
            <b:First>H</b:First>
          </b:Person>
          <b:Person>
            <b:Last>Leventhal</b:Last>
            <b:Middle>A</b:Middle>
            <b:First>E</b:First>
          </b:Person>
        </b:NameList>
      </b:Author>
    </b:Author>
    <b:RefOrder>1</b:RefOrder>
  </b:Source>
  <b:Source>
    <b:Tag>Hil20</b:Tag>
    <b:SourceType>JournalArticle</b:SourceType>
    <b:Guid>{0316A3A1-77A9-45E8-B415-78B8574DAC0B}</b:Guid>
    <b:Title>Social determinants of health and diabetes: a scientific review</b:Title>
    <b:JournalName>Diabetes care</b:JournalName>
    <b:Year>2020</b:Year>
    <b:Pages>258</b:Pages>
    <b:Volume>44</b:Volume>
    <b:Issue>1</b:Issue>
    <b:DOI>10.2337/dci20-0053</b:DOI>
    <b:Author>
      <b:Author>
        <b:NameList>
          <b:Person>
            <b:Last>Hill-Briggs</b:Last>
            <b:First>F</b:First>
          </b:Person>
          <b:Person>
            <b:Last>Adler</b:Last>
            <b:Middle>E</b:Middle>
            <b:First>N</b:First>
          </b:Person>
          <b:Person>
            <b:Last>Berkowitz</b:Last>
            <b:Middle>A</b:Middle>
            <b:First>S</b:First>
          </b:Person>
          <b:Person>
            <b:Last>Chin</b:Last>
            <b:Middle>H</b:Middle>
            <b:First>M</b:First>
          </b:Person>
          <b:Person>
            <b:Last>Gary-Webb</b:Last>
            <b:Middle>L</b:Middle>
            <b:First>T</b:First>
          </b:Person>
          <b:Person>
            <b:Last>Navas-Acien</b:Last>
            <b:First>A</b:First>
          </b:Person>
          <b:Person>
            <b:Last>Haire-Joshu</b:Last>
            <b:First>D</b:First>
          </b:Person>
        </b:NameList>
      </b:Author>
    </b:Author>
    <b:RefOrder>7</b:RefOrder>
  </b:Source>
  <b:Source>
    <b:Tag>Eva01</b:Tag>
    <b:SourceType>JournalArticle</b:SourceType>
    <b:Guid>{CE141ABE-E33D-46A1-95F7-3503AFA6FD08}</b:Guid>
    <b:Title>Strategies for Reducing Morbidity and Mortality from Diabetes Through Health-Care System Interventions and Diabetes Self-Management Education in Community Settings</b:Title>
    <b:JournalName>MMWR Recommendations and Reports</b:JournalName>
    <b:Year>2001</b:Year>
    <b:Pages>1-15</b:Pages>
    <b:Volume>50</b:Volume>
    <b:Issue>16</b:Issue>
    <b:DOI>https://www.cdc.gov/mmwr/preview/mmwrhtml/rr5016a1.htm</b:DOI>
    <b:Author>
      <b:Author>
        <b:NameList>
          <b:Person>
            <b:Last>Evans Jr</b:Last>
            <b:Middle>A</b:Middle>
            <b:First>C</b:First>
          </b:Person>
          <b:Person>
            <b:Last>Brownson</b:Last>
            <b:Middle>C</b:Middle>
            <b:First>R</b:First>
          </b:Person>
          <b:Person>
            <b:Last>Fullilove</b:Last>
            <b:Middle>T</b:Middle>
            <b:First>M</b:First>
          </b:Person>
          <b:Person>
            <b:Last>Guerra</b:Last>
            <b:Middle>A</b:Middle>
            <b:First>F</b:First>
          </b:Person>
          <b:Person>
            <b:Last>Hinman</b:Last>
            <b:Middle>R</b:Middle>
            <b:First>A</b:First>
          </b:Person>
          <b:Person>
            <b:Last>Isham</b:Last>
            <b:Middle>J</b:Middle>
            <b:First>G</b:First>
          </b:Person>
          <b:Person>
            <b:Last>Novick</b:Last>
            <b:Middle>F</b:Middle>
            <b:First>L</b:First>
          </b:Person>
        </b:NameList>
      </b:Author>
    </b:Author>
    <b:RefOrder>8</b:RefOrder>
  </b:Source>
  <b:Source>
    <b:Tag>OCo19</b:Tag>
    <b:SourceType>JournalArticle</b:SourceType>
    <b:Guid>{7AF58C4C-1E4C-48E4-8738-559F21D4BBBC}</b:Guid>
    <b:Title>Understanding the economic costs of diabetes and prediabetes and what we may learn about reducing the health and economic burden of these conditions</b:Title>
    <b:JournalName>Diabetes Care</b:JournalName>
    <b:Year>2019</b:Year>
    <b:Pages>1609</b:Pages>
    <b:Volume>42</b:Volume>
    <b:Issue>9</b:Issue>
    <b:DOI>10.2337/dci19-0017</b:DOI>
    <b:Author>
      <b:Author>
        <b:NameList>
          <b:Person>
            <b:Last>O’Connell</b:Last>
            <b:Middle>M</b:Middle>
            <b:First>J</b:First>
          </b:Person>
          <b:Person>
            <b:Last>Manson</b:Last>
            <b:Middle>M</b:Middle>
            <b:First>S</b:First>
          </b:Person>
        </b:NameList>
      </b:Author>
    </b:Author>
    <b:RefOrder>9</b:RefOrder>
  </b:Source>
  <b:Source>
    <b:Tag>Cla10</b:Tag>
    <b:SourceType>JournalArticle</b:SourceType>
    <b:Guid>{F7141F38-B4F9-454D-9C45-437F9E52F3C7}</b:Guid>
    <b:Title>Self-monitoring of blood glucose in type 2 diabetes: systematic review</b:Title>
    <b:JournalName>Health Technology Assessment</b:JournalName>
    <b:Year>2010</b:Year>
    <b:Pages>1-140</b:Pages>
    <b:Volume>14</b:Volume>
    <b:Issue>12</b:Issue>
    <b:DOI>10.3310/hta14120</b:DOI>
    <b:Author>
      <b:Author>
        <b:NameList>
          <b:Person>
            <b:Last>Clar</b:Last>
            <b:First>C</b:First>
          </b:Person>
          <b:Person>
            <b:Last>Barnard</b:Last>
            <b:Middle>D</b:Middle>
            <b:First>K</b:First>
          </b:Person>
          <b:Person>
            <b:Last>Cummins</b:Last>
            <b:First>E</b:First>
          </b:Person>
          <b:Person>
            <b:Last>Royle</b:Last>
            <b:First>P</b:First>
          </b:Person>
          <b:Person>
            <b:Last>Waugh</b:Last>
            <b:First>N</b:First>
          </b:Person>
        </b:NameList>
      </b:Author>
    </b:Author>
    <b:RefOrder>13</b:RefOrder>
  </b:Source>
  <b:Source>
    <b:Tag>Lev80</b:Tag>
    <b:SourceType>JournalArticle</b:SourceType>
    <b:Guid>{C7FA2E5C-94D2-4CC3-8DCF-FD5906C32955}</b:Guid>
    <b:Title>The common sense representation of illness danger</b:Title>
    <b:JournalName>Contributions to medical psychology</b:JournalName>
    <b:Year>1980</b:Year>
    <b:Pages>7</b:Pages>
    <b:Volume>2</b:Volume>
    <b:Author>
      <b:Author>
        <b:NameList>
          <b:Person>
            <b:Last>Leventhal</b:Last>
            <b:First>H</b:First>
          </b:Person>
        </b:NameList>
      </b:Author>
    </b:Author>
    <b:URL>https://cir.nii.ac.jp/crid/1372541648446279957</b:URL>
    <b:RefOrder>15</b:RefOrder>
  </b:Source>
  <b:Source>
    <b:Tag>Hag22</b:Tag>
    <b:SourceType>JournalArticle</b:SourceType>
    <b:Guid>{0AC6EDC8-B805-49C4-82EB-C0F701D36536}</b:Guid>
    <b:Title>The common sense model of illness self-regulation: a conceptual review and proposed extended model</b:Title>
    <b:PublicationTitle>Health psychology review</b:PublicationTitle>
    <b:Year>2022</b:Year>
    <b:Author>
      <b:Author>
        <b:NameList>
          <b:Person>
            <b:Last>Hagger</b:Last>
            <b:Middle>S</b:Middle>
            <b:First>M</b:First>
          </b:Person>
          <b:Person>
            <b:Last>Orbell</b:Last>
            <b:First>S</b:First>
          </b:Person>
        </b:NameList>
      </b:Author>
    </b:Author>
    <b:JournalName>Health psychology review</b:JournalName>
    <b:Pages>347-377</b:Pages>
    <b:Volume>16</b:Volume>
    <b:Issue>3</b:Issue>
    <b:DOI>10.1080/17437199.2021.1878050</b:DOI>
    <b:RefOrder>16</b:RefOrder>
  </b:Source>
  <b:Source>
    <b:Tag>Bre20</b:Tag>
    <b:SourceType>JournalArticle</b:SourceType>
    <b:Guid>{7E2D1565-EDC7-4FA6-9E46-01E42139B5C5}</b:Guid>
    <b:Title>Are common sense model constructs and self-efficacy simultaneously correlated with self-management behaviors and health outcomes: A systematic review</b:Title>
    <b:JournalName>Health Psychology Open</b:JournalName>
    <b:Year>2020</b:Year>
    <b:Volume>7</b:Volume>
    <b:Issue>1</b:Issue>
    <b:DOI>10.1177/2055102919898846</b:DOI>
    <b:Author>
      <b:Author>
        <b:NameList>
          <b:Person>
            <b:Last>Breland</b:Last>
            <b:Middle>Y</b:Middle>
            <b:First>J</b:First>
          </b:Person>
          <b:Person>
            <b:Last>Wong</b:Last>
            <b:Middle>J</b:Middle>
            <b:First>J</b:First>
          </b:Person>
          <b:Person>
            <b:Last>McAndrew</b:Last>
            <b:Middle>M</b:Middle>
            <b:First>L</b:First>
          </b:Person>
        </b:NameList>
      </b:Author>
    </b:Author>
    <b:RefOrder>17</b:RefOrder>
  </b:Source>
  <b:Source>
    <b:Tag>Xin23</b:Tag>
    <b:SourceType>JournalArticle</b:SourceType>
    <b:Guid>{60E3E363-151D-4185-B0FA-0081C61CAF4C}</b:Guid>
    <b:Title>Using the common-sense model to explicate the role of illness representation in self-care behaviours and anxiety symptoms among patients with Type 2 diabetes</b:Title>
    <b:JournalName>Patient education and counseling</b:JournalName>
    <b:Year>2023</b:Year>
    <b:Pages>107581</b:Pages>
    <b:Volume>107</b:Volume>
    <b:DOI>10.1016/j.pec.2022.107581</b:DOI>
    <b:Author>
      <b:Author>
        <b:NameList>
          <b:Person>
            <b:Last>Xin</b:Last>
            <b:First>M</b:First>
          </b:Person>
          <b:Person>
            <b:Last>Chan</b:Last>
            <b:Middle>W</b:Middle>
            <b:First>V</b:First>
          </b:Person>
          <b:Person>
            <b:Last>Kong</b:Last>
            <b:Middle>P</b:Middle>
            <b:First>A</b:First>
          </b:Person>
          <b:Person>
            <b:Last>Lau</b:Last>
            <b:Middle>T</b:Middle>
            <b:First>J</b:First>
          </b:Person>
          <b:Person>
            <b:Last>Cameron</b:Last>
            <b:Middle>D</b:Middle>
            <b:First>L</b:First>
          </b:Person>
          <b:Person>
            <b:Last>Mak</b:Last>
            <b:Middle>W</b:Middle>
            <b:First>W</b:First>
          </b:Person>
          <b:Person>
            <b:Last>Mo</b:Last>
            <b:Middle>K</b:Middle>
            <b:First>P</b:First>
          </b:Person>
        </b:NameList>
      </b:Author>
    </b:Author>
    <b:RefOrder>19</b:RefOrder>
  </b:Source>
  <b:Source>
    <b:Tag>Lev12</b:Tag>
    <b:SourceType>BookSection</b:SourceType>
    <b:Guid>{7E2C4907-497C-4F41-BBD5-BE32DCE0BCDD}</b:Guid>
    <b:Title>The common-sense model of self-regulation of health and illness</b:Title>
    <b:Year>2012</b:Year>
    <b:Pages>43-66</b:Pages>
    <b:Author>
      <b:Author>
        <b:NameList>
          <b:Person>
            <b:Last>Leventhal</b:Last>
            <b:First>H</b:First>
          </b:Person>
          <b:Person>
            <b:Last>Brissette</b:Last>
            <b:First>I</b:First>
          </b:Person>
          <b:Person>
            <b:Last>Leventhal</b:Last>
            <b:Middle>A</b:Middle>
            <b:First>E</b:First>
          </b:Person>
        </b:NameList>
      </b:Author>
    </b:Author>
    <b:BookTitle>The self-regulation of health and illness behaviour</b:BookTitle>
    <b:Publisher>Routledge</b:Publisher>
    <b:RefOrder>20</b:RefOrder>
  </b:Source>
  <b:Source>
    <b:Tag>McA08</b:Tag>
    <b:SourceType>JournalArticle</b:SourceType>
    <b:Guid>{C916A25B-5B24-488B-B473-DD80993D8961}</b:Guid>
    <b:Title>Using the common sense model to design interventions for the prevention and management of chronic illness threats: from description to process</b:Title>
    <b:Year>2008</b:Year>
    <b:Pages>195-204</b:Pages>
    <b:JournalName>British journal of health psychology</b:JournalName>
    <b:Volume>13</b:Volume>
    <b:Issue>2</b:Issue>
    <b:DOI>10.1348/135910708X295604</b:DOI>
    <b:Author>
      <b:Author>
        <b:NameList>
          <b:Person>
            <b:Last>McAndrew</b:Last>
            <b:Middle>M</b:Middle>
            <b:First>L</b:First>
          </b:Person>
          <b:Person>
            <b:Last>Musumeci‐Szabó</b:Last>
            <b:Middle>J</b:Middle>
            <b:First>T</b:First>
          </b:Person>
          <b:Person>
            <b:Last>Mora</b:Last>
            <b:Middle>A</b:Middle>
            <b:First>P</b:First>
          </b:Person>
          <b:Person>
            <b:Last>Vileikyte</b:Last>
            <b:First>L</b:First>
          </b:Person>
          <b:Person>
            <b:Last>Burns</b:Last>
            <b:First>E</b:First>
          </b:Person>
          <b:Person>
            <b:Last>Halm</b:Last>
            <b:Middle>A</b:Middle>
            <b:First>E</b:First>
          </b:Person>
          <b:Person>
            <b:Last>Leventhal</b:Last>
            <b:First>H</b:First>
          </b:Person>
        </b:NameList>
      </b:Author>
    </b:Author>
    <b:RefOrder>21</b:RefOrder>
  </b:Source>
  <b:Source>
    <b:Tag>Bom18</b:Tag>
    <b:SourceType>JournalArticle</b:SourceType>
    <b:Guid>{91349E78-F5B9-4F6E-A546-C1AD4C6AE74A}</b:Guid>
    <b:Title>Global economic burden of diabetes in adults: projections from 2015 to 2030</b:Title>
    <b:JournalName>Diabetes care</b:JournalName>
    <b:Year>2018</b:Year>
    <b:Pages>963-970</b:Pages>
    <b:Volume>41</b:Volume>
    <b:Issue>5</b:Issue>
    <b:DOI>10.2337/dc17-1962</b:DOI>
    <b:Author>
      <b:Author>
        <b:NameList>
          <b:Person>
            <b:Last>Bommer</b:Last>
            <b:First>C</b:First>
          </b:Person>
          <b:Person>
            <b:Last>Sagalova</b:Last>
            <b:First>V</b:First>
          </b:Person>
          <b:Person>
            <b:Last>Heesemann</b:Last>
            <b:First>E</b:First>
          </b:Person>
          <b:Person>
            <b:Last>Manne-Goehler</b:Last>
            <b:First>J</b:First>
          </b:Person>
          <b:Person>
            <b:Last>Atun</b:Last>
            <b:First>R</b:First>
          </b:Person>
          <b:Person>
            <b:Last>Bärnighausen</b:Last>
            <b:First>T</b:First>
          </b:Person>
          <b:Person>
            <b:Last>Vollmer</b:Last>
            <b:First>S</b:First>
          </b:Person>
        </b:NameList>
      </b:Author>
    </b:Author>
    <b:RefOrder>5</b:RefOrder>
  </b:Source>
  <b:Source>
    <b:Tag>Bro06</b:Tag>
    <b:SourceType>JournalArticle</b:SourceType>
    <b:Guid>{625EDD56-26BF-4AB4-B385-044767206047}</b:Guid>
    <b:Title>The brief illness perception questionnaire</b:Title>
    <b:JournalName>Journal of psychosomatic research</b:JournalName>
    <b:Year>2006</b:Year>
    <b:Pages>631-637</b:Pages>
    <b:Volume>60</b:Volume>
    <b:Issue>6</b:Issue>
    <b:DOI>10.1016/j.jpsychores.2005.10.020</b:DOI>
    <b:Author>
      <b:Author>
        <b:NameList>
          <b:Person>
            <b:Last>Broadbent</b:Last>
            <b:First>E</b:First>
          </b:Person>
          <b:Person>
            <b:Last>Petrie</b:Last>
            <b:Middle>J</b:Middle>
            <b:First>K</b:First>
          </b:Person>
          <b:Person>
            <b:Last>Main</b:Last>
            <b:First>J</b:First>
          </b:Person>
          <b:Person>
            <b:Last>Weinman</b:Last>
            <b:First>J</b:First>
          </b:Person>
        </b:NameList>
      </b:Author>
    </b:Author>
    <b:RefOrder>14</b:RefOrder>
  </b:Source>
  <b:Source>
    <b:Tag>But23</b:Tag>
    <b:SourceType>JournalArticle</b:SourceType>
    <b:Guid>{4F01AD4E-9C89-4FE6-936A-E74E37A4A391}</b:Guid>
    <b:Title>The impact of health literacy interventions on glycemic control and self‐management outcomes among type 2 diabetes mellitus: A systematic review</b:Title>
    <b:JournalName>Journal of diabetes</b:JournalName>
    <b:Year>2023</b:Year>
    <b:Pages>724-735</b:Pages>
    <b:Volume>15</b:Volume>
    <b:Issue>9</b:Issue>
    <b:DOI>10.1111/1753-0407.13436</b:DOI>
    <b:Author>
      <b:Author>
        <b:NameList>
          <b:Person>
            <b:Last>Butayeva</b:Last>
            <b:First>J</b:First>
          </b:Person>
          <b:Person>
            <b:Last>Ratan</b:Last>
            <b:Middle>A</b:Middle>
            <b:First>Z</b:First>
          </b:Person>
          <b:Person>
            <b:Last>Downie</b:Last>
            <b:First>S</b:First>
          </b:Person>
          <b:Person>
            <b:Last>Hosseinzadeh</b:Last>
            <b:First>H</b:First>
          </b:Person>
        </b:NameList>
      </b:Author>
    </b:Author>
    <b:RefOrder>10</b:RefOrder>
  </b:Source>
  <b:Source>
    <b:Tag>Cho20</b:Tag>
    <b:SourceType>JournalArticle</b:SourceType>
    <b:Guid>{8B75601B-EC0F-430C-B6D8-4EC13717BA20}</b:Guid>
    <b:Title>The role of illness perceptions, coping, and self-efficacy on adherence to precautionary measures for COVID-19</b:Title>
    <b:JournalName>International journal of environmental research and public health</b:JournalName>
    <b:Year>2020</b:Year>
    <b:Pages>6540</b:Pages>
    <b:Volume>17</b:Volume>
    <b:Issue>18</b:Issue>
    <b:DOI>10.3390/ijerph17186540</b:DOI>
    <b:Author>
      <b:Author>
        <b:NameList>
          <b:Person>
            <b:Last>Chong</b:Last>
            <b:Middle>Y</b:Middle>
            <b:First>Y</b:First>
          </b:Person>
          <b:Person>
            <b:Last>Chien</b:Last>
            <b:Middle>T</b:Middle>
            <b:First>W</b:First>
          </b:Person>
          <b:Person>
            <b:Last>Cheng</b:Last>
            <b:Middle>Y</b:Middle>
            <b:First>H</b:First>
          </b:Person>
          <b:Person>
            <b:Last>Chow</b:Last>
            <b:Middle>M</b:Middle>
            <b:First>K</b:First>
          </b:Person>
          <b:Person>
            <b:Last>Kassianos</b:Last>
            <b:Middle>P</b:Middle>
            <b:First>A</b:First>
          </b:Person>
          <b:Person>
            <b:Last>Karekla</b:Last>
            <b:First>M</b:First>
          </b:Person>
          <b:Person>
            <b:Last>Gloster</b:Last>
            <b:First>A</b:First>
          </b:Person>
        </b:NameList>
      </b:Author>
    </b:Author>
    <b:RefOrder>4</b:RefOrder>
  </b:Source>
  <b:Source>
    <b:Tag>Col10</b:Tag>
    <b:SourceType>JournalArticle</b:SourceType>
    <b:Guid>{1714846F-6BFD-4D85-805D-745DA840A893}</b:Guid>
    <b:Title>Exercise and type 2 diabetes: the American College of Sports Medicine and the American Diabetes Association: joint position statement</b:Title>
    <b:JournalName>Diabetes care</b:JournalName>
    <b:Year>2010</b:Year>
    <b:Pages>e147-e167</b:Pages>
    <b:Volume>33</b:Volume>
    <b:Issue>12</b:Issue>
    <b:DOI>10.2337/dc10-9990</b:DOI>
    <b:Author>
      <b:Author>
        <b:NameList>
          <b:Person>
            <b:Last>Colberg</b:Last>
            <b:Middle>R</b:Middle>
            <b:First>S</b:First>
          </b:Person>
          <b:Person>
            <b:Last>Sigal</b:Last>
            <b:Middle>J</b:Middle>
            <b:First>R</b:First>
          </b:Person>
          <b:Person>
            <b:Last>Fernhall</b:Last>
            <b:First>B</b:First>
          </b:Person>
          <b:Person>
            <b:Last>Regensteiner</b:Last>
            <b:Middle>G</b:Middle>
            <b:First>J</b:First>
          </b:Person>
          <b:Person>
            <b:Last>Blissmer</b:Last>
            <b:Middle>J</b:Middle>
            <b:First>B</b:First>
          </b:Person>
          <b:Person>
            <b:Last>Rubin</b:Last>
            <b:Middle>R</b:Middle>
            <b:First>R</b:First>
          </b:Person>
          <b:Person>
            <b:Last>Braun</b:Last>
            <b:First>B</b:First>
          </b:Person>
        </b:NameList>
      </b:Author>
    </b:Author>
    <b:RefOrder>12</b:RefOrder>
  </b:Source>
  <b:Source>
    <b:Tag>Eve14</b:Tag>
    <b:SourceType>JournalArticle</b:SourceType>
    <b:Guid>{465C81CA-BF1A-407D-85DA-4DBBEEFC6C2C}</b:Guid>
    <b:Title>Nutrition therapy recommendations for the management of adults with diabetes</b:Title>
    <b:JournalName>Diabetes care</b:JournalName>
    <b:Year>2014</b:Year>
    <b:Pages>S120–S143</b:Pages>
    <b:Volume>37</b:Volume>
    <b:Issue>1</b:Issue>
    <b:DOI>10.2337/dc14-S120</b:DOI>
    <b:Author>
      <b:Author>
        <b:NameList>
          <b:Person>
            <b:Last>Evert</b:Last>
            <b:Middle>B</b:Middle>
            <b:First>A</b:First>
          </b:Person>
          <b:Person>
            <b:Last>Boucher</b:Last>
            <b:Middle>L</b:Middle>
            <b:First>J</b:First>
          </b:Person>
          <b:Person>
            <b:Last>Cypress</b:Last>
            <b:First>M</b:First>
          </b:Person>
          <b:Person>
            <b:Last>Dunbar</b:Last>
            <b:Middle>A</b:Middle>
            <b:First>S</b:First>
          </b:Person>
          <b:Person>
            <b:Last>Franz</b:Last>
            <b:Middle>J</b:Middle>
            <b:First>M</b:First>
          </b:Person>
          <b:Person>
            <b:Last>Mayer-Davis</b:Last>
            <b:Middle>J</b:Middle>
            <b:First>E</b:First>
          </b:Person>
          <b:Person>
            <b:Last>Yancy Jr</b:Last>
            <b:Middle>S</b:Middle>
            <b:First>W</b:First>
          </b:Person>
        </b:NameList>
      </b:Author>
    </b:Author>
    <b:RefOrder>11</b:RefOrder>
  </b:Source>
  <b:Source>
    <b:Tag>Hag03</b:Tag>
    <b:SourceType>JournalArticle</b:SourceType>
    <b:Guid>{68FA2FE9-18FE-4C2A-8D9B-FEBBA8F4259D}</b:Guid>
    <b:Title>A meta-analytic review of the common-sense model of illness representations</b:Title>
    <b:JournalName>Psychology and health</b:JournalName>
    <b:Year>2003</b:Year>
    <b:Pages>141-184</b:Pages>
    <b:Volume>18</b:Volume>
    <b:Issue>2</b:Issue>
    <b:DOI>10.1080/088704403100081321</b:DOI>
    <b:Author>
      <b:Author>
        <b:NameList>
          <b:Person>
            <b:Last>Hagger</b:Last>
            <b:Middle>S</b:Middle>
            <b:First>M</b:First>
          </b:Person>
          <b:Person>
            <b:Last>Orbell</b:Last>
            <b:First>S</b:First>
          </b:Person>
        </b:NameList>
      </b:Author>
    </b:Author>
    <b:RefOrder>3</b:RefOrder>
  </b:Source>
  <b:Source>
    <b:Tag>Hex24</b:Tag>
    <b:SourceType>JournalArticle</b:SourceType>
    <b:Guid>{6BBF57C6-A9DB-4F64-B273-A8AD95898D5B}</b:Guid>
    <b:Title>Estimation of the direct health and indirect societal costs of diabetes in the UK using a cost of illness model</b:Title>
    <b:JournalName>Diabetic Medicine</b:JournalName>
    <b:Year>2024</b:Year>
    <b:Pages>e15326</b:Pages>
    <b:Volume>41</b:Volume>
    <b:Issue>9</b:Issue>
    <b:DOI>10.1111/dme.15326</b:DOI>
    <b:Author>
      <b:Author>
        <b:NameList>
          <b:Person>
            <b:Last>Hex</b:Last>
            <b:First>N</b:First>
          </b:Person>
          <b:Person>
            <b:Last>MacDonald</b:Last>
            <b:First>R</b:First>
          </b:Person>
          <b:Person>
            <b:Last>Pocock</b:Last>
            <b:First>J</b:First>
          </b:Person>
          <b:Person>
            <b:Last>Uzdzinska</b:Last>
            <b:First>B</b:First>
          </b:Person>
          <b:Person>
            <b:Last>Taylor</b:Last>
            <b:First>M</b:First>
          </b:Person>
          <b:Person>
            <b:Last>Atkin</b:Last>
            <b:First>M</b:First>
          </b:Person>
          <b:Person>
            <b:Last>Jones</b:Last>
            <b:First>R</b:First>
          </b:Person>
        </b:NameList>
      </b:Author>
    </b:Author>
    <b:RefOrder>6</b:RefOrder>
  </b:Source>
  <b:Source>
    <b:Tag>Lev161</b:Tag>
    <b:SourceType>JournalArticle</b:SourceType>
    <b:Guid>{3C073845-FC5B-4A8B-8996-1763678C48FE}</b:Guid>
    <b:Title>The Common-Sense Model of Self-Regulation (CSM): a dynamic framework for understanding illness self-management</b:Title>
    <b:JournalName>Journal of behavioral medicine</b:JournalName>
    <b:Year>2016</b:Year>
    <b:Pages>935-946</b:Pages>
    <b:Volume>39</b:Volume>
    <b:DOI>10.1007/s10865-016-9782-2</b:DOI>
    <b:Author>
      <b:Author>
        <b:NameList>
          <b:Person>
            <b:Last>Leventhal</b:Last>
            <b:First>H</b:First>
          </b:Person>
          <b:Person>
            <b:Last>Phillips</b:Last>
            <b:Middle>A</b:Middle>
            <b:First>L</b:First>
          </b:Person>
          <b:Person>
            <b:Last>Burns</b:Last>
            <b:First>E</b:First>
          </b:Person>
        </b:NameList>
      </b:Author>
    </b:Author>
    <b:RefOrder>18</b:RefOrder>
  </b:Source>
  <b:Source>
    <b:Tag>Ros74</b:Tag>
    <b:SourceType>JournalArticle</b:SourceType>
    <b:Guid>{4922E2CE-7012-4523-9F50-086C508CE01F}</b:Guid>
    <b:Title>The health belief model and preventive health behavior</b:Title>
    <b:JournalName>Health education monographs</b:JournalName>
    <b:Year>1974</b:Year>
    <b:Pages>354-386</b:Pages>
    <b:Volume>2</b:Volume>
    <b:Issue>4</b:Issue>
    <b:DOI>10.1177/109019817400200405</b:DOI>
    <b:Author>
      <b:Author>
        <b:NameList>
          <b:Person>
            <b:Last>Rosenstock</b:Last>
            <b:Middle>M</b:Middle>
            <b:First>I</b:First>
          </b:Person>
        </b:NameList>
      </b:Author>
    </b:Author>
    <b:RefOrder>2</b:RefOrder>
  </b:Source>
  <b:Source>
    <b:Tag>Pet07</b:Tag>
    <b:SourceType>JournalArticle</b:SourceType>
    <b:Guid>{2D264796-4862-4F02-A410-DF25FB9F0C2D}</b:Guid>
    <b:Title>The role of illness perceptions in patients with medical conditions</b:Title>
    <b:JournalName>Current opinion in psychiatry</b:JournalName>
    <b:Year>2007</b:Year>
    <b:Pages>163-167</b:Pages>
    <b:Volume>20</b:Volume>
    <b:Issue>2</b:Issue>
    <b:DOI>10.1097/YCO.0b013e328014a871</b:DOI>
    <b:Author>
      <b:Author>
        <b:NameList>
          <b:Person>
            <b:Last>Petrie</b:Last>
            <b:Middle>J</b:Middle>
            <b:First>K</b:First>
          </b:Person>
          <b:Person>
            <b:Last>Jago</b:Last>
            <b:Middle>A</b:Middle>
            <b:First>L</b:First>
          </b:Person>
          <b:Person>
            <b:Last>Devcich</b:Last>
            <b:Middle>A</b:Middle>
            <b:First>D</b:First>
          </b:Person>
        </b:NameList>
      </b:Author>
    </b:Author>
    <b:RefOrder>25</b:RefOrder>
  </b:Source>
  <b:Source>
    <b:Tag>Hor02</b:Tag>
    <b:SourceType>JournalArticle</b:SourceType>
    <b:Guid>{B6B8E69C-3FD4-47DB-BB66-0CFAB38CD454}</b:Guid>
    <b:Title>Self-regulation and self-management in asthma: exploring the role of illness perceptions and treatment beliefs in explaining non-adherence to preventer medication</b:Title>
    <b:JournalName>Psychology and Health</b:JournalName>
    <b:Year>2002</b:Year>
    <b:Pages>17-32</b:Pages>
    <b:Volume>17</b:Volume>
    <b:Issue>1</b:Issue>
    <b:DOI>10.1080/08870440290001502</b:DOI>
    <b:Author>
      <b:Author>
        <b:NameList>
          <b:Person>
            <b:Last>Horne</b:Last>
            <b:First>R</b:First>
          </b:Person>
          <b:Person>
            <b:Last>Weinman</b:Last>
            <b:First>J</b:First>
          </b:Person>
        </b:NameList>
      </b:Author>
    </b:Author>
    <b:RefOrder>22</b:RefOrder>
  </b:Source>
  <b:Source>
    <b:Tag>Wan21</b:Tag>
    <b:SourceType>JournalArticle</b:SourceType>
    <b:Guid>{4EE43F8F-DE2C-40CF-B399-4C4DDC15480C}</b:Guid>
    <b:Title>Effects of illness perceptions on health-related quality of life in patients with rheumatoid arthritis in China</b:Title>
    <b:JournalName>Health and quality of life outcomes</b:JournalName>
    <b:Year>2021</b:Year>
    <b:Pages>1-11</b:Pages>
    <b:Volume>19</b:Volume>
    <b:DOI>10.1186/s12955-021-01770-4</b:DOI>
    <b:Author>
      <b:Author>
        <b:NameList>
          <b:Person>
            <b:Last>Wang</b:Last>
            <b:First>J</b:First>
          </b:Person>
          <b:Person>
            <b:Last>Yang</b:Last>
            <b:First>Z</b:First>
          </b:Person>
          <b:Person>
            <b:Last>Zheng</b:Last>
            <b:First>Y</b:First>
          </b:Person>
          <b:Person>
            <b:Last>Peng</b:Last>
            <b:First>Y</b:First>
          </b:Person>
          <b:Person>
            <b:Last>Wang</b:Last>
            <b:First>Q</b:First>
          </b:Person>
          <b:Person>
            <b:Last>Xia</b:Last>
            <b:First>H</b:First>
          </b:Person>
          <b:Person>
            <b:Last>Zheng</b:Last>
            <b:First>Z</b:First>
          </b:Person>
        </b:NameList>
      </b:Author>
    </b:Author>
    <b:RefOrder>23</b:RefOrder>
  </b:Source>
  <b:Source>
    <b:Tag>GuX24</b:Tag>
    <b:SourceType>JournalArticle</b:SourceType>
    <b:Guid>{0C280E04-CADD-42E9-8193-A39611EC850F}</b:Guid>
    <b:Title>The effects of common-sense model interventions on cancer patients: A systematic review</b:Title>
    <b:JournalName>Medicine</b:JournalName>
    <b:Year>2024</b:Year>
    <b:Pages>e37777</b:Pages>
    <b:Volume>103</b:Volume>
    <b:Issue>17</b:Issue>
    <b:DOI>10.1097/MD.0000000000037777</b:DOI>
    <b:Author>
      <b:Author>
        <b:NameList>
          <b:Person>
            <b:Last>Gu</b:Last>
            <b:First>X</b:First>
          </b:Person>
          <b:Person>
            <b:Last>Shen</b:Last>
            <b:First>X</b:First>
          </b:Person>
          <b:Person>
            <b:Last>Zhou</b:Last>
            <b:Middle>R</b:Middle>
            <b:First>J</b:First>
          </b:Person>
          <b:Person>
            <b:Last>Chu</b:Last>
            <b:Middle>H</b:Middle>
            <b:First>J</b:First>
          </b:Person>
          <b:Person>
            <b:Last>Jiang</b:Last>
            <b:First>L</b:First>
          </b:Person>
        </b:NameList>
      </b:Author>
    </b:Author>
    <b:RefOrder>24</b:RefOrder>
  </b:Source>
  <b:Source>
    <b:Tag>Wei96</b:Tag>
    <b:SourceType>JournalArticle</b:SourceType>
    <b:Guid>{4A8C2A19-F25D-4D52-9841-460B2807FD3C}</b:Guid>
    <b:Title>The illness perception questionnaire: a new method for assessing the cognitive representation of illness</b:Title>
    <b:JournalName>Psychology and health</b:JournalName>
    <b:Year>1996</b:Year>
    <b:Pages>431-445</b:Pages>
    <b:Volume>11</b:Volume>
    <b:Issue>3</b:Issue>
    <b:DOI>10.1080/08870449608400270</b:DOI>
    <b:Author>
      <b:Author>
        <b:NameList>
          <b:Person>
            <b:Last>Weinman</b:Last>
            <b:First>J</b:First>
          </b:Person>
          <b:Person>
            <b:Last>Petrie</b:Last>
            <b:Middle>J</b:Middle>
            <b:First>K</b:First>
          </b:Person>
          <b:Person>
            <b:Last>Moss-Morris</b:Last>
            <b:First>R</b:First>
          </b:Person>
          <b:Person>
            <b:Last>Horne</b:Last>
            <b:First>R</b:First>
          </b:Person>
        </b:NameList>
      </b:Author>
    </b:Author>
    <b:RefOrder>75</b:RefOrder>
  </b:Source>
  <b:Source>
    <b:Tag>Mos02</b:Tag>
    <b:SourceType>JournalArticle</b:SourceType>
    <b:Guid>{9C0C7B92-76F3-4C9A-9DE2-9BA47466FC33}</b:Guid>
    <b:Title>The revised illness perception questionnaire (IPQ-R)</b:Title>
    <b:JournalName>Psychology and health</b:JournalName>
    <b:Year>2002</b:Year>
    <b:Pages>1-16</b:Pages>
    <b:Volume>17</b:Volume>
    <b:Issue>1</b:Issue>
    <b:DOI>10.1080/08870440290001494</b:DOI>
    <b:Author>
      <b:Author>
        <b:NameList>
          <b:Person>
            <b:Last>Moss-Morris</b:Last>
            <b:First>R</b:First>
          </b:Person>
          <b:Person>
            <b:Last>Weinman</b:Last>
            <b:First>J</b:First>
          </b:Person>
          <b:Person>
            <b:Last>Petrie</b:Last>
            <b:First>K</b:First>
          </b:Person>
          <b:Person>
            <b:Last>Horne</b:Last>
            <b:First>R</b:First>
          </b:Person>
          <b:Person>
            <b:Last>Cameron</b:Last>
            <b:First>L</b:First>
          </b:Person>
          <b:Person>
            <b:Last>Buick</b:Last>
            <b:First>D</b:First>
          </b:Person>
        </b:NameList>
      </b:Author>
    </b:Author>
    <b:RefOrder>76</b:RefOrder>
  </b:Source>
  <b:Source>
    <b:Tag>Pol92</b:Tag>
    <b:SourceType>JournalArticle</b:SourceType>
    <b:Guid>{370DDCA7-18DC-48D1-840E-23F9B45104A4}</b:Guid>
    <b:Title>Diabetes health beliefs, self-care behaviors, and glycemic control among older adults with non-insulin-dependent diabetes mellitus</b:Title>
    <b:JournalName>The Diabetes Educator</b:JournalName>
    <b:Year>1992</b:Year>
    <b:Pages>321-327</b:Pages>
    <b:Volume>18</b:Volume>
    <b:Issue>4</b:Issue>
    <b:DOI>10.1177/014572179201800411</b:DOI>
    <b:Author>
      <b:Author>
        <b:NameList>
          <b:Person>
            <b:Last>Polly</b:Last>
            <b:Middle>K</b:Middle>
            <b:First>R</b:First>
          </b:Person>
        </b:NameList>
      </b:Author>
    </b:Author>
    <b:RefOrder>26</b:RefOrder>
  </b:Source>
  <b:Source>
    <b:Tag>Tsa21</b:Tag>
    <b:SourceType>JournalArticle</b:SourceType>
    <b:Guid>{5BFA556C-CC42-4428-9A91-7DB92205E67A}</b:Guid>
    <b:Title>Exploring the relationship of health beliefs and self-care behaviors related to diabetic foot ulcers of type II diabetes mellitus patients: A cross-sectional study</b:Title>
    <b:JournalName>International Journal of Environmental Research and Public Health</b:JournalName>
    <b:Year>2021</b:Year>
    <b:Pages>7207</b:Pages>
    <b:Volume>18</b:Volume>
    <b:Issue>13</b:Issue>
    <b:DOI>10.3390/ijerph18137207</b:DOI>
    <b:Author>
      <b:Author>
        <b:NameList>
          <b:Person>
            <b:Last>Tsai</b:Last>
            <b:Middle>C</b:Middle>
            <b:First>M</b:First>
          </b:Person>
          <b:Person>
            <b:Last>Chuang</b:Last>
            <b:Middle>L</b:Middle>
            <b:First>H</b:First>
          </b:Person>
          <b:Person>
            <b:Last>Huang</b:Last>
            <b:Middle>Y</b:Middle>
            <b:First>C</b:First>
          </b:Person>
          <b:Person>
            <b:Last>Lee</b:Last>
            <b:Middle>H</b:Middle>
            <b:First>S</b:First>
          </b:Person>
          <b:Person>
            <b:Last>Liao</b:Last>
            <b:Middle>C</b:Middle>
            <b:First>W</b:First>
          </b:Person>
          <b:Person>
            <b:Last>Lee</b:Last>
            <b:Middle>C</b:Middle>
            <b:First>M</b:First>
          </b:Person>
          <b:Person>
            <b:Last>Kuo</b:Last>
            <b:Middle>P</b:Middle>
            <b:First>C</b:First>
          </b:Person>
        </b:NameList>
      </b:Author>
    </b:Author>
    <b:RefOrder>27</b:RefOrder>
  </b:Source>
  <b:Source>
    <b:Tag>HuY22</b:Tag>
    <b:SourceType>JournalArticle</b:SourceType>
    <b:Guid>{FBEE9DFF-16D1-4F00-9FC3-E201E3DC9F62}</b:Guid>
    <b:Title>Factors influencing self-care behaviours of patients with type 2 diabetes in China based on the health belief model: a cross-sectional study</b:Title>
    <b:JournalName>BMJ open</b:JournalName>
    <b:Year>2022</b:Year>
    <b:Pages>e044369</b:Pages>
    <b:Volume>12</b:Volume>
    <b:Issue>8</b:Issue>
    <b:DOI>10.1136/bmjopen-2020-044369</b:DOI>
    <b:Author>
      <b:Author>
        <b:NameList>
          <b:Person>
            <b:Last>Hu</b:Last>
            <b:First>Y</b:First>
          </b:Person>
          <b:Person>
            <b:Last>Liu</b:Last>
            <b:First>H</b:First>
          </b:Person>
          <b:Person>
            <b:Last>Wu</b:Last>
            <b:First>J</b:First>
          </b:Person>
          <b:Person>
            <b:Last>Fang</b:Last>
            <b:First>G</b:First>
          </b:Person>
        </b:NameList>
      </b:Author>
    </b:Author>
    <b:RefOrder>28</b:RefOrder>
  </b:Source>
  <b:Source>
    <b:Tag>Keo11</b:Tag>
    <b:SourceType>JournalArticle</b:SourceType>
    <b:Guid>{2724E8B2-2141-4BC7-BCCF-E0396E6644CE}</b:Guid>
    <b:Title>Psychological family intervention for poorly controlled type 2 diabetes</b:Title>
    <b:JournalName>The American journal of managed care</b:JournalName>
    <b:Year>2011</b:Year>
    <b:Pages>105-113</b:Pages>
    <b:Volume>17</b:Volume>
    <b:Issue>2</b:Issue>
    <b:Author>
      <b:Author>
        <b:NameList>
          <b:Person>
            <b:Last>Keogh</b:Last>
            <b:Middle>M</b:Middle>
            <b:First>K</b:First>
          </b:Person>
          <b:Person>
            <b:Last>Smith</b:Last>
            <b:Middle>M</b:Middle>
            <b:First>S</b:First>
          </b:Person>
          <b:Person>
            <b:Last>White</b:Last>
            <b:First>P</b:First>
          </b:Person>
          <b:Person>
            <b:Last>McGilloway</b:Last>
            <b:First>S</b:First>
          </b:Person>
          <b:Person>
            <b:Last>Kelly</b:Last>
            <b:First>A</b:First>
          </b:Person>
          <b:Person>
            <b:Last>Gibney</b:Last>
            <b:First>J</b:First>
          </b:Person>
          <b:Person>
            <b:Last>O'Dowd</b:Last>
            <b:First>T</b:First>
          </b:Person>
        </b:NameList>
      </b:Author>
    </b:Author>
    <b:URL>https://mural.maynoothuniversity.ie/id/eprint/9283/</b:URL>
    <b:RefOrder>29</b:RefOrder>
  </b:Source>
  <b:Source>
    <b:Tag>Esh23</b:Tag>
    <b:SourceType>JournalArticle</b:SourceType>
    <b:Guid>{0D1421F5-A19A-467C-9D8A-8F09F67E5C9E}</b:Guid>
    <b:Title>Association between illness perception and medication adherence in patients with diabetes mellitus in North Shoa, Zone: cross-sectional study</b:Title>
    <b:JournalName>Frontiers in Public Health</b:JournalName>
    <b:Year>2023</b:Year>
    <b:Pages>1214725</b:Pages>
    <b:Volume>11</b:Volume>
    <b:DOI>10.3389/fpubh.2023.1214725</b:DOI>
    <b:Author>
      <b:Author>
        <b:NameList>
          <b:Person>
            <b:Last>Eshete</b:Last>
            <b:First>A</b:First>
          </b:Person>
          <b:Person>
            <b:Last>Getye</b:Last>
            <b:First>B</b:First>
          </b:Person>
          <b:Person>
            <b:Last>Aynaddis</b:Last>
            <b:First>G</b:First>
          </b:Person>
          <b:Person>
            <b:Last>Tilaye</b:Last>
            <b:First>B</b:First>
          </b:Person>
          <b:Person>
            <b:Last>Mekonnen</b:Last>
            <b:First>E</b:First>
          </b:Person>
          <b:Person>
            <b:Last>Taye</b:Last>
            <b:First>B</b:First>
          </b:Person>
          <b:Person>
            <b:Last>Assefa</b:Last>
            <b:First>Y</b:First>
          </b:Person>
        </b:NameList>
      </b:Author>
    </b:Author>
    <b:RefOrder>30</b:RefOrder>
  </b:Source>
  <b:Source>
    <b:Tag>Poo24</b:Tag>
    <b:SourceType>JournalArticle</b:SourceType>
    <b:Guid>{48A8377B-38A8-4E3B-9D79-375446A07610}</b:Guid>
    <b:Title>Diabetes distress: The psychological burden of living with diabetes</b:Title>
    <b:JournalName>The Lancet Diabetes &amp; Endocrinology</b:JournalName>
    <b:Year>2024</b:Year>
    <b:Pages>439-441</b:Pages>
    <b:Volume>12</b:Volume>
    <b:Issue>7</b:Issue>
    <b:DOI>10.1016/S2213-8587(24)00126-8</b:DOI>
    <b:Author>
      <b:Author>
        <b:NameList>
          <b:Person>
            <b:Last>Poole</b:Last>
            <b:First>L</b:First>
          </b:Person>
          <b:Person>
            <b:Last>Hackett</b:Last>
            <b:Middle>A</b:Middle>
            <b:First>R</b:First>
          </b:Person>
        </b:NameList>
      </b:Author>
    </b:Author>
    <b:RefOrder>31</b:RefOrder>
  </b:Source>
  <b:Source>
    <b:Tag>Bro11</b:Tag>
    <b:SourceType>JournalArticle</b:SourceType>
    <b:Guid>{EC8B71B8-70C8-4095-97CA-6A0515571C33}</b:Guid>
    <b:Title>Illness and treatment perceptions are associated with adherence to medications, diet, and exercise in diabetic patients</b:Title>
    <b:JournalName>Diabetes care</b:JournalName>
    <b:Year>2011</b:Year>
    <b:Pages>338-340</b:Pages>
    <b:Volume>34</b:Volume>
    <b:Issue>2</b:Issue>
    <b:DOI>10.2337/dc10-1779</b:DOI>
    <b:Author>
      <b:Author>
        <b:NameList>
          <b:Person>
            <b:Last>Broadbent</b:Last>
            <b:First>E</b:First>
          </b:Person>
          <b:Person>
            <b:Last>Donkin</b:Last>
            <b:First>L</b:First>
          </b:Person>
          <b:Person>
            <b:Last>Stroh</b:Last>
            <b:Middle>C</b:Middle>
            <b:First>J</b:First>
          </b:Person>
        </b:NameList>
      </b:Author>
    </b:Author>
    <b:RefOrder>32</b:RefOrder>
  </b:Source>
  <b:Source>
    <b:Tag>Wal12</b:Tag>
    <b:SourceType>JournalArticle</b:SourceType>
    <b:Guid>{BFB1CDD1-DE93-424C-8E98-2EC33245A0DA}</b:Guid>
    <b:Title>Effect of diabetes fatalism on medication adherence and self-care behaviors in adults with diabetes</b:Title>
    <b:JournalName>General hospital psychiatry</b:JournalName>
    <b:Year>2012</b:Year>
    <b:Pages>598-603</b:Pages>
    <b:Volume>34</b:Volume>
    <b:Issue>6</b:Issue>
    <b:DOI>10.1016/j.genhosppsych.2012.07.005</b:DOI>
    <b:Author>
      <b:Author>
        <b:NameList>
          <b:Person>
            <b:Last>Walker</b:Last>
            <b:Middle>J</b:Middle>
            <b:First>R</b:First>
          </b:Person>
          <b:Person>
            <b:Last>Smalls</b:Last>
            <b:Middle>L</b:Middle>
            <b:First>B</b:First>
          </b:Person>
          <b:Person>
            <b:Last>Hernandez-Tejada</b:Last>
            <b:Middle>A</b:Middle>
            <b:First>M</b:First>
          </b:Person>
          <b:Person>
            <b:Last>Campbell</b:Last>
            <b:Middle>A</b:Middle>
            <b:First>J</b:First>
          </b:Person>
          <b:Person>
            <b:Last>Davis</b:Last>
            <b:Middle>S</b:Middle>
            <b:First>K</b:First>
          </b:Person>
          <b:Person>
            <b:Last>Egede</b:Last>
            <b:Middle>E</b:Middle>
            <b:First>L</b:First>
          </b:Person>
        </b:NameList>
      </b:Author>
    </b:Author>
    <b:RefOrder>33</b:RefOrder>
  </b:Source>
  <b:Source>
    <b:Tag>McS11</b:Tag>
    <b:SourceType>JournalArticle</b:SourceType>
    <b:Guid>{F6D1C8B4-E773-4D63-BCAD-6D803679D5AD}</b:Guid>
    <b:Title>Illness perceptions and glycaemic control in diabetes: a systematic review with meta‐analysis</b:Title>
    <b:JournalName>Diabetic Medicine</b:JournalName>
    <b:Year>2011</b:Year>
    <b:Pages>1300-1310</b:Pages>
    <b:Volume>28</b:Volume>
    <b:Issue>11</b:Issue>
    <b:DOI>10.1111/j.1464-5491.2011.03298.x</b:DOI>
    <b:Author>
      <b:Author>
        <b:NameList>
          <b:Person>
            <b:Last>Mc Sharry</b:Last>
            <b:First>J</b:First>
          </b:Person>
          <b:Person>
            <b:Last>Moss‐Morris</b:Last>
            <b:First>R</b:First>
          </b:Person>
          <b:Person>
            <b:Last>Kendrick</b:Last>
            <b:First>T</b:First>
          </b:Person>
        </b:NameList>
      </b:Author>
    </b:Author>
    <b:RefOrder>34</b:RefOrder>
  </b:Source>
  <b:Source>
    <b:Tag>Sau22</b:Tag>
    <b:SourceType>JournalArticle</b:SourceType>
    <b:Guid>{6B367A45-C365-4266-91EF-682F40F6760C}</b:Guid>
    <b:Title>Illness perception, medication adherence and glycemic control among primary health-care patients with type 2 diabetes mellitus at Port Said City, Egypt</b:Title>
    <b:JournalName>Diabetology international</b:JournalName>
    <b:Year>2022</b:Year>
    <b:Pages>522-530</b:Pages>
    <b:Volume>13</b:Volume>
    <b:Issue>3</b:Issue>
    <b:DOI>10.1007/s13340-021-00567-6</b:DOI>
    <b:Author>
      <b:Author>
        <b:NameList>
          <b:Person>
            <b:Last>Saudi</b:Last>
            <b:Middle>A</b:Middle>
            <b:First>R</b:First>
          </b:Person>
          <b:Person>
            <b:Last>Abbas</b:Last>
            <b:Middle>A</b:Middle>
            <b:First>R</b:First>
          </b:Person>
          <b:Person>
            <b:Last>Nour-Eldein</b:Last>
            <b:First>H</b:First>
          </b:Person>
          <b:Person>
            <b:Last>Sayed Ahmed</b:Last>
            <b:Middle>A</b:Middle>
            <b:First>H</b:First>
          </b:Person>
        </b:NameList>
      </b:Author>
    </b:Author>
    <b:RefOrder>35</b:RefOrder>
  </b:Source>
  <b:Source>
    <b:Tag>Aly19</b:Tag>
    <b:SourceType>JournalArticle</b:SourceType>
    <b:Guid>{0142BBA5-697C-4212-9364-EDC2E81FBA45}</b:Guid>
    <b:Title>Illness perceptions, HbA1c, and adherence in type 2 diabetes in Saudi Arabia</b:Title>
    <b:JournalName>Patient preference and adherence</b:JournalName>
    <b:Year>2019</b:Year>
    <b:Pages>1839-1850</b:Pages>
    <b:Volume>13</b:Volume>
    <b:DOI>10.2147/PPA.S228670</b:DOI>
    <b:Author>
      <b:Author>
        <b:NameList>
          <b:Person>
            <b:Last>Alyami</b:Last>
            <b:First>M</b:First>
          </b:Person>
          <b:Person>
            <b:Last>Serlachius</b:Last>
            <b:First>A</b:First>
          </b:Person>
          <b:Person>
            <b:Last>Mokhtar</b:Last>
            <b:First>I</b:First>
          </b:Person>
          <b:Person>
            <b:Last>Broadbent</b:Last>
            <b:First>E</b:First>
          </b:Person>
        </b:NameList>
      </b:Author>
    </b:Author>
    <b:RefOrder>36</b:RefOrder>
  </b:Source>
  <b:Source>
    <b:Tag>Aik12</b:Tag>
    <b:SourceType>JournalArticle</b:SourceType>
    <b:Guid>{557813FD-9BD2-49FE-945F-A2EAC8323A3F}</b:Guid>
    <b:Title>Prospective associations between emotional distress and poor outcomes in type 2 diabetes</b:Title>
    <b:JournalName>Diabetes care</b:JournalName>
    <b:Year>2012</b:Year>
    <b:Pages>2472-2478</b:Pages>
    <b:Volume>35</b:Volume>
    <b:Issue>12</b:Issue>
    <b:DOI>10.2337/dc12-0181</b:DOI>
    <b:Author>
      <b:Author>
        <b:NameList>
          <b:Person>
            <b:Last>Aikens</b:Last>
            <b:Middle>E</b:Middle>
            <b:First>J</b:First>
          </b:Person>
        </b:NameList>
      </b:Author>
    </b:Author>
    <b:RefOrder>37</b:RefOrder>
  </b:Source>
  <b:Source>
    <b:Tag>Alh23</b:Tag>
    <b:SourceType>JournalArticle</b:SourceType>
    <b:Guid>{401179DD-C102-4220-A7FA-7C15EC7BE479}</b:Guid>
    <b:Title>Illness perception and medication adherence among adult patients with type 2 diabetes mellitus: a scoping review</b:Title>
    <b:JournalName>Clinics and Practice</b:JournalName>
    <b:Year>2023</b:Year>
    <b:Pages>71-83</b:Pages>
    <b:Volume>13</b:Volume>
    <b:Issue>1</b:Issue>
    <b:DOI>10.3390/clinpract13010007</b:DOI>
    <b:Author>
      <b:Author>
        <b:NameList>
          <b:Person>
            <b:Last>Alharbi</b:Last>
            <b:First>S</b:First>
          </b:Person>
          <b:Person>
            <b:Last>Alhofaian</b:Last>
            <b:First>A</b:First>
          </b:Person>
          <b:Person>
            <b:Last>Alaamri</b:Last>
            <b:Middle>M</b:Middle>
            <b:First>M</b:First>
          </b:Person>
        </b:NameList>
      </b:Author>
    </b:Author>
    <b:RefOrder>39</b:RefOrder>
  </b:Source>
  <b:Source>
    <b:Tag>Bil22</b:Tag>
    <b:SourceType>JournalArticle</b:SourceType>
    <b:Guid>{E3632EED-03B4-4D1F-931F-9FE090AE8CE0}</b:Guid>
    <b:Title>The relationship between illness perception and medication adherence in patients with diabetes mellitus type II: illness perception and medication adherence</b:Title>
    <b:JournalName>Journal of preventive medicine and hygiene</b:JournalName>
    <b:Year>2022</b:Year>
    <b:Pages>E966</b:Pages>
    <b:Volume>62</b:Volume>
    <b:Issue>4</b:Issue>
    <b:DOI>10.15167/2421-4248/jpmh2021.62.4.2277</b:DOI>
    <b:Author>
      <b:Author>
        <b:NameList>
          <b:Person>
            <b:Last>Bilondi</b:Last>
            <b:Middle>S</b:Middle>
            <b:First>S</b:First>
          </b:Person>
          <b:Person>
            <b:Last>Noghabi</b:Last>
            <b:Middle>D</b:Middle>
            <b:First>A</b:First>
          </b:Person>
          <b:Person>
            <b:Last>Aalami</b:Last>
            <b:First>H</b:First>
          </b:Person>
        </b:NameList>
      </b:Author>
    </b:Author>
    <b:RefOrder>38</b:RefOrder>
  </b:Source>
  <b:Source>
    <b:Tag>Kno20</b:Tag>
    <b:SourceType>JournalArticle</b:SourceType>
    <b:Guid>{79DA6936-4462-41C4-8FF3-D15D7D9BDF23}</b:Guid>
    <b:Title>Exploring the relationships between illness perceptions, self-efficacy, coping strategies, psychological distress and quality of life in a cohort of adults with diabetes mellitus</b:Title>
    <b:Year>2020</b:Year>
    <b:DOI>10.1080/13548506.2019.1695865</b:DOI>
    <b:JournalName>Psychology, health &amp; medicine</b:JournalName>
    <b:Pages>214-228</b:Pages>
    <b:Volume>25</b:Volume>
    <b:Issue>2</b:Issue>
    <b:Author>
      <b:Author>
        <b:NameList>
          <b:Person>
            <b:Last>Knowles</b:Last>
            <b:Middle>R</b:Middle>
            <b:First>S</b:First>
          </b:Person>
          <b:Person>
            <b:Last>Apputhurai</b:Last>
            <b:First>P</b:First>
          </b:Person>
          <b:Person>
            <b:Last>O’Brien</b:Last>
            <b:Middle>L</b:Middle>
            <b:First>C</b:First>
          </b:Person>
          <b:Person>
            <b:Last>Ski</b:Last>
            <b:Middle>F</b:Middle>
            <b:First>C</b:First>
          </b:Person>
          <b:Person>
            <b:Last>Thompson</b:Last>
            <b:Middle>R</b:Middle>
            <b:First>D</b:First>
          </b:Person>
          <b:Person>
            <b:Last>Castle</b:Last>
            <b:Middle>J</b:Middle>
            <b:First>D</b:First>
          </b:Person>
        </b:NameList>
      </b:Author>
    </b:Author>
    <b:RefOrder>40</b:RefOrder>
  </b:Source>
  <b:Source>
    <b:Tag>Gar22</b:Tag>
    <b:SourceType>JournalArticle</b:SourceType>
    <b:Guid>{A5BC33F8-4A45-40E5-AAFA-E547600D28D8}</b:Guid>
    <b:Title>Illness Perceptions Mediate the Impact of Depressive Symptoms on Quality of Life Among Latinos with Type 2 Diabetes</b:Title>
    <b:JournalName>Journal of Immigrant and Minority Health</b:JournalName>
    <b:Year>2022</b:Year>
    <b:Pages>1517-1525</b:Pages>
    <b:Volume>24</b:Volume>
    <b:Issue>6</b:Issue>
    <b:DOI>10.1007/s10903-022-01338-4</b:DOI>
    <b:Author>
      <b:Author>
        <b:NameList>
          <b:Person>
            <b:Last>García</b:Last>
            <b:Middle>A</b:Middle>
            <b:First>A</b:First>
          </b:Person>
          <b:Person>
            <b:Last>Huang</b:Last>
            <b:Middle>C</b:Middle>
            <b:First>Y</b:First>
          </b:Person>
          <b:Person>
            <b:Last>Zuñiga</b:Last>
            <b:Middle>A</b:Middle>
            <b:First>J</b:First>
          </b:Person>
        </b:NameList>
      </b:Author>
    </b:Author>
    <b:RefOrder>41</b:RefOrder>
  </b:Source>
  <b:Source>
    <b:Tag>Szk19</b:Tag>
    <b:SourceType>JournalArticle</b:SourceType>
    <b:Guid>{5ED84F50-9B7C-4C15-80D8-C1A58CEBB068}</b:Guid>
    <b:Title>Stress-buffering effects of social support on depressive problems: Perceived vs. received support and moderation by parental depression</b:Title>
    <b:JournalName>Journal of Child and Family Studies</b:JournalName>
    <b:Year>2019</b:Year>
    <b:Pages>2209-2219</b:Pages>
    <b:Volume>28</b:Volume>
    <b:DOI>10.1007/s10826-019-01437-1</b:DOI>
    <b:Author>
      <b:Author>
        <b:NameList>
          <b:Person>
            <b:Last>Szkody</b:Last>
            <b:First>E</b:First>
          </b:Person>
          <b:Person>
            <b:Last>McKinney</b:Last>
            <b:First>C</b:First>
          </b:Person>
        </b:NameList>
      </b:Author>
    </b:Author>
    <b:RefOrder>42</b:RefOrder>
  </b:Source>
  <b:Source>
    <b:Tag>Aco24</b:Tag>
    <b:SourceType>JournalArticle</b:SourceType>
    <b:Guid>{99213323-593F-49C2-A73B-E680BB7369F4}</b:Guid>
    <b:Title>Social support and mental health: the mediating role of perceived stress</b:Title>
    <b:JournalName>Frontiers in Psychology</b:JournalName>
    <b:Year>2024</b:Year>
    <b:Pages>1330720</b:Pages>
    <b:Volume>15</b:Volume>
    <b:DOI>10.3389/fpsyg.2024.1330720</b:DOI>
    <b:Author>
      <b:Author>
        <b:NameList>
          <b:Person>
            <b:Last>Acoba</b:Last>
            <b:Middle>F</b:Middle>
            <b:First>E</b:First>
          </b:Person>
        </b:NameList>
      </b:Author>
    </b:Author>
    <b:RefOrder>43</b:RefOrder>
  </b:Source>
  <b:Source>
    <b:Tag>Par22</b:Tag>
    <b:SourceType>JournalArticle</b:SourceType>
    <b:Guid>{4C438EC7-F112-4980-9EF7-19932C755CC3}</b:Guid>
    <b:Title>The relationships among health literacy, illness perception, and diabetes self-care in Korean-speaking immigrants with diabetes</b:Title>
    <b:JournalName>Clinical Nursing Research</b:JournalName>
    <b:Year>2022</b:Year>
    <b:Pages>1234-1240</b:Pages>
    <b:Volume>31</b:Volume>
    <b:Issue>7</b:Issue>
    <b:DOI>10.1177/10547738221082230</b:DOI>
    <b:Author>
      <b:Author>
        <b:NameList>
          <b:Person>
            <b:Last>Park</b:Last>
            <b:First>S</b:First>
          </b:Person>
          <b:Person>
            <b:Last>Seo</b:Last>
            <b:First>Y</b:First>
          </b:Person>
        </b:NameList>
      </b:Author>
    </b:Author>
    <b:RefOrder>44</b:RefOrder>
  </b:Source>
  <b:Source>
    <b:Tag>Liu24</b:Tag>
    <b:SourceType>JournalArticle</b:SourceType>
    <b:Guid>{C077DDD7-45A1-4BC9-A440-D55B545CE6BB}</b:Guid>
    <b:Title>Health literacy and self-management among middle-aged and young hypertensive patients: a parallel mediation effect of illness perception and self-efficacy</b:Title>
    <b:JournalName>Frontiers in Psychology</b:JournalName>
    <b:Year>2024</b:Year>
    <b:Pages>1349451</b:Pages>
    <b:Volume>15</b:Volume>
    <b:DOI>10.3389/fpsyg.2024.1349451</b:DOI>
    <b:Author>
      <b:Author>
        <b:NameList>
          <b:Person>
            <b:Last>Liu</b:Last>
            <b:First>Y</b:First>
          </b:Person>
          <b:Person>
            <b:Last>Jiang</b:Last>
            <b:First>F</b:First>
          </b:Person>
          <b:Person>
            <b:Last>Zhang</b:Last>
            <b:First>M</b:First>
          </b:Person>
          <b:Person>
            <b:Last>Niu</b:Last>
            <b:First>H</b:First>
          </b:Person>
          <b:Person>
            <b:Last>Cao</b:Last>
            <b:First>J</b:First>
          </b:Person>
          <b:Person>
            <b:Last>Du</b:Last>
            <b:First>S</b:First>
          </b:Person>
          <b:Person>
            <b:Last>Wu</b:Last>
            <b:First>H</b:First>
          </b:Person>
        </b:NameList>
      </b:Author>
    </b:Author>
    <b:RefOrder>45</b:RefOrder>
  </b:Source>
  <b:Source>
    <b:Tag>Kah17</b:Tag>
    <b:SourceType>JournalArticle</b:SourceType>
    <b:Guid>{B91DF4AA-8890-4772-97BC-CA081F661244}</b:Guid>
    <b:Title>Beliefs and perception of ill-health causation: a socio-cultural qualitative study in rural North-Eastern Ethiopia</b:Title>
    <b:JournalName>BMC public health</b:JournalName>
    <b:Year>2017</b:Year>
    <b:Pages>1-10</b:Pages>
    <b:Volume>17</b:Volume>
    <b:DOI>10.1186/s12889-017-4052-y</b:DOI>
    <b:Author>
      <b:Author>
        <b:NameList>
          <b:Person>
            <b:Last>Kahissay</b:Last>
            <b:Middle>H</b:Middle>
            <b:First>M</b:First>
          </b:Person>
          <b:Person>
            <b:Last>Fenta</b:Last>
            <b:Middle>G</b:Middle>
            <b:First>T</b:First>
          </b:Person>
          <b:Person>
            <b:Last>Boon</b:Last>
            <b:First>H</b:First>
          </b:Person>
        </b:NameList>
      </b:Author>
    </b:Author>
    <b:RefOrder>46</b:RefOrder>
  </b:Source>
  <b:Source>
    <b:Tag>Yeo22</b:Tag>
    <b:SourceType>JournalArticle</b:SourceType>
    <b:Guid>{BC345102-ED4B-4D39-AEAC-12F6E8B2D19F}</b:Guid>
    <b:Title>Cultural factors affecting the self-care of cancer survivors: An integrative review</b:Title>
    <b:JournalName>European Journal of Oncology Nursing</b:JournalName>
    <b:Year>2022</b:Year>
    <b:Pages>102165</b:Pages>
    <b:Volume>59</b:Volume>
    <b:DOI>10.1016/j.ejon.2022.102165</b:DOI>
    <b:Author>
      <b:Author>
        <b:NameList>
          <b:Person>
            <b:Last>Yeom</b:Last>
            <b:Middle>W</b:Middle>
            <b:First>J</b:First>
          </b:Person>
          <b:Person>
            <b:Last>Yeom</b:Last>
            <b:Middle>S</b:Middle>
            <b:First>I</b:First>
          </b:Person>
          <b:Person>
            <b:Last>Park</b:Last>
            <b:Middle>Y</b:Middle>
            <b:First>H</b:First>
          </b:Person>
          <b:Person>
            <b:Last>Lim</b:Last>
            <b:Middle>H</b:Middle>
            <b:First>S</b:First>
          </b:Person>
        </b:NameList>
      </b:Author>
    </b:Author>
    <b:RefOrder>47</b:RefOrder>
  </b:Source>
  <b:Source>
    <b:Tag>Kug17</b:Tag>
    <b:SourceType>JournalArticle</b:SourceType>
    <b:Guid>{E5416F52-4244-4C83-8294-2E0A9933A7F3}</b:Guid>
    <b:Title>Illness perception, diabetes knowledge and self-care practices among type-2 diabetes patients: a cross-sectional study</b:Title>
    <b:JournalName>BMC research notes</b:JournalName>
    <b:Year>2017</b:Year>
    <b:Pages>1-7</b:Pages>
    <b:Volume>10</b:Volume>
    <b:DOI>10.1186/s13104-017-2707-5</b:DOI>
    <b:Author>
      <b:Author>
        <b:NameList>
          <b:Person>
            <b:Last>Kugbey</b:Last>
            <b:First>N</b:First>
          </b:Person>
          <b:Person>
            <b:Last>Oppong Asante</b:Last>
            <b:First>K</b:First>
          </b:Person>
          <b:Person>
            <b:Last>Adulai</b:Last>
            <b:First>K</b:First>
          </b:Person>
        </b:NameList>
      </b:Author>
    </b:Author>
    <b:RefOrder>48</b:RefOrder>
  </b:Source>
  <b:Source>
    <b:Tag>Lat17</b:Tag>
    <b:SourceType>JournalArticle</b:SourceType>
    <b:Guid>{DB15F073-CAF1-455A-A45D-D077683B6FEF}</b:Guid>
    <b:Title>The relationship between social desirability bias and self-reports of health, substance use, and social network factors among urban substance users in Baltimore, Maryland</b:Title>
    <b:JournalName>Addictive behaviors</b:JournalName>
    <b:Year>2017</b:Year>
    <b:Pages>133-136</b:Pages>
    <b:Volume>73</b:Volume>
    <b:DOI>10.1016/j.addbeh.2017.05.005</b:DOI>
    <b:Author>
      <b:Author>
        <b:NameList>
          <b:Person>
            <b:Last>Latkin</b:Last>
            <b:Middle>A</b:Middle>
            <b:First>C</b:First>
          </b:Person>
          <b:Person>
            <b:Last>Edwards</b:Last>
            <b:First>C</b:First>
          </b:Person>
          <b:Person>
            <b:Last>Davey-Rothwell</b:Last>
            <b:Middle>A</b:Middle>
            <b:First>M</b:First>
          </b:Person>
          <b:Person>
            <b:Last>Tobin</b:Last>
            <b:Middle>E</b:Middle>
            <b:First>K</b:First>
          </b:Person>
        </b:NameList>
      </b:Author>
    </b:Author>
    <b:RefOrder>49</b:RefOrder>
  </b:Source>
  <b:Source>
    <b:Tag>Kre19</b:Tag>
    <b:SourceType>JournalArticle</b:SourceType>
    <b:Guid>{AB6E5545-4E00-46B6-84CE-8E143FBFCB77}</b:Guid>
    <b:Title>Controlling for response biases in self-report scales: Forced-choice vs. psychometric modeling of Likert items</b:Title>
    <b:JournalName>Frontiers in psychology</b:JournalName>
    <b:Year>2019</b:Year>
    <b:Pages>2309</b:Pages>
    <b:Volume>10</b:Volume>
    <b:DOI>10.3389/fpsyg.2019.02309</b:DOI>
    <b:Author>
      <b:Author>
        <b:NameList>
          <b:Person>
            <b:Last>Kreitchmann</b:Last>
            <b:Middle>S</b:Middle>
            <b:First>R</b:First>
          </b:Person>
          <b:Person>
            <b:Last>Abad</b:Last>
            <b:Middle>J</b:Middle>
            <b:First>F</b:First>
          </b:Person>
          <b:Person>
            <b:Last>Ponsoda</b:Last>
            <b:First>V</b:First>
          </b:Person>
          <b:Person>
            <b:Last>Nieto</b:Last>
            <b:Middle>D</b:Middle>
            <b:First>M</b:First>
          </b:Person>
          <b:Person>
            <b:Last>Morillo</b:Last>
            <b:First>D</b:First>
          </b:Person>
        </b:NameList>
      </b:Author>
    </b:Author>
    <b:RefOrder>52</b:RefOrder>
  </b:Source>
  <b:Source>
    <b:Tag>Nis77</b:Tag>
    <b:SourceType>JournalArticle</b:SourceType>
    <b:Guid>{07F941D1-2949-448D-B98F-F99B84D0F130}</b:Guid>
    <b:Title>Telling more than we can know: Verbal reports on mental processes</b:Title>
    <b:JournalName>Psychological review</b:JournalName>
    <b:Year>1977</b:Year>
    <b:Pages>231</b:Pages>
    <b:Volume>84</b:Volume>
    <b:Issue>3</b:Issue>
    <b:DOI>10.1037/0033-295X.84.3.231</b:DOI>
    <b:Author>
      <b:Author>
        <b:NameList>
          <b:Person>
            <b:Last>Nisbett</b:Last>
            <b:Middle>E</b:Middle>
            <b:First>R</b:First>
          </b:Person>
          <b:Person>
            <b:Last>Wilson</b:Last>
            <b:Middle>D</b:Middle>
            <b:First>T</b:First>
          </b:Person>
        </b:NameList>
      </b:Author>
    </b:Author>
    <b:RefOrder>50</b:RefOrder>
  </b:Source>
  <b:Source>
    <b:Tag>Car23</b:Tag>
    <b:SourceType>JournalArticle</b:SourceType>
    <b:Guid>{2F13D6F0-4FD5-4814-AF8C-85CD257F805C}</b:Guid>
    <b:Title>Quantifying accuracy and bias in motive introspection</b:Title>
    <b:JournalName>PsyArXiv</b:JournalName>
    <b:Year>2023</b:Year>
    <b:DOI>10.31234/osf.io/xkz6m​</b:DOI>
    <b:Author>
      <b:Author>
        <b:NameList>
          <b:Person>
            <b:Last>Carlson</b:Last>
            <b:Middle>W</b:Middle>
            <b:First>R</b:First>
          </b:Person>
          <b:Person>
            <b:Last>Zoh</b:Last>
            <b:First>Y</b:First>
          </b:Person>
          <b:Person>
            <b:Last>Morris</b:Last>
            <b:First>A</b:First>
          </b:Person>
          <b:Person>
            <b:Last>Crockett</b:Last>
            <b:First>M</b:First>
          </b:Person>
        </b:NameList>
      </b:Author>
    </b:Author>
    <b:RefOrder>51</b:RefOrder>
  </b:Source>
  <b:Source>
    <b:Tag>Kim23</b:Tag>
    <b:SourceType>JournalArticle</b:SourceType>
    <b:Guid>{30D649F8-C42E-4CA6-8B53-3C3EE6D92C26}</b:Guid>
    <b:Title>Socioeconomic disparities in health outcomes in the United States in the late 2010s: results from four national population-based studies</b:Title>
    <b:JournalName>Archives of Public Health</b:JournalName>
    <b:Year>2023</b:Year>
    <b:Pages>15</b:Pages>
    <b:Volume>81</b:Volume>
    <b:Issue>1</b:Issue>
    <b:DOI>10.1186/s13690-023-01026-1</b:DOI>
    <b:Author>
      <b:Author>
        <b:NameList>
          <b:Person>
            <b:Last>Kim</b:Last>
            <b:First>Y</b:First>
          </b:Person>
          <b:Person>
            <b:Last>Vazquez</b:Last>
            <b:First>C</b:First>
          </b:Person>
          <b:Person>
            <b:Last>Cubbin</b:Last>
            <b:First>C</b:First>
          </b:Person>
        </b:NameList>
      </b:Author>
    </b:Author>
    <b:RefOrder>53</b:RefOrder>
  </b:Source>
  <b:Source>
    <b:Tag>Mer07</b:Tag>
    <b:SourceType>JournalArticle</b:SourceType>
    <b:Guid>{E432E433-C526-461F-8F29-8A5BCF2557DD}</b:Guid>
    <b:Title>The impact of comorbidity of mental and physical conditions on role disability in the US adult household population</b:Title>
    <b:JournalName>Archives of general psychiatry</b:JournalName>
    <b:Year>2007</b:Year>
    <b:Pages>1180-1188</b:Pages>
    <b:Volume>64</b:Volume>
    <b:Issue>10</b:Issue>
    <b:DOI>10.1001/archpsyc.64.10.1180</b:DOI>
    <b:Author>
      <b:Author>
        <b:NameList>
          <b:Person>
            <b:Last>Merikangas</b:Last>
            <b:Middle>R</b:Middle>
            <b:First>K</b:First>
          </b:Person>
          <b:Person>
            <b:Last>Ames</b:Last>
            <b:First>M</b:First>
          </b:Person>
          <b:Person>
            <b:Last>Cui</b:Last>
            <b:First>L</b:First>
          </b:Person>
          <b:Person>
            <b:Last>Stang</b:Last>
            <b:Middle>E</b:Middle>
            <b:First>P</b:First>
          </b:Person>
          <b:Person>
            <b:Last>Ustun</b:Last>
            <b:Middle>B</b:Middle>
            <b:First>T</b:First>
          </b:Person>
          <b:Person>
            <b:Last>Von Korff</b:Last>
            <b:First>M</b:First>
          </b:Person>
          <b:Person>
            <b:Last>Kessler</b:Last>
            <b:Middle>C</b:Middle>
            <b:First>R</b:First>
          </b:Person>
        </b:NameList>
      </b:Author>
    </b:Author>
    <b:RefOrder>55</b:RefOrder>
  </b:Source>
  <b:Source>
    <b:Tag>Cla22</b:Tag>
    <b:SourceType>JournalArticle</b:SourceType>
    <b:Guid>{8BA271DA-EDEE-4D79-B45B-59520437CBF7}</b:Guid>
    <b:Title>Structural interventions that affect racial inequities and their impact on population health outcomes: a systematic review</b:Title>
    <b:JournalName>BMC Public Health</b:JournalName>
    <b:Year>2022</b:Year>
    <b:Pages>2162</b:Pages>
    <b:Volume>22</b:Volume>
    <b:Issue>1</b:Issue>
    <b:DOI>10.1186/s12889-022-14603-w</b:DOI>
    <b:Author>
      <b:Author>
        <b:NameList>
          <b:Person>
            <b:Last>Clark</b:Last>
            <b:Middle>C</b:Middle>
            <b:First>E</b:First>
          </b:Person>
          <b:Person>
            <b:Last>Cranston</b:Last>
            <b:First>E</b:First>
          </b:Person>
          <b:Person>
            <b:Last>Polin</b:Last>
            <b:First>T</b:First>
          </b:Person>
          <b:Person>
            <b:Last>Ndumbe-Eyoh</b:Last>
            <b:First>S</b:First>
          </b:Person>
          <b:Person>
            <b:Last>MacDonald</b:Last>
            <b:First>D</b:First>
          </b:Person>
          <b:Person>
            <b:Last>Betker</b:Last>
            <b:First>C</b:First>
          </b:Person>
          <b:Person>
            <b:Last>Dobbins</b:Last>
            <b:First>M</b:First>
          </b:Person>
        </b:NameList>
      </b:Author>
    </b:Author>
    <b:RefOrder>56</b:RefOrder>
  </b:Source>
  <b:Source>
    <b:Tag>Fos23</b:Tag>
    <b:SourceType>JournalArticle</b:SourceType>
    <b:Guid>{1535BB14-AC06-440C-8C17-B2FB3F086C98}</b:Guid>
    <b:Title>The influence of socioeconomic status on the association between unhealthy Lifestyle factors and adverse health outcomes: a systematic review</b:Title>
    <b:JournalName>Wellcome Open Research</b:JournalName>
    <b:Year>2023</b:Year>
    <b:Pages>55</b:Pages>
    <b:Volume>8</b:Volume>
    <b:DOI>10.12688/wellcomeopenres.18708.2</b:DOI>
    <b:Author>
      <b:Author>
        <b:NameList>
          <b:Person>
            <b:Last>Foster</b:Last>
            <b:Middle>M</b:Middle>
            <b:First>H</b:First>
          </b:Person>
          <b:Person>
            <b:Last>Polz</b:Last>
            <b:First>P</b:First>
          </b:Person>
          <b:Person>
            <b:Last>Gill</b:Last>
            <b:Middle>M</b:Middle>
            <b:First>J</b:First>
          </b:Person>
          <b:Person>
            <b:Last>Celis-Morales</b:Last>
            <b:First>C</b:First>
          </b:Person>
          <b:Person>
            <b:Last>Mair</b:Last>
            <b:Middle>S</b:Middle>
            <b:First>F</b:First>
          </b:Person>
          <b:Person>
            <b:Last>O'Donnell</b:Last>
            <b:Middle>A</b:Middle>
            <b:First>C</b:First>
          </b:Person>
        </b:NameList>
      </b:Author>
    </b:Author>
    <b:RefOrder>54</b:RefOrder>
  </b:Source>
  <b:Source>
    <b:Tag>Gwi21</b:Tag>
    <b:SourceType>JournalArticle</b:SourceType>
    <b:Guid>{89B508AD-20DC-4BE3-A81B-E337791AA4A1}</b:Guid>
    <b:Title>Changes in the illness perceptions of patients with rheumatoid arthritis over the first year of methotrexate therapy</b:Title>
    <b:JournalName>Rheumatology</b:JournalName>
    <b:Year>2021</b:Year>
    <b:Pages>2355-2365</b:Pages>
    <b:Volume>60</b:Volume>
    <b:Issue>5</b:Issue>
    <b:DOI>10.1093/rheumatology/keaa615</b:DOI>
    <b:Author>
      <b:Author>
        <b:NameList>
          <b:Person>
            <b:Last>Gwinnutt</b:Last>
            <b:Middle>M</b:Middle>
            <b:First>J</b:First>
          </b:Person>
          <b:Person>
            <b:Last>Norton</b:Last>
            <b:First>S</b:First>
          </b:Person>
          <b:Person>
            <b:Last>Hyrich</b:Last>
            <b:Middle>L</b:Middle>
            <b:First>K</b:First>
          </b:Person>
          <b:Person>
            <b:Last>Lunt</b:Last>
            <b:First>M</b:First>
          </b:Person>
          <b:Person>
            <b:Last>Barton</b:Last>
            <b:First>A</b:First>
          </b:Person>
          <b:Person>
            <b:Last>Cordingley</b:Last>
            <b:First>L</b:First>
          </b:Person>
          <b:Person>
            <b:Last>RAMS Co-Investigators</b:Last>
          </b:Person>
        </b:NameList>
      </b:Author>
    </b:Author>
    <b:RefOrder>77</b:RefOrder>
  </b:Source>
  <b:Source>
    <b:Tag>Kra21</b:Tag>
    <b:SourceType>JournalArticle</b:SourceType>
    <b:Guid>{5787F7D5-21FA-4425-A17B-46D3C8774C62}</b:Guid>
    <b:Title>Explaining socioeconomic disparities in health behaviours: A review of biopsychological pathways involving stress and inflammation</b:Title>
    <b:JournalName>Neuroscience &amp; Biobehavioral Reviews</b:JournalName>
    <b:Year>2021</b:Year>
    <b:Pages>689-708</b:Pages>
    <b:Volume>127</b:Volume>
    <b:DOI>10.1016/j.neubiorev.2021.05.019</b:DOI>
    <b:Author>
      <b:Author>
        <b:NameList>
          <b:Person>
            <b:Last>Kraft,</b:Last>
            <b:First>P</b:First>
          </b:Person>
          <b:Person>
            <b:Last>Kraft</b:Last>
            <b:First>B</b:First>
          </b:Person>
        </b:NameList>
      </b:Author>
    </b:Author>
    <b:RefOrder>58</b:RefOrder>
  </b:Source>
  <b:Source>
    <b:Tag>Mul11</b:Tag>
    <b:SourceType>JournalArticle</b:SourceType>
    <b:Guid>{7C267ED2-FD7B-4F52-BC38-8B60AF688456}</b:Guid>
    <b:Title>Stressors and resources mediate the association of socioeconomic position with health behaviours</b:Title>
    <b:JournalName>BMC public health</b:JournalName>
    <b:Year>2011</b:Year>
    <b:Pages>1-10</b:Pages>
    <b:Volume>11</b:Volume>
    <b:DOI>10.1186/1471-2458-11-798</b:DOI>
    <b:Author>
      <b:Author>
        <b:NameList>
          <b:Person>
            <b:Last>Mulder</b:Last>
            <b:Middle>C</b:Middle>
            <b:First>B</b:First>
          </b:Person>
          <b:Person>
            <b:Last>de Bruin</b:Last>
            <b:First>M</b:First>
          </b:Person>
          <b:Person>
            <b:Last>Schreurs</b:Last>
            <b:First>H</b:First>
          </b:Person>
          <b:Person>
            <b:Last>van Ameijden</b:Last>
            <b:Middle>J</b:Middle>
            <b:First>E</b:First>
          </b:Person>
          <b:Person>
            <b:Last>van Woerkum</b:Last>
            <b:Middle>M</b:Middle>
            <b:First>C</b:First>
          </b:Person>
        </b:NameList>
      </b:Author>
    </b:Author>
    <b:RefOrder>57</b:RefOrder>
  </b:Source>
  <b:Source>
    <b:Tag>Ahu24</b:Tag>
    <b:SourceType>JournalArticle</b:SourceType>
    <b:Guid>{BC3FE36D-AC65-4E81-9DF2-72C0CAE3F2F4}</b:Guid>
    <b:Title>Causal beliefs about mental illness: a scoping review</b:Title>
    <b:JournalName>Social Science &amp; Medicine</b:JournalName>
    <b:Year>2024</b:Year>
    <b:Pages>116670</b:Pages>
    <b:Volume>345</b:Volume>
    <b:DOI>10.1016/j.socscimed.2024.116670</b:DOI>
    <b:Author>
      <b:Author>
        <b:NameList>
          <b:Person>
            <b:Last>Ahuvia</b:Last>
            <b:Middle>L</b:Middle>
            <b:First>I</b:First>
          </b:Person>
          <b:Person>
            <b:Last>Sotomayor</b:Last>
            <b:First>I</b:First>
          </b:Person>
          <b:Person>
            <b:Last>Kwong</b:Last>
            <b:First>K</b:First>
          </b:Person>
          <b:Person>
            <b:Last>Lam</b:Last>
            <b:Middle>W</b:Middle>
            <b:First>F</b:First>
          </b:Person>
          <b:Person>
            <b:Last>Mirza</b:Last>
            <b:First>A</b:First>
          </b:Person>
          <b:Person>
            <b:Last>Schleider</b:Last>
            <b:Middle>L</b:Middle>
            <b:First>J</b:First>
          </b:Person>
        </b:NameList>
      </b:Author>
    </b:Author>
    <b:RefOrder>59</b:RefOrder>
  </b:Source>
  <b:Source>
    <b:Tag>Sha19</b:Tag>
    <b:SourceType>JournalArticle</b:SourceType>
    <b:Guid>{3D5184CD-D172-4777-95A6-DBCFB948D152}</b:Guid>
    <b:Title>The impact of personal and cultural beliefs on medication adherence of patients with chronic illnesses: a systematic review</b:Title>
    <b:JournalName>Patient preference and adherence</b:JournalName>
    <b:Year>2019</b:Year>
    <b:Pages>1019-1035</b:Pages>
    <b:Volume>13</b:Volume>
    <b:DOI>10.2147/PPA.S212046</b:DOI>
    <b:Author>
      <b:Author>
        <b:NameList>
          <b:Person>
            <b:Last>Shahin</b:Last>
            <b:First>W</b:First>
          </b:Person>
          <b:Person>
            <b:Last>Kennedy</b:Last>
            <b:Middle>A</b:Middle>
            <b:First>G</b:First>
          </b:Person>
          <b:Person>
            <b:Last>Stupans</b:Last>
            <b:First>I</b:First>
          </b:Person>
        </b:NameList>
      </b:Author>
    </b:Author>
    <b:RefOrder>61</b:RefOrder>
  </b:Source>
  <b:Source>
    <b:Tag>Din171</b:Tag>
    <b:SourceType>JournalArticle</b:SourceType>
    <b:Guid>{887EC0E2-AA10-4477-AD3A-1CDE6E4F6D30}</b:Guid>
    <b:Title>Assessing explanatory models and health beliefs: An essential but overlooked competency for clinicians</b:Title>
    <b:JournalName>BJPsych Advances</b:JournalName>
    <b:Year>2017</b:Year>
    <b:Pages>106-114</b:Pages>
    <b:Volume>23</b:Volume>
    <b:Issue>2</b:Issue>
    <b:DOI>10.1192/apt.bp.114.013680</b:DOI>
    <b:Author>
      <b:Author>
        <b:NameList>
          <b:Person>
            <b:Last>Dinos</b:Last>
            <b:First>S</b:First>
          </b:Person>
          <b:Person>
            <b:Last>Ascoli</b:Last>
            <b:First>M</b:First>
          </b:Person>
          <b:Person>
            <b:Last>Owiti</b:Last>
            <b:Middle>A</b:Middle>
            <b:First>J</b:First>
          </b:Person>
          <b:Person>
            <b:Last>Bhui</b:Last>
            <b:First>K</b:First>
          </b:Person>
        </b:NameList>
      </b:Author>
    </b:Author>
    <b:RefOrder>60</b:RefOrder>
  </b:Source>
  <b:Source>
    <b:Tag>Zol09</b:Tag>
    <b:SourceType>JournalArticle</b:SourceType>
    <b:Guid>{E4590760-5519-40ED-BC02-FB300F9580D9}</b:Guid>
    <b:Title>Physician communication and patient adherence to treatment: a meta-analysis</b:Title>
    <b:JournalName>Medical care</b:JournalName>
    <b:Year>2009</b:Year>
    <b:Pages>826-834</b:Pages>
    <b:Volume>47</b:Volume>
    <b:Issue>8</b:Issue>
    <b:DOI>10.1097/MLR.0b013e31819a5acc</b:DOI>
    <b:Author>
      <b:Author>
        <b:NameList>
          <b:Person>
            <b:Last>Zolnierek</b:Last>
            <b:Middle>B. H</b:Middle>
            <b:First>K</b:First>
          </b:Person>
          <b:Person>
            <b:Last>DiMatteo</b:Last>
            <b:Middle>R</b:Middle>
            <b:First>M</b:First>
          </b:Person>
        </b:NameList>
      </b:Author>
    </b:Author>
    <b:RefOrder>62</b:RefOrder>
  </b:Source>
  <b:Source>
    <b:Tag>Świ20</b:Tag>
    <b:SourceType>JournalArticle</b:SourceType>
    <b:Guid>{1C2A8DF8-324D-425A-BF94-31FCEAF5A22E}</b:Guid>
    <b:Title>Impact of satisfaction with physician–patient communication on self-care and adherence in patients with hypertension: cross-sectional study</b:Title>
    <b:JournalName>BMC health services research</b:JournalName>
    <b:Year>2020</b:Year>
    <b:Pages>1-9</b:Pages>
    <b:Volume>20</b:Volume>
    <b:DOI>10.1186/s12913-020-05912-0</b:DOI>
    <b:Author>
      <b:Author>
        <b:NameList>
          <b:Person>
            <b:Last>Świątoniowska-Lonc</b:Last>
            <b:First>N</b:First>
          </b:Person>
          <b:Person>
            <b:Last>Polański</b:Last>
            <b:First>J</b:First>
          </b:Person>
          <b:Person>
            <b:Last>Tański</b:Last>
            <b:First>W</b:First>
          </b:Person>
          <b:Person>
            <b:Last>Jankowska-Polańska</b:Last>
            <b:First>B</b:First>
          </b:Person>
        </b:NameList>
      </b:Author>
    </b:Author>
    <b:RefOrder>63</b:RefOrder>
  </b:Source>
  <b:Source>
    <b:Tag>Ros66</b:Tag>
    <b:SourceType>JournalArticle</b:SourceType>
    <b:Guid>{1A2836E7-F3BC-4172-BCF3-999540B9ED24}</b:Guid>
    <b:Title>Why people use health services</b:Title>
    <b:JournalName>The milbank memorial fund quarterly</b:JournalName>
    <b:Year>1966</b:Year>
    <b:Pages>94-127</b:Pages>
    <b:Volume>44</b:Volume>
    <b:Issue>3</b:Issue>
    <b:DOI>10.2307/3348967</b:DOI>
    <b:Author>
      <b:Author>
        <b:NameList>
          <b:Person>
            <b:Last>Rosenstock</b:Last>
            <b:Middle>M</b:Middle>
            <b:First>I</b:First>
          </b:Person>
        </b:NameList>
      </b:Author>
    </b:Author>
    <b:RefOrder>78</b:RefOrder>
  </b:Source>
  <b:Source>
    <b:Tag>Ajz91</b:Tag>
    <b:SourceType>JournalArticle</b:SourceType>
    <b:Guid>{19D95A9A-39A1-478C-A1E9-72377F5A818E}</b:Guid>
    <b:Title>The theory of planned behavior</b:Title>
    <b:JournalName>Organizational behavior and human decision processes</b:JournalName>
    <b:Year>1991</b:Year>
    <b:Pages>179-211</b:Pages>
    <b:Volume>50</b:Volume>
    <b:Issue>2</b:Issue>
    <b:DOI>10.1016/0749-5978(91)90020-T</b:DOI>
    <b:Author>
      <b:Author>
        <b:NameList>
          <b:Person>
            <b:Last>Ajzen</b:Last>
            <b:First>I</b:First>
          </b:Person>
        </b:NameList>
      </b:Author>
    </b:Author>
    <b:RefOrder>64</b:RefOrder>
  </b:Source>
  <b:Source>
    <b:Tag>Zha23</b:Tag>
    <b:SourceType>JournalArticle</b:SourceType>
    <b:Guid>{B75208E1-B31B-44D9-AF7B-108E2B455E73}</b:Guid>
    <b:Title>The integrated common-sense model of illness self-regulation: predicting healthy eating, exercise behaviors, and health among individuals at risk of metabolic syndrome</b:Title>
    <b:Year>2023</b:Year>
    <b:DOI>10.1186/s12889-023-16403-2</b:DOI>
    <b:JournalName>BMC public health</b:JournalName>
    <b:Pages>1486</b:Pages>
    <b:Volume>23</b:Volume>
    <b:Issue>1</b:Issue>
    <b:Author>
      <b:Author>
        <b:NameList>
          <b:Person>
            <b:Last>Zhang,</b:Last>
            <b:First>H</b:First>
          </b:Person>
          <b:Person>
            <b:Last>Chen</b:Last>
            <b:First>D</b:First>
          </b:Person>
          <b:Person>
            <b:Last>Zou</b:Last>
            <b:First>P</b:First>
          </b:Person>
          <b:Person>
            <b:Last>Shao</b:Last>
            <b:First>J</b:First>
          </b:Person>
          <b:Person>
            <b:Last>Wu</b:Last>
            <b:First>J</b:First>
          </b:Person>
          <b:Person>
            <b:Last>Cui</b:Last>
            <b:First>N</b:First>
          </b:Person>
          <b:Person>
            <b:Last>Ye</b:Last>
            <b:First>Z</b:First>
          </b:Person>
        </b:NameList>
      </b:Author>
    </b:Author>
    <b:RefOrder>65</b:RefOrder>
  </b:Source>
  <b:Source>
    <b:Tag>Man09</b:Tag>
    <b:SourceType>JournalArticle</b:SourceType>
    <b:Guid>{E120DBCD-19CE-4C17-86BE-9166EDB6A643}</b:Guid>
    <b:Title>Misconceptions about diabetes and its management among low-income minorities with diabetes</b:Title>
    <b:JournalName>Diabetes care</b:JournalName>
    <b:Year>2009</b:Year>
    <b:Pages>591-593</b:Pages>
    <b:Volume>32</b:Volume>
    <b:Issue>4</b:Issue>
    <b:DOI>10.2337/dc08-1837</b:DOI>
    <b:Author>
      <b:Author>
        <b:NameList>
          <b:Person>
            <b:Last>Mann</b:Last>
            <b:Middle>M</b:Middle>
            <b:First>D</b:First>
          </b:Person>
          <b:Person>
            <b:Last>Ponieman</b:Last>
            <b:First>D</b:First>
          </b:Person>
          <b:Person>
            <b:Last>Leventhal</b:Last>
            <b:First>H</b:First>
          </b:Person>
          <b:Person>
            <b:Last>Halm</b:Last>
            <b:Middle>A</b:Middle>
            <b:First>E</b:First>
          </b:Person>
        </b:NameList>
      </b:Author>
    </b:Author>
    <b:RefOrder>66</b:RefOrder>
  </b:Source>
  <b:Source>
    <b:Tag>Kim21</b:Tag>
    <b:SourceType>JournalArticle</b:SourceType>
    <b:Guid>{3BEF684A-BDA0-45A8-8755-3CA29195FEED}</b:Guid>
    <b:Title>Illness perceptions, self-efficacy, and self-reported medication adherence in persons aged 50 and older with type 2 diabetes</b:Title>
    <b:JournalName>Journal of Cardiovascular Nursing</b:JournalName>
    <b:Year>2021</b:Year>
    <b:Pages>312-328</b:Pages>
    <b:Volume>36</b:Volume>
    <b:Issue>4</b:Issue>
    <b:DOI>10.1097/JCN.0000000000000675</b:DOI>
    <b:Author>
      <b:Author>
        <b:NameList>
          <b:Person>
            <b:Last>Kim</b:Last>
            <b:First>H</b:First>
          </b:Person>
          <b:Person>
            <b:Last>Sereika</b:Last>
            <b:Middle>M</b:Middle>
            <b:First>S</b:First>
          </b:Person>
          <b:Person>
            <b:Last>Lingler</b:Last>
            <b:Middle>H</b:Middle>
            <b:First>J</b:First>
          </b:Person>
          <b:Person>
            <b:Last>Albert</b:Last>
            <b:Middle>M</b:Middle>
            <b:First>S</b:First>
          </b:Person>
          <b:Person>
            <b:Last>Bender</b:Last>
            <b:Middle>M</b:Middle>
            <b:First>C</b:First>
          </b:Person>
        </b:NameList>
      </b:Author>
    </b:Author>
    <b:RefOrder>67</b:RefOrder>
  </b:Source>
  <b:Source>
    <b:Tag>Ern21</b:Tag>
    <b:SourceType>JournalArticle</b:SourceType>
    <b:Guid>{1F54BDD8-9006-4E75-94EC-2A4D57DEDFDC}</b:Guid>
    <b:Title>Effectiveness of diabetes self-management education (DSME) in type 2 diabetes mellitus (T2DM) patients: systematic literature review</b:Title>
    <b:JournalName>Journal of public health research</b:JournalName>
    <b:Year>2021</b:Year>
    <b:Volume>10</b:Volume>
    <b:Issue>2</b:Issue>
    <b:DOI>10.4081/jphr.2021.2240</b:DOI>
    <b:Author>
      <b:Author>
        <b:NameList>
          <b:Person>
            <b:Last>Ernawati</b:Last>
            <b:First>U</b:First>
          </b:Person>
          <b:Person>
            <b:Last>Wihastuti</b:Last>
            <b:Middle>A</b:Middle>
            <b:First>T</b:First>
          </b:Person>
          <b:Person>
            <b:Last>Utami</b:Last>
            <b:Middle>W</b:Middle>
            <b:First>Y</b:First>
          </b:Person>
        </b:NameList>
      </b:Author>
    </b:Author>
    <b:RefOrder>68</b:RefOrder>
  </b:Source>
  <b:Source>
    <b:Tag>Pai19</b:Tag>
    <b:SourceType>JournalArticle</b:SourceType>
    <b:Guid>{1DA3D56A-0A1B-4D56-B9F7-2B61C068378F}</b:Guid>
    <b:Title>Patient‐centered communication in type 2 diabetes: The facilitating and constraining factors in clinical encounters</b:Title>
    <b:JournalName>Health services research</b:JournalName>
    <b:Year>2019</b:Year>
    <b:Pages>623-635</b:Pages>
    <b:Volume>54</b:Volume>
    <b:Issue>3</b:Issue>
    <b:DOI>10.1111/1475-6773.13126</b:DOI>
    <b:Author>
      <b:Author>
        <b:NameList>
          <b:Person>
            <b:Last>Paiva</b:Last>
            <b:First>D</b:First>
          </b:Person>
          <b:Person>
            <b:Last>Abreu</b:Last>
            <b:First>L</b:First>
          </b:Person>
          <b:Person>
            <b:Last>Azevedo</b:Last>
            <b:First>A</b:First>
          </b:Person>
          <b:Person>
            <b:Last>Silva</b:Last>
            <b:First>S</b:First>
          </b:Person>
        </b:NameList>
      </b:Author>
    </b:Author>
    <b:RefOrder>69</b:RefOrder>
  </b:Source>
  <b:Source>
    <b:Tag>Yao21</b:Tag>
    <b:SourceType>JournalArticle</b:SourceType>
    <b:Guid>{0614B5F9-CE8F-48ED-AC4B-DEDBE6B6C1DA}</b:Guid>
    <b:Title>The impact of training healthcare professionals’ communication skills on the clinical care of diabetes and hypertension: a systematic review and meta-analysis</b:Title>
    <b:JournalName>BMC Family Practice</b:JournalName>
    <b:Year>2021</b:Year>
    <b:Pages>1-23</b:Pages>
    <b:Volume>22</b:Volume>
    <b:DOI>10.1186/s12875-021-01504-x</b:DOI>
    <b:Author>
      <b:Author>
        <b:NameList>
          <b:Person>
            <b:Last>Yao</b:Last>
            <b:First>M</b:First>
          </b:Person>
          <b:Person>
            <b:Last>Zhou</b:Last>
            <b:Middle>Y</b:Middle>
            <b:First>X</b:First>
          </b:Person>
          <b:Person>
            <b:Last>Xu</b:Last>
            <b:Middle>J</b:Middle>
            <b:First>Z</b:First>
          </b:Person>
          <b:Person>
            <b:Last>Lehman</b:Last>
            <b:First>R</b:First>
          </b:Person>
          <b:Person>
            <b:Last>Haroon</b:Last>
            <b:First>S</b:First>
          </b:Person>
          <b:Person>
            <b:Last>Jackson</b:Last>
            <b:First>D</b:First>
          </b:Person>
          <b:Person>
            <b:Last>Cheng</b:Last>
            <b:Middle>K</b:Middle>
            <b:First>K</b:First>
          </b:Person>
        </b:NameList>
      </b:Author>
    </b:Author>
    <b:RefOrder>70</b:RefOrder>
  </b:Source>
  <b:Source>
    <b:Tag>Gei22</b:Tag>
    <b:SourceType>JournalArticle</b:SourceType>
    <b:Guid>{A1023139-BC57-446E-8048-CB5972AB4CF1}</b:Guid>
    <b:Title>Standardized evaluation of the quality and persuasiveness of mobile health applications for diabetes management</b:Title>
    <b:JournalName>Scientific reports</b:JournalName>
    <b:Year>2022</b:Year>
    <b:Pages>3639</b:Pages>
    <b:Volume>12</b:Volume>
    <b:Issue>1</b:Issue>
    <b:DOI>10.1038/s41598-022-07544-2</b:DOI>
    <b:Author>
      <b:Author>
        <b:NameList>
          <b:Person>
            <b:Last>Geirhos</b:Last>
            <b:First>A</b:First>
          </b:Person>
          <b:Person>
            <b:Last>Stephan</b:Last>
            <b:First>M</b:First>
          </b:Person>
          <b:Person>
            <b:Last>Wehrle</b:Last>
            <b:First>M</b:First>
          </b:Person>
          <b:Person>
            <b:Last>Mack</b:Last>
            <b:First>C</b:First>
          </b:Person>
          <b:Person>
            <b:Last>Messner</b:Last>
            <b:Middle>M</b:Middle>
            <b:First>E</b:First>
          </b:Person>
          <b:Person>
            <b:Last>Schmitt</b:Last>
            <b:First>A</b:First>
          </b:Person>
          <b:Person>
            <b:Last>Sander</b:Last>
            <b:Middle>B</b:Middle>
            <b:First>L</b:First>
          </b:Person>
        </b:NameList>
      </b:Author>
    </b:Author>
    <b:RefOrder>72</b:RefOrder>
  </b:Source>
  <b:Source>
    <b:Tag>Nge22</b:Tag>
    <b:SourceType>JournalArticle</b:SourceType>
    <b:Guid>{E29A9535-E48F-48F5-BA67-2FFB91F4CA55}</b:Guid>
    <b:Title>Illness perceptions, self-care practices, and glycemic control among type 2 diabetes patients in Chiang Mai, Thailand</b:Title>
    <b:JournalName>Archives of Public Health</b:JournalName>
    <b:Year>2022</b:Year>
    <b:Pages>134</b:Pages>
    <b:Volume>80</b:Volume>
    <b:Issue>1</b:Issue>
    <b:DOI>10.1186/s13690-022-00888-1</b:DOI>
    <b:Author>
      <b:Author>
        <b:NameList>
          <b:Person>
            <b:Last>Ngetich</b:Last>
            <b:First>E</b:First>
          </b:Person>
          <b:Person>
            <b:Last>Pateekhum</b:Last>
            <b:First>C</b:First>
          </b:Person>
          <b:Person>
            <b:Last>Hashmi</b:Last>
            <b:First>A</b:First>
          </b:Person>
          <b:Person>
            <b:Last>Nadal</b:Last>
            <b:Middle>P</b:Middle>
            <b:First>I</b:First>
          </b:Person>
          <b:Person>
            <b:Last>Pinyopornpanish</b:Last>
            <b:First>K</b:First>
          </b:Person>
          <b:Person>
            <b:Last>English</b:Last>
            <b:First>M</b:First>
          </b:Person>
          <b:Person>
            <b:Last>Angkurawaranon</b:Last>
            <b:First>C</b:First>
          </b:Person>
        </b:NameList>
      </b:Author>
    </b:Author>
    <b:RefOrder>73</b:RefOrder>
  </b:Source>
  <b:Source>
    <b:Tag>And95</b:Tag>
    <b:SourceType>JournalArticle</b:SourceType>
    <b:Guid>{5E027537-2199-4105-B7A9-769AE82AB92C}</b:Guid>
    <b:Title>Revisiting the behavioral model and access to medical care: does it matter?</b:Title>
    <b:JournalName>Journal of health and social behavior</b:JournalName>
    <b:Year>1995</b:Year>
    <b:Pages>1-10</b:Pages>
    <b:Volume>36</b:Volume>
    <b:Issue>1</b:Issue>
    <b:DOI>https://doi.org/10.2307/2137284</b:DOI>
    <b:Author>
      <b:Author>
        <b:NameList>
          <b:Person>
            <b:Last>Andersen,</b:Last>
            <b:Middle>M</b:Middle>
            <b:First>R</b:First>
          </b:Person>
        </b:NameList>
      </b:Author>
    </b:Author>
    <b:RefOrder>74</b:RefOrder>
  </b:Source>
  <b:Source>
    <b:Tag>Alo24</b:Tag>
    <b:SourceType>JournalArticle</b:SourceType>
    <b:Guid>{1387C434-49E9-445F-A070-60219532D9BC}</b:Guid>
    <b:Title>Community beliefs and practices about diabetes and their implications for the prevention and management of diabetes in Southeast Ghana</b:Title>
    <b:JournalName>BMC Public Health</b:JournalName>
    <b:Year>2024</b:Year>
    <b:Pages>3071</b:Pages>
    <b:Volume>24</b:Volume>
    <b:Issue>1</b:Issue>
    <b:DOI>10.1186/s12889-024-20589-4</b:DOI>
    <b:Author>
      <b:Author>
        <b:NameList>
          <b:Person>
            <b:Last>Alor</b:Last>
            <b:Middle>K</b:Middle>
            <b:First>S</b:First>
          </b:Person>
          <b:Person>
            <b:Last>Kretchy</b:Last>
            <b:Middle>A</b:Middle>
            <b:First>I</b:First>
          </b:Person>
          <b:Person>
            <b:Last>Glozah</b:Last>
            <b:Middle>N</b:Middle>
            <b:First>F</b:First>
          </b:Person>
          <b:Person>
            <b:Last>Adongo</b:Last>
            <b:Middle>B</b:Middle>
            <b:First>P</b:First>
          </b:Person>
        </b:NameList>
      </b:Author>
    </b:Author>
    <b:RefOrder>71</b:RefOrder>
  </b:Source>
</b:Sources>
</file>

<file path=customXml/itemProps1.xml><?xml version="1.0" encoding="utf-8"?>
<ds:datastoreItem xmlns:ds="http://schemas.openxmlformats.org/officeDocument/2006/customXml" ds:itemID="{06B1F382-5D70-40D2-BB31-06DDD0F00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10546</TotalTime>
  <Pages>22</Pages>
  <Words>6482</Words>
  <Characters>36953</Characters>
  <Application>Microsoft Office Word</Application>
  <DocSecurity>0</DocSecurity>
  <Lines>307</Lines>
  <Paragraphs>86</Paragraphs>
  <ScaleCrop>false</ScaleCrop>
  <Company/>
  <LinksUpToDate>false</LinksUpToDate>
  <CharactersWithSpaces>43349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332</cp:revision>
  <dcterms:created xsi:type="dcterms:W3CDTF">2024-09-05T15:07:00Z</dcterms:created>
  <dcterms:modified xsi:type="dcterms:W3CDTF">2025-04-08T14:30:00Z</dcterms:modified>
</cp:coreProperties>
</file>