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0ED9A" w14:textId="77777777" w:rsidR="00B30427" w:rsidRPr="008D6723" w:rsidRDefault="00B30427" w:rsidP="00B30427">
      <w:pPr>
        <w:pStyle w:val="GraphicAnchor"/>
        <w:rPr>
          <w:rFonts w:ascii="Arial" w:hAnsi="Arial" w:cs="Arial"/>
        </w:rPr>
      </w:pPr>
      <w:r w:rsidRPr="008D6723">
        <w:rPr>
          <w:rFonts w:ascii="Arial" w:hAnsi="Arial" w:cs="Arial"/>
          <w:noProof/>
          <w:lang w:val="en-AU" w:eastAsia="en-AU"/>
        </w:rPr>
        <w:drawing>
          <wp:anchor distT="0" distB="0" distL="114300" distR="114300" simplePos="0" relativeHeight="251659264" behindDoc="1" locked="1" layoutInCell="1" allowOverlap="1" wp14:anchorId="11C6B540" wp14:editId="0F242415">
            <wp:simplePos x="0" y="0"/>
            <wp:positionH relativeFrom="margin">
              <wp:align>left</wp:align>
            </wp:positionH>
            <wp:positionV relativeFrom="margin">
              <wp:align>top</wp:align>
            </wp:positionV>
            <wp:extent cx="6858000" cy="9144000"/>
            <wp:effectExtent l="0" t="0" r="0" b="0"/>
            <wp:wrapNone/>
            <wp:docPr id="1" name="Picture 1" descr="Decorativ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Layout w:type="fixed"/>
        <w:tblCellMar>
          <w:left w:w="0" w:type="dxa"/>
          <w:right w:w="0" w:type="dxa"/>
        </w:tblCellMar>
        <w:tblLook w:val="0600" w:firstRow="0" w:lastRow="0" w:firstColumn="0" w:lastColumn="0" w:noHBand="1" w:noVBand="1"/>
      </w:tblPr>
      <w:tblGrid>
        <w:gridCol w:w="1170"/>
        <w:gridCol w:w="28"/>
        <w:gridCol w:w="1142"/>
        <w:gridCol w:w="57"/>
        <w:gridCol w:w="5995"/>
        <w:gridCol w:w="68"/>
        <w:gridCol w:w="1131"/>
        <w:gridCol w:w="39"/>
        <w:gridCol w:w="1160"/>
      </w:tblGrid>
      <w:tr w:rsidR="00B30427" w:rsidRPr="008D6723" w14:paraId="4E10B93E" w14:textId="77777777" w:rsidTr="00C64BFF">
        <w:trPr>
          <w:trHeight w:val="1083"/>
        </w:trPr>
        <w:tc>
          <w:tcPr>
            <w:tcW w:w="10790" w:type="dxa"/>
            <w:gridSpan w:val="9"/>
          </w:tcPr>
          <w:p w14:paraId="2C582F06" w14:textId="77777777" w:rsidR="00B30427" w:rsidRPr="008D6723" w:rsidRDefault="00B30427" w:rsidP="00C64BFF">
            <w:pPr>
              <w:rPr>
                <w:rFonts w:ascii="Arial" w:hAnsi="Arial" w:cs="Arial"/>
              </w:rPr>
            </w:pPr>
          </w:p>
        </w:tc>
      </w:tr>
      <w:tr w:rsidR="00B30427" w:rsidRPr="008D6723" w14:paraId="13F911B8" w14:textId="77777777" w:rsidTr="00C64BFF">
        <w:trPr>
          <w:trHeight w:val="1068"/>
        </w:trPr>
        <w:tc>
          <w:tcPr>
            <w:tcW w:w="1198" w:type="dxa"/>
            <w:gridSpan w:val="2"/>
            <w:tcBorders>
              <w:right w:val="single" w:sz="18" w:space="0" w:color="476166" w:themeColor="accent1"/>
            </w:tcBorders>
          </w:tcPr>
          <w:p w14:paraId="729F64F9" w14:textId="77777777" w:rsidR="00B30427" w:rsidRPr="008D6723" w:rsidRDefault="00B30427" w:rsidP="00C64BFF">
            <w:pPr>
              <w:rPr>
                <w:rFonts w:ascii="Arial" w:hAnsi="Arial" w:cs="Arial"/>
              </w:rPr>
            </w:pPr>
          </w:p>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67F1A269" w14:textId="77777777" w:rsidR="00B30427" w:rsidRPr="00AE3A72" w:rsidRDefault="00B30427" w:rsidP="00C64BFF">
            <w:pPr>
              <w:pStyle w:val="Text"/>
              <w:jc w:val="center"/>
              <w:rPr>
                <w:rFonts w:ascii="Arial" w:hAnsi="Arial" w:cs="Arial"/>
                <w:b/>
                <w:bCs/>
                <w:sz w:val="40"/>
                <w:szCs w:val="40"/>
              </w:rPr>
            </w:pPr>
            <w:r w:rsidRPr="00AE3A72">
              <w:rPr>
                <w:rFonts w:ascii="Arial" w:hAnsi="Arial" w:cs="Arial"/>
                <w:b/>
                <w:bCs/>
                <w:sz w:val="40"/>
                <w:szCs w:val="40"/>
              </w:rPr>
              <w:t>Understanding &amp; Engaging in the Customer Experience within Amazon</w:t>
            </w:r>
          </w:p>
        </w:tc>
        <w:tc>
          <w:tcPr>
            <w:tcW w:w="1199" w:type="dxa"/>
            <w:gridSpan w:val="2"/>
            <w:tcBorders>
              <w:left w:val="single" w:sz="18" w:space="0" w:color="476166" w:themeColor="accent1"/>
            </w:tcBorders>
          </w:tcPr>
          <w:p w14:paraId="3BF07D06" w14:textId="77777777" w:rsidR="00B30427" w:rsidRPr="008D6723" w:rsidRDefault="00B30427" w:rsidP="00C64BFF">
            <w:pPr>
              <w:rPr>
                <w:rFonts w:ascii="Arial" w:hAnsi="Arial" w:cs="Arial"/>
              </w:rPr>
            </w:pPr>
          </w:p>
        </w:tc>
      </w:tr>
      <w:tr w:rsidR="00B30427" w:rsidRPr="008D6723" w14:paraId="3BFA2B06" w14:textId="77777777" w:rsidTr="00C64BFF">
        <w:trPr>
          <w:trHeight w:val="1837"/>
        </w:trPr>
        <w:tc>
          <w:tcPr>
            <w:tcW w:w="1170" w:type="dxa"/>
          </w:tcPr>
          <w:p w14:paraId="55297EB5" w14:textId="77777777" w:rsidR="00B30427" w:rsidRPr="008D6723" w:rsidRDefault="00B30427" w:rsidP="00C64BFF">
            <w:pPr>
              <w:rPr>
                <w:rFonts w:ascii="Arial" w:hAnsi="Arial" w:cs="Arial"/>
              </w:rPr>
            </w:pPr>
          </w:p>
        </w:tc>
        <w:tc>
          <w:tcPr>
            <w:tcW w:w="8460" w:type="dxa"/>
            <w:gridSpan w:val="7"/>
          </w:tcPr>
          <w:p w14:paraId="33EECECE" w14:textId="77777777" w:rsidR="00B30427" w:rsidRPr="005A74AA" w:rsidRDefault="00B30427" w:rsidP="00C64BFF">
            <w:pPr>
              <w:rPr>
                <w:rFonts w:ascii="Arial" w:hAnsi="Arial" w:cs="Arial"/>
              </w:rPr>
            </w:pPr>
          </w:p>
        </w:tc>
        <w:tc>
          <w:tcPr>
            <w:tcW w:w="1160" w:type="dxa"/>
          </w:tcPr>
          <w:p w14:paraId="6B8081A3" w14:textId="77777777" w:rsidR="00B30427" w:rsidRPr="008D6723" w:rsidRDefault="00B30427" w:rsidP="00C64BFF">
            <w:pPr>
              <w:rPr>
                <w:rFonts w:ascii="Arial" w:hAnsi="Arial" w:cs="Arial"/>
              </w:rPr>
            </w:pPr>
          </w:p>
        </w:tc>
      </w:tr>
      <w:tr w:rsidR="00B30427" w:rsidRPr="008D6723" w14:paraId="0204D270" w14:textId="77777777" w:rsidTr="00C64BFF">
        <w:trPr>
          <w:trHeight w:val="929"/>
        </w:trPr>
        <w:tc>
          <w:tcPr>
            <w:tcW w:w="2397" w:type="dxa"/>
            <w:gridSpan w:val="4"/>
          </w:tcPr>
          <w:p w14:paraId="075152BC" w14:textId="77777777" w:rsidR="00B30427" w:rsidRPr="00711D58" w:rsidRDefault="00B30427" w:rsidP="00C64BFF">
            <w:pPr>
              <w:rPr>
                <w:rFonts w:ascii="Arial" w:hAnsi="Arial" w:cs="Arial"/>
              </w:rPr>
            </w:pPr>
          </w:p>
        </w:tc>
        <w:tc>
          <w:tcPr>
            <w:tcW w:w="5995" w:type="dxa"/>
            <w:shd w:val="clear" w:color="auto" w:fill="FFFFFF" w:themeFill="background1"/>
          </w:tcPr>
          <w:p w14:paraId="55DFA9B2" w14:textId="77777777" w:rsidR="00B30427" w:rsidRDefault="00B30427" w:rsidP="00C64BFF">
            <w:pPr>
              <w:jc w:val="center"/>
              <w:rPr>
                <w:rFonts w:ascii="Arial" w:hAnsi="Arial" w:cs="Arial"/>
                <w:sz w:val="48"/>
                <w:szCs w:val="48"/>
              </w:rPr>
            </w:pPr>
          </w:p>
          <w:p w14:paraId="007E02BC" w14:textId="77777777" w:rsidR="00B30427" w:rsidRDefault="00B30427" w:rsidP="00C64BFF">
            <w:pPr>
              <w:jc w:val="center"/>
              <w:rPr>
                <w:rFonts w:ascii="Arial" w:hAnsi="Arial" w:cs="Arial"/>
                <w:sz w:val="48"/>
                <w:szCs w:val="48"/>
              </w:rPr>
            </w:pPr>
          </w:p>
          <w:p w14:paraId="7D3B9D71" w14:textId="77777777" w:rsidR="00B30427" w:rsidRDefault="00B30427" w:rsidP="00C64BFF">
            <w:pPr>
              <w:jc w:val="center"/>
              <w:rPr>
                <w:rFonts w:ascii="Arial" w:hAnsi="Arial" w:cs="Arial"/>
                <w:sz w:val="48"/>
                <w:szCs w:val="48"/>
              </w:rPr>
            </w:pPr>
          </w:p>
          <w:p w14:paraId="7313EC43" w14:textId="77777777" w:rsidR="00B30427" w:rsidRPr="005A74AA" w:rsidRDefault="00B30427" w:rsidP="00C64BFF">
            <w:pPr>
              <w:rPr>
                <w:rFonts w:ascii="Arial" w:hAnsi="Arial" w:cs="Arial"/>
                <w:sz w:val="48"/>
                <w:szCs w:val="48"/>
              </w:rPr>
            </w:pPr>
          </w:p>
        </w:tc>
        <w:tc>
          <w:tcPr>
            <w:tcW w:w="2398" w:type="dxa"/>
            <w:gridSpan w:val="4"/>
          </w:tcPr>
          <w:p w14:paraId="5E5BC797" w14:textId="77777777" w:rsidR="00B30427" w:rsidRPr="008D6723" w:rsidRDefault="00B30427" w:rsidP="00C64BFF">
            <w:pPr>
              <w:rPr>
                <w:rFonts w:ascii="Arial" w:hAnsi="Arial" w:cs="Arial"/>
              </w:rPr>
            </w:pPr>
          </w:p>
        </w:tc>
      </w:tr>
      <w:tr w:rsidR="00B30427" w:rsidRPr="008D6723" w14:paraId="7CB0BF22" w14:textId="77777777" w:rsidTr="00C64BFF">
        <w:trPr>
          <w:trHeight w:val="1460"/>
        </w:trPr>
        <w:tc>
          <w:tcPr>
            <w:tcW w:w="2397" w:type="dxa"/>
            <w:gridSpan w:val="4"/>
          </w:tcPr>
          <w:p w14:paraId="0E09B95B" w14:textId="77777777" w:rsidR="00B30427" w:rsidRPr="00711D58" w:rsidRDefault="00B30427" w:rsidP="00C64BFF">
            <w:pPr>
              <w:rPr>
                <w:rFonts w:ascii="Arial" w:hAnsi="Arial" w:cs="Arial"/>
              </w:rPr>
            </w:pPr>
          </w:p>
        </w:tc>
        <w:tc>
          <w:tcPr>
            <w:tcW w:w="5995" w:type="dxa"/>
            <w:shd w:val="clear" w:color="auto" w:fill="FFFFFF" w:themeFill="background1"/>
          </w:tcPr>
          <w:p w14:paraId="2618810C" w14:textId="77777777" w:rsidR="00B30427" w:rsidRPr="00AE3A72" w:rsidRDefault="00B30427" w:rsidP="00C64BFF">
            <w:pPr>
              <w:pStyle w:val="Text"/>
              <w:jc w:val="center"/>
              <w:rPr>
                <w:rFonts w:ascii="Arial" w:hAnsi="Arial" w:cs="Arial"/>
                <w:b/>
                <w:bCs/>
                <w:sz w:val="32"/>
                <w:szCs w:val="32"/>
              </w:rPr>
            </w:pPr>
            <w:r w:rsidRPr="00AE3A72">
              <w:rPr>
                <w:rFonts w:ascii="Arial" w:hAnsi="Arial" w:cs="Arial"/>
                <w:b/>
                <w:bCs/>
                <w:sz w:val="32"/>
                <w:szCs w:val="32"/>
              </w:rPr>
              <w:t>Student: Roxana Plesca</w:t>
            </w:r>
          </w:p>
          <w:p w14:paraId="151B818E" w14:textId="77777777" w:rsidR="00B30427" w:rsidRPr="00AE3A72" w:rsidRDefault="00B30427" w:rsidP="00C64BFF">
            <w:pPr>
              <w:pStyle w:val="Text"/>
              <w:jc w:val="center"/>
              <w:rPr>
                <w:rFonts w:ascii="Arial" w:hAnsi="Arial" w:cs="Arial"/>
                <w:b/>
                <w:bCs/>
                <w:sz w:val="32"/>
                <w:szCs w:val="32"/>
              </w:rPr>
            </w:pPr>
          </w:p>
          <w:p w14:paraId="5B45D00B" w14:textId="77777777" w:rsidR="00B30427" w:rsidRPr="00AE3A72" w:rsidRDefault="00B30427" w:rsidP="00C64BFF">
            <w:pPr>
              <w:pStyle w:val="Text"/>
              <w:jc w:val="center"/>
              <w:rPr>
                <w:rFonts w:ascii="Arial" w:hAnsi="Arial" w:cs="Arial"/>
                <w:b/>
                <w:bCs/>
                <w:sz w:val="32"/>
                <w:szCs w:val="32"/>
              </w:rPr>
            </w:pPr>
            <w:r w:rsidRPr="00AE3A72">
              <w:rPr>
                <w:rFonts w:ascii="Arial" w:hAnsi="Arial" w:cs="Arial"/>
                <w:b/>
                <w:bCs/>
                <w:sz w:val="32"/>
                <w:szCs w:val="32"/>
              </w:rPr>
              <w:t>Student ID: 2425030</w:t>
            </w:r>
          </w:p>
        </w:tc>
        <w:tc>
          <w:tcPr>
            <w:tcW w:w="2398" w:type="dxa"/>
            <w:gridSpan w:val="4"/>
          </w:tcPr>
          <w:p w14:paraId="204B1D53" w14:textId="77777777" w:rsidR="00B30427" w:rsidRPr="008D6723" w:rsidRDefault="00B30427" w:rsidP="00C64BFF">
            <w:pPr>
              <w:rPr>
                <w:rFonts w:ascii="Arial" w:hAnsi="Arial" w:cs="Arial"/>
              </w:rPr>
            </w:pPr>
          </w:p>
        </w:tc>
      </w:tr>
      <w:tr w:rsidR="00B30427" w:rsidRPr="008D6723" w14:paraId="262B1CF6" w14:textId="77777777" w:rsidTr="00C64BFF">
        <w:trPr>
          <w:trHeight w:val="5812"/>
        </w:trPr>
        <w:tc>
          <w:tcPr>
            <w:tcW w:w="2397" w:type="dxa"/>
            <w:gridSpan w:val="4"/>
          </w:tcPr>
          <w:p w14:paraId="23A16E38" w14:textId="77777777" w:rsidR="00B30427" w:rsidRPr="008D6723" w:rsidRDefault="00B30427" w:rsidP="00C64BFF">
            <w:pPr>
              <w:jc w:val="center"/>
              <w:rPr>
                <w:rFonts w:ascii="Arial" w:hAnsi="Arial" w:cs="Arial"/>
              </w:rPr>
            </w:pPr>
          </w:p>
        </w:tc>
        <w:tc>
          <w:tcPr>
            <w:tcW w:w="5995" w:type="dxa"/>
            <w:tcBorders>
              <w:bottom w:val="single" w:sz="18" w:space="0" w:color="476166" w:themeColor="accent1"/>
            </w:tcBorders>
            <w:shd w:val="clear" w:color="auto" w:fill="FFFFFF" w:themeFill="background1"/>
          </w:tcPr>
          <w:p w14:paraId="030E1F5B" w14:textId="77777777" w:rsidR="00B30427" w:rsidRPr="00AE3A72" w:rsidRDefault="00B30427" w:rsidP="00C64BFF">
            <w:pPr>
              <w:pStyle w:val="Text"/>
              <w:jc w:val="center"/>
              <w:rPr>
                <w:rFonts w:ascii="Arial" w:hAnsi="Arial" w:cs="Arial"/>
                <w:b/>
                <w:bCs/>
                <w:sz w:val="32"/>
                <w:szCs w:val="32"/>
              </w:rPr>
            </w:pPr>
            <w:r w:rsidRPr="00AE3A72">
              <w:rPr>
                <w:rFonts w:ascii="Arial" w:hAnsi="Arial" w:cs="Arial"/>
                <w:b/>
                <w:bCs/>
                <w:sz w:val="32"/>
                <w:szCs w:val="32"/>
              </w:rPr>
              <w:t>Module code: BMSK5012</w:t>
            </w:r>
          </w:p>
          <w:p w14:paraId="4FD5A4B3" w14:textId="77777777" w:rsidR="00B30427" w:rsidRPr="00AE3A72" w:rsidRDefault="00B30427" w:rsidP="00C64BFF">
            <w:pPr>
              <w:pStyle w:val="Text"/>
              <w:jc w:val="center"/>
              <w:rPr>
                <w:rFonts w:ascii="Arial" w:hAnsi="Arial" w:cs="Arial"/>
                <w:b/>
                <w:bCs/>
                <w:sz w:val="32"/>
                <w:szCs w:val="32"/>
              </w:rPr>
            </w:pPr>
          </w:p>
          <w:p w14:paraId="521C3B2C" w14:textId="77777777" w:rsidR="00B30427" w:rsidRPr="00AE3A72" w:rsidRDefault="00B30427" w:rsidP="00C64BFF">
            <w:pPr>
              <w:pStyle w:val="Text"/>
              <w:jc w:val="center"/>
              <w:rPr>
                <w:rFonts w:ascii="Arial" w:hAnsi="Arial" w:cs="Arial"/>
                <w:b/>
                <w:bCs/>
                <w:sz w:val="32"/>
                <w:szCs w:val="32"/>
              </w:rPr>
            </w:pPr>
            <w:r w:rsidRPr="00AE3A72">
              <w:rPr>
                <w:rFonts w:ascii="Arial" w:hAnsi="Arial" w:cs="Arial"/>
                <w:b/>
                <w:bCs/>
                <w:sz w:val="32"/>
                <w:szCs w:val="32"/>
              </w:rPr>
              <w:t>Lecturer: Christine Joy</w:t>
            </w:r>
          </w:p>
          <w:p w14:paraId="2016F728" w14:textId="77777777" w:rsidR="00B30427" w:rsidRPr="00AE3A72" w:rsidRDefault="00B30427" w:rsidP="00C64BFF">
            <w:pPr>
              <w:jc w:val="center"/>
              <w:rPr>
                <w:rFonts w:ascii="Arial" w:hAnsi="Arial" w:cs="Arial"/>
                <w:b/>
                <w:bCs/>
                <w:sz w:val="32"/>
                <w:szCs w:val="32"/>
              </w:rPr>
            </w:pPr>
          </w:p>
        </w:tc>
        <w:tc>
          <w:tcPr>
            <w:tcW w:w="2398" w:type="dxa"/>
            <w:gridSpan w:val="4"/>
          </w:tcPr>
          <w:p w14:paraId="2C1469C9" w14:textId="77777777" w:rsidR="00B30427" w:rsidRPr="008D6723" w:rsidRDefault="00B30427" w:rsidP="00C64BFF">
            <w:pPr>
              <w:jc w:val="center"/>
              <w:rPr>
                <w:rFonts w:ascii="Arial" w:hAnsi="Arial" w:cs="Arial"/>
              </w:rPr>
            </w:pPr>
          </w:p>
        </w:tc>
      </w:tr>
      <w:tr w:rsidR="00B30427" w:rsidRPr="008D6723" w14:paraId="1C811AE2" w14:textId="77777777" w:rsidTr="00C64BFF">
        <w:tc>
          <w:tcPr>
            <w:tcW w:w="2340" w:type="dxa"/>
            <w:gridSpan w:val="3"/>
          </w:tcPr>
          <w:p w14:paraId="5F02D425" w14:textId="77777777" w:rsidR="00B30427" w:rsidRPr="008D6723" w:rsidRDefault="00B30427" w:rsidP="00C64BFF">
            <w:pPr>
              <w:rPr>
                <w:rFonts w:ascii="Arial" w:hAnsi="Arial" w:cs="Arial"/>
              </w:rPr>
            </w:pPr>
          </w:p>
        </w:tc>
        <w:tc>
          <w:tcPr>
            <w:tcW w:w="6120" w:type="dxa"/>
            <w:gridSpan w:val="3"/>
          </w:tcPr>
          <w:p w14:paraId="0A9173ED" w14:textId="77777777" w:rsidR="00B30427" w:rsidRPr="008D6723" w:rsidRDefault="00B30427" w:rsidP="00C64BFF">
            <w:pPr>
              <w:rPr>
                <w:rFonts w:ascii="Arial" w:hAnsi="Arial" w:cs="Arial"/>
              </w:rPr>
            </w:pPr>
          </w:p>
        </w:tc>
        <w:tc>
          <w:tcPr>
            <w:tcW w:w="2330" w:type="dxa"/>
            <w:gridSpan w:val="3"/>
          </w:tcPr>
          <w:p w14:paraId="0918EE78" w14:textId="77777777" w:rsidR="00B30427" w:rsidRPr="008D6723" w:rsidRDefault="00B30427" w:rsidP="00C64BFF">
            <w:pPr>
              <w:rPr>
                <w:rFonts w:ascii="Arial" w:hAnsi="Arial" w:cs="Arial"/>
              </w:rPr>
            </w:pPr>
          </w:p>
        </w:tc>
      </w:tr>
    </w:tbl>
    <w:sdt>
      <w:sdtPr>
        <w:rPr>
          <w:rFonts w:ascii="Arial" w:eastAsiaTheme="minorHAnsi" w:hAnsi="Arial" w:cs="Arial"/>
          <w:color w:val="auto"/>
          <w:sz w:val="24"/>
          <w:szCs w:val="24"/>
          <w:lang w:val="en-GB"/>
        </w:rPr>
        <w:id w:val="324868779"/>
        <w:docPartObj>
          <w:docPartGallery w:val="Table of Contents"/>
          <w:docPartUnique/>
        </w:docPartObj>
      </w:sdtPr>
      <w:sdtEndPr>
        <w:rPr>
          <w:b/>
          <w:bCs/>
          <w:noProof/>
        </w:rPr>
      </w:sdtEndPr>
      <w:sdtContent>
        <w:p w14:paraId="1FF106CD" w14:textId="77777777" w:rsidR="00B30427" w:rsidRPr="003B7A89" w:rsidRDefault="00B30427" w:rsidP="00B30427">
          <w:pPr>
            <w:pStyle w:val="TOCHeading"/>
            <w:rPr>
              <w:rFonts w:ascii="Arial" w:hAnsi="Arial" w:cs="Arial"/>
            </w:rPr>
          </w:pPr>
          <w:r w:rsidRPr="003B7A89">
            <w:rPr>
              <w:rFonts w:ascii="Arial" w:hAnsi="Arial" w:cs="Arial"/>
            </w:rPr>
            <w:t>Contents</w:t>
          </w:r>
        </w:p>
        <w:p w14:paraId="7C9EB0E0" w14:textId="77777777" w:rsidR="00B30427" w:rsidRPr="003B7A89" w:rsidRDefault="00B30427" w:rsidP="00B30427">
          <w:pPr>
            <w:pStyle w:val="TOC1"/>
            <w:tabs>
              <w:tab w:val="right" w:leader="dot" w:pos="10790"/>
            </w:tabs>
            <w:rPr>
              <w:rFonts w:ascii="Arial" w:eastAsiaTheme="minorEastAsia" w:hAnsi="Arial" w:cs="Arial"/>
              <w:noProof/>
              <w:kern w:val="2"/>
              <w:lang w:eastAsia="en-GB"/>
              <w14:ligatures w14:val="standardContextual"/>
            </w:rPr>
          </w:pPr>
          <w:r w:rsidRPr="003B7A89">
            <w:rPr>
              <w:rFonts w:ascii="Arial" w:hAnsi="Arial" w:cs="Arial"/>
            </w:rPr>
            <w:fldChar w:fldCharType="begin"/>
          </w:r>
          <w:r w:rsidRPr="003B7A89">
            <w:rPr>
              <w:rFonts w:ascii="Arial" w:hAnsi="Arial" w:cs="Arial"/>
            </w:rPr>
            <w:instrText xml:space="preserve"> TOC \o "1-3" \h \z \u </w:instrText>
          </w:r>
          <w:r w:rsidRPr="003B7A89">
            <w:rPr>
              <w:rFonts w:ascii="Arial" w:hAnsi="Arial" w:cs="Arial"/>
            </w:rPr>
            <w:fldChar w:fldCharType="separate"/>
          </w:r>
          <w:hyperlink w:anchor="_Toc235969847" w:history="1">
            <w:r w:rsidRPr="003B7A89">
              <w:rPr>
                <w:rStyle w:val="Hyperlink"/>
                <w:rFonts w:ascii="Arial" w:hAnsi="Arial" w:cs="Arial"/>
                <w:noProof/>
              </w:rPr>
              <w:t>AI Acknowledgement</w:t>
            </w:r>
            <w:r w:rsidRPr="003B7A89">
              <w:rPr>
                <w:rFonts w:ascii="Arial" w:hAnsi="Arial" w:cs="Arial"/>
                <w:noProof/>
                <w:webHidden/>
              </w:rPr>
              <w:tab/>
            </w:r>
            <w:r w:rsidRPr="003B7A89">
              <w:rPr>
                <w:rFonts w:ascii="Arial" w:hAnsi="Arial" w:cs="Arial"/>
                <w:noProof/>
                <w:webHidden/>
              </w:rPr>
              <w:fldChar w:fldCharType="begin"/>
            </w:r>
            <w:r w:rsidRPr="003B7A89">
              <w:rPr>
                <w:rFonts w:ascii="Arial" w:hAnsi="Arial" w:cs="Arial"/>
                <w:noProof/>
                <w:webHidden/>
              </w:rPr>
              <w:instrText xml:space="preserve"> PAGEREF _Toc235969847 \h </w:instrText>
            </w:r>
            <w:r w:rsidRPr="003B7A89">
              <w:rPr>
                <w:rFonts w:ascii="Arial" w:hAnsi="Arial" w:cs="Arial"/>
                <w:noProof/>
                <w:webHidden/>
              </w:rPr>
            </w:r>
            <w:r w:rsidRPr="003B7A89">
              <w:rPr>
                <w:rFonts w:ascii="Arial" w:hAnsi="Arial" w:cs="Arial"/>
                <w:noProof/>
                <w:webHidden/>
              </w:rPr>
              <w:fldChar w:fldCharType="separate"/>
            </w:r>
            <w:r w:rsidRPr="003B7A89">
              <w:rPr>
                <w:rFonts w:ascii="Arial" w:hAnsi="Arial" w:cs="Arial"/>
                <w:noProof/>
                <w:webHidden/>
              </w:rPr>
              <w:t>2</w:t>
            </w:r>
            <w:r w:rsidRPr="003B7A89">
              <w:rPr>
                <w:rFonts w:ascii="Arial" w:hAnsi="Arial" w:cs="Arial"/>
                <w:noProof/>
                <w:webHidden/>
              </w:rPr>
              <w:fldChar w:fldCharType="end"/>
            </w:r>
          </w:hyperlink>
        </w:p>
        <w:p w14:paraId="6EF4695F" w14:textId="77777777" w:rsidR="00B30427" w:rsidRPr="003B7A89" w:rsidRDefault="00B30427" w:rsidP="00B30427">
          <w:pPr>
            <w:pStyle w:val="TOC1"/>
            <w:tabs>
              <w:tab w:val="right" w:leader="dot" w:pos="10790"/>
            </w:tabs>
            <w:rPr>
              <w:rFonts w:ascii="Arial" w:eastAsiaTheme="minorEastAsia" w:hAnsi="Arial" w:cs="Arial"/>
              <w:noProof/>
              <w:kern w:val="2"/>
              <w:lang w:eastAsia="en-GB"/>
              <w14:ligatures w14:val="standardContextual"/>
            </w:rPr>
          </w:pPr>
          <w:hyperlink w:anchor="_Toc235969848" w:history="1">
            <w:r w:rsidRPr="003B7A89">
              <w:rPr>
                <w:rStyle w:val="Hyperlink"/>
                <w:rFonts w:ascii="Arial" w:hAnsi="Arial" w:cs="Arial"/>
                <w:noProof/>
              </w:rPr>
              <w:t>Introduction</w:t>
            </w:r>
            <w:r w:rsidRPr="003B7A89">
              <w:rPr>
                <w:rFonts w:ascii="Arial" w:hAnsi="Arial" w:cs="Arial"/>
                <w:noProof/>
                <w:webHidden/>
              </w:rPr>
              <w:tab/>
            </w:r>
            <w:r w:rsidRPr="003B7A89">
              <w:rPr>
                <w:rFonts w:ascii="Arial" w:hAnsi="Arial" w:cs="Arial"/>
                <w:noProof/>
                <w:webHidden/>
              </w:rPr>
              <w:fldChar w:fldCharType="begin"/>
            </w:r>
            <w:r w:rsidRPr="003B7A89">
              <w:rPr>
                <w:rFonts w:ascii="Arial" w:hAnsi="Arial" w:cs="Arial"/>
                <w:noProof/>
                <w:webHidden/>
              </w:rPr>
              <w:instrText xml:space="preserve"> PAGEREF _Toc235969848 \h </w:instrText>
            </w:r>
            <w:r w:rsidRPr="003B7A89">
              <w:rPr>
                <w:rFonts w:ascii="Arial" w:hAnsi="Arial" w:cs="Arial"/>
                <w:noProof/>
                <w:webHidden/>
              </w:rPr>
            </w:r>
            <w:r w:rsidRPr="003B7A89">
              <w:rPr>
                <w:rFonts w:ascii="Arial" w:hAnsi="Arial" w:cs="Arial"/>
                <w:noProof/>
                <w:webHidden/>
              </w:rPr>
              <w:fldChar w:fldCharType="separate"/>
            </w:r>
            <w:r w:rsidRPr="003B7A89">
              <w:rPr>
                <w:rFonts w:ascii="Arial" w:hAnsi="Arial" w:cs="Arial"/>
                <w:noProof/>
                <w:webHidden/>
              </w:rPr>
              <w:t>3</w:t>
            </w:r>
            <w:r w:rsidRPr="003B7A89">
              <w:rPr>
                <w:rFonts w:ascii="Arial" w:hAnsi="Arial" w:cs="Arial"/>
                <w:noProof/>
                <w:webHidden/>
              </w:rPr>
              <w:fldChar w:fldCharType="end"/>
            </w:r>
          </w:hyperlink>
        </w:p>
        <w:p w14:paraId="317B6636" w14:textId="77777777" w:rsidR="00B30427" w:rsidRPr="003B7A89" w:rsidRDefault="00B30427" w:rsidP="00B30427">
          <w:pPr>
            <w:pStyle w:val="TOC1"/>
            <w:tabs>
              <w:tab w:val="right" w:leader="dot" w:pos="10790"/>
            </w:tabs>
            <w:rPr>
              <w:rFonts w:ascii="Arial" w:eastAsiaTheme="minorEastAsia" w:hAnsi="Arial" w:cs="Arial"/>
              <w:noProof/>
              <w:kern w:val="2"/>
              <w:lang w:eastAsia="en-GB"/>
              <w14:ligatures w14:val="standardContextual"/>
            </w:rPr>
          </w:pPr>
          <w:hyperlink w:anchor="_Toc235969849" w:history="1">
            <w:r w:rsidRPr="003B7A89">
              <w:rPr>
                <w:rStyle w:val="Hyperlink"/>
                <w:rFonts w:ascii="Arial" w:hAnsi="Arial" w:cs="Arial"/>
                <w:noProof/>
              </w:rPr>
              <w:t>Amazon, ICQA and its customers</w:t>
            </w:r>
            <w:r w:rsidRPr="003B7A89">
              <w:rPr>
                <w:rFonts w:ascii="Arial" w:hAnsi="Arial" w:cs="Arial"/>
                <w:noProof/>
                <w:webHidden/>
              </w:rPr>
              <w:tab/>
            </w:r>
            <w:r w:rsidRPr="003B7A89">
              <w:rPr>
                <w:rFonts w:ascii="Arial" w:hAnsi="Arial" w:cs="Arial"/>
                <w:noProof/>
                <w:webHidden/>
              </w:rPr>
              <w:fldChar w:fldCharType="begin"/>
            </w:r>
            <w:r w:rsidRPr="003B7A89">
              <w:rPr>
                <w:rFonts w:ascii="Arial" w:hAnsi="Arial" w:cs="Arial"/>
                <w:noProof/>
                <w:webHidden/>
              </w:rPr>
              <w:instrText xml:space="preserve"> PAGEREF _Toc235969849 \h </w:instrText>
            </w:r>
            <w:r w:rsidRPr="003B7A89">
              <w:rPr>
                <w:rFonts w:ascii="Arial" w:hAnsi="Arial" w:cs="Arial"/>
                <w:noProof/>
                <w:webHidden/>
              </w:rPr>
            </w:r>
            <w:r w:rsidRPr="003B7A89">
              <w:rPr>
                <w:rFonts w:ascii="Arial" w:hAnsi="Arial" w:cs="Arial"/>
                <w:noProof/>
                <w:webHidden/>
              </w:rPr>
              <w:fldChar w:fldCharType="separate"/>
            </w:r>
            <w:r w:rsidRPr="003B7A89">
              <w:rPr>
                <w:rFonts w:ascii="Arial" w:hAnsi="Arial" w:cs="Arial"/>
                <w:noProof/>
                <w:webHidden/>
              </w:rPr>
              <w:t>3</w:t>
            </w:r>
            <w:r w:rsidRPr="003B7A89">
              <w:rPr>
                <w:rFonts w:ascii="Arial" w:hAnsi="Arial" w:cs="Arial"/>
                <w:noProof/>
                <w:webHidden/>
              </w:rPr>
              <w:fldChar w:fldCharType="end"/>
            </w:r>
          </w:hyperlink>
        </w:p>
        <w:p w14:paraId="660CF377" w14:textId="77777777" w:rsidR="00B30427" w:rsidRPr="003B7A89" w:rsidRDefault="00B30427" w:rsidP="00B30427">
          <w:pPr>
            <w:pStyle w:val="TOC1"/>
            <w:tabs>
              <w:tab w:val="right" w:leader="dot" w:pos="10790"/>
            </w:tabs>
            <w:rPr>
              <w:rFonts w:ascii="Arial" w:eastAsiaTheme="minorEastAsia" w:hAnsi="Arial" w:cs="Arial"/>
              <w:noProof/>
              <w:kern w:val="2"/>
              <w:lang w:eastAsia="en-GB"/>
              <w14:ligatures w14:val="standardContextual"/>
            </w:rPr>
          </w:pPr>
          <w:hyperlink w:anchor="_Toc235969850" w:history="1">
            <w:r w:rsidRPr="003B7A89">
              <w:rPr>
                <w:rStyle w:val="Hyperlink"/>
                <w:rFonts w:ascii="Arial" w:hAnsi="Arial" w:cs="Arial"/>
                <w:noProof/>
              </w:rPr>
              <w:t>Factors affecting customer value</w:t>
            </w:r>
            <w:r w:rsidRPr="003B7A89">
              <w:rPr>
                <w:rFonts w:ascii="Arial" w:hAnsi="Arial" w:cs="Arial"/>
                <w:noProof/>
                <w:webHidden/>
              </w:rPr>
              <w:tab/>
            </w:r>
            <w:r w:rsidRPr="003B7A89">
              <w:rPr>
                <w:rFonts w:ascii="Arial" w:hAnsi="Arial" w:cs="Arial"/>
                <w:noProof/>
                <w:webHidden/>
              </w:rPr>
              <w:fldChar w:fldCharType="begin"/>
            </w:r>
            <w:r w:rsidRPr="003B7A89">
              <w:rPr>
                <w:rFonts w:ascii="Arial" w:hAnsi="Arial" w:cs="Arial"/>
                <w:noProof/>
                <w:webHidden/>
              </w:rPr>
              <w:instrText xml:space="preserve"> PAGEREF _Toc235969850 \h </w:instrText>
            </w:r>
            <w:r w:rsidRPr="003B7A89">
              <w:rPr>
                <w:rFonts w:ascii="Arial" w:hAnsi="Arial" w:cs="Arial"/>
                <w:noProof/>
                <w:webHidden/>
              </w:rPr>
            </w:r>
            <w:r w:rsidRPr="003B7A89">
              <w:rPr>
                <w:rFonts w:ascii="Arial" w:hAnsi="Arial" w:cs="Arial"/>
                <w:noProof/>
                <w:webHidden/>
              </w:rPr>
              <w:fldChar w:fldCharType="separate"/>
            </w:r>
            <w:r w:rsidRPr="003B7A89">
              <w:rPr>
                <w:rFonts w:ascii="Arial" w:hAnsi="Arial" w:cs="Arial"/>
                <w:noProof/>
                <w:webHidden/>
              </w:rPr>
              <w:t>5</w:t>
            </w:r>
            <w:r w:rsidRPr="003B7A89">
              <w:rPr>
                <w:rFonts w:ascii="Arial" w:hAnsi="Arial" w:cs="Arial"/>
                <w:noProof/>
                <w:webHidden/>
              </w:rPr>
              <w:fldChar w:fldCharType="end"/>
            </w:r>
          </w:hyperlink>
        </w:p>
        <w:p w14:paraId="19E511DF" w14:textId="77777777" w:rsidR="00B30427" w:rsidRPr="003B7A89" w:rsidRDefault="00B30427" w:rsidP="00B30427">
          <w:pPr>
            <w:pStyle w:val="TOC1"/>
            <w:tabs>
              <w:tab w:val="right" w:leader="dot" w:pos="10790"/>
            </w:tabs>
            <w:rPr>
              <w:rFonts w:ascii="Arial" w:eastAsiaTheme="minorEastAsia" w:hAnsi="Arial" w:cs="Arial"/>
              <w:noProof/>
              <w:kern w:val="2"/>
              <w:lang w:eastAsia="en-GB"/>
              <w14:ligatures w14:val="standardContextual"/>
            </w:rPr>
          </w:pPr>
          <w:hyperlink w:anchor="_Toc235969851" w:history="1">
            <w:r w:rsidRPr="003B7A89">
              <w:rPr>
                <w:rStyle w:val="Hyperlink"/>
                <w:rFonts w:ascii="Arial" w:hAnsi="Arial" w:cs="Arial"/>
                <w:noProof/>
              </w:rPr>
              <w:t>ICQA quality processes and effectiveness</w:t>
            </w:r>
            <w:r w:rsidRPr="003B7A89">
              <w:rPr>
                <w:rFonts w:ascii="Arial" w:hAnsi="Arial" w:cs="Arial"/>
                <w:noProof/>
                <w:webHidden/>
              </w:rPr>
              <w:tab/>
            </w:r>
            <w:r w:rsidRPr="003B7A89">
              <w:rPr>
                <w:rFonts w:ascii="Arial" w:hAnsi="Arial" w:cs="Arial"/>
                <w:noProof/>
                <w:webHidden/>
              </w:rPr>
              <w:fldChar w:fldCharType="begin"/>
            </w:r>
            <w:r w:rsidRPr="003B7A89">
              <w:rPr>
                <w:rFonts w:ascii="Arial" w:hAnsi="Arial" w:cs="Arial"/>
                <w:noProof/>
                <w:webHidden/>
              </w:rPr>
              <w:instrText xml:space="preserve"> PAGEREF _Toc235969851 \h </w:instrText>
            </w:r>
            <w:r w:rsidRPr="003B7A89">
              <w:rPr>
                <w:rFonts w:ascii="Arial" w:hAnsi="Arial" w:cs="Arial"/>
                <w:noProof/>
                <w:webHidden/>
              </w:rPr>
            </w:r>
            <w:r w:rsidRPr="003B7A89">
              <w:rPr>
                <w:rFonts w:ascii="Arial" w:hAnsi="Arial" w:cs="Arial"/>
                <w:noProof/>
                <w:webHidden/>
              </w:rPr>
              <w:fldChar w:fldCharType="separate"/>
            </w:r>
            <w:r w:rsidRPr="003B7A89">
              <w:rPr>
                <w:rFonts w:ascii="Arial" w:hAnsi="Arial" w:cs="Arial"/>
                <w:noProof/>
                <w:webHidden/>
              </w:rPr>
              <w:t>8</w:t>
            </w:r>
            <w:r w:rsidRPr="003B7A89">
              <w:rPr>
                <w:rFonts w:ascii="Arial" w:hAnsi="Arial" w:cs="Arial"/>
                <w:noProof/>
                <w:webHidden/>
              </w:rPr>
              <w:fldChar w:fldCharType="end"/>
            </w:r>
          </w:hyperlink>
        </w:p>
        <w:p w14:paraId="03EB523C" w14:textId="77777777" w:rsidR="00B30427" w:rsidRPr="003B7A89" w:rsidRDefault="00B30427" w:rsidP="00B30427">
          <w:pPr>
            <w:pStyle w:val="TOC1"/>
            <w:tabs>
              <w:tab w:val="right" w:leader="dot" w:pos="10790"/>
            </w:tabs>
            <w:rPr>
              <w:rFonts w:ascii="Arial" w:eastAsiaTheme="minorEastAsia" w:hAnsi="Arial" w:cs="Arial"/>
              <w:noProof/>
              <w:kern w:val="2"/>
              <w:lang w:eastAsia="en-GB"/>
              <w14:ligatures w14:val="standardContextual"/>
            </w:rPr>
          </w:pPr>
          <w:hyperlink w:anchor="_Toc235969852" w:history="1">
            <w:r w:rsidRPr="003B7A89">
              <w:rPr>
                <w:rStyle w:val="Hyperlink"/>
                <w:rFonts w:ascii="Arial" w:hAnsi="Arial" w:cs="Arial"/>
                <w:noProof/>
              </w:rPr>
              <w:t>Overall evaluation and recommendations</w:t>
            </w:r>
            <w:r w:rsidRPr="003B7A89">
              <w:rPr>
                <w:rFonts w:ascii="Arial" w:hAnsi="Arial" w:cs="Arial"/>
                <w:noProof/>
                <w:webHidden/>
              </w:rPr>
              <w:tab/>
            </w:r>
            <w:r w:rsidRPr="003B7A89">
              <w:rPr>
                <w:rFonts w:ascii="Arial" w:hAnsi="Arial" w:cs="Arial"/>
                <w:noProof/>
                <w:webHidden/>
              </w:rPr>
              <w:fldChar w:fldCharType="begin"/>
            </w:r>
            <w:r w:rsidRPr="003B7A89">
              <w:rPr>
                <w:rFonts w:ascii="Arial" w:hAnsi="Arial" w:cs="Arial"/>
                <w:noProof/>
                <w:webHidden/>
              </w:rPr>
              <w:instrText xml:space="preserve"> PAGEREF _Toc235969852 \h </w:instrText>
            </w:r>
            <w:r w:rsidRPr="003B7A89">
              <w:rPr>
                <w:rFonts w:ascii="Arial" w:hAnsi="Arial" w:cs="Arial"/>
                <w:noProof/>
                <w:webHidden/>
              </w:rPr>
            </w:r>
            <w:r w:rsidRPr="003B7A89">
              <w:rPr>
                <w:rFonts w:ascii="Arial" w:hAnsi="Arial" w:cs="Arial"/>
                <w:noProof/>
                <w:webHidden/>
              </w:rPr>
              <w:fldChar w:fldCharType="separate"/>
            </w:r>
            <w:r w:rsidRPr="003B7A89">
              <w:rPr>
                <w:rFonts w:ascii="Arial" w:hAnsi="Arial" w:cs="Arial"/>
                <w:noProof/>
                <w:webHidden/>
              </w:rPr>
              <w:t>12</w:t>
            </w:r>
            <w:r w:rsidRPr="003B7A89">
              <w:rPr>
                <w:rFonts w:ascii="Arial" w:hAnsi="Arial" w:cs="Arial"/>
                <w:noProof/>
                <w:webHidden/>
              </w:rPr>
              <w:fldChar w:fldCharType="end"/>
            </w:r>
          </w:hyperlink>
        </w:p>
        <w:p w14:paraId="75BE8071" w14:textId="77777777" w:rsidR="00B30427" w:rsidRPr="003B7A89" w:rsidRDefault="00B30427" w:rsidP="00B30427">
          <w:pPr>
            <w:pStyle w:val="TOC1"/>
            <w:tabs>
              <w:tab w:val="right" w:leader="dot" w:pos="10790"/>
            </w:tabs>
            <w:rPr>
              <w:rFonts w:ascii="Arial" w:eastAsiaTheme="minorEastAsia" w:hAnsi="Arial" w:cs="Arial"/>
              <w:noProof/>
              <w:kern w:val="2"/>
              <w:lang w:eastAsia="en-GB"/>
              <w14:ligatures w14:val="standardContextual"/>
            </w:rPr>
          </w:pPr>
          <w:hyperlink w:anchor="_Toc235969853" w:history="1">
            <w:r w:rsidRPr="003B7A89">
              <w:rPr>
                <w:rStyle w:val="Hyperlink"/>
                <w:rFonts w:ascii="Arial" w:hAnsi="Arial" w:cs="Arial"/>
                <w:noProof/>
              </w:rPr>
              <w:t>Conclusion</w:t>
            </w:r>
            <w:r w:rsidRPr="003B7A89">
              <w:rPr>
                <w:rFonts w:ascii="Arial" w:hAnsi="Arial" w:cs="Arial"/>
                <w:noProof/>
                <w:webHidden/>
              </w:rPr>
              <w:tab/>
            </w:r>
            <w:r w:rsidRPr="003B7A89">
              <w:rPr>
                <w:rFonts w:ascii="Arial" w:hAnsi="Arial" w:cs="Arial"/>
                <w:noProof/>
                <w:webHidden/>
              </w:rPr>
              <w:fldChar w:fldCharType="begin"/>
            </w:r>
            <w:r w:rsidRPr="003B7A89">
              <w:rPr>
                <w:rFonts w:ascii="Arial" w:hAnsi="Arial" w:cs="Arial"/>
                <w:noProof/>
                <w:webHidden/>
              </w:rPr>
              <w:instrText xml:space="preserve"> PAGEREF _Toc235969853 \h </w:instrText>
            </w:r>
            <w:r w:rsidRPr="003B7A89">
              <w:rPr>
                <w:rFonts w:ascii="Arial" w:hAnsi="Arial" w:cs="Arial"/>
                <w:noProof/>
                <w:webHidden/>
              </w:rPr>
            </w:r>
            <w:r w:rsidRPr="003B7A89">
              <w:rPr>
                <w:rFonts w:ascii="Arial" w:hAnsi="Arial" w:cs="Arial"/>
                <w:noProof/>
                <w:webHidden/>
              </w:rPr>
              <w:fldChar w:fldCharType="separate"/>
            </w:r>
            <w:r w:rsidRPr="003B7A89">
              <w:rPr>
                <w:rFonts w:ascii="Arial" w:hAnsi="Arial" w:cs="Arial"/>
                <w:noProof/>
                <w:webHidden/>
              </w:rPr>
              <w:t>14</w:t>
            </w:r>
            <w:r w:rsidRPr="003B7A89">
              <w:rPr>
                <w:rFonts w:ascii="Arial" w:hAnsi="Arial" w:cs="Arial"/>
                <w:noProof/>
                <w:webHidden/>
              </w:rPr>
              <w:fldChar w:fldCharType="end"/>
            </w:r>
          </w:hyperlink>
        </w:p>
        <w:p w14:paraId="2852552E" w14:textId="77777777" w:rsidR="00B30427" w:rsidRPr="003B7A89" w:rsidRDefault="00B30427" w:rsidP="00B30427">
          <w:pPr>
            <w:pStyle w:val="TOC1"/>
            <w:tabs>
              <w:tab w:val="right" w:leader="dot" w:pos="10790"/>
            </w:tabs>
            <w:rPr>
              <w:rFonts w:ascii="Arial" w:eastAsiaTheme="minorEastAsia" w:hAnsi="Arial" w:cs="Arial"/>
              <w:noProof/>
              <w:kern w:val="2"/>
              <w:lang w:eastAsia="en-GB"/>
              <w14:ligatures w14:val="standardContextual"/>
            </w:rPr>
          </w:pPr>
          <w:hyperlink w:anchor="_Toc235969854" w:history="1">
            <w:r w:rsidRPr="003B7A89">
              <w:rPr>
                <w:rStyle w:val="Hyperlink"/>
                <w:rFonts w:ascii="Arial" w:hAnsi="Arial" w:cs="Arial"/>
                <w:noProof/>
              </w:rPr>
              <w:t>References</w:t>
            </w:r>
            <w:r w:rsidRPr="003B7A89">
              <w:rPr>
                <w:rFonts w:ascii="Arial" w:hAnsi="Arial" w:cs="Arial"/>
                <w:noProof/>
                <w:webHidden/>
              </w:rPr>
              <w:tab/>
            </w:r>
            <w:r w:rsidRPr="003B7A89">
              <w:rPr>
                <w:rFonts w:ascii="Arial" w:hAnsi="Arial" w:cs="Arial"/>
                <w:noProof/>
                <w:webHidden/>
              </w:rPr>
              <w:fldChar w:fldCharType="begin"/>
            </w:r>
            <w:r w:rsidRPr="003B7A89">
              <w:rPr>
                <w:rFonts w:ascii="Arial" w:hAnsi="Arial" w:cs="Arial"/>
                <w:noProof/>
                <w:webHidden/>
              </w:rPr>
              <w:instrText xml:space="preserve"> PAGEREF _Toc235969854 \h </w:instrText>
            </w:r>
            <w:r w:rsidRPr="003B7A89">
              <w:rPr>
                <w:rFonts w:ascii="Arial" w:hAnsi="Arial" w:cs="Arial"/>
                <w:noProof/>
                <w:webHidden/>
              </w:rPr>
            </w:r>
            <w:r w:rsidRPr="003B7A89">
              <w:rPr>
                <w:rFonts w:ascii="Arial" w:hAnsi="Arial" w:cs="Arial"/>
                <w:noProof/>
                <w:webHidden/>
              </w:rPr>
              <w:fldChar w:fldCharType="separate"/>
            </w:r>
            <w:r w:rsidRPr="003B7A89">
              <w:rPr>
                <w:rFonts w:ascii="Arial" w:hAnsi="Arial" w:cs="Arial"/>
                <w:noProof/>
                <w:webHidden/>
              </w:rPr>
              <w:t>15</w:t>
            </w:r>
            <w:r w:rsidRPr="003B7A89">
              <w:rPr>
                <w:rFonts w:ascii="Arial" w:hAnsi="Arial" w:cs="Arial"/>
                <w:noProof/>
                <w:webHidden/>
              </w:rPr>
              <w:fldChar w:fldCharType="end"/>
            </w:r>
          </w:hyperlink>
        </w:p>
        <w:p w14:paraId="799A8F5D" w14:textId="77777777" w:rsidR="00B30427" w:rsidRDefault="00B30427" w:rsidP="00B30427">
          <w:r w:rsidRPr="003B7A89">
            <w:rPr>
              <w:rFonts w:ascii="Arial" w:hAnsi="Arial" w:cs="Arial"/>
              <w:b/>
              <w:bCs/>
              <w:noProof/>
            </w:rPr>
            <w:fldChar w:fldCharType="end"/>
          </w:r>
        </w:p>
      </w:sdtContent>
    </w:sdt>
    <w:p w14:paraId="397AD1D4" w14:textId="77777777" w:rsidR="00B30427" w:rsidRDefault="00B30427" w:rsidP="00B30427">
      <w:pPr>
        <w:rPr>
          <w:rFonts w:ascii="Arial" w:hAnsi="Arial" w:cs="Arial"/>
        </w:rPr>
      </w:pPr>
    </w:p>
    <w:p w14:paraId="37D09359" w14:textId="77777777" w:rsidR="00B30427" w:rsidRDefault="00B30427" w:rsidP="00B30427">
      <w:pPr>
        <w:rPr>
          <w:rFonts w:ascii="Arial" w:hAnsi="Arial" w:cs="Arial"/>
        </w:rPr>
      </w:pPr>
    </w:p>
    <w:p w14:paraId="57B1954C" w14:textId="77777777" w:rsidR="00B30427" w:rsidRDefault="00B30427" w:rsidP="00B30427">
      <w:pPr>
        <w:rPr>
          <w:rFonts w:ascii="Arial" w:hAnsi="Arial" w:cs="Arial"/>
        </w:rPr>
      </w:pPr>
    </w:p>
    <w:p w14:paraId="52B967E3" w14:textId="77777777" w:rsidR="00B30427" w:rsidRDefault="00B30427" w:rsidP="00B30427">
      <w:pPr>
        <w:rPr>
          <w:rFonts w:ascii="Arial" w:hAnsi="Arial" w:cs="Arial"/>
        </w:rPr>
      </w:pPr>
    </w:p>
    <w:p w14:paraId="2DD36328" w14:textId="77777777" w:rsidR="00B30427" w:rsidRDefault="00B30427" w:rsidP="00B30427">
      <w:pPr>
        <w:rPr>
          <w:rFonts w:ascii="Arial" w:hAnsi="Arial" w:cs="Arial"/>
        </w:rPr>
      </w:pPr>
    </w:p>
    <w:p w14:paraId="218FBA64" w14:textId="77777777" w:rsidR="00B30427" w:rsidRDefault="00B30427" w:rsidP="00B30427">
      <w:pPr>
        <w:rPr>
          <w:rFonts w:ascii="Arial" w:hAnsi="Arial" w:cs="Arial"/>
        </w:rPr>
      </w:pPr>
    </w:p>
    <w:p w14:paraId="21EE6566" w14:textId="77777777" w:rsidR="00B30427" w:rsidRDefault="00B30427" w:rsidP="00B30427">
      <w:pPr>
        <w:rPr>
          <w:rFonts w:ascii="Arial" w:hAnsi="Arial" w:cs="Arial"/>
        </w:rPr>
      </w:pPr>
    </w:p>
    <w:p w14:paraId="51B4B014" w14:textId="77777777" w:rsidR="00B30427" w:rsidRDefault="00B30427" w:rsidP="00B30427">
      <w:pPr>
        <w:rPr>
          <w:rFonts w:ascii="Arial" w:hAnsi="Arial" w:cs="Arial"/>
        </w:rPr>
      </w:pPr>
    </w:p>
    <w:p w14:paraId="1BD3C7AF" w14:textId="77777777" w:rsidR="00B30427" w:rsidRDefault="00B30427" w:rsidP="00B30427">
      <w:pPr>
        <w:rPr>
          <w:rFonts w:ascii="Arial" w:hAnsi="Arial" w:cs="Arial"/>
        </w:rPr>
      </w:pPr>
    </w:p>
    <w:p w14:paraId="26A044F1" w14:textId="77777777" w:rsidR="00B30427" w:rsidRDefault="00B30427" w:rsidP="00B30427">
      <w:pPr>
        <w:rPr>
          <w:rFonts w:ascii="Arial" w:hAnsi="Arial" w:cs="Arial"/>
        </w:rPr>
      </w:pPr>
    </w:p>
    <w:p w14:paraId="6D818626" w14:textId="77777777" w:rsidR="00B30427" w:rsidRDefault="00B30427" w:rsidP="00B30427">
      <w:pPr>
        <w:rPr>
          <w:rFonts w:ascii="Arial" w:hAnsi="Arial" w:cs="Arial"/>
        </w:rPr>
      </w:pPr>
    </w:p>
    <w:p w14:paraId="1D044D47" w14:textId="77777777" w:rsidR="00B30427" w:rsidRDefault="00B30427" w:rsidP="00B30427">
      <w:pPr>
        <w:rPr>
          <w:rFonts w:ascii="Arial" w:hAnsi="Arial" w:cs="Arial"/>
        </w:rPr>
      </w:pPr>
    </w:p>
    <w:p w14:paraId="49155ECE" w14:textId="77777777" w:rsidR="00B30427" w:rsidRDefault="00B30427" w:rsidP="00B30427">
      <w:pPr>
        <w:rPr>
          <w:rFonts w:ascii="Arial" w:hAnsi="Arial" w:cs="Arial"/>
        </w:rPr>
      </w:pPr>
    </w:p>
    <w:p w14:paraId="53E2DFA6" w14:textId="77777777" w:rsidR="00B30427" w:rsidRDefault="00B30427" w:rsidP="00B30427">
      <w:pPr>
        <w:rPr>
          <w:rFonts w:ascii="Arial" w:hAnsi="Arial" w:cs="Arial"/>
        </w:rPr>
      </w:pPr>
    </w:p>
    <w:p w14:paraId="41AAC2D7" w14:textId="77777777" w:rsidR="00B30427" w:rsidRDefault="00B30427" w:rsidP="00B30427">
      <w:pPr>
        <w:rPr>
          <w:rFonts w:ascii="Arial" w:hAnsi="Arial" w:cs="Arial"/>
        </w:rPr>
      </w:pPr>
    </w:p>
    <w:p w14:paraId="4F017C49" w14:textId="77777777" w:rsidR="00B30427" w:rsidRDefault="00B30427" w:rsidP="00B30427">
      <w:pPr>
        <w:rPr>
          <w:rFonts w:ascii="Arial" w:hAnsi="Arial" w:cs="Arial"/>
        </w:rPr>
      </w:pPr>
    </w:p>
    <w:p w14:paraId="0709CF9E" w14:textId="77777777" w:rsidR="00B30427" w:rsidRDefault="00B30427" w:rsidP="00B30427">
      <w:pPr>
        <w:rPr>
          <w:rFonts w:ascii="Arial" w:hAnsi="Arial" w:cs="Arial"/>
        </w:rPr>
      </w:pPr>
    </w:p>
    <w:p w14:paraId="1E6EA4BC" w14:textId="77777777" w:rsidR="00B30427" w:rsidRDefault="00B30427" w:rsidP="00B30427">
      <w:pPr>
        <w:rPr>
          <w:rFonts w:ascii="Arial" w:hAnsi="Arial" w:cs="Arial"/>
        </w:rPr>
      </w:pPr>
    </w:p>
    <w:p w14:paraId="15B28CF4" w14:textId="77777777" w:rsidR="00B30427" w:rsidRDefault="00B30427" w:rsidP="00B30427">
      <w:pPr>
        <w:rPr>
          <w:rFonts w:ascii="Arial" w:hAnsi="Arial" w:cs="Arial"/>
        </w:rPr>
      </w:pPr>
    </w:p>
    <w:p w14:paraId="7DD61925" w14:textId="77777777" w:rsidR="00B30427" w:rsidRDefault="00B30427" w:rsidP="00B30427">
      <w:pPr>
        <w:rPr>
          <w:rFonts w:ascii="Arial" w:hAnsi="Arial" w:cs="Arial"/>
        </w:rPr>
      </w:pPr>
    </w:p>
    <w:p w14:paraId="198F9C9A" w14:textId="77777777" w:rsidR="00B30427" w:rsidRDefault="00B30427" w:rsidP="00B30427">
      <w:pPr>
        <w:rPr>
          <w:rFonts w:ascii="Arial" w:hAnsi="Arial" w:cs="Arial"/>
        </w:rPr>
      </w:pPr>
    </w:p>
    <w:p w14:paraId="357772AC" w14:textId="77777777" w:rsidR="00B30427" w:rsidRDefault="00B30427" w:rsidP="00B30427">
      <w:pPr>
        <w:rPr>
          <w:rFonts w:ascii="Arial" w:hAnsi="Arial" w:cs="Arial"/>
        </w:rPr>
      </w:pPr>
    </w:p>
    <w:p w14:paraId="42770933" w14:textId="77777777" w:rsidR="00B30427" w:rsidRDefault="00B30427" w:rsidP="00B30427">
      <w:pPr>
        <w:rPr>
          <w:rFonts w:ascii="Arial" w:hAnsi="Arial" w:cs="Arial"/>
        </w:rPr>
      </w:pPr>
    </w:p>
    <w:p w14:paraId="6BA8C5C3" w14:textId="77777777" w:rsidR="00B30427" w:rsidRDefault="00B30427" w:rsidP="00B30427">
      <w:pPr>
        <w:rPr>
          <w:rFonts w:ascii="Arial" w:hAnsi="Arial" w:cs="Arial"/>
        </w:rPr>
      </w:pPr>
    </w:p>
    <w:p w14:paraId="44B7BAAF" w14:textId="77777777" w:rsidR="00B30427" w:rsidRDefault="00B30427" w:rsidP="00B30427">
      <w:pPr>
        <w:rPr>
          <w:rFonts w:ascii="Arial" w:hAnsi="Arial" w:cs="Arial"/>
        </w:rPr>
      </w:pPr>
    </w:p>
    <w:p w14:paraId="57819454" w14:textId="77777777" w:rsidR="00B30427" w:rsidRDefault="00B30427" w:rsidP="00B30427">
      <w:pPr>
        <w:rPr>
          <w:rFonts w:ascii="Arial" w:hAnsi="Arial" w:cs="Arial"/>
        </w:rPr>
      </w:pPr>
    </w:p>
    <w:p w14:paraId="212442AB" w14:textId="77777777" w:rsidR="00B30427" w:rsidRDefault="00B30427" w:rsidP="00B30427">
      <w:pPr>
        <w:rPr>
          <w:rFonts w:ascii="Arial" w:hAnsi="Arial" w:cs="Arial"/>
        </w:rPr>
      </w:pPr>
    </w:p>
    <w:p w14:paraId="071E6008" w14:textId="77777777" w:rsidR="00B30427" w:rsidRDefault="00B30427" w:rsidP="00B30427">
      <w:pPr>
        <w:rPr>
          <w:rFonts w:ascii="Arial" w:hAnsi="Arial" w:cs="Arial"/>
        </w:rPr>
      </w:pPr>
    </w:p>
    <w:p w14:paraId="3356D871" w14:textId="77777777" w:rsidR="00B30427" w:rsidRDefault="00B30427" w:rsidP="00B30427">
      <w:pPr>
        <w:rPr>
          <w:rFonts w:ascii="Arial" w:hAnsi="Arial" w:cs="Arial"/>
        </w:rPr>
      </w:pPr>
    </w:p>
    <w:p w14:paraId="25BA301C" w14:textId="77777777" w:rsidR="00B30427" w:rsidRDefault="00B30427" w:rsidP="00B30427">
      <w:pPr>
        <w:rPr>
          <w:rFonts w:ascii="Arial" w:hAnsi="Arial" w:cs="Arial"/>
        </w:rPr>
      </w:pPr>
    </w:p>
    <w:p w14:paraId="72D45977" w14:textId="77777777" w:rsidR="00B30427" w:rsidRDefault="00B30427" w:rsidP="00B30427">
      <w:pPr>
        <w:rPr>
          <w:rFonts w:ascii="Arial" w:hAnsi="Arial" w:cs="Arial"/>
        </w:rPr>
      </w:pPr>
    </w:p>
    <w:p w14:paraId="57792C61" w14:textId="77777777" w:rsidR="00B30427" w:rsidRDefault="00B30427" w:rsidP="00B30427">
      <w:pPr>
        <w:rPr>
          <w:rFonts w:ascii="Arial" w:hAnsi="Arial" w:cs="Arial"/>
        </w:rPr>
      </w:pPr>
    </w:p>
    <w:p w14:paraId="5EA872B5" w14:textId="77777777" w:rsidR="00B30427" w:rsidRDefault="00B30427" w:rsidP="00B30427">
      <w:pPr>
        <w:rPr>
          <w:rFonts w:ascii="Arial" w:hAnsi="Arial" w:cs="Arial"/>
        </w:rPr>
      </w:pPr>
    </w:p>
    <w:p w14:paraId="7F45720D" w14:textId="77777777" w:rsidR="00B30427" w:rsidRDefault="00B30427" w:rsidP="00B30427">
      <w:pPr>
        <w:rPr>
          <w:rFonts w:ascii="Arial" w:hAnsi="Arial" w:cs="Arial"/>
        </w:rPr>
      </w:pPr>
    </w:p>
    <w:p w14:paraId="263556EF" w14:textId="77777777" w:rsidR="00B30427" w:rsidRDefault="00B30427" w:rsidP="00B30427">
      <w:pPr>
        <w:rPr>
          <w:rFonts w:ascii="Arial" w:hAnsi="Arial" w:cs="Arial"/>
        </w:rPr>
      </w:pPr>
    </w:p>
    <w:p w14:paraId="6754CC30" w14:textId="77777777" w:rsidR="00B30427" w:rsidRDefault="00B30427" w:rsidP="00B30427">
      <w:pPr>
        <w:rPr>
          <w:rFonts w:ascii="Arial" w:hAnsi="Arial" w:cs="Arial"/>
        </w:rPr>
      </w:pPr>
      <w:r>
        <w:rPr>
          <w:rFonts w:ascii="Arial" w:hAnsi="Arial" w:cs="Arial"/>
        </w:rPr>
        <w:br w:type="page"/>
      </w:r>
    </w:p>
    <w:p w14:paraId="3B2A4493" w14:textId="6FEC39C8" w:rsidR="00B30427" w:rsidRPr="00D207F3" w:rsidRDefault="00B30427" w:rsidP="00B30427">
      <w:pPr>
        <w:pStyle w:val="Heading1"/>
        <w:spacing w:line="360" w:lineRule="auto"/>
        <w:jc w:val="both"/>
        <w:rPr>
          <w:rFonts w:ascii="Arial" w:hAnsi="Arial" w:cs="Arial"/>
        </w:rPr>
      </w:pPr>
      <w:bookmarkStart w:id="0" w:name="_Toc235969847"/>
      <w:r w:rsidRPr="00D207F3">
        <w:rPr>
          <w:rFonts w:ascii="Arial" w:hAnsi="Arial" w:cs="Arial"/>
        </w:rPr>
        <w:lastRenderedPageBreak/>
        <w:t xml:space="preserve">AI </w:t>
      </w:r>
      <w:r w:rsidR="007A696C">
        <w:rPr>
          <w:rFonts w:ascii="Arial" w:hAnsi="Arial" w:cs="Arial"/>
        </w:rPr>
        <w:t xml:space="preserve">Usage </w:t>
      </w:r>
      <w:r w:rsidRPr="00D207F3">
        <w:rPr>
          <w:rFonts w:ascii="Arial" w:hAnsi="Arial" w:cs="Arial"/>
        </w:rPr>
        <w:t>Acknowledgement</w:t>
      </w:r>
      <w:bookmarkEnd w:id="0"/>
    </w:p>
    <w:p w14:paraId="269534C7" w14:textId="77777777" w:rsidR="007A696C" w:rsidRDefault="007A696C" w:rsidP="00B30427">
      <w:pPr>
        <w:spacing w:line="360" w:lineRule="auto"/>
        <w:jc w:val="both"/>
        <w:rPr>
          <w:rFonts w:ascii="Arial" w:hAnsi="Arial" w:cs="Arial"/>
        </w:rPr>
      </w:pPr>
    </w:p>
    <w:p w14:paraId="5F958DE6" w14:textId="5471A35E" w:rsidR="00B30427" w:rsidRDefault="00B30427" w:rsidP="00B30427">
      <w:pPr>
        <w:spacing w:line="360" w:lineRule="auto"/>
        <w:jc w:val="both"/>
        <w:rPr>
          <w:rFonts w:ascii="Arial" w:hAnsi="Arial" w:cs="Arial"/>
        </w:rPr>
      </w:pPr>
      <w:r>
        <w:rPr>
          <w:rFonts w:ascii="Arial" w:hAnsi="Arial" w:cs="Arial"/>
        </w:rPr>
        <w:t>The following AI prompts were used:</w:t>
      </w:r>
    </w:p>
    <w:p w14:paraId="077189DF" w14:textId="77777777" w:rsidR="00B30427" w:rsidRPr="00D207F3" w:rsidRDefault="00B30427" w:rsidP="00B30427">
      <w:pPr>
        <w:spacing w:line="360" w:lineRule="auto"/>
        <w:jc w:val="both"/>
        <w:rPr>
          <w:rFonts w:ascii="Arial" w:hAnsi="Arial" w:cs="Arial"/>
        </w:rPr>
      </w:pPr>
    </w:p>
    <w:p w14:paraId="29C2F745" w14:textId="22C4D60E" w:rsidR="00B30427" w:rsidRPr="00D207F3" w:rsidRDefault="00B30427" w:rsidP="00B30427">
      <w:pPr>
        <w:spacing w:line="360" w:lineRule="auto"/>
        <w:jc w:val="both"/>
        <w:rPr>
          <w:rFonts w:ascii="Arial" w:hAnsi="Arial" w:cs="Arial"/>
        </w:rPr>
      </w:pPr>
      <w:r w:rsidRPr="00D207F3">
        <w:rPr>
          <w:rFonts w:ascii="Arial" w:hAnsi="Arial" w:cs="Arial"/>
        </w:rPr>
        <w:t>“</w:t>
      </w:r>
      <w:r w:rsidR="00A977CB" w:rsidRPr="00D207F3">
        <w:rPr>
          <w:rFonts w:ascii="Arial" w:hAnsi="Arial" w:cs="Arial"/>
        </w:rPr>
        <w:t>Hi</w:t>
      </w:r>
      <w:r w:rsidRPr="00D207F3">
        <w:rPr>
          <w:rFonts w:ascii="Arial" w:hAnsi="Arial" w:cs="Arial"/>
        </w:rPr>
        <w:t xml:space="preserve"> </w:t>
      </w:r>
      <w:r w:rsidR="00A977CB" w:rsidRPr="00D207F3">
        <w:rPr>
          <w:rFonts w:ascii="Arial" w:hAnsi="Arial" w:cs="Arial"/>
        </w:rPr>
        <w:t>Chat.</w:t>
      </w:r>
      <w:r w:rsidRPr="00D207F3">
        <w:rPr>
          <w:rFonts w:ascii="Arial" w:hAnsi="Arial" w:cs="Arial"/>
        </w:rPr>
        <w:t xml:space="preserve"> </w:t>
      </w:r>
      <w:proofErr w:type="spellStart"/>
      <w:r w:rsidRPr="00D207F3">
        <w:rPr>
          <w:rFonts w:ascii="Arial" w:hAnsi="Arial" w:cs="Arial"/>
        </w:rPr>
        <w:t>i</w:t>
      </w:r>
      <w:proofErr w:type="spellEnd"/>
      <w:r w:rsidRPr="00D207F3">
        <w:rPr>
          <w:rFonts w:ascii="Arial" w:hAnsi="Arial" w:cs="Arial"/>
        </w:rPr>
        <w:t xml:space="preserve"> will paste some information in this box and based on it can you please help me create a structure for a 4000 word report.” – ChatGPT version 5.5 – time 11:</w:t>
      </w:r>
      <w:r w:rsidR="002F706D">
        <w:rPr>
          <w:rFonts w:ascii="Arial" w:hAnsi="Arial" w:cs="Arial"/>
        </w:rPr>
        <w:t>58</w:t>
      </w:r>
      <w:r w:rsidRPr="00D207F3">
        <w:rPr>
          <w:rFonts w:ascii="Arial" w:hAnsi="Arial" w:cs="Arial"/>
        </w:rPr>
        <w:t xml:space="preserve"> – 23.07.2026</w:t>
      </w:r>
      <w:r>
        <w:rPr>
          <w:rFonts w:ascii="Arial" w:hAnsi="Arial" w:cs="Arial"/>
        </w:rPr>
        <w:t xml:space="preserve"> (documents supplied were the 8 PowerPoint sessions on BMSK5012 and the assignment brief)</w:t>
      </w:r>
    </w:p>
    <w:p w14:paraId="3794E1F1" w14:textId="77777777" w:rsidR="00B30427" w:rsidRPr="00D207F3" w:rsidRDefault="00B30427" w:rsidP="00B30427">
      <w:pPr>
        <w:spacing w:line="360" w:lineRule="auto"/>
        <w:jc w:val="both"/>
        <w:rPr>
          <w:rFonts w:ascii="Arial" w:hAnsi="Arial" w:cs="Arial"/>
        </w:rPr>
      </w:pPr>
    </w:p>
    <w:p w14:paraId="65ACA627" w14:textId="77777777" w:rsidR="00B30427" w:rsidRPr="00D207F3" w:rsidRDefault="00B30427" w:rsidP="00B30427">
      <w:pPr>
        <w:spacing w:line="360" w:lineRule="auto"/>
        <w:jc w:val="both"/>
        <w:rPr>
          <w:rFonts w:ascii="Arial" w:hAnsi="Arial" w:cs="Arial"/>
        </w:rPr>
      </w:pPr>
    </w:p>
    <w:p w14:paraId="2B6F0A93" w14:textId="6C45D19C" w:rsidR="00B30427" w:rsidRPr="00D207F3" w:rsidRDefault="00B30427" w:rsidP="00B30427">
      <w:pPr>
        <w:spacing w:line="360" w:lineRule="auto"/>
        <w:jc w:val="both"/>
        <w:rPr>
          <w:rFonts w:ascii="Arial" w:hAnsi="Arial" w:cs="Arial"/>
        </w:rPr>
      </w:pPr>
      <w:r w:rsidRPr="00D207F3">
        <w:rPr>
          <w:rFonts w:ascii="Arial" w:hAnsi="Arial" w:cs="Arial"/>
        </w:rPr>
        <w:t>“</w:t>
      </w:r>
      <w:r w:rsidR="00A977CB" w:rsidRPr="00D207F3">
        <w:rPr>
          <w:rFonts w:ascii="Arial" w:hAnsi="Arial" w:cs="Arial"/>
        </w:rPr>
        <w:t>Hey</w:t>
      </w:r>
      <w:r w:rsidRPr="00D207F3">
        <w:rPr>
          <w:rFonts w:ascii="Arial" w:hAnsi="Arial" w:cs="Arial"/>
        </w:rPr>
        <w:t xml:space="preserve"> chat, do you remember the report structure you suggested? can we make it a bit more compact though still containing the relevant information required, also with some word count suggestions for each part.” – ChatGPT – time 11:5</w:t>
      </w:r>
      <w:r w:rsidR="000266CC">
        <w:rPr>
          <w:rFonts w:ascii="Arial" w:hAnsi="Arial" w:cs="Arial"/>
        </w:rPr>
        <w:t>2</w:t>
      </w:r>
      <w:r w:rsidRPr="00D207F3">
        <w:rPr>
          <w:rFonts w:ascii="Arial" w:hAnsi="Arial" w:cs="Arial"/>
        </w:rPr>
        <w:t xml:space="preserve"> – 25.07.2026</w:t>
      </w:r>
    </w:p>
    <w:p w14:paraId="5DF56C29" w14:textId="77777777" w:rsidR="00B30427" w:rsidRPr="00D207F3" w:rsidRDefault="00B30427" w:rsidP="00B30427">
      <w:pPr>
        <w:spacing w:line="360" w:lineRule="auto"/>
        <w:jc w:val="both"/>
        <w:rPr>
          <w:rFonts w:ascii="Arial" w:hAnsi="Arial" w:cs="Arial"/>
        </w:rPr>
      </w:pPr>
    </w:p>
    <w:p w14:paraId="2B435B07" w14:textId="6BEB40F0" w:rsidR="00B30427" w:rsidRPr="00D207F3" w:rsidRDefault="00706292" w:rsidP="00B30427">
      <w:pPr>
        <w:spacing w:line="360" w:lineRule="auto"/>
        <w:jc w:val="both"/>
        <w:rPr>
          <w:rFonts w:ascii="Arial" w:hAnsi="Arial" w:cs="Arial"/>
        </w:rPr>
      </w:pPr>
      <w:r>
        <w:rPr>
          <w:rFonts w:ascii="Arial" w:hAnsi="Arial" w:cs="Arial"/>
        </w:rPr>
        <w:t>“</w:t>
      </w:r>
      <w:r w:rsidRPr="00706292">
        <w:rPr>
          <w:rFonts w:ascii="Arial" w:hAnsi="Arial" w:cs="Arial"/>
        </w:rPr>
        <w:t>Hi chat, can you please have a look at the following report and check for grammatical and syntactical mistakes, including getting suggestions to rephrase the work if you deem suitable. Please do not make any changes to the document.</w:t>
      </w:r>
      <w:r w:rsidR="00AE7F34">
        <w:rPr>
          <w:rFonts w:ascii="Arial" w:hAnsi="Arial" w:cs="Arial"/>
        </w:rPr>
        <w:t>” – ChatGPT</w:t>
      </w:r>
      <w:r w:rsidR="003F67B5">
        <w:rPr>
          <w:rFonts w:ascii="Arial" w:hAnsi="Arial" w:cs="Arial"/>
        </w:rPr>
        <w:t xml:space="preserve"> – time 14:4</w:t>
      </w:r>
      <w:r w:rsidR="0027593B">
        <w:rPr>
          <w:rFonts w:ascii="Arial" w:hAnsi="Arial" w:cs="Arial"/>
        </w:rPr>
        <w:t>0</w:t>
      </w:r>
      <w:r w:rsidR="003F67B5">
        <w:rPr>
          <w:rFonts w:ascii="Arial" w:hAnsi="Arial" w:cs="Arial"/>
        </w:rPr>
        <w:t xml:space="preserve"> – 26.07.202</w:t>
      </w:r>
      <w:r w:rsidR="00DF3959">
        <w:rPr>
          <w:rFonts w:ascii="Arial" w:hAnsi="Arial" w:cs="Arial"/>
        </w:rPr>
        <w:t>6</w:t>
      </w:r>
    </w:p>
    <w:p w14:paraId="5207F83A" w14:textId="77777777" w:rsidR="00B30427" w:rsidRPr="00D207F3" w:rsidRDefault="00B30427" w:rsidP="00B30427">
      <w:pPr>
        <w:spacing w:line="360" w:lineRule="auto"/>
        <w:jc w:val="both"/>
        <w:rPr>
          <w:rFonts w:ascii="Arial" w:hAnsi="Arial" w:cs="Arial"/>
        </w:rPr>
      </w:pPr>
    </w:p>
    <w:p w14:paraId="16CABD5D" w14:textId="77777777" w:rsidR="00B30427" w:rsidRPr="00D207F3" w:rsidRDefault="00B30427" w:rsidP="00B30427">
      <w:pPr>
        <w:spacing w:line="360" w:lineRule="auto"/>
        <w:jc w:val="both"/>
        <w:rPr>
          <w:rFonts w:ascii="Arial" w:hAnsi="Arial" w:cs="Arial"/>
        </w:rPr>
      </w:pPr>
    </w:p>
    <w:p w14:paraId="7ACF48A9" w14:textId="77777777" w:rsidR="00B30427" w:rsidRPr="00D207F3" w:rsidRDefault="00B30427" w:rsidP="00B30427">
      <w:pPr>
        <w:spacing w:line="360" w:lineRule="auto"/>
        <w:jc w:val="both"/>
        <w:rPr>
          <w:rFonts w:ascii="Arial" w:hAnsi="Arial" w:cs="Arial"/>
        </w:rPr>
      </w:pPr>
    </w:p>
    <w:p w14:paraId="7D237E37" w14:textId="77777777" w:rsidR="00B30427" w:rsidRPr="00D207F3" w:rsidRDefault="00B30427" w:rsidP="00B30427">
      <w:pPr>
        <w:spacing w:line="360" w:lineRule="auto"/>
        <w:jc w:val="both"/>
        <w:rPr>
          <w:rFonts w:ascii="Arial" w:hAnsi="Arial" w:cs="Arial"/>
        </w:rPr>
      </w:pPr>
    </w:p>
    <w:p w14:paraId="55AE09E0" w14:textId="77777777" w:rsidR="00B30427" w:rsidRPr="00D207F3" w:rsidRDefault="00B30427" w:rsidP="00B30427">
      <w:pPr>
        <w:spacing w:line="360" w:lineRule="auto"/>
        <w:jc w:val="both"/>
        <w:rPr>
          <w:rFonts w:ascii="Arial" w:hAnsi="Arial" w:cs="Arial"/>
        </w:rPr>
      </w:pPr>
    </w:p>
    <w:p w14:paraId="10BDC6FF" w14:textId="77777777" w:rsidR="00B30427" w:rsidRPr="00D207F3" w:rsidRDefault="00B30427" w:rsidP="00B30427">
      <w:pPr>
        <w:spacing w:line="360" w:lineRule="auto"/>
        <w:jc w:val="both"/>
        <w:rPr>
          <w:rFonts w:ascii="Arial" w:hAnsi="Arial" w:cs="Arial"/>
        </w:rPr>
      </w:pPr>
    </w:p>
    <w:p w14:paraId="5B87D856" w14:textId="77777777" w:rsidR="00B30427" w:rsidRPr="00D207F3" w:rsidRDefault="00B30427" w:rsidP="00B30427">
      <w:pPr>
        <w:spacing w:line="360" w:lineRule="auto"/>
        <w:jc w:val="both"/>
        <w:rPr>
          <w:rFonts w:ascii="Arial" w:hAnsi="Arial" w:cs="Arial"/>
        </w:rPr>
      </w:pPr>
    </w:p>
    <w:p w14:paraId="058341D3" w14:textId="77777777" w:rsidR="00B30427" w:rsidRPr="00D207F3" w:rsidRDefault="00B30427" w:rsidP="00B30427">
      <w:pPr>
        <w:spacing w:line="360" w:lineRule="auto"/>
        <w:jc w:val="both"/>
        <w:rPr>
          <w:rFonts w:ascii="Arial" w:hAnsi="Arial" w:cs="Arial"/>
        </w:rPr>
      </w:pPr>
    </w:p>
    <w:p w14:paraId="46770CC6" w14:textId="77777777" w:rsidR="00B30427" w:rsidRPr="00D207F3" w:rsidRDefault="00B30427" w:rsidP="00B30427">
      <w:pPr>
        <w:spacing w:line="360" w:lineRule="auto"/>
        <w:jc w:val="both"/>
        <w:rPr>
          <w:rFonts w:ascii="Arial" w:hAnsi="Arial" w:cs="Arial"/>
        </w:rPr>
      </w:pPr>
    </w:p>
    <w:p w14:paraId="6031EF7B" w14:textId="77777777" w:rsidR="00B30427" w:rsidRPr="00D207F3" w:rsidRDefault="00B30427" w:rsidP="00B30427">
      <w:pPr>
        <w:spacing w:line="360" w:lineRule="auto"/>
        <w:jc w:val="both"/>
        <w:rPr>
          <w:rFonts w:ascii="Arial" w:hAnsi="Arial" w:cs="Arial"/>
        </w:rPr>
      </w:pPr>
    </w:p>
    <w:p w14:paraId="76BD1C92" w14:textId="77777777" w:rsidR="00B30427" w:rsidRPr="00D207F3" w:rsidRDefault="00B30427" w:rsidP="00B30427">
      <w:pPr>
        <w:spacing w:line="360" w:lineRule="auto"/>
        <w:jc w:val="both"/>
        <w:rPr>
          <w:rFonts w:ascii="Arial" w:hAnsi="Arial" w:cs="Arial"/>
        </w:rPr>
      </w:pPr>
    </w:p>
    <w:p w14:paraId="4FFDF38A" w14:textId="77777777" w:rsidR="00B30427" w:rsidRPr="00D207F3" w:rsidRDefault="00B30427" w:rsidP="00B30427">
      <w:pPr>
        <w:spacing w:line="360" w:lineRule="auto"/>
        <w:jc w:val="both"/>
        <w:rPr>
          <w:rFonts w:ascii="Arial" w:hAnsi="Arial" w:cs="Arial"/>
        </w:rPr>
      </w:pPr>
    </w:p>
    <w:p w14:paraId="5C74E18D" w14:textId="77777777" w:rsidR="00B30427" w:rsidRPr="00D207F3" w:rsidRDefault="00B30427" w:rsidP="00B30427">
      <w:pPr>
        <w:spacing w:line="360" w:lineRule="auto"/>
        <w:jc w:val="both"/>
        <w:rPr>
          <w:rFonts w:ascii="Arial" w:hAnsi="Arial" w:cs="Arial"/>
        </w:rPr>
      </w:pPr>
    </w:p>
    <w:p w14:paraId="0AFDD80F" w14:textId="77777777" w:rsidR="00B30427" w:rsidRPr="00D207F3" w:rsidRDefault="00B30427" w:rsidP="00B30427">
      <w:pPr>
        <w:spacing w:line="360" w:lineRule="auto"/>
        <w:jc w:val="both"/>
        <w:rPr>
          <w:rFonts w:ascii="Arial" w:hAnsi="Arial" w:cs="Arial"/>
        </w:rPr>
      </w:pPr>
    </w:p>
    <w:p w14:paraId="47567843" w14:textId="77777777" w:rsidR="00B30427" w:rsidRPr="00D207F3" w:rsidRDefault="00B30427" w:rsidP="00B30427">
      <w:pPr>
        <w:spacing w:line="360" w:lineRule="auto"/>
        <w:jc w:val="both"/>
        <w:rPr>
          <w:rFonts w:ascii="Arial" w:hAnsi="Arial" w:cs="Arial"/>
        </w:rPr>
      </w:pPr>
    </w:p>
    <w:p w14:paraId="3A681A7F" w14:textId="77777777" w:rsidR="00B30427" w:rsidRPr="00D207F3" w:rsidRDefault="00B30427" w:rsidP="00B30427">
      <w:pPr>
        <w:spacing w:line="360" w:lineRule="auto"/>
        <w:jc w:val="both"/>
        <w:rPr>
          <w:rFonts w:ascii="Arial" w:hAnsi="Arial" w:cs="Arial"/>
        </w:rPr>
      </w:pPr>
    </w:p>
    <w:p w14:paraId="46CD3E52" w14:textId="77777777" w:rsidR="00B30427" w:rsidRPr="00D207F3" w:rsidRDefault="00B30427" w:rsidP="00B30427">
      <w:pPr>
        <w:spacing w:line="360" w:lineRule="auto"/>
        <w:jc w:val="both"/>
        <w:rPr>
          <w:rFonts w:ascii="Arial" w:hAnsi="Arial" w:cs="Arial"/>
        </w:rPr>
      </w:pPr>
    </w:p>
    <w:p w14:paraId="4ADCB4DE" w14:textId="77777777" w:rsidR="00B30427" w:rsidRPr="00D207F3" w:rsidRDefault="00B30427" w:rsidP="00B30427">
      <w:pPr>
        <w:spacing w:line="360" w:lineRule="auto"/>
        <w:jc w:val="both"/>
        <w:rPr>
          <w:rFonts w:ascii="Arial" w:hAnsi="Arial" w:cs="Arial"/>
        </w:rPr>
      </w:pPr>
    </w:p>
    <w:p w14:paraId="101383C4" w14:textId="77777777" w:rsidR="00B30427" w:rsidRPr="007C0C86" w:rsidRDefault="00B30427" w:rsidP="00B30427">
      <w:pPr>
        <w:pStyle w:val="Heading1"/>
        <w:jc w:val="left"/>
      </w:pPr>
      <w:r>
        <w:br w:type="page"/>
      </w:r>
      <w:bookmarkStart w:id="1" w:name="_Toc235969848"/>
      <w:r>
        <w:lastRenderedPageBreak/>
        <w:t>I</w:t>
      </w:r>
      <w:r w:rsidRPr="00D207F3">
        <w:t>ntroduction</w:t>
      </w:r>
      <w:bookmarkEnd w:id="1"/>
    </w:p>
    <w:p w14:paraId="57B2A4E2" w14:textId="77777777" w:rsidR="00B30427" w:rsidRPr="00D207F3" w:rsidRDefault="00B30427" w:rsidP="00B30427">
      <w:pPr>
        <w:spacing w:line="360" w:lineRule="auto"/>
        <w:jc w:val="both"/>
        <w:rPr>
          <w:rFonts w:ascii="Arial" w:hAnsi="Arial" w:cs="Arial"/>
        </w:rPr>
      </w:pPr>
    </w:p>
    <w:p w14:paraId="7B6C5228"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Amazon operates through a large and highly connected fulfilment system in which customer orders depend on the accuracy of digital information, physical inventory and the work completed across several departments. Within this environment, Inventory Control and Quality Assurance (ICQA) has an important role because it compares physical and virtual inventory, investigates discrepancies and supports the reliability of the records used by other operational teams. Although customers do not normally interact directly with ICQA, the department’s work can influence whether products are shown as available, whether orders can be fulfilled as expected and whether delivery promises can be maintained. This makes inventory accuracy relevant to the wider customer experience rather than only an internal warehouse concern.</w:t>
      </w:r>
    </w:p>
    <w:p w14:paraId="0598C37E"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Customer value can be understood as the customer’s judgement of the benefits received in comparison with costs such as money, time, effort and risk. For Amazon, these benefits include convenience, product choice, competitive prices, reliable availability and fast fulfilment. The purpose of this report is to examine how Amazon attempts to maximise this value and how effectively ICQA quality processes support customer requirements. The report identifies Amazon’s main customer groups, considers customer centrality, customer relationship management (CRM), segmentation, loyalty and changing expectations, and applies quality frameworks including Juran’s Quality Trilogy, PDCA, DMAIC and Lean to ICQA activities. It also evaluates the strengths and limitations of the current approach before presenting recommendations for improvement. The main argument is that Amazon’s customer value proposition depends on operational quality and accurate inventory information and ICQA provides essential controls, but lasting customer value requires the organisation to move beyond correcting individual discrepancies toward shared learning, prevention and continuous improvement.</w:t>
      </w:r>
    </w:p>
    <w:p w14:paraId="50906F19" w14:textId="77777777" w:rsidR="00B30427" w:rsidRPr="00D207F3" w:rsidRDefault="00B30427" w:rsidP="00B30427">
      <w:pPr>
        <w:spacing w:line="360" w:lineRule="auto"/>
        <w:jc w:val="both"/>
        <w:rPr>
          <w:rFonts w:ascii="Arial" w:hAnsi="Arial" w:cs="Arial"/>
        </w:rPr>
      </w:pPr>
    </w:p>
    <w:p w14:paraId="5002E002" w14:textId="77777777" w:rsidR="00B30427" w:rsidRPr="00D207F3" w:rsidRDefault="00B30427" w:rsidP="00B30427">
      <w:pPr>
        <w:pStyle w:val="Heading1"/>
        <w:spacing w:line="360" w:lineRule="auto"/>
        <w:jc w:val="both"/>
        <w:rPr>
          <w:rFonts w:ascii="Arial" w:hAnsi="Arial" w:cs="Arial"/>
        </w:rPr>
      </w:pPr>
      <w:bookmarkStart w:id="2" w:name="_Toc235969849"/>
      <w:r w:rsidRPr="00D207F3">
        <w:rPr>
          <w:rFonts w:ascii="Arial" w:hAnsi="Arial" w:cs="Arial"/>
        </w:rPr>
        <w:t>Amazon, ICQA and its customers</w:t>
      </w:r>
      <w:bookmarkEnd w:id="2"/>
    </w:p>
    <w:p w14:paraId="195882F9" w14:textId="77777777" w:rsidR="00B30427" w:rsidRPr="00D207F3" w:rsidRDefault="00B30427" w:rsidP="00B30427">
      <w:pPr>
        <w:spacing w:line="360" w:lineRule="auto"/>
        <w:jc w:val="both"/>
        <w:rPr>
          <w:rFonts w:ascii="Arial" w:hAnsi="Arial" w:cs="Arial"/>
        </w:rPr>
      </w:pPr>
    </w:p>
    <w:p w14:paraId="73A5408D"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 xml:space="preserve">Amazon’s value proposition is mainly based on making online purchasing convenient and reliable. The organisation states that its consumer activities focus on selection, price and convenience, supported by easy-to-use services, customer support and fast delivery (Amazon, 2025a). Customers can therefore search across a wide variety of products and complete purchases without visiting a physical store. However, this value depends on Amazon being able to fulfil the promises shown on its website or app. Products displayed as available should be physically present, delivery estimates should be realistic, and returns should be straightforward. This is also reflected in Fulfilment by Amazon (FBA), </w:t>
      </w:r>
      <w:r w:rsidRPr="00D207F3">
        <w:rPr>
          <w:rFonts w:ascii="Arial" w:hAnsi="Arial" w:cs="Arial"/>
        </w:rPr>
        <w:lastRenderedPageBreak/>
        <w:t>where Amazon stores seller’s inventory, picks, packs and ships orders, and manages customer services and returns (Amazon, 2025b). Amazon’s value proposition therefore depends on the reliability of both its digital platform and fulfilment operations.</w:t>
      </w:r>
    </w:p>
    <w:p w14:paraId="25AA66F9" w14:textId="77777777" w:rsidR="00B30427" w:rsidRPr="00D207F3" w:rsidRDefault="00B30427" w:rsidP="00B30427">
      <w:pPr>
        <w:spacing w:line="360" w:lineRule="auto"/>
        <w:jc w:val="both"/>
        <w:rPr>
          <w:rFonts w:ascii="Arial" w:hAnsi="Arial" w:cs="Arial"/>
        </w:rPr>
      </w:pPr>
    </w:p>
    <w:p w14:paraId="153D1AC7" w14:textId="77777777" w:rsidR="00B30427" w:rsidRPr="00D207F3" w:rsidRDefault="00B30427" w:rsidP="00B30427">
      <w:pPr>
        <w:pStyle w:val="Heading4"/>
        <w:spacing w:line="360" w:lineRule="auto"/>
        <w:jc w:val="both"/>
        <w:rPr>
          <w:rFonts w:ascii="Arial" w:hAnsi="Arial" w:cs="Arial"/>
        </w:rPr>
      </w:pPr>
      <w:r w:rsidRPr="00D207F3">
        <w:rPr>
          <w:rFonts w:ascii="Arial" w:hAnsi="Arial" w:cs="Arial"/>
        </w:rPr>
        <w:t>Identifying Amazon’s customers</w:t>
      </w:r>
    </w:p>
    <w:p w14:paraId="6439003C" w14:textId="77777777" w:rsidR="00B30427" w:rsidRPr="00D207F3" w:rsidRDefault="00B30427" w:rsidP="00B30427">
      <w:pPr>
        <w:spacing w:line="360" w:lineRule="auto"/>
        <w:jc w:val="both"/>
        <w:rPr>
          <w:rFonts w:ascii="Arial" w:hAnsi="Arial" w:cs="Arial"/>
        </w:rPr>
      </w:pPr>
    </w:p>
    <w:p w14:paraId="79CAE39F"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Amazon has several customer groups whose needs are related but not identical. The most visible group is external consumers purchasing products through Amazon’s stores. Marketplace sellers are also customers because Amazon provides programmes that allow them to sell through its platform and use its fulfilment services (Amazon, 2025a). Through FBA, sellers can outsource storage, order fulfilment, customer service and returns, meaning that they depend on Amazon to provide a reliable service (Amazon, 2025b). Internal customers should also be considered, as Juran (1986) states that quality planning should identify both external and internal customers and determine their needs. Within Amazon, this can include teams such as Picking, Outbound and Customer Service, which depends on accurate inventory information to complete their own work. However, not every stakeholder should automatically be described as a customer. Norris (2024) explains that stakeholders can perceive value according to different needs, making stakeholder value broader than a direct customer relationship. Across these groups, recurring requirements include accurate inventory information and product availability (Destro et al., 2023), together with speed and reliable fulfilment services (Amazon, 2025a; Amazon, 2025b).</w:t>
      </w:r>
    </w:p>
    <w:p w14:paraId="778B4531" w14:textId="77777777" w:rsidR="00B30427" w:rsidRPr="00D207F3" w:rsidRDefault="00B30427" w:rsidP="00B30427">
      <w:pPr>
        <w:spacing w:line="360" w:lineRule="auto"/>
        <w:jc w:val="both"/>
        <w:rPr>
          <w:rFonts w:ascii="Arial" w:hAnsi="Arial" w:cs="Arial"/>
        </w:rPr>
      </w:pPr>
    </w:p>
    <w:p w14:paraId="34EA6183" w14:textId="77777777" w:rsidR="00B30427" w:rsidRPr="00D207F3" w:rsidRDefault="00B30427" w:rsidP="00B30427">
      <w:pPr>
        <w:pStyle w:val="Heading4"/>
        <w:spacing w:line="360" w:lineRule="auto"/>
        <w:jc w:val="both"/>
        <w:rPr>
          <w:rFonts w:ascii="Arial" w:hAnsi="Arial" w:cs="Arial"/>
        </w:rPr>
      </w:pPr>
      <w:r w:rsidRPr="00D207F3">
        <w:rPr>
          <w:rFonts w:ascii="Arial" w:hAnsi="Arial" w:cs="Arial"/>
        </w:rPr>
        <w:t>The role of ICQA</w:t>
      </w:r>
    </w:p>
    <w:p w14:paraId="1EABAA0C" w14:textId="77777777" w:rsidR="00B30427" w:rsidRPr="00D207F3" w:rsidRDefault="00B30427" w:rsidP="00B30427">
      <w:pPr>
        <w:spacing w:line="360" w:lineRule="auto"/>
        <w:jc w:val="both"/>
        <w:rPr>
          <w:rFonts w:ascii="Arial" w:hAnsi="Arial" w:cs="Arial"/>
        </w:rPr>
      </w:pPr>
    </w:p>
    <w:p w14:paraId="3AA73E77"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 xml:space="preserve">ICQA supports these requirements by maintaining the accuracy of physical and virtual inventory records. Amazon describes ICQA responsibilities as including inventory control maintenance and counts, measuring inventory integrity and accuracy, identifying the causes of inventory deviations, reviewing defect data and developing actions to reduce repeated incidents (Amazon, 2026). In practice, this involves comparing the stock physically located in a bin with the units recorded in Amazon’s systems, investigating discrepancies and correcting records when errors are confirmed. ICQA also examines how defects occurred rather than only correcting the immediate problem. This matters because inaccurate inventory records can reduce picking productivity, contribute to lost sales and weaken distribution centre performance (Destro et al., 2023). An item may appear available while missing from its recorded location, potentially delaying fulfilment and creating additional work for other departments. Although customers may not interact directly with ICQA, they experience the results through stock availability, dependable delivery promises and fewer order defects. Inventory accuracy </w:t>
      </w:r>
      <w:r w:rsidRPr="00D207F3">
        <w:rPr>
          <w:rFonts w:ascii="Arial" w:hAnsi="Arial" w:cs="Arial"/>
        </w:rPr>
        <w:lastRenderedPageBreak/>
        <w:t>therefore contributes to customer value by protecting the information used to make purchasing and fulfilment decisions.</w:t>
      </w:r>
    </w:p>
    <w:p w14:paraId="3D14263C" w14:textId="77777777" w:rsidR="00B30427" w:rsidRPr="00D207F3" w:rsidRDefault="00B30427" w:rsidP="00B30427">
      <w:pPr>
        <w:spacing w:line="360" w:lineRule="auto"/>
        <w:jc w:val="both"/>
        <w:rPr>
          <w:rFonts w:ascii="Arial" w:hAnsi="Arial" w:cs="Arial"/>
        </w:rPr>
      </w:pPr>
    </w:p>
    <w:p w14:paraId="490B9ED1" w14:textId="77777777" w:rsidR="00B30427" w:rsidRPr="00D207F3" w:rsidRDefault="00B30427" w:rsidP="00B30427">
      <w:pPr>
        <w:pStyle w:val="Heading1"/>
        <w:spacing w:line="360" w:lineRule="auto"/>
        <w:jc w:val="both"/>
        <w:rPr>
          <w:rFonts w:ascii="Arial" w:hAnsi="Arial" w:cs="Arial"/>
        </w:rPr>
      </w:pPr>
      <w:bookmarkStart w:id="3" w:name="_Toc235969850"/>
      <w:r w:rsidRPr="00D207F3">
        <w:rPr>
          <w:rFonts w:ascii="Arial" w:hAnsi="Arial" w:cs="Arial"/>
        </w:rPr>
        <w:t>Factors affecting customer value</w:t>
      </w:r>
      <w:bookmarkEnd w:id="3"/>
    </w:p>
    <w:p w14:paraId="5DD89BA7" w14:textId="77777777" w:rsidR="00B30427" w:rsidRPr="00D207F3" w:rsidRDefault="00B30427" w:rsidP="00B30427">
      <w:pPr>
        <w:spacing w:line="360" w:lineRule="auto"/>
        <w:jc w:val="both"/>
        <w:rPr>
          <w:rFonts w:ascii="Arial" w:hAnsi="Arial" w:cs="Arial"/>
        </w:rPr>
      </w:pPr>
    </w:p>
    <w:p w14:paraId="59D84CCD"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Customer value depends on what the customer wants and how the final experience is judged. Woodruff (1997) distinguishes between desired value, meaning the attributes and outcomes customers hope to receive, and received or perceived value, which is the customer’s evaluation after using a product or service. This evaluation involves comparing benefits with sacrifices such as price, time, effort, and risk (Woodruff, 1997). Almquist et al. (2016) divide value into functional, emotional, life changing and social impact elements. Amazon mainly creates functional value by reducing purchasing effort, saving time and providing product choice, competitive prices and delivery convenience (Amazon, 2025a). Reliability can also provide emotional value by reducing anxiety and increasing confidence that an order will arrive as expected (Almquist et al., 2016). However, desired and perceived value may differ when a customer expects convenience but experiences a cancellation, delay or incorrect stock status. Inventory record accuracy can affect availability, picking performance and lost sales, showing that the value presented through the website depends on the operational information supporting it (Destro et al., 2023).</w:t>
      </w:r>
    </w:p>
    <w:p w14:paraId="5A074D55"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Customer centrality means that customer needs, wants and predispositions should influence decisions from the beginning rather than being considered only after a service has been designed (Blythe, 2013). This reflects Amazon’s Customer Obsession principle, under which leaders begin with the customer, work backwards and seek to maintain customer trust (Amazon, 2022). Nevertheless, this approach should be evaluated critically. Low prices and rapid delivery may benefit customers, but a survey of Amazon warehouse workers reported high work intensity, monitoring and pressure to work faster, suggesting that customer convenience can create costs elsewhere in the organisation (Gutelius &amp; Pinto, 2023). A strong focus on visible measures such as delivery speed and units processed may also give less attention to fatigue, recurrent process defects or inventory inaccuracies. This creates a long-term conflict because short term convenience will not maximize value if operational pressure contributes to errors or unreliable stock information (Destro et al., 2023). Customer centrality is therefore more sustainable when speed and price are balanced with quality, employee welfare and Amazon’s stated principle of not sacrificing long term value for short term results (Amazon, 2022).</w:t>
      </w:r>
    </w:p>
    <w:p w14:paraId="652E8F31" w14:textId="024F7879" w:rsidR="001C6207" w:rsidRDefault="001C6207">
      <w:pPr>
        <w:rPr>
          <w:rFonts w:ascii="Arial" w:hAnsi="Arial" w:cs="Arial"/>
        </w:rPr>
      </w:pPr>
      <w:r>
        <w:rPr>
          <w:rFonts w:ascii="Arial" w:hAnsi="Arial" w:cs="Arial"/>
        </w:rPr>
        <w:br w:type="page"/>
      </w:r>
    </w:p>
    <w:p w14:paraId="4638386C" w14:textId="77777777" w:rsidR="00B30427" w:rsidRPr="00D207F3" w:rsidRDefault="00B30427" w:rsidP="00B30427">
      <w:pPr>
        <w:pStyle w:val="Heading4"/>
        <w:spacing w:line="360" w:lineRule="auto"/>
        <w:jc w:val="both"/>
        <w:rPr>
          <w:rFonts w:ascii="Arial" w:hAnsi="Arial" w:cs="Arial"/>
        </w:rPr>
      </w:pPr>
      <w:r w:rsidRPr="00D207F3">
        <w:rPr>
          <w:rFonts w:ascii="Arial" w:hAnsi="Arial" w:cs="Arial"/>
        </w:rPr>
        <w:lastRenderedPageBreak/>
        <w:t>CRM, relationships, loyalty and segmentation</w:t>
      </w:r>
    </w:p>
    <w:p w14:paraId="75D9571B" w14:textId="77777777" w:rsidR="00B30427" w:rsidRPr="00D207F3" w:rsidRDefault="00B30427" w:rsidP="00B30427">
      <w:pPr>
        <w:spacing w:line="360" w:lineRule="auto"/>
        <w:jc w:val="both"/>
        <w:rPr>
          <w:rFonts w:ascii="Arial" w:hAnsi="Arial" w:cs="Arial"/>
        </w:rPr>
      </w:pPr>
    </w:p>
    <w:p w14:paraId="2DEF98C7"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 xml:space="preserve">CRM involves collecting, organising and using customer information to understand requirements, manage interactions and strengthen retention over time (Reyes, 2020; </w:t>
      </w:r>
      <w:proofErr w:type="spellStart"/>
      <w:r w:rsidRPr="00D207F3">
        <w:rPr>
          <w:rFonts w:ascii="Arial" w:hAnsi="Arial" w:cs="Arial"/>
        </w:rPr>
        <w:t>Ogeawuchi</w:t>
      </w:r>
      <w:proofErr w:type="spellEnd"/>
      <w:r w:rsidRPr="00D207F3">
        <w:rPr>
          <w:rFonts w:ascii="Arial" w:hAnsi="Arial" w:cs="Arial"/>
        </w:rPr>
        <w:t>, 2024). Amazon’s retail platform uses previous purchases, owned items and customer ratings to produce personalised recommendations that change as interests develop. Purchase histories make repeat buying and order management easier, while Prime combines delivery, shopping and digital benefits within a paid membership (Amazon, 2025a). These arrangements can encourage retention by increasing the value available through one account, and customer retention is associated with organisational continuity and growth (</w:t>
      </w:r>
      <w:proofErr w:type="spellStart"/>
      <w:r w:rsidRPr="00D207F3">
        <w:rPr>
          <w:rFonts w:ascii="Arial" w:hAnsi="Arial" w:cs="Arial"/>
        </w:rPr>
        <w:t>Ejibenam</w:t>
      </w:r>
      <w:proofErr w:type="spellEnd"/>
      <w:r w:rsidRPr="00D207F3">
        <w:rPr>
          <w:rFonts w:ascii="Arial" w:hAnsi="Arial" w:cs="Arial"/>
        </w:rPr>
        <w:t xml:space="preserve"> et al., 2021). Amazon’s AMS guidance provides a business-to-business example of structured CRM, where business needs, responsibilities feedback, satisfaction and service performance are regularly reviewed to maintain the relationship (Amazon, 2023). However, Amazon does not serve one uniform segment. Consumers mainly seek price, choice and convenience; Prime members receive additional delivery and digital benefits, and marketplace sellers depend on platform access and fulfilment services, including storage, order fulfilment, customer service and returns (Amazon, 2025a; Amazon, 2025b). Amazon therefore combines elements of cost leadership through competitive pricing with differentiation through convenience, membership benefits and fulfilment services (Islami et al., 2020).</w:t>
      </w:r>
    </w:p>
    <w:p w14:paraId="5BC4C868"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 xml:space="preserve">Repeat purchasing should not automatically be interpreted as genuine loyalty. CRM can improve satisfaction (Selvakumar et al., 2022), and satisfaction can contribute to loyalty, but the relationship is not guaranteed (Dwivedi et al., 2024). Oliver (1999) similarly argues that satisfied customers are not always loyal. Continued use of Amazon may reflect trust, but it may also result from convenience, stored purchase information, familiarity and the practical cost of giving up a bundle of Prime benefits. Retention may therefore be behavioural rather than based on strong emotional commitment, as behavioural loyalty can occur without true attitudinal attachment to a brand (Dick &amp; Basu, 1994). Segmentation also means that different groups receive different forms of value. Prime members gain delivery and digital benefits unavailable to non-members, while sellers depend more heavily on platform reach, service reliability and fulfilment support (Amazon, 2025a; Amazon, 2025b). This difference is not automatically unfair because Prime members pay for additional benefits and sellers pay service fees, but it means that customer value is not distributed equally. A non-Prime consumer may receive fewer delivery benefits, while a seller’s perceived value may fall if fulfilment costs or inventory problems outweigh the platform’s reach. Data driven personalisation can improve relevance and reduce search effort, but it also creates privacy responsibilities. Amazon uses personal information to recommend products and services, while UK guidance describes profiling as using personal data to assess or predict interests and behaviour (ICO, 2023). Personalisation can therefore support retention, but </w:t>
      </w:r>
      <w:r w:rsidRPr="00D207F3">
        <w:rPr>
          <w:rFonts w:ascii="Arial" w:hAnsi="Arial" w:cs="Arial"/>
        </w:rPr>
        <w:lastRenderedPageBreak/>
        <w:t>customer trust also depends on transparency, appropriate data use and meaningful control over personal information, as concerns about data privacy and perceived misuse of personal data can reduce willingness to engage with personalised services (Martin &amp; Murphy, 2016).</w:t>
      </w:r>
    </w:p>
    <w:p w14:paraId="27492DE0" w14:textId="77777777" w:rsidR="00B30427" w:rsidRPr="00D207F3" w:rsidRDefault="00B30427" w:rsidP="00B30427">
      <w:pPr>
        <w:spacing w:line="360" w:lineRule="auto"/>
        <w:jc w:val="both"/>
        <w:rPr>
          <w:rFonts w:ascii="Arial" w:hAnsi="Arial" w:cs="Arial"/>
        </w:rPr>
      </w:pPr>
    </w:p>
    <w:p w14:paraId="3D71BA06" w14:textId="77777777" w:rsidR="00B30427" w:rsidRPr="00D207F3" w:rsidRDefault="00B30427" w:rsidP="00B30427">
      <w:pPr>
        <w:pStyle w:val="Heading4"/>
        <w:spacing w:line="360" w:lineRule="auto"/>
        <w:jc w:val="both"/>
        <w:rPr>
          <w:rFonts w:ascii="Arial" w:hAnsi="Arial" w:cs="Arial"/>
        </w:rPr>
      </w:pPr>
      <w:r w:rsidRPr="00D207F3">
        <w:rPr>
          <w:rFonts w:ascii="Arial" w:hAnsi="Arial" w:cs="Arial"/>
        </w:rPr>
        <w:t>Customer expectations and experience</w:t>
      </w:r>
    </w:p>
    <w:p w14:paraId="4EFA553D" w14:textId="77777777" w:rsidR="00B30427" w:rsidRPr="00D207F3" w:rsidRDefault="00B30427" w:rsidP="00B30427">
      <w:pPr>
        <w:spacing w:line="360" w:lineRule="auto"/>
        <w:jc w:val="both"/>
        <w:rPr>
          <w:rFonts w:ascii="Arial" w:hAnsi="Arial" w:cs="Arial"/>
        </w:rPr>
      </w:pPr>
      <w:r>
        <w:rPr>
          <w:noProof/>
        </w:rPr>
        <mc:AlternateContent>
          <mc:Choice Requires="wps">
            <w:drawing>
              <wp:anchor distT="0" distB="0" distL="114300" distR="114300" simplePos="0" relativeHeight="251661312" behindDoc="1" locked="0" layoutInCell="1" allowOverlap="1" wp14:anchorId="7888E635" wp14:editId="36F48261">
                <wp:simplePos x="0" y="0"/>
                <wp:positionH relativeFrom="column">
                  <wp:posOffset>0</wp:posOffset>
                </wp:positionH>
                <wp:positionV relativeFrom="paragraph">
                  <wp:posOffset>2043430</wp:posOffset>
                </wp:positionV>
                <wp:extent cx="2371090" cy="635"/>
                <wp:effectExtent l="0" t="0" r="0" b="0"/>
                <wp:wrapTight wrapText="bothSides">
                  <wp:wrapPolygon edited="0">
                    <wp:start x="0" y="0"/>
                    <wp:lineTo x="0" y="21600"/>
                    <wp:lineTo x="21600" y="21600"/>
                    <wp:lineTo x="21600" y="0"/>
                  </wp:wrapPolygon>
                </wp:wrapTight>
                <wp:docPr id="2069688006" name="Text Box 1"/>
                <wp:cNvGraphicFramePr/>
                <a:graphic xmlns:a="http://schemas.openxmlformats.org/drawingml/2006/main">
                  <a:graphicData uri="http://schemas.microsoft.com/office/word/2010/wordprocessingShape">
                    <wps:wsp>
                      <wps:cNvSpPr txBox="1"/>
                      <wps:spPr>
                        <a:xfrm>
                          <a:off x="0" y="0"/>
                          <a:ext cx="2371090" cy="635"/>
                        </a:xfrm>
                        <a:prstGeom prst="rect">
                          <a:avLst/>
                        </a:prstGeom>
                        <a:solidFill>
                          <a:prstClr val="white"/>
                        </a:solidFill>
                        <a:ln>
                          <a:noFill/>
                        </a:ln>
                      </wps:spPr>
                      <wps:txbx>
                        <w:txbxContent>
                          <w:p w14:paraId="52E42EB5" w14:textId="77777777" w:rsidR="00B30427" w:rsidRPr="00C74634" w:rsidRDefault="00B30427" w:rsidP="00B30427">
                            <w:pPr>
                              <w:pStyle w:val="Caption"/>
                              <w:jc w:val="center"/>
                              <w:rPr>
                                <w:rFonts w:ascii="Arial" w:hAnsi="Arial" w:cs="Arial"/>
                                <w:noProof/>
                              </w:rPr>
                            </w:pPr>
                            <w:r>
                              <w:t xml:space="preserve">Figure </w:t>
                            </w:r>
                            <w:r>
                              <w:fldChar w:fldCharType="begin"/>
                            </w:r>
                            <w:r>
                              <w:instrText xml:space="preserve"> SEQ Figure \* ARABIC </w:instrText>
                            </w:r>
                            <w:r>
                              <w:fldChar w:fldCharType="separate"/>
                            </w:r>
                            <w:r>
                              <w:rPr>
                                <w:noProof/>
                              </w:rPr>
                              <w:t>1</w:t>
                            </w:r>
                            <w:r>
                              <w:fldChar w:fldCharType="end"/>
                            </w:r>
                            <w:r>
                              <w:t xml:space="preserve"> Kano Model (Zacarias,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888E635" id="_x0000_t202" coordsize="21600,21600" o:spt="202" path="m,l,21600r21600,l21600,xe">
                <v:stroke joinstyle="miter"/>
                <v:path gradientshapeok="t" o:connecttype="rect"/>
              </v:shapetype>
              <v:shape id="Text Box 1" o:spid="_x0000_s1026" type="#_x0000_t202" style="position:absolute;left:0;text-align:left;margin-left:0;margin-top:160.9pt;width:186.7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" stroked="f">
                <v:textbox style="mso-fit-shape-to-text:t" inset="0,0,0,0">
                  <w:txbxContent>
                    <w:p w14:paraId="52E42EB5" w14:textId="77777777" w:rsidR="00B30427" w:rsidRPr="00C74634" w:rsidRDefault="00B30427" w:rsidP="00B30427">
                      <w:pPr>
                        <w:pStyle w:val="Caption"/>
                        <w:jc w:val="center"/>
                        <w:rPr>
                          <w:rFonts w:ascii="Arial" w:hAnsi="Arial" w:cs="Arial"/>
                          <w:noProof/>
                        </w:rPr>
                      </w:pPr>
                      <w:r>
                        <w:t xml:space="preserve">Figure </w:t>
                      </w:r>
                      <w:r>
                        <w:fldChar w:fldCharType="begin"/>
                      </w:r>
                      <w:r>
                        <w:instrText xml:space="preserve"> SEQ Figure \* ARABIC </w:instrText>
                      </w:r>
                      <w:r>
                        <w:fldChar w:fldCharType="separate"/>
                      </w:r>
                      <w:r>
                        <w:rPr>
                          <w:noProof/>
                        </w:rPr>
                        <w:t>1</w:t>
                      </w:r>
                      <w:r>
                        <w:fldChar w:fldCharType="end"/>
                      </w:r>
                      <w:r>
                        <w:t xml:space="preserve"> Kano Model (Zacarias, 2015)</w:t>
                      </w:r>
                    </w:p>
                  </w:txbxContent>
                </v:textbox>
                <w10:wrap type="tight"/>
              </v:shape>
            </w:pict>
          </mc:Fallback>
        </mc:AlternateContent>
      </w:r>
      <w:r>
        <w:rPr>
          <w:rFonts w:ascii="Arial" w:hAnsi="Arial" w:cs="Arial"/>
          <w:noProof/>
        </w:rPr>
        <w:drawing>
          <wp:anchor distT="0" distB="0" distL="114300" distR="114300" simplePos="0" relativeHeight="251660288" behindDoc="1" locked="0" layoutInCell="1" allowOverlap="1" wp14:anchorId="5D3A9848" wp14:editId="2BF0E237">
            <wp:simplePos x="0" y="0"/>
            <wp:positionH relativeFrom="column">
              <wp:posOffset>0</wp:posOffset>
            </wp:positionH>
            <wp:positionV relativeFrom="paragraph">
              <wp:posOffset>0</wp:posOffset>
            </wp:positionV>
            <wp:extent cx="2371440" cy="1986297"/>
            <wp:effectExtent l="0" t="0" r="0" b="0"/>
            <wp:wrapTight wrapText="bothSides">
              <wp:wrapPolygon edited="0">
                <wp:start x="0" y="0"/>
                <wp:lineTo x="0" y="21338"/>
                <wp:lineTo x="21345" y="21338"/>
                <wp:lineTo x="21345" y="0"/>
                <wp:lineTo x="0" y="0"/>
              </wp:wrapPolygon>
            </wp:wrapTight>
            <wp:docPr id="2001768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768109" name="Picture 2001768109"/>
                    <pic:cNvPicPr/>
                  </pic:nvPicPr>
                  <pic:blipFill>
                    <a:blip r:embed="rId12">
                      <a:extLst>
                        <a:ext uri="{28A0092B-C50C-407E-A947-70E740481C1C}">
                          <a14:useLocalDpi xmlns:a14="http://schemas.microsoft.com/office/drawing/2010/main" val="0"/>
                        </a:ext>
                      </a:extLst>
                    </a:blip>
                    <a:stretch>
                      <a:fillRect/>
                    </a:stretch>
                  </pic:blipFill>
                  <pic:spPr>
                    <a:xfrm>
                      <a:off x="0" y="0"/>
                      <a:ext cx="2371440" cy="1986297"/>
                    </a:xfrm>
                    <a:prstGeom prst="rect">
                      <a:avLst/>
                    </a:prstGeom>
                  </pic:spPr>
                </pic:pic>
              </a:graphicData>
            </a:graphic>
          </wp:anchor>
        </w:drawing>
      </w:r>
    </w:p>
    <w:p w14:paraId="74A4F5ED"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 xml:space="preserve">The Kano model </w:t>
      </w:r>
      <w:r>
        <w:rPr>
          <w:rFonts w:ascii="Arial" w:hAnsi="Arial" w:cs="Arial"/>
        </w:rPr>
        <w:t xml:space="preserve">(as shown in Figure 1) </w:t>
      </w:r>
      <w:r w:rsidRPr="00D207F3">
        <w:rPr>
          <w:rFonts w:ascii="Arial" w:hAnsi="Arial" w:cs="Arial"/>
        </w:rPr>
        <w:t>explains why not all customer requirements affect satisfaction in the same way (</w:t>
      </w:r>
      <w:proofErr w:type="spellStart"/>
      <w:r w:rsidRPr="00D207F3">
        <w:rPr>
          <w:rFonts w:ascii="Arial" w:hAnsi="Arial" w:cs="Arial"/>
        </w:rPr>
        <w:t>Bailom</w:t>
      </w:r>
      <w:proofErr w:type="spellEnd"/>
      <w:r w:rsidRPr="00D207F3">
        <w:rPr>
          <w:rFonts w:ascii="Arial" w:hAnsi="Arial" w:cs="Arial"/>
        </w:rPr>
        <w:t xml:space="preserve"> et al.,1996). Must-be requirements are basic conditions whose presence may not create delight, but whose absence causes dissatisfaction, performance requirements create greater satisfaction as their performance improves, and attractive requirements can create delight because they are not fully expected (</w:t>
      </w:r>
      <w:proofErr w:type="spellStart"/>
      <w:r w:rsidRPr="00D207F3">
        <w:rPr>
          <w:rFonts w:ascii="Arial" w:hAnsi="Arial" w:cs="Arial"/>
        </w:rPr>
        <w:t>Paraschivescu</w:t>
      </w:r>
      <w:proofErr w:type="spellEnd"/>
      <w:r w:rsidRPr="00D207F3">
        <w:rPr>
          <w:rFonts w:ascii="Arial" w:hAnsi="Arial" w:cs="Arial"/>
        </w:rPr>
        <w:t xml:space="preserve"> &amp; </w:t>
      </w:r>
      <w:proofErr w:type="spellStart"/>
      <w:r w:rsidRPr="00D207F3">
        <w:rPr>
          <w:rFonts w:ascii="Arial" w:hAnsi="Arial" w:cs="Arial"/>
        </w:rPr>
        <w:t>Cotirlet</w:t>
      </w:r>
      <w:proofErr w:type="spellEnd"/>
      <w:r w:rsidRPr="00D207F3">
        <w:rPr>
          <w:rFonts w:ascii="Arial" w:hAnsi="Arial" w:cs="Arial"/>
        </w:rPr>
        <w:t xml:space="preserve">, 2012). Applied to Amazon, receiving the correct product, making a secure payment, seeing accurate availability and receiving a reliable delivery can be treated as must be requirements. Inventory inaccuracy can undermine these basic requirements by contributing to missing stock, cancellations or additional fulfilment work (Destro et al., 2023). Faster delivery, competitive prices and wider selection are closer to performance requirements because improvements increase the benefits received by the customer (Amazon, 2025a). Proactive updates, effortless refunds, well targeted recommendations and other unexpected conveniences may operate as delighters when they exceed existing expectations. Amazon’s use of purchase and rating information to tailor recommendations is one example of this additional convenience. </w:t>
      </w:r>
    </w:p>
    <w:p w14:paraId="777B6D18"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Customer expectations change over time. Research on the dynamic Kano model indicates that the importance and classification of requirements can shift as markets and preferences develop (</w:t>
      </w:r>
      <w:proofErr w:type="spellStart"/>
      <w:r w:rsidRPr="00D207F3">
        <w:rPr>
          <w:rFonts w:ascii="Arial" w:hAnsi="Arial" w:cs="Arial"/>
        </w:rPr>
        <w:t>Borgianni</w:t>
      </w:r>
      <w:proofErr w:type="spellEnd"/>
      <w:r w:rsidRPr="00D207F3">
        <w:rPr>
          <w:rFonts w:ascii="Arial" w:hAnsi="Arial" w:cs="Arial"/>
        </w:rPr>
        <w:t xml:space="preserve">, 2018). Next day delivery, for example, may initially be experienced as an attractive extra, but repeated availability can turn it into an expected performance level or even a basic condition for some segments. Reliable information and proactive updates can create trust, confidence and reduced anxiety (Almquist et al., 2016), while delays, cancellations and incorrect products can create frustration and weaken perceived value (Destro et al., 2023). Kano can be supported by </w:t>
      </w:r>
      <w:proofErr w:type="spellStart"/>
      <w:r w:rsidRPr="00D207F3">
        <w:rPr>
          <w:rFonts w:ascii="Arial" w:hAnsi="Arial" w:cs="Arial"/>
        </w:rPr>
        <w:t>MoSCoW</w:t>
      </w:r>
      <w:proofErr w:type="spellEnd"/>
      <w:r w:rsidRPr="00D207F3">
        <w:rPr>
          <w:rFonts w:ascii="Arial" w:hAnsi="Arial" w:cs="Arial"/>
        </w:rPr>
        <w:t xml:space="preserve"> when Amazon needs to decide which requirements must be protected first. </w:t>
      </w:r>
      <w:proofErr w:type="spellStart"/>
      <w:r w:rsidRPr="00D207F3">
        <w:rPr>
          <w:rFonts w:ascii="Arial" w:hAnsi="Arial" w:cs="Arial"/>
        </w:rPr>
        <w:t>MoSCoW</w:t>
      </w:r>
      <w:proofErr w:type="spellEnd"/>
      <w:r w:rsidRPr="00D207F3">
        <w:rPr>
          <w:rFonts w:ascii="Arial" w:hAnsi="Arial" w:cs="Arial"/>
        </w:rPr>
        <w:t xml:space="preserve"> classifies requirements as Must Have, Should Have, Could Have and Won’t Have (</w:t>
      </w:r>
      <w:proofErr w:type="spellStart"/>
      <w:r w:rsidRPr="00D207F3">
        <w:rPr>
          <w:rFonts w:ascii="Arial" w:hAnsi="Arial" w:cs="Arial"/>
        </w:rPr>
        <w:t>Hudaib</w:t>
      </w:r>
      <w:proofErr w:type="spellEnd"/>
      <w:r w:rsidRPr="00D207F3">
        <w:rPr>
          <w:rFonts w:ascii="Arial" w:hAnsi="Arial" w:cs="Arial"/>
        </w:rPr>
        <w:t xml:space="preserve"> et al., 2018), supporting decisions based on customer demand, business value, effort and strategic importance (Chandrasekaran et al., 2025). Correct products, secure payment, accurate inventory and reliable delivery should remain Must Haves, faster delivery and proactive communication may be Should Haves, and additional personalised </w:t>
      </w:r>
      <w:r w:rsidRPr="00D207F3">
        <w:rPr>
          <w:rFonts w:ascii="Arial" w:hAnsi="Arial" w:cs="Arial"/>
        </w:rPr>
        <w:lastRenderedPageBreak/>
        <w:t xml:space="preserve">conveniences may be Could Haves. Features that offer limited customer value in comparison with their cost or implementation effort could be treated as Won’t Haves. </w:t>
      </w:r>
      <w:proofErr w:type="spellStart"/>
      <w:r w:rsidRPr="00D207F3">
        <w:rPr>
          <w:rFonts w:ascii="Arial" w:hAnsi="Arial" w:cs="Arial"/>
        </w:rPr>
        <w:t>MoSCoW</w:t>
      </w:r>
      <w:proofErr w:type="spellEnd"/>
      <w:r w:rsidRPr="00D207F3">
        <w:rPr>
          <w:rFonts w:ascii="Arial" w:hAnsi="Arial" w:cs="Arial"/>
        </w:rPr>
        <w:t xml:space="preserve"> does not replace Kano, because Kano explains how features affect satisfaction, while </w:t>
      </w:r>
      <w:proofErr w:type="spellStart"/>
      <w:r w:rsidRPr="00D207F3">
        <w:rPr>
          <w:rFonts w:ascii="Arial" w:hAnsi="Arial" w:cs="Arial"/>
        </w:rPr>
        <w:t>MoSCoW</w:t>
      </w:r>
      <w:proofErr w:type="spellEnd"/>
      <w:r w:rsidRPr="00D207F3">
        <w:rPr>
          <w:rFonts w:ascii="Arial" w:hAnsi="Arial" w:cs="Arial"/>
        </w:rPr>
        <w:t xml:space="preserve"> supports operational priority. For ICQA, inventory accuracy is therefore not an optional delighter. It protects a basic expectation and can undermine the entire experience even when the website, payment process and delivery network operate effectively.</w:t>
      </w:r>
    </w:p>
    <w:p w14:paraId="5515366A" w14:textId="77777777" w:rsidR="00B30427" w:rsidRPr="00D207F3" w:rsidRDefault="00B30427" w:rsidP="00B30427">
      <w:pPr>
        <w:spacing w:line="360" w:lineRule="auto"/>
        <w:jc w:val="both"/>
        <w:rPr>
          <w:rFonts w:ascii="Arial" w:hAnsi="Arial" w:cs="Arial"/>
        </w:rPr>
      </w:pPr>
    </w:p>
    <w:p w14:paraId="29D574B9" w14:textId="77777777" w:rsidR="00B30427" w:rsidRPr="00D207F3" w:rsidRDefault="00B30427" w:rsidP="00B30427">
      <w:pPr>
        <w:pStyle w:val="Heading1"/>
        <w:spacing w:line="360" w:lineRule="auto"/>
        <w:jc w:val="both"/>
        <w:rPr>
          <w:rFonts w:ascii="Arial" w:hAnsi="Arial" w:cs="Arial"/>
        </w:rPr>
      </w:pPr>
      <w:bookmarkStart w:id="4" w:name="_Toc235969851"/>
      <w:r w:rsidRPr="00D207F3">
        <w:rPr>
          <w:rFonts w:ascii="Arial" w:hAnsi="Arial" w:cs="Arial"/>
        </w:rPr>
        <w:t>ICQA quality processes and effectiveness</w:t>
      </w:r>
      <w:bookmarkEnd w:id="4"/>
    </w:p>
    <w:p w14:paraId="7CEBAC7A" w14:textId="77777777" w:rsidR="00B30427" w:rsidRPr="00D207F3" w:rsidRDefault="00B30427" w:rsidP="00B30427">
      <w:pPr>
        <w:spacing w:line="360" w:lineRule="auto"/>
        <w:jc w:val="both"/>
        <w:rPr>
          <w:rFonts w:ascii="Arial" w:hAnsi="Arial" w:cs="Arial"/>
        </w:rPr>
      </w:pPr>
      <w:r w:rsidRPr="00D207F3">
        <w:rPr>
          <w:rFonts w:ascii="Arial" w:hAnsi="Arial" w:cs="Arial"/>
        </w:rPr>
        <w:t xml:space="preserve"> </w:t>
      </w:r>
      <w:r>
        <w:rPr>
          <w:rFonts w:ascii="Arial" w:hAnsi="Arial" w:cs="Arial"/>
        </w:rPr>
        <w:t xml:space="preserve">     </w:t>
      </w:r>
      <w:r w:rsidRPr="00D207F3">
        <w:rPr>
          <w:rFonts w:ascii="Arial" w:hAnsi="Arial" w:cs="Arial"/>
        </w:rPr>
        <w:t>ICQA</w:t>
      </w:r>
      <w:r>
        <w:rPr>
          <w:rFonts w:ascii="Arial" w:hAnsi="Arial" w:cs="Arial"/>
        </w:rPr>
        <w:t xml:space="preserve"> </w:t>
      </w:r>
      <w:r w:rsidRPr="00D207F3">
        <w:rPr>
          <w:rFonts w:ascii="Arial" w:hAnsi="Arial" w:cs="Arial"/>
        </w:rPr>
        <w:t>uses a combination of counting, investigation, auditing and data analysis to protect the accuracy of inventory within Amazon’s fulfilment operations. Amazon describes ICQA responsibilities as including the measurement of inventory integrity and accuracy, analysis of quality information, identification of root causes and development of actions intended to reduce repeated defects (Amazon, 2026). Inventory counting compares the stock physically located in a bin with the quantity and product information recorded within the virtual inventory system. Where the physical and virtual records do not agree, the discrepancy must be investigated before an inventory adjustment is made. This is important because simply changing the virtual quantity without understanding the cause may restore the record temporarily while allowing the same defect to continue. Research into distribution centre inventory accuracy shows that cycle counting can support record correction and warehouse performance, although its effectiveness depends on how the counting process is designed and how the resulting information is used (Destro et al., 2023). ICQA therefore performs more than a counting function. Defect tracking, root cause analysis and communication with departments such as Inbound Stow and Outbound Pick are needed because inventory errors may be created at different points in the process. Operational metrics and audit samples are used to identify whether quality remains within expected levels and whether particular defect types, processes or departments require further investigation (Amazon, 2026). Training and standardised procedures also support consistency by detailing how counts, investigations and adjustments should be completed.</w:t>
      </w:r>
    </w:p>
    <w:p w14:paraId="7844CB43"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 xml:space="preserve">These activities can be separated into quality control, quality assurance and quality improvement. Quality control focuses on identifying and correcting an existing problem, such as confirming that a unit is missing and adjusting the virtual record, while quality assurance is more preventive because it involves procedures, training, audit standards and process controls designed to reduce the likelihood of the discrepancy occurring, and quality Improvement goes further by examining repeated patterns and changing the process that creates the defect (Juran, 1986). For example, correcting one incorrect bin quantity is quality control, while improving stow training or changing a process that repeatedly places similar items in unsuitable locations represents quality assurance or improvement. The </w:t>
      </w:r>
      <w:r w:rsidRPr="00D207F3">
        <w:rPr>
          <w:rFonts w:ascii="Arial" w:hAnsi="Arial" w:cs="Arial"/>
        </w:rPr>
        <w:lastRenderedPageBreak/>
        <w:t>distinction matters because customer requirements are not met by correction alone, as accurate records support product availability, while consistent procedures support reliability and effective investigations may prevent delays, cancellations and repeated errors. Thus, ICQA processes contribute most strongly to customer value when they move from detecting individual discrepancies towards preventing the causes of those discrepancies.</w:t>
      </w:r>
    </w:p>
    <w:p w14:paraId="0236CECB" w14:textId="77777777" w:rsidR="00B30427" w:rsidRPr="00D207F3" w:rsidRDefault="00B30427" w:rsidP="00B30427">
      <w:pPr>
        <w:spacing w:line="360" w:lineRule="auto"/>
        <w:jc w:val="both"/>
        <w:rPr>
          <w:rFonts w:ascii="Arial" w:hAnsi="Arial" w:cs="Arial"/>
        </w:rPr>
      </w:pPr>
    </w:p>
    <w:p w14:paraId="0BA7E232" w14:textId="77777777" w:rsidR="00B30427" w:rsidRPr="00D207F3" w:rsidRDefault="00B30427" w:rsidP="00B30427">
      <w:pPr>
        <w:pStyle w:val="Heading4"/>
        <w:spacing w:line="360" w:lineRule="auto"/>
        <w:jc w:val="both"/>
        <w:rPr>
          <w:rFonts w:ascii="Arial" w:hAnsi="Arial" w:cs="Arial"/>
        </w:rPr>
      </w:pPr>
      <w:r w:rsidRPr="00D207F3">
        <w:rPr>
          <w:rFonts w:ascii="Arial" w:hAnsi="Arial" w:cs="Arial"/>
        </w:rPr>
        <w:t>Critical analysis using quality frameworks</w:t>
      </w:r>
    </w:p>
    <w:p w14:paraId="429D3E3B" w14:textId="77777777" w:rsidR="00B30427" w:rsidRPr="00D207F3" w:rsidRDefault="00B30427" w:rsidP="00B30427">
      <w:pPr>
        <w:spacing w:line="360" w:lineRule="auto"/>
        <w:jc w:val="both"/>
        <w:rPr>
          <w:rFonts w:ascii="Arial" w:hAnsi="Arial" w:cs="Arial"/>
        </w:rPr>
      </w:pPr>
    </w:p>
    <w:p w14:paraId="25693265"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 xml:space="preserve">Juran’s Quality Trilogy is particularly relevant to ICQA because it presents quality management through quality planning, quality control and quality improvement (Juran, 1986). Quality planning begins by identifying both internal and external customers, establishing their requirements and designing processes capable of meeting them. Applied to ICQA, external customers require product to be available and orders to be fulfilled accurately, while internal departments require dependable inventory information to complete picking, packing and customer service activities. Planning should therefore include suitable counting processes, clear adjustment rules, defined ownership, effective training and systems that allow defects to be traced. Quality control then compares actual performance with the expected standard and responds when a difference is identified (Juran, 1986). Counts, audits, inventory accuracy measures, defect thresholds and investigations all fit within this part of the trilogy. When ICQA detects a discrepancy and corrects the inventory record, it returns the process towards its expected level. However, Juran’s distinction between control and improvement shows the limitation of this approach. Control can restore normal performance without reducing the normal level of recurring error, while improvement requires the causes of continuing waste to be removed (Juran, 1986). This means that a high number of completed counts or corrections does not necessarily prove that quality is improving. ICQA may be highly effective at detecting discrepancies while the originating process continues to produce them. </w:t>
      </w:r>
      <w:proofErr w:type="spellStart"/>
      <w:r w:rsidRPr="00D207F3">
        <w:rPr>
          <w:rFonts w:ascii="Arial" w:hAnsi="Arial" w:cs="Arial"/>
        </w:rPr>
        <w:t>Velkoska</w:t>
      </w:r>
      <w:proofErr w:type="spellEnd"/>
      <w:r w:rsidRPr="00D207F3">
        <w:rPr>
          <w:rFonts w:ascii="Arial" w:hAnsi="Arial" w:cs="Arial"/>
        </w:rPr>
        <w:t xml:space="preserve"> (2022) similarly argues that quality planning, control and improvement should be integrated rather than applied as separate activities. The trilogy therefore suggests that ICQA effectiveness should be judged partly by whether recurring defect levels fall, rather than only by whether individual records are corrected.</w:t>
      </w:r>
    </w:p>
    <w:p w14:paraId="4FBF167F" w14:textId="77777777" w:rsidR="00B30427" w:rsidRPr="00D207F3" w:rsidRDefault="00B30427" w:rsidP="00B30427">
      <w:pPr>
        <w:spacing w:line="360" w:lineRule="auto"/>
        <w:jc w:val="both"/>
        <w:rPr>
          <w:rFonts w:ascii="Arial" w:hAnsi="Arial" w:cs="Arial"/>
        </w:rPr>
      </w:pPr>
      <w:r>
        <w:rPr>
          <w:noProof/>
        </w:rPr>
        <w:lastRenderedPageBreak/>
        <mc:AlternateContent>
          <mc:Choice Requires="wps">
            <w:drawing>
              <wp:anchor distT="0" distB="0" distL="114300" distR="114300" simplePos="0" relativeHeight="251663360" behindDoc="1" locked="0" layoutInCell="1" allowOverlap="1" wp14:anchorId="53232C93" wp14:editId="0771E004">
                <wp:simplePos x="0" y="0"/>
                <wp:positionH relativeFrom="column">
                  <wp:posOffset>0</wp:posOffset>
                </wp:positionH>
                <wp:positionV relativeFrom="paragraph">
                  <wp:posOffset>2069465</wp:posOffset>
                </wp:positionV>
                <wp:extent cx="3086100" cy="635"/>
                <wp:effectExtent l="0" t="0" r="0" b="0"/>
                <wp:wrapTight wrapText="bothSides">
                  <wp:wrapPolygon edited="0">
                    <wp:start x="0" y="0"/>
                    <wp:lineTo x="0" y="21600"/>
                    <wp:lineTo x="21600" y="21600"/>
                    <wp:lineTo x="21600" y="0"/>
                  </wp:wrapPolygon>
                </wp:wrapTight>
                <wp:docPr id="1152962631" name="Text Box 1"/>
                <wp:cNvGraphicFramePr/>
                <a:graphic xmlns:a="http://schemas.openxmlformats.org/drawingml/2006/main">
                  <a:graphicData uri="http://schemas.microsoft.com/office/word/2010/wordprocessingShape">
                    <wps:wsp>
                      <wps:cNvSpPr txBox="1"/>
                      <wps:spPr>
                        <a:xfrm>
                          <a:off x="0" y="0"/>
                          <a:ext cx="3086100" cy="635"/>
                        </a:xfrm>
                        <a:prstGeom prst="rect">
                          <a:avLst/>
                        </a:prstGeom>
                        <a:solidFill>
                          <a:prstClr val="white"/>
                        </a:solidFill>
                        <a:ln>
                          <a:noFill/>
                        </a:ln>
                      </wps:spPr>
                      <wps:txbx>
                        <w:txbxContent>
                          <w:p w14:paraId="44139385" w14:textId="77777777" w:rsidR="00B30427" w:rsidRPr="00F138CE" w:rsidRDefault="00B30427" w:rsidP="00B30427">
                            <w:pPr>
                              <w:pStyle w:val="Caption"/>
                              <w:jc w:val="center"/>
                              <w:rPr>
                                <w:rFonts w:ascii="Arial" w:hAnsi="Arial" w:cs="Arial"/>
                                <w:noProof/>
                              </w:rPr>
                            </w:pPr>
                            <w:r>
                              <w:t xml:space="preserve">Figure </w:t>
                            </w:r>
                            <w:r>
                              <w:fldChar w:fldCharType="begin"/>
                            </w:r>
                            <w:r>
                              <w:instrText xml:space="preserve"> SEQ Figure \* ARABIC </w:instrText>
                            </w:r>
                            <w:r>
                              <w:fldChar w:fldCharType="separate"/>
                            </w:r>
                            <w:r>
                              <w:rPr>
                                <w:noProof/>
                              </w:rPr>
                              <w:t>2</w:t>
                            </w:r>
                            <w:r>
                              <w:fldChar w:fldCharType="end"/>
                            </w:r>
                            <w:r>
                              <w:t xml:space="preserve"> PDCA (van Otterloo,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232C93" id="_x0000_s1027" type="#_x0000_t202" style="position:absolute;left:0;text-align:left;margin-left:0;margin-top:162.95pt;width:243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" stroked="f">
                <v:textbox style="mso-fit-shape-to-text:t" inset="0,0,0,0">
                  <w:txbxContent>
                    <w:p w14:paraId="44139385" w14:textId="77777777" w:rsidR="00B30427" w:rsidRPr="00F138CE" w:rsidRDefault="00B30427" w:rsidP="00B30427">
                      <w:pPr>
                        <w:pStyle w:val="Caption"/>
                        <w:jc w:val="center"/>
                        <w:rPr>
                          <w:rFonts w:ascii="Arial" w:hAnsi="Arial" w:cs="Arial"/>
                          <w:noProof/>
                        </w:rPr>
                      </w:pPr>
                      <w:r>
                        <w:t xml:space="preserve">Figure </w:t>
                      </w:r>
                      <w:r>
                        <w:fldChar w:fldCharType="begin"/>
                      </w:r>
                      <w:r>
                        <w:instrText xml:space="preserve"> SEQ Figure \* ARABIC </w:instrText>
                      </w:r>
                      <w:r>
                        <w:fldChar w:fldCharType="separate"/>
                      </w:r>
                      <w:r>
                        <w:rPr>
                          <w:noProof/>
                        </w:rPr>
                        <w:t>2</w:t>
                      </w:r>
                      <w:r>
                        <w:fldChar w:fldCharType="end"/>
                      </w:r>
                      <w:r>
                        <w:t xml:space="preserve"> PDCA (van Otterloo, 2017)</w:t>
                      </w:r>
                    </w:p>
                  </w:txbxContent>
                </v:textbox>
                <w10:wrap type="tight"/>
              </v:shape>
            </w:pict>
          </mc:Fallback>
        </mc:AlternateContent>
      </w:r>
      <w:r>
        <w:rPr>
          <w:rFonts w:ascii="Arial" w:hAnsi="Arial" w:cs="Arial"/>
          <w:noProof/>
        </w:rPr>
        <w:drawing>
          <wp:anchor distT="0" distB="0" distL="114300" distR="114300" simplePos="0" relativeHeight="251662336" behindDoc="1" locked="0" layoutInCell="1" allowOverlap="1" wp14:anchorId="36ABC069" wp14:editId="76015681">
            <wp:simplePos x="0" y="0"/>
            <wp:positionH relativeFrom="column">
              <wp:posOffset>0</wp:posOffset>
            </wp:positionH>
            <wp:positionV relativeFrom="paragraph">
              <wp:posOffset>88265</wp:posOffset>
            </wp:positionV>
            <wp:extent cx="3086293" cy="1924050"/>
            <wp:effectExtent l="0" t="0" r="0" b="0"/>
            <wp:wrapTight wrapText="bothSides">
              <wp:wrapPolygon edited="0">
                <wp:start x="0" y="0"/>
                <wp:lineTo x="0" y="21386"/>
                <wp:lineTo x="21467" y="21386"/>
                <wp:lineTo x="21467" y="0"/>
                <wp:lineTo x="0" y="0"/>
              </wp:wrapPolygon>
            </wp:wrapTight>
            <wp:docPr id="3153956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395611" name="Picture 315395611"/>
                    <pic:cNvPicPr/>
                  </pic:nvPicPr>
                  <pic:blipFill>
                    <a:blip r:embed="rId13">
                      <a:extLst>
                        <a:ext uri="{28A0092B-C50C-407E-A947-70E740481C1C}">
                          <a14:useLocalDpi xmlns:a14="http://schemas.microsoft.com/office/drawing/2010/main" val="0"/>
                        </a:ext>
                      </a:extLst>
                    </a:blip>
                    <a:stretch>
                      <a:fillRect/>
                    </a:stretch>
                  </pic:blipFill>
                  <pic:spPr>
                    <a:xfrm>
                      <a:off x="0" y="0"/>
                      <a:ext cx="3086293" cy="1924050"/>
                    </a:xfrm>
                    <a:prstGeom prst="rect">
                      <a:avLst/>
                    </a:prstGeom>
                  </pic:spPr>
                </pic:pic>
              </a:graphicData>
            </a:graphic>
          </wp:anchor>
        </w:drawing>
      </w:r>
    </w:p>
    <w:p w14:paraId="70CEDCC0"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 xml:space="preserve">Deming’s Plan-Do-Check-Act (PDCA) cycle </w:t>
      </w:r>
      <w:r>
        <w:rPr>
          <w:rFonts w:ascii="Arial" w:hAnsi="Arial" w:cs="Arial"/>
        </w:rPr>
        <w:t xml:space="preserve">(as shown in Figure 2) </w:t>
      </w:r>
      <w:r w:rsidRPr="00D207F3">
        <w:rPr>
          <w:rFonts w:ascii="Arial" w:hAnsi="Arial" w:cs="Arial"/>
        </w:rPr>
        <w:t>provides a useful way of examining how a recurring inventory defect could be improved (Patel &amp; Deshpande, 2017). During the Plan stage, a recurring issue would be clearly defined using available data, and its likely causes would be investigated, such as repeated discrepancies involving similar products could be connected to packaging, labelling, bin suitability, stow behaviour or counting errors. During Do, a corrective action could be tested on a limited scale, such as changing guidance, adjusting the location strategy or providing focused retraining. Check would compare defect rates and audit results before and after the trial, while Act would either standardise the successful intervention or revise it where the expected improvement was not achieved (</w:t>
      </w:r>
      <w:proofErr w:type="spellStart"/>
      <w:r w:rsidRPr="00D207F3">
        <w:rPr>
          <w:rFonts w:ascii="Arial" w:hAnsi="Arial" w:cs="Arial"/>
        </w:rPr>
        <w:t>Velkoska</w:t>
      </w:r>
      <w:proofErr w:type="spellEnd"/>
      <w:r w:rsidRPr="00D207F3">
        <w:rPr>
          <w:rFonts w:ascii="Arial" w:hAnsi="Arial" w:cs="Arial"/>
        </w:rPr>
        <w:t xml:space="preserve">, 2022). Deming’s approach is based on continued learning and improvement rather than a single corrective action (Berenyi, 2024), and his wider principles emphasise process improvement, training and the removal of barriers that prevent employees from producing quality work (Karunakaran &amp; </w:t>
      </w:r>
      <w:proofErr w:type="spellStart"/>
      <w:r w:rsidRPr="00D207F3">
        <w:rPr>
          <w:rFonts w:ascii="Arial" w:hAnsi="Arial" w:cs="Arial"/>
        </w:rPr>
        <w:t>Bayavanda</w:t>
      </w:r>
      <w:proofErr w:type="spellEnd"/>
      <w:r w:rsidRPr="00D207F3">
        <w:rPr>
          <w:rFonts w:ascii="Arial" w:hAnsi="Arial" w:cs="Arial"/>
        </w:rPr>
        <w:t xml:space="preserve"> Chinnappa, 2022). This is useful for ICQA because many inventory defects involve interactions between people, systems and operating conditions rather than one isolated mistake. Nevertheless, the cycle is only effective when all stages are completed. Operational pressure may encourage a department to plan and carry out an immediate correction but leave insufficient time to evaluate the results or standardise the change. This creates repeated firefighting, where the same issue is corrected whenever it appears but is never permanently reduced. A further limitation is that ICQA may identify the required change but depend on another department to implement it. Deming’s approach therefore requires shared ownership of quality rather than treating ICQA as solely responsible for defects created across the fulfilment process (Moen &amp; Norman, 2010).</w:t>
      </w:r>
    </w:p>
    <w:p w14:paraId="4AF7B10E"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 xml:space="preserve">DMAIC provides a more detailed data-based method for recurring and measurable problems. DMAIC consists of Define, Measure, Analyse, Improve and Control and is used to structure process investigation within Lean Six Sigma (Monday, 2022). In an ICQA investigation, Define would establish the defect, the affected process and the customer requirement at risk, measure would establish the current defect rate and gather reliable information about where and when the issue occurs, analyse would examine possible causes and test which factors are genuinely connected to the defect rather than relying on assumptions, improve would introduce a targeted change, while Control would monitor the process to ensure that the result is maintained (Monday, 2022). This structure is valuable because ICQA already produces detailed operational and inventory data, allowing recurring patterns to be examined across time, location, item type or process path. Mittal et al. (2023) found that DMAIC can </w:t>
      </w:r>
      <w:r w:rsidRPr="00D207F3">
        <w:rPr>
          <w:rFonts w:ascii="Arial" w:hAnsi="Arial" w:cs="Arial"/>
        </w:rPr>
        <w:lastRenderedPageBreak/>
        <w:t>support performance improvement by providing a systematic route from problem definition to maintained control. However, DMAIC also requires accurate data, sufficient investigation time and cooperation from the department that owns the originating process. Poor-quality data may lead to the wrong cause being selected, while an improvement may not last if the Control stage is weak (Mittal et al., 2023).</w:t>
      </w:r>
    </w:p>
    <w:p w14:paraId="1B5030F1"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Lean can support DMAIC by highlighting waste created by inaccurate inventory. Lean supply chain management aims to reduce activities that consume resources without creating customer value (Ionel, 2024). Repeated counting, searching for missing products, correcting records, reprocessing customer orders and moving employees away from planned work can all be viewed as forms of waste or rework. Marinelli (2022) identifies waste reduction as a central part of Lean thinking, including unnecessary movement, waiting and defects. However, a Lean approach should not simply seek to complete counts faster, because faster correction is not the same as defect prevention, but its stronger use is in identifying why avoidable work is required and removing the cause. Garvin’s quality dimensions are less directly applicable because several relate mainly to physical product design, but conformance and reliability remain relevant, as inventory information should conform to defined standards and remain reliable enough to support fulfilment decisions (Fasko, 2023). Together, Juran, PDCA and DMAIC show that effective quality management requires planning, detection, investigation, testing and sustained prevention rather than correction alone.</w:t>
      </w:r>
    </w:p>
    <w:p w14:paraId="6E7252A2" w14:textId="77777777" w:rsidR="00B30427" w:rsidRPr="00D207F3" w:rsidRDefault="00B30427" w:rsidP="00B30427">
      <w:pPr>
        <w:spacing w:line="360" w:lineRule="auto"/>
        <w:jc w:val="both"/>
        <w:rPr>
          <w:rFonts w:ascii="Arial" w:hAnsi="Arial" w:cs="Arial"/>
        </w:rPr>
      </w:pPr>
    </w:p>
    <w:p w14:paraId="32D8FCD3" w14:textId="77777777" w:rsidR="00B30427" w:rsidRPr="00D207F3" w:rsidRDefault="00B30427" w:rsidP="00B30427">
      <w:pPr>
        <w:pStyle w:val="Heading4"/>
        <w:spacing w:line="360" w:lineRule="auto"/>
        <w:jc w:val="both"/>
        <w:rPr>
          <w:rFonts w:ascii="Arial" w:hAnsi="Arial" w:cs="Arial"/>
        </w:rPr>
      </w:pPr>
      <w:r w:rsidRPr="00D207F3">
        <w:rPr>
          <w:rFonts w:ascii="Arial" w:hAnsi="Arial" w:cs="Arial"/>
        </w:rPr>
        <w:t>Effectiveness in meeting customer requirements</w:t>
      </w:r>
    </w:p>
    <w:p w14:paraId="4967FAC0" w14:textId="77777777" w:rsidR="00B30427" w:rsidRPr="00D207F3" w:rsidRDefault="00B30427" w:rsidP="00B30427">
      <w:pPr>
        <w:spacing w:line="360" w:lineRule="auto"/>
        <w:jc w:val="both"/>
        <w:rPr>
          <w:rFonts w:ascii="Arial" w:hAnsi="Arial" w:cs="Arial"/>
        </w:rPr>
      </w:pPr>
    </w:p>
    <w:p w14:paraId="350B7842"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ICQA has several strengths in meeting customer requirements. Standardised counts, audit processes and inventory adjustments provide a structured way to identify and correct discrepancies, while operational data allows repeated defects and wider patterns to be investigated (Amazon, 2026). These processes directly support availability and fulfilment accuracy because the virtual record is more likely to represent the stock physically present in the fulfilment centre. Cycle counting can reduce inventory record inaccuracy and support distribution centre performance, especially when count information is used to improve future decisions rather than only make immediate corrections (Destro et al., 2023) Root cause investigation also creates the possibility of tracing a defect to the originating process and preventing further customer impact. ICQA therefore provides an important control between physical stock and the information used by internal departments and external customers.</w:t>
      </w:r>
    </w:p>
    <w:p w14:paraId="14115405"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 xml:space="preserve">However, its effectiveness has clear limitations. Many discrepancies are detected after the error has already occurred, meaning that the process can become reactive. A strong emphasis on count completion, audit results and quality metrics may also encourage attention to target achievement than deeper learning, particularly when operational time is limited. Deming’s principles indicate that </w:t>
      </w:r>
      <w:r w:rsidRPr="00D207F3">
        <w:rPr>
          <w:rFonts w:ascii="Arial" w:hAnsi="Arial" w:cs="Arial"/>
        </w:rPr>
        <w:lastRenderedPageBreak/>
        <w:t xml:space="preserve">sustained quality requires process improvement, suitable training an organisational cooperation (Berenyi, 2024), rather than dependence in inspection alone (Karunakaran &amp; </w:t>
      </w:r>
      <w:proofErr w:type="spellStart"/>
      <w:r w:rsidRPr="00D207F3">
        <w:rPr>
          <w:rFonts w:ascii="Arial" w:hAnsi="Arial" w:cs="Arial"/>
        </w:rPr>
        <w:t>Bayavanda</w:t>
      </w:r>
      <w:proofErr w:type="spellEnd"/>
      <w:r w:rsidRPr="00D207F3">
        <w:rPr>
          <w:rFonts w:ascii="Arial" w:hAnsi="Arial" w:cs="Arial"/>
        </w:rPr>
        <w:t xml:space="preserve"> Chinnappa, 2022). Workplace observation at the warehouse examined in this report also indicates that information can be spread across several operational systems, training knowledge can differ between departments, and ICQA may not always have direct authority to change the process that created a defect. As a result, local improvements may depend heavily on communication and cooperation from other teams. Juran’s framework therefore provides the clearest test of effectiveness: If ICQA repeatedly restores records to their expected state, it is performing quality control, but if it reduces the underlying level of recurring defects, it is achieving quality improvement (Juran, 1986). The process is most effective when correction leads to investigation, shared action and prevention rather than the same inventory issue being found and repaired repeatedly.</w:t>
      </w:r>
    </w:p>
    <w:p w14:paraId="77D107B3" w14:textId="77777777" w:rsidR="00B30427" w:rsidRPr="00D207F3" w:rsidRDefault="00B30427" w:rsidP="00B30427">
      <w:pPr>
        <w:spacing w:line="360" w:lineRule="auto"/>
        <w:jc w:val="both"/>
        <w:rPr>
          <w:rFonts w:ascii="Arial" w:hAnsi="Arial" w:cs="Arial"/>
        </w:rPr>
      </w:pPr>
    </w:p>
    <w:p w14:paraId="29214D99" w14:textId="77777777" w:rsidR="00B30427" w:rsidRPr="00D207F3" w:rsidRDefault="00B30427" w:rsidP="00B30427">
      <w:pPr>
        <w:pStyle w:val="Heading1"/>
        <w:spacing w:line="360" w:lineRule="auto"/>
        <w:jc w:val="both"/>
        <w:rPr>
          <w:rFonts w:ascii="Arial" w:hAnsi="Arial" w:cs="Arial"/>
        </w:rPr>
      </w:pPr>
      <w:bookmarkStart w:id="5" w:name="_Toc235969852"/>
      <w:r w:rsidRPr="00D207F3">
        <w:rPr>
          <w:rFonts w:ascii="Arial" w:hAnsi="Arial" w:cs="Arial"/>
        </w:rPr>
        <w:t>Overall evaluation and recommendations</w:t>
      </w:r>
      <w:bookmarkEnd w:id="5"/>
    </w:p>
    <w:p w14:paraId="7DAAABE3" w14:textId="77777777" w:rsidR="00B30427" w:rsidRPr="00D207F3" w:rsidRDefault="00B30427" w:rsidP="00B30427">
      <w:pPr>
        <w:spacing w:line="360" w:lineRule="auto"/>
        <w:jc w:val="both"/>
        <w:rPr>
          <w:rFonts w:ascii="Arial" w:hAnsi="Arial" w:cs="Arial"/>
        </w:rPr>
      </w:pPr>
    </w:p>
    <w:p w14:paraId="17912458"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Amazon’s customer value proposition is closely linked to the reliability of its fulfilment system, particularly the accuracy of inventory data that underpins product availability and delivery performance. While competitive pricing, broad selection and convenience are key drivers of customer attraction, these advantages are undermined when stock records are inaccurate, resulting in cancellations, delays or additional customer effort (Destro et al., 2023). In this sense, inventory accuracy acts as a foundational enabler of value, supporting both functional outcomes such as successful order fulfilment and experiential outcomes such as confidence in the service (Almquist</w:t>
      </w:r>
      <w:r>
        <w:rPr>
          <w:rFonts w:ascii="Arial" w:hAnsi="Arial" w:cs="Arial"/>
        </w:rPr>
        <w:t xml:space="preserve"> et al.</w:t>
      </w:r>
      <w:r w:rsidRPr="00D207F3">
        <w:rPr>
          <w:rFonts w:ascii="Arial" w:hAnsi="Arial" w:cs="Arial"/>
        </w:rPr>
        <w:t>, 20</w:t>
      </w:r>
      <w:r>
        <w:rPr>
          <w:rFonts w:ascii="Arial" w:hAnsi="Arial" w:cs="Arial"/>
        </w:rPr>
        <w:t>1</w:t>
      </w:r>
      <w:r w:rsidRPr="00D207F3">
        <w:rPr>
          <w:rFonts w:ascii="Arial" w:hAnsi="Arial" w:cs="Arial"/>
        </w:rPr>
        <w:t>6). ICQA contributes to maintaining this foundation by detecting discrepancies, correcting records and flagging recurring issues for review (Amazon, 2026). However, its impact is inherently reactive, and Juran’s Quality Trilogy highlights that such control activities do not in themselves prevent future defects, as restoring performance to an expected level does not address underlying process causes (Juran, 1986). As a result, there is a risk that operational emphasis on throughput and correction volume can overshadow longer term improvement, limiting sustained gains in reliability and, ultimately, customer value.</w:t>
      </w:r>
    </w:p>
    <w:p w14:paraId="362C07A1" w14:textId="77777777" w:rsidR="00B30427" w:rsidRPr="00D207F3" w:rsidRDefault="00B30427" w:rsidP="00B30427">
      <w:pPr>
        <w:spacing w:line="360" w:lineRule="auto"/>
        <w:jc w:val="both"/>
        <w:rPr>
          <w:rFonts w:ascii="Arial" w:hAnsi="Arial" w:cs="Arial"/>
        </w:rPr>
      </w:pPr>
    </w:p>
    <w:p w14:paraId="522D8627" w14:textId="77777777" w:rsidR="00B30427" w:rsidRPr="00D207F3" w:rsidRDefault="00B30427" w:rsidP="00B30427">
      <w:pPr>
        <w:pStyle w:val="Heading4"/>
        <w:spacing w:line="360" w:lineRule="auto"/>
        <w:jc w:val="both"/>
        <w:rPr>
          <w:rFonts w:ascii="Arial" w:hAnsi="Arial" w:cs="Arial"/>
        </w:rPr>
      </w:pPr>
      <w:r w:rsidRPr="00D207F3">
        <w:rPr>
          <w:rFonts w:ascii="Arial" w:hAnsi="Arial" w:cs="Arial"/>
        </w:rPr>
        <w:t>Recommendations</w:t>
      </w:r>
    </w:p>
    <w:p w14:paraId="378057C4" w14:textId="77777777" w:rsidR="00B30427" w:rsidRPr="00D207F3" w:rsidRDefault="00B30427" w:rsidP="00B30427">
      <w:pPr>
        <w:spacing w:line="360" w:lineRule="auto"/>
        <w:jc w:val="both"/>
        <w:rPr>
          <w:rFonts w:ascii="Arial" w:hAnsi="Arial" w:cs="Arial"/>
        </w:rPr>
      </w:pPr>
    </w:p>
    <w:p w14:paraId="51B3CCA0"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 xml:space="preserve">The first recommendation is to introduce a stronger closed loop process between ICQA and the departments where inventory defects originate. Although ICQA can identify and correct discrepances, it may not have direct authority over processes in Inbound or Outbound that contribute to the original error. Under the proposed process, recurring defects would be assigned to a named departmental </w:t>
      </w:r>
      <w:r w:rsidRPr="00D207F3">
        <w:rPr>
          <w:rFonts w:ascii="Arial" w:hAnsi="Arial" w:cs="Arial"/>
        </w:rPr>
        <w:lastRenderedPageBreak/>
        <w:t>owner, supported by evidence from counts, audits and root cause investigations. The action would remain open until the responsible department has introduced a corrective change and ICQA has checked whether recurrence has reduced. This reflects Juran’s distinction between control and improvement (Juran, 1986) and Deming’s requirement to complete the full PDCA cycle (</w:t>
      </w:r>
      <w:proofErr w:type="spellStart"/>
      <w:r w:rsidRPr="00D207F3">
        <w:rPr>
          <w:rFonts w:ascii="Arial" w:hAnsi="Arial" w:cs="Arial"/>
        </w:rPr>
        <w:t>Velkoska</w:t>
      </w:r>
      <w:proofErr w:type="spellEnd"/>
      <w:r w:rsidRPr="00D207F3">
        <w:rPr>
          <w:rFonts w:ascii="Arial" w:hAnsi="Arial" w:cs="Arial"/>
        </w:rPr>
        <w:t xml:space="preserve">, 2022). The main benefit would be fewer repeated discrepancies, improving stock availability and fulfilment reliability. Implementation may be difficult where departments have competing productivity targets or unclear ownership. Success should therefore be measured through defect recurrence rates, action completion times and the percentage of corrective actions verified as effective. </w:t>
      </w:r>
    </w:p>
    <w:p w14:paraId="79BDE878"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 xml:space="preserve">The second recommendation is to improve the visibility and prioritisation of recurring defect patterns. ICQA already uses performance information, but individual corrections and data held across different systems can make wider patterns more difficult to recognise. A shared defect dashboard could group errors by process, location, product type, frequency, customer impact and suspected cause. DMAIC could provide the structure for defining the issue, measuring its scale, analysing causes, testing improvements and controlling the result (Mittal et al., 2023). </w:t>
      </w:r>
      <w:proofErr w:type="spellStart"/>
      <w:r w:rsidRPr="00D207F3">
        <w:rPr>
          <w:rFonts w:ascii="Arial" w:hAnsi="Arial" w:cs="Arial"/>
        </w:rPr>
        <w:t>MoSCoW</w:t>
      </w:r>
      <w:proofErr w:type="spellEnd"/>
      <w:r w:rsidRPr="00D207F3">
        <w:rPr>
          <w:rFonts w:ascii="Arial" w:hAnsi="Arial" w:cs="Arial"/>
        </w:rPr>
        <w:t xml:space="preserve"> could then be used to prioritise action, with defects affecting correct products, inventory availability and reliable delivery treated as Must Haves rather than being ranked only by volume (Chandrasekaran et al., 2025). This would help managers focus limited time on defects that create the greatest customer value risk. The main difficulty would be ensuring consistent data entry and agreement between departments. Success could be measured through reductions in high-priority defect rates, repeated adjustments, customer impacting cancellations and time spent searching for missing inventory.</w:t>
      </w:r>
    </w:p>
    <w:p w14:paraId="058C3557" w14:textId="77777777" w:rsidR="00B30427"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 xml:space="preserve">The third recommendation is to use defect and audit data to provide more targeted training while involving associates more directly in quality improvement. Standardised training supports quality assurance, but general refresher training may have limited value when errors are concerned around particular processes, products or working conditions. Training should therefore be linked to evidence, with focused coaching provided where audits identify repeated knowledge gaps or procedural misunderstandings. Associates who regularly complete the process should also be invited to explain practical barriers and suggest changes, as Deming’s quality principles emphasise training, employee involvement and removing organisational barriers to good work (Karunakaran &amp; </w:t>
      </w:r>
      <w:proofErr w:type="spellStart"/>
      <w:r w:rsidRPr="00D207F3">
        <w:rPr>
          <w:rFonts w:ascii="Arial" w:hAnsi="Arial" w:cs="Arial"/>
        </w:rPr>
        <w:t>Bayavanda</w:t>
      </w:r>
      <w:proofErr w:type="spellEnd"/>
      <w:r w:rsidRPr="00D207F3">
        <w:rPr>
          <w:rFonts w:ascii="Arial" w:hAnsi="Arial" w:cs="Arial"/>
        </w:rPr>
        <w:t xml:space="preserve"> Chinnappa, 2022). Clearer process documentation and communication of successful local improvements would reduce differences in knowledge between teams. The expected benefit would be improved prevention rather than continued dependence on correction. Difficulties may include limited training time and variation across shifts. Effectiveness should be measured through post training audit results, recurrence by defect type, associate feedback and whether improvements are maintained over several weeks.</w:t>
      </w:r>
    </w:p>
    <w:p w14:paraId="6EE6F3E3" w14:textId="77777777" w:rsidR="00B30427" w:rsidRDefault="00B30427" w:rsidP="00B30427">
      <w:pPr>
        <w:rPr>
          <w:rFonts w:ascii="Arial" w:hAnsi="Arial" w:cs="Arial"/>
        </w:rPr>
      </w:pPr>
      <w:r>
        <w:rPr>
          <w:rFonts w:ascii="Arial" w:hAnsi="Arial" w:cs="Arial"/>
        </w:rPr>
        <w:br w:type="page"/>
      </w:r>
    </w:p>
    <w:p w14:paraId="2D274EE4" w14:textId="77777777" w:rsidR="00B30427" w:rsidRPr="00D207F3" w:rsidRDefault="00B30427" w:rsidP="00B30427">
      <w:pPr>
        <w:spacing w:line="360" w:lineRule="auto"/>
        <w:jc w:val="both"/>
        <w:rPr>
          <w:rFonts w:ascii="Arial" w:hAnsi="Arial" w:cs="Arial"/>
        </w:rPr>
      </w:pPr>
    </w:p>
    <w:p w14:paraId="580A4B61" w14:textId="77777777" w:rsidR="00B30427" w:rsidRPr="00D207F3" w:rsidRDefault="00B30427" w:rsidP="00B30427">
      <w:pPr>
        <w:pStyle w:val="Heading1"/>
        <w:spacing w:line="360" w:lineRule="auto"/>
        <w:jc w:val="both"/>
        <w:rPr>
          <w:rFonts w:ascii="Arial" w:hAnsi="Arial" w:cs="Arial"/>
        </w:rPr>
      </w:pPr>
      <w:bookmarkStart w:id="6" w:name="_Toc235969853"/>
      <w:r w:rsidRPr="00D207F3">
        <w:rPr>
          <w:rFonts w:ascii="Arial" w:hAnsi="Arial" w:cs="Arial"/>
        </w:rPr>
        <w:t>Conclusion</w:t>
      </w:r>
      <w:bookmarkEnd w:id="6"/>
    </w:p>
    <w:p w14:paraId="1DFABE2E"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Amazon’s ability to maximise customer value depends on how effectively it combines convenience, competitive prices, product choice and fast fulfilment with reliable operational quality. Customer information and CRM support personalisation, segmentation and repeat purchasing, while customer relationships and changing expectations influence whether satisfaction develops into longer term loyalty. However, value is not created by convenience alone. Customers also expect accurate product availability, dependable delivery, correct orders and confidence that the information presented through Amazon’s platform reflects the physical inventory held within the fulfilment network.</w:t>
      </w:r>
    </w:p>
    <w:p w14:paraId="375E9A71"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ICQA makes an important contribution to these expectations by comparing physical and virtual stock, investigating discrepancies, correcting inventory records and identifying recurring defects. These processes support product availability, fulfilment accuracy and customer trust, even though customers rarely interact with the department directly. Overall, the current quality processes are effective in detecting and correcting inventory problems and provide useful controls through counting, auditing, standardised procedures and performance data. Their main limitation is that they can remain reactive, particularly where ICQA corrects defects created elsewhere without sufficient authority or time to prevent recurrence.</w:t>
      </w:r>
    </w:p>
    <w:p w14:paraId="4357AF93" w14:textId="77777777" w:rsidR="00B30427" w:rsidRPr="00D207F3" w:rsidRDefault="00B30427" w:rsidP="00B30427">
      <w:pPr>
        <w:spacing w:line="360" w:lineRule="auto"/>
        <w:jc w:val="both"/>
        <w:rPr>
          <w:rFonts w:ascii="Arial" w:hAnsi="Arial" w:cs="Arial"/>
        </w:rPr>
      </w:pPr>
      <w:r>
        <w:rPr>
          <w:rFonts w:ascii="Arial" w:hAnsi="Arial" w:cs="Arial"/>
        </w:rPr>
        <w:t xml:space="preserve">     </w:t>
      </w:r>
      <w:r w:rsidRPr="00D207F3">
        <w:rPr>
          <w:rFonts w:ascii="Arial" w:hAnsi="Arial" w:cs="Arial"/>
        </w:rPr>
        <w:t>The main improvement required is therefore a stronger shift from correction towards prevention. This requires clearer ownership of recurring defects, better sharing of quality information and closer cooperation between ICQA and the departments responsible for the originating processes.</w:t>
      </w:r>
    </w:p>
    <w:p w14:paraId="15F78208" w14:textId="77777777" w:rsidR="00B30427" w:rsidRPr="00901F80" w:rsidRDefault="00B30427" w:rsidP="00B30427">
      <w:pPr>
        <w:spacing w:line="360" w:lineRule="auto"/>
        <w:rPr>
          <w:rFonts w:ascii="Arial" w:hAnsi="Arial" w:cs="Arial"/>
        </w:rPr>
      </w:pPr>
    </w:p>
    <w:p w14:paraId="53442866" w14:textId="77777777" w:rsidR="00B30427" w:rsidRPr="00901F80" w:rsidRDefault="00B30427" w:rsidP="00B30427">
      <w:pPr>
        <w:spacing w:line="360" w:lineRule="auto"/>
        <w:rPr>
          <w:rFonts w:ascii="Arial" w:hAnsi="Arial" w:cs="Arial"/>
        </w:rPr>
      </w:pPr>
    </w:p>
    <w:p w14:paraId="78CEB36F" w14:textId="77777777" w:rsidR="00B30427" w:rsidRPr="00901F80" w:rsidRDefault="00B30427" w:rsidP="00B30427">
      <w:pPr>
        <w:spacing w:line="360" w:lineRule="auto"/>
        <w:rPr>
          <w:rFonts w:ascii="Arial" w:hAnsi="Arial" w:cs="Arial"/>
        </w:rPr>
      </w:pPr>
    </w:p>
    <w:p w14:paraId="2CC6961F" w14:textId="77777777" w:rsidR="00B30427" w:rsidRPr="00901F80" w:rsidRDefault="00B30427" w:rsidP="00B30427">
      <w:pPr>
        <w:spacing w:line="360" w:lineRule="auto"/>
        <w:rPr>
          <w:rFonts w:ascii="Arial" w:hAnsi="Arial" w:cs="Arial"/>
        </w:rPr>
      </w:pPr>
    </w:p>
    <w:p w14:paraId="5979F335" w14:textId="77777777" w:rsidR="00B30427" w:rsidRPr="00901F80" w:rsidRDefault="00B30427" w:rsidP="00B30427">
      <w:pPr>
        <w:spacing w:line="360" w:lineRule="auto"/>
        <w:rPr>
          <w:rFonts w:ascii="Arial" w:hAnsi="Arial" w:cs="Arial"/>
        </w:rPr>
      </w:pPr>
    </w:p>
    <w:p w14:paraId="36743130" w14:textId="77777777" w:rsidR="00B30427" w:rsidRPr="00901F80" w:rsidRDefault="00B30427" w:rsidP="00B30427">
      <w:pPr>
        <w:spacing w:line="360" w:lineRule="auto"/>
        <w:rPr>
          <w:rFonts w:ascii="Arial" w:hAnsi="Arial" w:cs="Arial"/>
        </w:rPr>
      </w:pPr>
    </w:p>
    <w:p w14:paraId="228FDEB9" w14:textId="77777777" w:rsidR="00B30427" w:rsidRPr="00901F80" w:rsidRDefault="00B30427" w:rsidP="00B30427">
      <w:pPr>
        <w:spacing w:line="360" w:lineRule="auto"/>
        <w:rPr>
          <w:rFonts w:ascii="Arial" w:hAnsi="Arial" w:cs="Arial"/>
        </w:rPr>
      </w:pPr>
    </w:p>
    <w:p w14:paraId="04602259" w14:textId="77777777" w:rsidR="00B30427" w:rsidRPr="00901F80" w:rsidRDefault="00B30427" w:rsidP="00B30427">
      <w:pPr>
        <w:spacing w:line="360" w:lineRule="auto"/>
        <w:rPr>
          <w:rFonts w:ascii="Arial" w:hAnsi="Arial" w:cs="Arial"/>
        </w:rPr>
      </w:pPr>
    </w:p>
    <w:p w14:paraId="77125A37" w14:textId="77777777" w:rsidR="00B30427" w:rsidRPr="00901F80" w:rsidRDefault="00B30427" w:rsidP="00B30427">
      <w:pPr>
        <w:spacing w:line="360" w:lineRule="auto"/>
        <w:rPr>
          <w:rFonts w:ascii="Arial" w:hAnsi="Arial" w:cs="Arial"/>
        </w:rPr>
      </w:pPr>
    </w:p>
    <w:p w14:paraId="161BDE6D" w14:textId="77777777" w:rsidR="00B30427" w:rsidRPr="00901F80" w:rsidRDefault="00B30427" w:rsidP="00B30427">
      <w:pPr>
        <w:spacing w:line="360" w:lineRule="auto"/>
        <w:rPr>
          <w:rFonts w:ascii="Arial" w:hAnsi="Arial" w:cs="Arial"/>
        </w:rPr>
      </w:pPr>
    </w:p>
    <w:p w14:paraId="4630CB8C" w14:textId="77777777" w:rsidR="00B30427" w:rsidRPr="00901F80" w:rsidRDefault="00B30427" w:rsidP="00B30427">
      <w:pPr>
        <w:spacing w:line="360" w:lineRule="auto"/>
        <w:rPr>
          <w:rFonts w:ascii="Arial" w:hAnsi="Arial" w:cs="Arial"/>
        </w:rPr>
      </w:pPr>
    </w:p>
    <w:p w14:paraId="58FD8C6E" w14:textId="77777777" w:rsidR="00B30427" w:rsidRPr="00901F80" w:rsidRDefault="00B30427" w:rsidP="00B30427">
      <w:pPr>
        <w:spacing w:line="360" w:lineRule="auto"/>
        <w:rPr>
          <w:rFonts w:ascii="Arial" w:hAnsi="Arial" w:cs="Arial"/>
        </w:rPr>
      </w:pPr>
    </w:p>
    <w:p w14:paraId="1201383F" w14:textId="77777777" w:rsidR="00B30427" w:rsidRPr="00901F80" w:rsidRDefault="00B30427" w:rsidP="00B30427">
      <w:pPr>
        <w:spacing w:line="360" w:lineRule="auto"/>
        <w:rPr>
          <w:rFonts w:ascii="Arial" w:hAnsi="Arial" w:cs="Arial"/>
        </w:rPr>
      </w:pPr>
    </w:p>
    <w:p w14:paraId="53D78C06" w14:textId="77777777" w:rsidR="00B30427" w:rsidRDefault="00B30427" w:rsidP="00B30427">
      <w:pPr>
        <w:rPr>
          <w:rFonts w:ascii="Arial" w:hAnsi="Arial" w:cs="Arial"/>
        </w:rPr>
      </w:pPr>
      <w:r>
        <w:rPr>
          <w:rFonts w:ascii="Arial" w:hAnsi="Arial" w:cs="Arial"/>
        </w:rPr>
        <w:br w:type="page"/>
      </w:r>
    </w:p>
    <w:p w14:paraId="0F23926E" w14:textId="77777777" w:rsidR="00B30427" w:rsidRDefault="00B30427" w:rsidP="00B30427">
      <w:pPr>
        <w:pStyle w:val="Heading1"/>
        <w:jc w:val="left"/>
      </w:pPr>
      <w:bookmarkStart w:id="7" w:name="_Toc235969854"/>
      <w:r w:rsidRPr="00901F80">
        <w:lastRenderedPageBreak/>
        <w:t>References</w:t>
      </w:r>
      <w:bookmarkEnd w:id="7"/>
    </w:p>
    <w:p w14:paraId="62B54E0A" w14:textId="77777777" w:rsidR="00B30427" w:rsidRPr="0015186A" w:rsidRDefault="00B30427" w:rsidP="00B30427"/>
    <w:p w14:paraId="648F2252" w14:textId="77777777" w:rsidR="009903D6" w:rsidRDefault="009903D6" w:rsidP="00B30427">
      <w:pPr>
        <w:pStyle w:val="NormalWeb"/>
        <w:spacing w:before="0" w:beforeAutospacing="0" w:after="0" w:afterAutospacing="0" w:line="480" w:lineRule="auto"/>
        <w:ind w:left="720" w:hanging="720"/>
        <w:rPr>
          <w:rFonts w:ascii="Arial" w:hAnsi="Arial" w:cs="Arial"/>
        </w:rPr>
      </w:pPr>
    </w:p>
    <w:p w14:paraId="607FCBCB" w14:textId="3D0E3189" w:rsidR="00B30427" w:rsidRDefault="00B30427" w:rsidP="00B30427">
      <w:pPr>
        <w:pStyle w:val="NormalWeb"/>
        <w:spacing w:before="0" w:beforeAutospacing="0" w:after="0" w:afterAutospacing="0" w:line="480" w:lineRule="auto"/>
        <w:ind w:left="720" w:hanging="720"/>
        <w:rPr>
          <w:rFonts w:ascii="Arial" w:hAnsi="Arial" w:cs="Arial"/>
        </w:rPr>
      </w:pPr>
      <w:r>
        <w:rPr>
          <w:rFonts w:ascii="Arial" w:hAnsi="Arial" w:cs="Arial"/>
        </w:rPr>
        <w:t xml:space="preserve">Almquist, E., Senior, J., &amp; Bloch, N. (2016). The elements of Value: Measuring-and delivering- what consumers really want. </w:t>
      </w:r>
      <w:r>
        <w:rPr>
          <w:rFonts w:ascii="Arial" w:hAnsi="Arial" w:cs="Arial"/>
          <w:i/>
          <w:iCs/>
        </w:rPr>
        <w:t>Harvard Business Review</w:t>
      </w:r>
      <w:r>
        <w:rPr>
          <w:rFonts w:ascii="Arial" w:hAnsi="Arial" w:cs="Arial"/>
        </w:rPr>
        <w:t xml:space="preserve">. </w:t>
      </w:r>
      <w:hyperlink r:id="rId14" w:history="1">
        <w:r w:rsidRPr="00C90FE6">
          <w:rPr>
            <w:rStyle w:val="Hyperlink"/>
            <w:rFonts w:ascii="Arial" w:hAnsi="Arial" w:cs="Arial"/>
          </w:rPr>
          <w:t>https://ellisonchair.tamu.edu/files/2020/06/The-Elements-of-Consumer-Value.pdf</w:t>
        </w:r>
      </w:hyperlink>
    </w:p>
    <w:p w14:paraId="21BA15BF" w14:textId="77777777" w:rsidR="00B30427" w:rsidRDefault="00B30427" w:rsidP="00B30427">
      <w:pPr>
        <w:pStyle w:val="NormalWeb"/>
        <w:spacing w:before="0" w:beforeAutospacing="0" w:after="0" w:afterAutospacing="0" w:line="480" w:lineRule="auto"/>
        <w:ind w:left="720" w:hanging="720"/>
        <w:rPr>
          <w:rFonts w:ascii="Arial" w:hAnsi="Arial" w:cs="Arial"/>
        </w:rPr>
      </w:pPr>
    </w:p>
    <w:p w14:paraId="7AE1028C" w14:textId="77777777" w:rsidR="00B30427" w:rsidRDefault="00B30427" w:rsidP="00B30427">
      <w:pPr>
        <w:pStyle w:val="NormalWeb"/>
        <w:spacing w:before="0" w:beforeAutospacing="0" w:after="0" w:afterAutospacing="0" w:line="480" w:lineRule="auto"/>
        <w:ind w:left="720" w:hanging="720"/>
        <w:rPr>
          <w:rFonts w:ascii="Arial" w:hAnsi="Arial" w:cs="Arial"/>
        </w:rPr>
      </w:pPr>
      <w:r>
        <w:rPr>
          <w:rFonts w:ascii="Arial" w:hAnsi="Arial" w:cs="Arial"/>
        </w:rPr>
        <w:t xml:space="preserve">Amazon. (2022). Leadership principles. In </w:t>
      </w:r>
      <w:r>
        <w:rPr>
          <w:rFonts w:ascii="Arial" w:hAnsi="Arial" w:cs="Arial"/>
          <w:i/>
          <w:iCs/>
        </w:rPr>
        <w:t>UK About Amazon</w:t>
      </w:r>
      <w:r>
        <w:rPr>
          <w:rFonts w:ascii="Arial" w:hAnsi="Arial" w:cs="Arial"/>
        </w:rPr>
        <w:t xml:space="preserve">. </w:t>
      </w:r>
      <w:hyperlink r:id="rId15" w:history="1">
        <w:r w:rsidRPr="00C90FE6">
          <w:rPr>
            <w:rStyle w:val="Hyperlink"/>
            <w:rFonts w:ascii="Arial" w:hAnsi="Arial" w:cs="Arial"/>
          </w:rPr>
          <w:t>https://www.aboutamazon.co.uk/who-we-are/leadership-principles</w:t>
        </w:r>
      </w:hyperlink>
    </w:p>
    <w:p w14:paraId="6F6CD402" w14:textId="77777777" w:rsidR="009903D6" w:rsidRDefault="009903D6" w:rsidP="00B30427">
      <w:pPr>
        <w:pStyle w:val="NormalWeb"/>
        <w:spacing w:before="0" w:beforeAutospacing="0" w:after="0" w:afterAutospacing="0" w:line="360" w:lineRule="auto"/>
        <w:ind w:left="720" w:hanging="720"/>
        <w:rPr>
          <w:rFonts w:ascii="Arial" w:hAnsi="Arial" w:cs="Arial"/>
        </w:rPr>
      </w:pPr>
    </w:p>
    <w:p w14:paraId="154A411E" w14:textId="2AB4A6B9" w:rsidR="00B30427"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Amazon. (2023). AMS customer relationship management (CRM) - AMS advanced user guide. In </w:t>
      </w:r>
      <w:r w:rsidRPr="00901F80">
        <w:rPr>
          <w:rFonts w:ascii="Arial" w:hAnsi="Arial" w:cs="Arial"/>
          <w:i/>
          <w:iCs/>
        </w:rPr>
        <w:t>docs.aws.amazon.com</w:t>
      </w:r>
      <w:r w:rsidRPr="00901F80">
        <w:rPr>
          <w:rFonts w:ascii="Arial" w:hAnsi="Arial" w:cs="Arial"/>
        </w:rPr>
        <w:t xml:space="preserve">. </w:t>
      </w:r>
      <w:hyperlink r:id="rId16" w:history="1">
        <w:r w:rsidRPr="00901F80">
          <w:rPr>
            <w:rStyle w:val="Hyperlink"/>
            <w:rFonts w:ascii="Arial" w:hAnsi="Arial" w:cs="Arial"/>
          </w:rPr>
          <w:t>https://docs.aws.amazon.com/managedservices/latest/userguide/apx-crm.html</w:t>
        </w:r>
      </w:hyperlink>
    </w:p>
    <w:p w14:paraId="5CB0CE66"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
    <w:p w14:paraId="05EB093B" w14:textId="77777777" w:rsidR="00B30427"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Amazon. (2025a). Amzn-20251231. In </w:t>
      </w:r>
      <w:r w:rsidRPr="00901F80">
        <w:rPr>
          <w:rFonts w:ascii="Arial" w:hAnsi="Arial" w:cs="Arial"/>
          <w:i/>
          <w:iCs/>
        </w:rPr>
        <w:t>Sec.gov</w:t>
      </w:r>
      <w:r w:rsidRPr="00901F80">
        <w:rPr>
          <w:rFonts w:ascii="Arial" w:hAnsi="Arial" w:cs="Arial"/>
        </w:rPr>
        <w:t xml:space="preserve">. </w:t>
      </w:r>
      <w:hyperlink r:id="rId17" w:history="1">
        <w:r w:rsidRPr="00901F80">
          <w:rPr>
            <w:rStyle w:val="Hyperlink"/>
            <w:rFonts w:ascii="Arial" w:hAnsi="Arial" w:cs="Arial"/>
          </w:rPr>
          <w:t>https://www.sec.gov/Archives/edgar/data/1018724/000101872426000004/amzn-20251231.htm</w:t>
        </w:r>
      </w:hyperlink>
    </w:p>
    <w:p w14:paraId="24CDDEAC"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
    <w:p w14:paraId="08E435D8" w14:textId="77777777" w:rsidR="00B30427"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Amazon. (2025b). Fulfilled by Amazon (FBA) | learn about FBA for Amazon sellers. In </w:t>
      </w:r>
      <w:r w:rsidRPr="00901F80">
        <w:rPr>
          <w:rFonts w:ascii="Arial" w:hAnsi="Arial" w:cs="Arial"/>
          <w:i/>
          <w:iCs/>
        </w:rPr>
        <w:t>sell.amazon.com</w:t>
      </w:r>
      <w:r w:rsidRPr="00901F80">
        <w:rPr>
          <w:rFonts w:ascii="Arial" w:hAnsi="Arial" w:cs="Arial"/>
        </w:rPr>
        <w:t xml:space="preserve">. </w:t>
      </w:r>
      <w:hyperlink r:id="rId18" w:history="1">
        <w:r w:rsidRPr="00901F80">
          <w:rPr>
            <w:rStyle w:val="Hyperlink"/>
            <w:rFonts w:ascii="Arial" w:hAnsi="Arial" w:cs="Arial"/>
          </w:rPr>
          <w:t>https://sell.amazon.com/fulfillment-by-amazon</w:t>
        </w:r>
      </w:hyperlink>
    </w:p>
    <w:p w14:paraId="35F24C47"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
    <w:p w14:paraId="2B650B19"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Amazon. (2026). </w:t>
      </w:r>
      <w:r w:rsidRPr="00901F80">
        <w:rPr>
          <w:rFonts w:ascii="Arial" w:hAnsi="Arial" w:cs="Arial"/>
          <w:i/>
          <w:iCs/>
        </w:rPr>
        <w:t>Inventory control and quality assurance area manager, AMET ICQA</w:t>
      </w:r>
      <w:r w:rsidRPr="00901F80">
        <w:rPr>
          <w:rFonts w:ascii="Arial" w:hAnsi="Arial" w:cs="Arial"/>
        </w:rPr>
        <w:t xml:space="preserve">. </w:t>
      </w:r>
      <w:proofErr w:type="spellStart"/>
      <w:r w:rsidRPr="00901F80">
        <w:rPr>
          <w:rFonts w:ascii="Arial" w:hAnsi="Arial" w:cs="Arial"/>
        </w:rPr>
        <w:t>Amazon.Jobs</w:t>
      </w:r>
      <w:proofErr w:type="spellEnd"/>
      <w:r w:rsidRPr="00901F80">
        <w:rPr>
          <w:rFonts w:ascii="Arial" w:hAnsi="Arial" w:cs="Arial"/>
        </w:rPr>
        <w:t xml:space="preserve">. </w:t>
      </w:r>
      <w:hyperlink r:id="rId19" w:history="1">
        <w:r w:rsidRPr="00901F80">
          <w:rPr>
            <w:rStyle w:val="Hyperlink"/>
            <w:rFonts w:ascii="Arial" w:hAnsi="Arial" w:cs="Arial"/>
          </w:rPr>
          <w:t>https://www.amazon.jobs/en/jobs/10472476/inventory-control-and-quality-assurance-area-manager-amet-icqa</w:t>
        </w:r>
      </w:hyperlink>
    </w:p>
    <w:p w14:paraId="5E67869C" w14:textId="77777777" w:rsidR="00B30427" w:rsidRPr="00901F80" w:rsidRDefault="00B30427" w:rsidP="00B30427">
      <w:pPr>
        <w:pStyle w:val="NormalWeb"/>
        <w:spacing w:before="0" w:beforeAutospacing="0" w:after="0" w:afterAutospacing="0" w:line="360" w:lineRule="auto"/>
        <w:rPr>
          <w:rFonts w:ascii="Arial" w:hAnsi="Arial" w:cs="Arial"/>
        </w:rPr>
      </w:pPr>
    </w:p>
    <w:p w14:paraId="44A40848"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roofErr w:type="spellStart"/>
      <w:r w:rsidRPr="00901F80">
        <w:rPr>
          <w:rFonts w:ascii="Arial" w:hAnsi="Arial" w:cs="Arial"/>
        </w:rPr>
        <w:t>Bailom</w:t>
      </w:r>
      <w:proofErr w:type="spellEnd"/>
      <w:r w:rsidRPr="00901F80">
        <w:rPr>
          <w:rFonts w:ascii="Arial" w:hAnsi="Arial" w:cs="Arial"/>
        </w:rPr>
        <w:t xml:space="preserve">, F., Sauerwein, E., </w:t>
      </w:r>
      <w:proofErr w:type="spellStart"/>
      <w:r w:rsidRPr="00901F80">
        <w:rPr>
          <w:rFonts w:ascii="Arial" w:hAnsi="Arial" w:cs="Arial"/>
        </w:rPr>
        <w:t>Matzler</w:t>
      </w:r>
      <w:proofErr w:type="spellEnd"/>
      <w:r w:rsidRPr="00901F80">
        <w:rPr>
          <w:rFonts w:ascii="Arial" w:hAnsi="Arial" w:cs="Arial"/>
        </w:rPr>
        <w:t xml:space="preserve">, K., &amp; </w:t>
      </w:r>
      <w:proofErr w:type="spellStart"/>
      <w:r w:rsidRPr="00901F80">
        <w:rPr>
          <w:rFonts w:ascii="Arial" w:hAnsi="Arial" w:cs="Arial"/>
        </w:rPr>
        <w:t>Hinterhuber</w:t>
      </w:r>
      <w:proofErr w:type="spellEnd"/>
      <w:r w:rsidRPr="00901F80">
        <w:rPr>
          <w:rFonts w:ascii="Arial" w:hAnsi="Arial" w:cs="Arial"/>
        </w:rPr>
        <w:t xml:space="preserve">, H. (1996). The kano model: How to delight your customers. </w:t>
      </w:r>
      <w:r w:rsidRPr="00901F80">
        <w:rPr>
          <w:rFonts w:ascii="Arial" w:hAnsi="Arial" w:cs="Arial"/>
          <w:i/>
          <w:iCs/>
        </w:rPr>
        <w:t>International Working Seminar on Production Economics</w:t>
      </w:r>
      <w:r w:rsidRPr="00901F80">
        <w:rPr>
          <w:rFonts w:ascii="Arial" w:hAnsi="Arial" w:cs="Arial"/>
        </w:rPr>
        <w:t xml:space="preserve">, </w:t>
      </w:r>
      <w:r w:rsidRPr="00901F80">
        <w:rPr>
          <w:rFonts w:ascii="Arial" w:hAnsi="Arial" w:cs="Arial"/>
          <w:i/>
          <w:iCs/>
        </w:rPr>
        <w:t xml:space="preserve">Volume I </w:t>
      </w:r>
      <w:r w:rsidRPr="00901F80">
        <w:rPr>
          <w:rFonts w:ascii="Arial" w:hAnsi="Arial" w:cs="Arial"/>
        </w:rPr>
        <w:t xml:space="preserve">(9), 313–327. </w:t>
      </w:r>
      <w:hyperlink r:id="rId20" w:history="1">
        <w:r w:rsidRPr="00901F80">
          <w:rPr>
            <w:rStyle w:val="Hyperlink"/>
            <w:rFonts w:ascii="Arial" w:hAnsi="Arial" w:cs="Arial"/>
          </w:rPr>
          <w:t>https://www.researchgate.net/profile/Franz-Bailom/publication/240462191_The_Kano_Model_How_to_Delight_Your_Customers/links/0f3175342ad9e57525000000/The-Kano-Model-How-to-Delight-Your-Customers.pdf</w:t>
        </w:r>
      </w:hyperlink>
    </w:p>
    <w:p w14:paraId="63DE846D"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
    <w:p w14:paraId="6A8B345E" w14:textId="77777777" w:rsidR="00B30427"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Berényi, L. (2024). Assessing the actuality and relevant importance of Deming’s 14 points. </w:t>
      </w:r>
      <w:proofErr w:type="spellStart"/>
      <w:r w:rsidRPr="00901F80">
        <w:rPr>
          <w:rFonts w:ascii="Arial" w:hAnsi="Arial" w:cs="Arial"/>
          <w:i/>
          <w:iCs/>
        </w:rPr>
        <w:t>Multidiszciplináris</w:t>
      </w:r>
      <w:proofErr w:type="spellEnd"/>
      <w:r w:rsidRPr="00901F80">
        <w:rPr>
          <w:rFonts w:ascii="Arial" w:hAnsi="Arial" w:cs="Arial"/>
          <w:i/>
          <w:iCs/>
        </w:rPr>
        <w:t xml:space="preserve"> </w:t>
      </w:r>
      <w:proofErr w:type="spellStart"/>
      <w:r w:rsidRPr="00901F80">
        <w:rPr>
          <w:rFonts w:ascii="Arial" w:hAnsi="Arial" w:cs="Arial"/>
          <w:i/>
          <w:iCs/>
        </w:rPr>
        <w:t>Tudományok</w:t>
      </w:r>
      <w:proofErr w:type="spellEnd"/>
      <w:r w:rsidRPr="00901F80">
        <w:rPr>
          <w:rFonts w:ascii="Arial" w:hAnsi="Arial" w:cs="Arial"/>
        </w:rPr>
        <w:t xml:space="preserve">, </w:t>
      </w:r>
      <w:r w:rsidRPr="00901F80">
        <w:rPr>
          <w:rFonts w:ascii="Arial" w:hAnsi="Arial" w:cs="Arial"/>
          <w:i/>
          <w:iCs/>
        </w:rPr>
        <w:t>14</w:t>
      </w:r>
      <w:r w:rsidRPr="00901F80">
        <w:rPr>
          <w:rFonts w:ascii="Arial" w:hAnsi="Arial" w:cs="Arial"/>
        </w:rPr>
        <w:t xml:space="preserve">(2), 3–13. </w:t>
      </w:r>
      <w:hyperlink r:id="rId21" w:history="1">
        <w:r w:rsidRPr="00901F80">
          <w:rPr>
            <w:rStyle w:val="Hyperlink"/>
            <w:rFonts w:ascii="Arial" w:hAnsi="Arial" w:cs="Arial"/>
          </w:rPr>
          <w:t>https://doi.org/10.35925/j.multi.2024.2.1</w:t>
        </w:r>
      </w:hyperlink>
    </w:p>
    <w:p w14:paraId="7964F421"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
    <w:p w14:paraId="30F68B1A" w14:textId="77777777" w:rsidR="00B30427" w:rsidRDefault="00B30427" w:rsidP="00B30427">
      <w:pPr>
        <w:pStyle w:val="NormalWeb"/>
        <w:spacing w:before="0" w:beforeAutospacing="0" w:after="0" w:afterAutospacing="0" w:line="480" w:lineRule="auto"/>
        <w:ind w:left="720" w:hanging="720"/>
        <w:rPr>
          <w:rFonts w:ascii="Arial" w:hAnsi="Arial" w:cs="Arial"/>
        </w:rPr>
      </w:pPr>
      <w:r>
        <w:rPr>
          <w:rFonts w:ascii="Arial" w:hAnsi="Arial" w:cs="Arial"/>
        </w:rPr>
        <w:t xml:space="preserve">Blythe, J. (2013). Consumer behaviour. In </w:t>
      </w:r>
      <w:r>
        <w:rPr>
          <w:rFonts w:ascii="Arial" w:hAnsi="Arial" w:cs="Arial"/>
          <w:i/>
          <w:iCs/>
        </w:rPr>
        <w:t>Scribd</w:t>
      </w:r>
      <w:r>
        <w:rPr>
          <w:rFonts w:ascii="Arial" w:hAnsi="Arial" w:cs="Arial"/>
        </w:rPr>
        <w:t xml:space="preserve">. Sage. </w:t>
      </w:r>
      <w:hyperlink r:id="rId22" w:history="1">
        <w:r w:rsidRPr="00C90FE6">
          <w:rPr>
            <w:rStyle w:val="Hyperlink"/>
            <w:rFonts w:ascii="Arial" w:hAnsi="Arial" w:cs="Arial"/>
          </w:rPr>
          <w:t>https://www.scribd.com/document/327021618/Consumer-Behaviour-Blythe</w:t>
        </w:r>
      </w:hyperlink>
    </w:p>
    <w:p w14:paraId="7D433AAF" w14:textId="77777777" w:rsidR="00B30427" w:rsidRDefault="00B30427" w:rsidP="00B30427">
      <w:pPr>
        <w:pStyle w:val="NormalWeb"/>
        <w:spacing w:before="0" w:beforeAutospacing="0" w:after="0" w:afterAutospacing="0" w:line="480" w:lineRule="auto"/>
        <w:ind w:left="720" w:hanging="720"/>
        <w:rPr>
          <w:rFonts w:ascii="Arial" w:hAnsi="Arial" w:cs="Arial"/>
        </w:rPr>
      </w:pPr>
    </w:p>
    <w:p w14:paraId="172F4E67" w14:textId="77777777" w:rsidR="00B30427" w:rsidRDefault="00B30427" w:rsidP="00B30427">
      <w:pPr>
        <w:pStyle w:val="NormalWeb"/>
        <w:spacing w:before="0" w:beforeAutospacing="0" w:after="0" w:afterAutospacing="0" w:line="480" w:lineRule="auto"/>
        <w:ind w:left="720" w:hanging="720"/>
        <w:rPr>
          <w:rFonts w:ascii="Arial" w:hAnsi="Arial" w:cs="Arial"/>
        </w:rPr>
      </w:pPr>
      <w:proofErr w:type="spellStart"/>
      <w:r>
        <w:rPr>
          <w:rFonts w:ascii="Arial" w:hAnsi="Arial" w:cs="Arial"/>
        </w:rPr>
        <w:t>Borgianni</w:t>
      </w:r>
      <w:proofErr w:type="spellEnd"/>
      <w:r>
        <w:rPr>
          <w:rFonts w:ascii="Arial" w:hAnsi="Arial" w:cs="Arial"/>
        </w:rPr>
        <w:t xml:space="preserve">, Y. (2018). Verifying dynamic kano’s model to support new product/service development. </w:t>
      </w:r>
      <w:r>
        <w:rPr>
          <w:rFonts w:ascii="Arial" w:hAnsi="Arial" w:cs="Arial"/>
          <w:i/>
          <w:iCs/>
        </w:rPr>
        <w:t>Journal of Industrial Engineering and Management</w:t>
      </w:r>
      <w:r>
        <w:rPr>
          <w:rFonts w:ascii="Arial" w:hAnsi="Arial" w:cs="Arial"/>
        </w:rPr>
        <w:t xml:space="preserve">, </w:t>
      </w:r>
      <w:r>
        <w:rPr>
          <w:rFonts w:ascii="Arial" w:hAnsi="Arial" w:cs="Arial"/>
          <w:i/>
          <w:iCs/>
        </w:rPr>
        <w:t>11</w:t>
      </w:r>
      <w:r>
        <w:rPr>
          <w:rFonts w:ascii="Arial" w:hAnsi="Arial" w:cs="Arial"/>
        </w:rPr>
        <w:t xml:space="preserve">(3), 569–587. </w:t>
      </w:r>
      <w:hyperlink r:id="rId23" w:history="1">
        <w:r w:rsidRPr="00C90FE6">
          <w:rPr>
            <w:rStyle w:val="Hyperlink"/>
            <w:rFonts w:ascii="Arial" w:hAnsi="Arial" w:cs="Arial"/>
          </w:rPr>
          <w:t>https://www.jiem.org/index.php/jiem/article/view/2591/872</w:t>
        </w:r>
      </w:hyperlink>
    </w:p>
    <w:p w14:paraId="0CDF7E97" w14:textId="77777777" w:rsidR="00B30427" w:rsidRDefault="00B30427" w:rsidP="00B30427">
      <w:pPr>
        <w:pStyle w:val="NormalWeb"/>
        <w:spacing w:before="0" w:beforeAutospacing="0" w:after="0" w:afterAutospacing="0" w:line="360" w:lineRule="auto"/>
        <w:ind w:left="720" w:hanging="720"/>
        <w:rPr>
          <w:rFonts w:ascii="Arial" w:hAnsi="Arial" w:cs="Arial"/>
        </w:rPr>
      </w:pPr>
    </w:p>
    <w:p w14:paraId="75083108"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Chandrasekaran, T., Mohammed, N. A., R, S., S, I. G., Srinivasan, C., &amp; K, S. K. (2025). A structured approach to feature prioritization for dynamic roadmap optimization. </w:t>
      </w:r>
      <w:r w:rsidRPr="00901F80">
        <w:rPr>
          <w:rFonts w:ascii="Arial" w:hAnsi="Arial" w:cs="Arial"/>
          <w:i/>
          <w:iCs/>
        </w:rPr>
        <w:t>2025 11Th International Conference on Communication and Signal Processing (</w:t>
      </w:r>
      <w:proofErr w:type="spellStart"/>
      <w:r w:rsidRPr="00901F80">
        <w:rPr>
          <w:rFonts w:ascii="Arial" w:hAnsi="Arial" w:cs="Arial"/>
          <w:i/>
          <w:iCs/>
        </w:rPr>
        <w:t>Iccsp</w:t>
      </w:r>
      <w:proofErr w:type="spellEnd"/>
      <w:r w:rsidRPr="00901F80">
        <w:rPr>
          <w:rFonts w:ascii="Arial" w:hAnsi="Arial" w:cs="Arial"/>
          <w:i/>
          <w:iCs/>
        </w:rPr>
        <w:t>)</w:t>
      </w:r>
      <w:r w:rsidRPr="00901F80">
        <w:rPr>
          <w:rFonts w:ascii="Arial" w:hAnsi="Arial" w:cs="Arial"/>
        </w:rPr>
        <w:t xml:space="preserve">, 1790–1795. </w:t>
      </w:r>
      <w:hyperlink r:id="rId24" w:history="1">
        <w:r w:rsidRPr="00901F80">
          <w:rPr>
            <w:rStyle w:val="Hyperlink"/>
            <w:rFonts w:ascii="Arial" w:hAnsi="Arial" w:cs="Arial"/>
          </w:rPr>
          <w:t>https://doi.org/10.1109/iccsp64183.2025.11089247</w:t>
        </w:r>
      </w:hyperlink>
    </w:p>
    <w:p w14:paraId="564DF95D" w14:textId="77777777" w:rsidR="00B30427" w:rsidRPr="00901F80" w:rsidRDefault="00B30427" w:rsidP="00B30427">
      <w:pPr>
        <w:pStyle w:val="NormalWeb"/>
        <w:spacing w:before="0" w:beforeAutospacing="0" w:after="0" w:afterAutospacing="0" w:line="360" w:lineRule="auto"/>
        <w:rPr>
          <w:rFonts w:ascii="Arial" w:hAnsi="Arial" w:cs="Arial"/>
        </w:rPr>
      </w:pPr>
    </w:p>
    <w:p w14:paraId="08644F90" w14:textId="77777777" w:rsidR="00B30427"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Destro, I. R., Staudt, F. H., </w:t>
      </w:r>
      <w:proofErr w:type="spellStart"/>
      <w:r w:rsidRPr="00901F80">
        <w:rPr>
          <w:rFonts w:ascii="Arial" w:hAnsi="Arial" w:cs="Arial"/>
        </w:rPr>
        <w:t>Somensi</w:t>
      </w:r>
      <w:proofErr w:type="spellEnd"/>
      <w:r w:rsidRPr="00901F80">
        <w:rPr>
          <w:rFonts w:ascii="Arial" w:hAnsi="Arial" w:cs="Arial"/>
        </w:rPr>
        <w:t xml:space="preserve">, K., &amp; Taboada, C. (2023). The impacts of inventory record inaccuracy and cycle counting on distribution </w:t>
      </w:r>
      <w:proofErr w:type="spellStart"/>
      <w:r w:rsidRPr="00901F80">
        <w:rPr>
          <w:rFonts w:ascii="Arial" w:hAnsi="Arial" w:cs="Arial"/>
        </w:rPr>
        <w:t>center</w:t>
      </w:r>
      <w:proofErr w:type="spellEnd"/>
      <w:r w:rsidRPr="00901F80">
        <w:rPr>
          <w:rFonts w:ascii="Arial" w:hAnsi="Arial" w:cs="Arial"/>
        </w:rPr>
        <w:t xml:space="preserve"> performance. </w:t>
      </w:r>
      <w:r w:rsidRPr="00901F80">
        <w:rPr>
          <w:rFonts w:ascii="Arial" w:hAnsi="Arial" w:cs="Arial"/>
          <w:i/>
          <w:iCs/>
        </w:rPr>
        <w:t>Production</w:t>
      </w:r>
      <w:r w:rsidRPr="00901F80">
        <w:rPr>
          <w:rFonts w:ascii="Arial" w:hAnsi="Arial" w:cs="Arial"/>
        </w:rPr>
        <w:t xml:space="preserve">, </w:t>
      </w:r>
      <w:r w:rsidRPr="00901F80">
        <w:rPr>
          <w:rFonts w:ascii="Arial" w:hAnsi="Arial" w:cs="Arial"/>
          <w:i/>
          <w:iCs/>
        </w:rPr>
        <w:t>33</w:t>
      </w:r>
      <w:r w:rsidRPr="00901F80">
        <w:rPr>
          <w:rFonts w:ascii="Arial" w:hAnsi="Arial" w:cs="Arial"/>
        </w:rPr>
        <w:t xml:space="preserve">. </w:t>
      </w:r>
      <w:hyperlink r:id="rId25" w:history="1">
        <w:r w:rsidRPr="00901F80">
          <w:rPr>
            <w:rStyle w:val="Hyperlink"/>
            <w:rFonts w:ascii="Arial" w:hAnsi="Arial" w:cs="Arial"/>
          </w:rPr>
          <w:t>https://doi.org/10.1590/0103-6513.20220077</w:t>
        </w:r>
      </w:hyperlink>
    </w:p>
    <w:p w14:paraId="0B4CF493"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
    <w:p w14:paraId="224F53CA" w14:textId="77777777" w:rsidR="00B30427" w:rsidRDefault="00B30427" w:rsidP="00B30427">
      <w:pPr>
        <w:pStyle w:val="NormalWeb"/>
        <w:spacing w:before="0" w:beforeAutospacing="0" w:after="0" w:afterAutospacing="0" w:line="480" w:lineRule="auto"/>
        <w:ind w:left="720" w:hanging="720"/>
        <w:rPr>
          <w:rFonts w:ascii="Arial" w:hAnsi="Arial" w:cs="Arial"/>
        </w:rPr>
      </w:pPr>
      <w:r>
        <w:rPr>
          <w:rFonts w:ascii="Arial" w:hAnsi="Arial" w:cs="Arial"/>
        </w:rPr>
        <w:t xml:space="preserve">Dick, A. S., &amp; Basu, K. (1994). Customer loyalty: Toward an integrated conceptual framework. </w:t>
      </w:r>
      <w:r>
        <w:rPr>
          <w:rFonts w:ascii="Arial" w:hAnsi="Arial" w:cs="Arial"/>
          <w:i/>
          <w:iCs/>
        </w:rPr>
        <w:t>Journal of the Academy of Marketing Science</w:t>
      </w:r>
      <w:r>
        <w:rPr>
          <w:rFonts w:ascii="Arial" w:hAnsi="Arial" w:cs="Arial"/>
        </w:rPr>
        <w:t xml:space="preserve">, </w:t>
      </w:r>
      <w:r>
        <w:rPr>
          <w:rFonts w:ascii="Arial" w:hAnsi="Arial" w:cs="Arial"/>
          <w:i/>
          <w:iCs/>
        </w:rPr>
        <w:t>22</w:t>
      </w:r>
      <w:r>
        <w:rPr>
          <w:rFonts w:ascii="Arial" w:hAnsi="Arial" w:cs="Arial"/>
        </w:rPr>
        <w:t xml:space="preserve">(2), 99–113. </w:t>
      </w:r>
      <w:hyperlink r:id="rId26" w:history="1">
        <w:r w:rsidRPr="00C90FE6">
          <w:rPr>
            <w:rStyle w:val="Hyperlink"/>
            <w:rFonts w:ascii="Arial" w:hAnsi="Arial" w:cs="Arial"/>
          </w:rPr>
          <w:t>https://www.academia.edu/5464947/Customer_Loyalty_Toward_an_Integrated_Conceptual_Framework</w:t>
        </w:r>
      </w:hyperlink>
    </w:p>
    <w:p w14:paraId="584E428D"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
    <w:p w14:paraId="4D5BF0B7" w14:textId="77777777" w:rsidR="00B30427" w:rsidRDefault="00B30427" w:rsidP="00B30427">
      <w:pPr>
        <w:pStyle w:val="NormalWeb"/>
        <w:spacing w:before="0" w:beforeAutospacing="0" w:after="0" w:afterAutospacing="0" w:line="480" w:lineRule="auto"/>
        <w:ind w:left="720" w:hanging="720"/>
        <w:rPr>
          <w:rFonts w:ascii="Arial" w:hAnsi="Arial" w:cs="Arial"/>
        </w:rPr>
      </w:pPr>
      <w:r>
        <w:rPr>
          <w:rFonts w:ascii="Arial" w:hAnsi="Arial" w:cs="Arial"/>
        </w:rPr>
        <w:t xml:space="preserve">Dwivedi, R. K., Choudhary, S. L., Dixit, R. S., Sahiba, Z., &amp; Naik, S. (2024). The customer loyalty vs. customer retention: The impact of customer relationship management on customer satisfaction. </w:t>
      </w:r>
      <w:r>
        <w:rPr>
          <w:rFonts w:ascii="Arial" w:hAnsi="Arial" w:cs="Arial"/>
          <w:i/>
          <w:iCs/>
        </w:rPr>
        <w:t>Web Intelligence</w:t>
      </w:r>
      <w:r>
        <w:rPr>
          <w:rFonts w:ascii="Arial" w:hAnsi="Arial" w:cs="Arial"/>
        </w:rPr>
        <w:t xml:space="preserve">, </w:t>
      </w:r>
      <w:r>
        <w:rPr>
          <w:rFonts w:ascii="Arial" w:hAnsi="Arial" w:cs="Arial"/>
          <w:i/>
          <w:iCs/>
        </w:rPr>
        <w:t>22</w:t>
      </w:r>
      <w:r>
        <w:rPr>
          <w:rFonts w:ascii="Arial" w:hAnsi="Arial" w:cs="Arial"/>
        </w:rPr>
        <w:t xml:space="preserve">(3), 1–18. </w:t>
      </w:r>
      <w:hyperlink r:id="rId27" w:history="1">
        <w:r w:rsidRPr="00C90FE6">
          <w:rPr>
            <w:rStyle w:val="Hyperlink"/>
            <w:rFonts w:ascii="Arial" w:hAnsi="Arial" w:cs="Arial"/>
          </w:rPr>
          <w:t>https://doi.org/10.3233/web-230098</w:t>
        </w:r>
      </w:hyperlink>
    </w:p>
    <w:p w14:paraId="5B2E7FFC" w14:textId="77777777" w:rsidR="00B30427" w:rsidRDefault="00B30427" w:rsidP="00B30427">
      <w:pPr>
        <w:pStyle w:val="NormalWeb"/>
        <w:spacing w:before="0" w:beforeAutospacing="0" w:after="0" w:afterAutospacing="0" w:line="360" w:lineRule="auto"/>
        <w:rPr>
          <w:rFonts w:ascii="Arial" w:hAnsi="Arial" w:cs="Arial"/>
        </w:rPr>
      </w:pPr>
    </w:p>
    <w:p w14:paraId="21F0C8C8" w14:textId="77777777" w:rsidR="00B30427" w:rsidRDefault="00B30427" w:rsidP="00B30427">
      <w:pPr>
        <w:pStyle w:val="NormalWeb"/>
        <w:spacing w:before="0" w:beforeAutospacing="0" w:after="0" w:afterAutospacing="0" w:line="480" w:lineRule="auto"/>
        <w:ind w:left="720" w:hanging="720"/>
        <w:rPr>
          <w:rFonts w:ascii="Arial" w:hAnsi="Arial" w:cs="Arial"/>
        </w:rPr>
      </w:pPr>
      <w:proofErr w:type="spellStart"/>
      <w:r>
        <w:rPr>
          <w:rFonts w:ascii="Arial" w:hAnsi="Arial" w:cs="Arial"/>
        </w:rPr>
        <w:t>Ejibenam</w:t>
      </w:r>
      <w:proofErr w:type="spellEnd"/>
      <w:r>
        <w:rPr>
          <w:rFonts w:ascii="Arial" w:hAnsi="Arial" w:cs="Arial"/>
        </w:rPr>
        <w:t xml:space="preserve">, A., </w:t>
      </w:r>
      <w:proofErr w:type="spellStart"/>
      <w:r>
        <w:rPr>
          <w:rFonts w:ascii="Arial" w:hAnsi="Arial" w:cs="Arial"/>
        </w:rPr>
        <w:t>Onibokun</w:t>
      </w:r>
      <w:proofErr w:type="spellEnd"/>
      <w:r>
        <w:rPr>
          <w:rFonts w:ascii="Arial" w:hAnsi="Arial" w:cs="Arial"/>
        </w:rPr>
        <w:t xml:space="preserve">, T., Oladeji, K. D., Ademola, H., &amp; Halliday, N. (2021). The relevance of customer retention to organizational growth. </w:t>
      </w:r>
      <w:r>
        <w:rPr>
          <w:rFonts w:ascii="Arial" w:hAnsi="Arial" w:cs="Arial"/>
          <w:i/>
          <w:iCs/>
        </w:rPr>
        <w:t>Journal of Frontiers in Multidisciplinary Research</w:t>
      </w:r>
      <w:r>
        <w:rPr>
          <w:rFonts w:ascii="Arial" w:hAnsi="Arial" w:cs="Arial"/>
        </w:rPr>
        <w:t xml:space="preserve">, </w:t>
      </w:r>
      <w:r>
        <w:rPr>
          <w:rFonts w:ascii="Arial" w:hAnsi="Arial" w:cs="Arial"/>
          <w:i/>
          <w:iCs/>
        </w:rPr>
        <w:t>2</w:t>
      </w:r>
      <w:r>
        <w:rPr>
          <w:rFonts w:ascii="Arial" w:hAnsi="Arial" w:cs="Arial"/>
        </w:rPr>
        <w:t xml:space="preserve">(1), 113–120. </w:t>
      </w:r>
      <w:hyperlink r:id="rId28" w:history="1">
        <w:r w:rsidRPr="00C90FE6">
          <w:rPr>
            <w:rStyle w:val="Hyperlink"/>
            <w:rFonts w:ascii="Arial" w:hAnsi="Arial" w:cs="Arial"/>
          </w:rPr>
          <w:t>https://doi.org/10.54660/.JFMR.2021.2.1.113-120</w:t>
        </w:r>
      </w:hyperlink>
    </w:p>
    <w:p w14:paraId="2D535927" w14:textId="77777777" w:rsidR="00B30427" w:rsidRPr="00901F80" w:rsidRDefault="00B30427" w:rsidP="00B30427">
      <w:pPr>
        <w:pStyle w:val="NormalWeb"/>
        <w:spacing w:before="0" w:beforeAutospacing="0" w:after="0" w:afterAutospacing="0" w:line="360" w:lineRule="auto"/>
        <w:rPr>
          <w:rFonts w:ascii="Arial" w:hAnsi="Arial" w:cs="Arial"/>
        </w:rPr>
      </w:pPr>
    </w:p>
    <w:p w14:paraId="7190055B"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lastRenderedPageBreak/>
        <w:t xml:space="preserve">Fasko, S. (2023). Garvin’s eight dimensions of quality and DOD acquisition. </w:t>
      </w:r>
      <w:proofErr w:type="spellStart"/>
      <w:r w:rsidRPr="00901F80">
        <w:rPr>
          <w:rFonts w:ascii="Arial" w:hAnsi="Arial" w:cs="Arial"/>
          <w:i/>
          <w:iCs/>
        </w:rPr>
        <w:t>Defense</w:t>
      </w:r>
      <w:proofErr w:type="spellEnd"/>
      <w:r w:rsidRPr="00901F80">
        <w:rPr>
          <w:rFonts w:ascii="Arial" w:hAnsi="Arial" w:cs="Arial"/>
          <w:i/>
          <w:iCs/>
        </w:rPr>
        <w:t xml:space="preserve"> Acquisition</w:t>
      </w:r>
      <w:r w:rsidRPr="00901F80">
        <w:rPr>
          <w:rFonts w:ascii="Arial" w:hAnsi="Arial" w:cs="Arial"/>
        </w:rPr>
        <w:t xml:space="preserve">, </w:t>
      </w:r>
      <w:r w:rsidRPr="00901F80">
        <w:rPr>
          <w:rFonts w:ascii="Arial" w:hAnsi="Arial" w:cs="Arial"/>
          <w:i/>
          <w:iCs/>
        </w:rPr>
        <w:t>52</w:t>
      </w:r>
      <w:r w:rsidRPr="00901F80">
        <w:rPr>
          <w:rFonts w:ascii="Arial" w:hAnsi="Arial" w:cs="Arial"/>
        </w:rPr>
        <w:t xml:space="preserve">(6), 24. </w:t>
      </w:r>
      <w:hyperlink r:id="rId29" w:history="1">
        <w:r w:rsidRPr="00901F80">
          <w:rPr>
            <w:rStyle w:val="Hyperlink"/>
            <w:rFonts w:ascii="Arial" w:hAnsi="Arial" w:cs="Arial"/>
          </w:rPr>
          <w:t>https://www.waru.edu/sites/default/files/2023-10/Fasko_NovDec2023.pdf</w:t>
        </w:r>
      </w:hyperlink>
    </w:p>
    <w:p w14:paraId="3D2A6C3E" w14:textId="77777777" w:rsidR="00B30427" w:rsidRDefault="00B30427" w:rsidP="00B30427">
      <w:pPr>
        <w:pStyle w:val="NormalWeb"/>
        <w:spacing w:before="0" w:beforeAutospacing="0" w:after="0" w:afterAutospacing="0" w:line="360" w:lineRule="auto"/>
        <w:ind w:left="720" w:hanging="720"/>
        <w:rPr>
          <w:rFonts w:ascii="Arial" w:hAnsi="Arial" w:cs="Arial"/>
        </w:rPr>
      </w:pPr>
    </w:p>
    <w:p w14:paraId="1F876DDA" w14:textId="77777777" w:rsidR="00B30427" w:rsidRDefault="00B30427" w:rsidP="00B30427">
      <w:pPr>
        <w:pStyle w:val="NormalWeb"/>
        <w:spacing w:before="0" w:beforeAutospacing="0" w:after="0" w:afterAutospacing="0" w:line="480" w:lineRule="auto"/>
        <w:ind w:left="720" w:hanging="720"/>
        <w:rPr>
          <w:rFonts w:ascii="Arial" w:hAnsi="Arial" w:cs="Arial"/>
        </w:rPr>
      </w:pPr>
      <w:r>
        <w:rPr>
          <w:rFonts w:ascii="Arial" w:hAnsi="Arial" w:cs="Arial"/>
        </w:rPr>
        <w:t xml:space="preserve">Gutelius, B., &amp; Pinto, S. (2023, October). PAIN points data on work intensity, monitoring, and health at Amazon warehouses. </w:t>
      </w:r>
      <w:proofErr w:type="spellStart"/>
      <w:r>
        <w:rPr>
          <w:rFonts w:ascii="Arial" w:hAnsi="Arial" w:cs="Arial"/>
          <w:i/>
          <w:iCs/>
        </w:rPr>
        <w:t>Center</w:t>
      </w:r>
      <w:proofErr w:type="spellEnd"/>
      <w:r>
        <w:rPr>
          <w:rFonts w:ascii="Arial" w:hAnsi="Arial" w:cs="Arial"/>
          <w:i/>
          <w:iCs/>
        </w:rPr>
        <w:t xml:space="preserve"> for Urban Economic Development</w:t>
      </w:r>
      <w:r>
        <w:rPr>
          <w:rFonts w:ascii="Arial" w:hAnsi="Arial" w:cs="Arial"/>
        </w:rPr>
        <w:t xml:space="preserve">. </w:t>
      </w:r>
      <w:hyperlink r:id="rId30" w:history="1">
        <w:r w:rsidRPr="00C90FE6">
          <w:rPr>
            <w:rStyle w:val="Hyperlink"/>
            <w:rFonts w:ascii="Arial" w:hAnsi="Arial" w:cs="Arial"/>
          </w:rPr>
          <w:t>https://cued.uic.edu/wp-content/uploads/sites/219/2023/10/Pain-Points_Final_Oct2023.pdf</w:t>
        </w:r>
      </w:hyperlink>
    </w:p>
    <w:p w14:paraId="298E0A2E" w14:textId="77777777" w:rsidR="00B30427" w:rsidRPr="00901F80" w:rsidRDefault="00B30427" w:rsidP="00B30427">
      <w:pPr>
        <w:pStyle w:val="NormalWeb"/>
        <w:spacing w:before="0" w:beforeAutospacing="0" w:after="0" w:afterAutospacing="0" w:line="480" w:lineRule="auto"/>
        <w:ind w:left="720" w:hanging="720"/>
        <w:rPr>
          <w:rFonts w:ascii="Arial" w:hAnsi="Arial" w:cs="Arial"/>
        </w:rPr>
      </w:pPr>
    </w:p>
    <w:p w14:paraId="49295336" w14:textId="77777777" w:rsidR="00B30427"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Hudaib, A., </w:t>
      </w:r>
      <w:proofErr w:type="spellStart"/>
      <w:r w:rsidRPr="00901F80">
        <w:rPr>
          <w:rFonts w:ascii="Arial" w:hAnsi="Arial" w:cs="Arial"/>
        </w:rPr>
        <w:t>Masadeh</w:t>
      </w:r>
      <w:proofErr w:type="spellEnd"/>
      <w:r w:rsidRPr="00901F80">
        <w:rPr>
          <w:rFonts w:ascii="Arial" w:hAnsi="Arial" w:cs="Arial"/>
        </w:rPr>
        <w:t xml:space="preserve">, R., Qasem, M. H., &amp; </w:t>
      </w:r>
      <w:proofErr w:type="spellStart"/>
      <w:r w:rsidRPr="00901F80">
        <w:rPr>
          <w:rFonts w:ascii="Arial" w:hAnsi="Arial" w:cs="Arial"/>
        </w:rPr>
        <w:t>Alzaqebah</w:t>
      </w:r>
      <w:proofErr w:type="spellEnd"/>
      <w:r w:rsidRPr="00901F80">
        <w:rPr>
          <w:rFonts w:ascii="Arial" w:hAnsi="Arial" w:cs="Arial"/>
        </w:rPr>
        <w:t xml:space="preserve">, A. (2018). Requirements prioritization techniques comparison. </w:t>
      </w:r>
      <w:r w:rsidRPr="00901F80">
        <w:rPr>
          <w:rFonts w:ascii="Arial" w:hAnsi="Arial" w:cs="Arial"/>
          <w:i/>
          <w:iCs/>
        </w:rPr>
        <w:t>Modern Applied Science</w:t>
      </w:r>
      <w:r w:rsidRPr="00901F80">
        <w:rPr>
          <w:rFonts w:ascii="Arial" w:hAnsi="Arial" w:cs="Arial"/>
        </w:rPr>
        <w:t xml:space="preserve">, </w:t>
      </w:r>
      <w:r w:rsidRPr="00901F80">
        <w:rPr>
          <w:rFonts w:ascii="Arial" w:hAnsi="Arial" w:cs="Arial"/>
          <w:i/>
          <w:iCs/>
        </w:rPr>
        <w:t>12</w:t>
      </w:r>
      <w:r w:rsidRPr="00901F80">
        <w:rPr>
          <w:rFonts w:ascii="Arial" w:hAnsi="Arial" w:cs="Arial"/>
        </w:rPr>
        <w:t xml:space="preserve">(2). </w:t>
      </w:r>
      <w:hyperlink r:id="rId31" w:history="1">
        <w:r w:rsidRPr="00901F80">
          <w:rPr>
            <w:rStyle w:val="Hyperlink"/>
            <w:rFonts w:ascii="Arial" w:hAnsi="Arial" w:cs="Arial"/>
          </w:rPr>
          <w:t>https://www.researchgate.net/profile/Raja-Masadeh/publication/322487895_Requirements_Prioritization_Techniques_Comparison/links/5a5dfb86aca272d4a3df5e98/Requirements-Prioritization-Techniques-Comparison.pdf</w:t>
        </w:r>
      </w:hyperlink>
    </w:p>
    <w:p w14:paraId="516A29EA" w14:textId="77777777" w:rsidR="00B30427" w:rsidRDefault="00B30427" w:rsidP="00B30427">
      <w:pPr>
        <w:pStyle w:val="NormalWeb"/>
        <w:spacing w:before="0" w:beforeAutospacing="0" w:after="0" w:afterAutospacing="0" w:line="360" w:lineRule="auto"/>
        <w:ind w:left="720" w:hanging="720"/>
        <w:rPr>
          <w:rFonts w:ascii="Arial" w:hAnsi="Arial" w:cs="Arial"/>
        </w:rPr>
      </w:pPr>
    </w:p>
    <w:p w14:paraId="70D6D40A" w14:textId="77777777" w:rsidR="00B30427" w:rsidRDefault="00B30427" w:rsidP="00B30427">
      <w:pPr>
        <w:pStyle w:val="NormalWeb"/>
        <w:spacing w:before="0" w:beforeAutospacing="0" w:after="0" w:afterAutospacing="0" w:line="480" w:lineRule="auto"/>
        <w:ind w:left="720" w:hanging="720"/>
        <w:rPr>
          <w:rFonts w:ascii="Arial" w:hAnsi="Arial" w:cs="Arial"/>
        </w:rPr>
      </w:pPr>
      <w:r>
        <w:rPr>
          <w:rFonts w:ascii="Arial" w:hAnsi="Arial" w:cs="Arial"/>
        </w:rPr>
        <w:t xml:space="preserve">ICO. (2023). Profiling for content delivery and service personalisation. In </w:t>
      </w:r>
      <w:r>
        <w:rPr>
          <w:rFonts w:ascii="Arial" w:hAnsi="Arial" w:cs="Arial"/>
          <w:i/>
          <w:iCs/>
        </w:rPr>
        <w:t>Ico.org.uk</w:t>
      </w:r>
      <w:r>
        <w:rPr>
          <w:rFonts w:ascii="Arial" w:hAnsi="Arial" w:cs="Arial"/>
        </w:rPr>
        <w:t xml:space="preserve">. ICO. </w:t>
      </w:r>
      <w:hyperlink r:id="rId32" w:history="1">
        <w:r w:rsidRPr="00C90FE6">
          <w:rPr>
            <w:rStyle w:val="Hyperlink"/>
            <w:rFonts w:ascii="Arial" w:hAnsi="Arial" w:cs="Arial"/>
          </w:rPr>
          <w:t>https://ico.org.uk/for-organisations/uk-gdpr-guidance-and-resources/childrens-information/childrens-code-guidance-and-resources/how-to-use-our-guidance-for-standard-one-best-interests-of-the-child/best-interests-framework/profiling-for-content-delivery/</w:t>
        </w:r>
      </w:hyperlink>
    </w:p>
    <w:p w14:paraId="7C918242"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
    <w:p w14:paraId="753F1D47"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Ionel, S. (2024). Lean supply chain management. </w:t>
      </w:r>
      <w:r w:rsidRPr="00901F80">
        <w:rPr>
          <w:rFonts w:ascii="Arial" w:hAnsi="Arial" w:cs="Arial"/>
          <w:i/>
          <w:iCs/>
        </w:rPr>
        <w:t>The Romanian Economic Journal</w:t>
      </w:r>
      <w:r w:rsidRPr="00901F80">
        <w:rPr>
          <w:rFonts w:ascii="Arial" w:hAnsi="Arial" w:cs="Arial"/>
        </w:rPr>
        <w:t xml:space="preserve">, </w:t>
      </w:r>
      <w:r w:rsidRPr="00901F80">
        <w:rPr>
          <w:rFonts w:ascii="Arial" w:hAnsi="Arial" w:cs="Arial"/>
          <w:i/>
          <w:iCs/>
        </w:rPr>
        <w:t>88</w:t>
      </w:r>
      <w:r w:rsidRPr="00901F80">
        <w:rPr>
          <w:rFonts w:ascii="Arial" w:hAnsi="Arial" w:cs="Arial"/>
        </w:rPr>
        <w:t xml:space="preserve">. </w:t>
      </w:r>
      <w:hyperlink r:id="rId33" w:history="1">
        <w:r w:rsidRPr="00901F80">
          <w:rPr>
            <w:rStyle w:val="Hyperlink"/>
            <w:rFonts w:ascii="Arial" w:hAnsi="Arial" w:cs="Arial"/>
          </w:rPr>
          <w:t>https://doi.org/10.24818/rej/2024/88/07</w:t>
        </w:r>
      </w:hyperlink>
    </w:p>
    <w:p w14:paraId="11531E03"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
    <w:p w14:paraId="3CB31E40"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Islami, X., Mustafa, N., &amp; </w:t>
      </w:r>
      <w:proofErr w:type="spellStart"/>
      <w:r w:rsidRPr="00901F80">
        <w:rPr>
          <w:rFonts w:ascii="Arial" w:hAnsi="Arial" w:cs="Arial"/>
        </w:rPr>
        <w:t>Latkovikj</w:t>
      </w:r>
      <w:proofErr w:type="spellEnd"/>
      <w:r w:rsidRPr="00901F80">
        <w:rPr>
          <w:rFonts w:ascii="Arial" w:hAnsi="Arial" w:cs="Arial"/>
        </w:rPr>
        <w:t xml:space="preserve">, M. T. (2020). Linking porter’s generic strategies to firm performance. </w:t>
      </w:r>
      <w:r w:rsidRPr="00901F80">
        <w:rPr>
          <w:rFonts w:ascii="Arial" w:hAnsi="Arial" w:cs="Arial"/>
          <w:i/>
          <w:iCs/>
        </w:rPr>
        <w:t>Future Business Journal</w:t>
      </w:r>
      <w:r w:rsidRPr="00901F80">
        <w:rPr>
          <w:rFonts w:ascii="Arial" w:hAnsi="Arial" w:cs="Arial"/>
        </w:rPr>
        <w:t xml:space="preserve">, </w:t>
      </w:r>
      <w:r w:rsidRPr="00901F80">
        <w:rPr>
          <w:rFonts w:ascii="Arial" w:hAnsi="Arial" w:cs="Arial"/>
          <w:i/>
          <w:iCs/>
        </w:rPr>
        <w:t>6</w:t>
      </w:r>
      <w:r w:rsidRPr="00901F80">
        <w:rPr>
          <w:rFonts w:ascii="Arial" w:hAnsi="Arial" w:cs="Arial"/>
        </w:rPr>
        <w:t xml:space="preserve">(1), 1–15. </w:t>
      </w:r>
      <w:hyperlink r:id="rId34" w:history="1">
        <w:r w:rsidRPr="00901F80">
          <w:rPr>
            <w:rStyle w:val="Hyperlink"/>
            <w:rFonts w:ascii="Arial" w:hAnsi="Arial" w:cs="Arial"/>
          </w:rPr>
          <w:t>https://doi.org/10.1186/s43093-020-0009-1</w:t>
        </w:r>
      </w:hyperlink>
    </w:p>
    <w:p w14:paraId="3E9C49D4" w14:textId="77777777" w:rsidR="00B30427" w:rsidRPr="00901F80" w:rsidRDefault="00B30427" w:rsidP="00B30427">
      <w:pPr>
        <w:pStyle w:val="NormalWeb"/>
        <w:spacing w:before="0" w:beforeAutospacing="0" w:after="0" w:afterAutospacing="0" w:line="360" w:lineRule="auto"/>
        <w:rPr>
          <w:rFonts w:ascii="Arial" w:hAnsi="Arial" w:cs="Arial"/>
        </w:rPr>
      </w:pPr>
    </w:p>
    <w:p w14:paraId="0CC915EC"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Juran, J. (1986). </w:t>
      </w:r>
      <w:r w:rsidRPr="00901F80">
        <w:rPr>
          <w:rFonts w:ascii="Arial" w:hAnsi="Arial" w:cs="Arial"/>
          <w:i/>
          <w:iCs/>
        </w:rPr>
        <w:t>The quality trilogy a universal approach to managing for quality</w:t>
      </w:r>
      <w:r w:rsidRPr="00901F80">
        <w:rPr>
          <w:rFonts w:ascii="Arial" w:hAnsi="Arial" w:cs="Arial"/>
        </w:rPr>
        <w:t xml:space="preserve">. </w:t>
      </w:r>
      <w:hyperlink r:id="rId35" w:history="1">
        <w:r w:rsidRPr="00901F80">
          <w:rPr>
            <w:rStyle w:val="Hyperlink"/>
            <w:rFonts w:ascii="Arial" w:hAnsi="Arial" w:cs="Arial"/>
          </w:rPr>
          <w:t>https://materiasiis.uson.mx/docs/control_de_calidad/1.calidad/6-latrilogia-de-la-calidad/the-quality-trilogy.pdf</w:t>
        </w:r>
      </w:hyperlink>
    </w:p>
    <w:p w14:paraId="195AB24A"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
    <w:p w14:paraId="47767329" w14:textId="77777777" w:rsidR="00B30427"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Karunakaran, N., &amp; </w:t>
      </w:r>
      <w:proofErr w:type="spellStart"/>
      <w:r w:rsidRPr="00901F80">
        <w:rPr>
          <w:rFonts w:ascii="Arial" w:hAnsi="Arial" w:cs="Arial"/>
        </w:rPr>
        <w:t>Bayavanda</w:t>
      </w:r>
      <w:proofErr w:type="spellEnd"/>
      <w:r w:rsidRPr="00901F80">
        <w:rPr>
          <w:rFonts w:ascii="Arial" w:hAnsi="Arial" w:cs="Arial"/>
        </w:rPr>
        <w:t xml:space="preserve"> Chinnappa, T. (2022). Overcoming the barriers in implementing TQM and sustaining the success through continuous quality improvement: Deming’s 14 points. </w:t>
      </w:r>
      <w:r w:rsidRPr="00901F80">
        <w:rPr>
          <w:rFonts w:ascii="Arial" w:hAnsi="Arial" w:cs="Arial"/>
          <w:i/>
          <w:iCs/>
        </w:rPr>
        <w:t>Journal of Management Research and Analysis</w:t>
      </w:r>
      <w:r w:rsidRPr="00901F80">
        <w:rPr>
          <w:rFonts w:ascii="Arial" w:hAnsi="Arial" w:cs="Arial"/>
        </w:rPr>
        <w:t xml:space="preserve">, </w:t>
      </w:r>
      <w:r w:rsidRPr="00901F80">
        <w:rPr>
          <w:rFonts w:ascii="Arial" w:hAnsi="Arial" w:cs="Arial"/>
          <w:i/>
          <w:iCs/>
        </w:rPr>
        <w:t>9</w:t>
      </w:r>
      <w:r w:rsidRPr="00901F80">
        <w:rPr>
          <w:rFonts w:ascii="Arial" w:hAnsi="Arial" w:cs="Arial"/>
        </w:rPr>
        <w:t xml:space="preserve">(1), 47–50. </w:t>
      </w:r>
      <w:hyperlink r:id="rId36" w:history="1">
        <w:r w:rsidRPr="00901F80">
          <w:rPr>
            <w:rStyle w:val="Hyperlink"/>
            <w:rFonts w:ascii="Arial" w:hAnsi="Arial" w:cs="Arial"/>
          </w:rPr>
          <w:t>https://doi.org/10.18231/j.jmra.2022.010</w:t>
        </w:r>
      </w:hyperlink>
    </w:p>
    <w:p w14:paraId="262CC12A" w14:textId="77777777" w:rsidR="00B30427" w:rsidRPr="00901F80" w:rsidRDefault="00B30427" w:rsidP="00B30427">
      <w:pPr>
        <w:pStyle w:val="NormalWeb"/>
        <w:spacing w:before="0" w:beforeAutospacing="0" w:after="0" w:afterAutospacing="0" w:line="360" w:lineRule="auto"/>
        <w:rPr>
          <w:rFonts w:ascii="Arial" w:hAnsi="Arial" w:cs="Arial"/>
        </w:rPr>
      </w:pPr>
    </w:p>
    <w:p w14:paraId="1DFB36DC" w14:textId="77777777" w:rsidR="00B30427"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Marinelli, M. (2022). Human–Robot collaboration and lean waste elimination: Conceptual analogies and practical synergies in Industrialized construction. </w:t>
      </w:r>
      <w:r w:rsidRPr="00901F80">
        <w:rPr>
          <w:rFonts w:ascii="Arial" w:hAnsi="Arial" w:cs="Arial"/>
          <w:i/>
          <w:iCs/>
        </w:rPr>
        <w:t>Buildings</w:t>
      </w:r>
      <w:r w:rsidRPr="00901F80">
        <w:rPr>
          <w:rFonts w:ascii="Arial" w:hAnsi="Arial" w:cs="Arial"/>
        </w:rPr>
        <w:t xml:space="preserve">, </w:t>
      </w:r>
      <w:r w:rsidRPr="00901F80">
        <w:rPr>
          <w:rFonts w:ascii="Arial" w:hAnsi="Arial" w:cs="Arial"/>
          <w:i/>
          <w:iCs/>
        </w:rPr>
        <w:t>12</w:t>
      </w:r>
      <w:r w:rsidRPr="00901F80">
        <w:rPr>
          <w:rFonts w:ascii="Arial" w:hAnsi="Arial" w:cs="Arial"/>
        </w:rPr>
        <w:t xml:space="preserve">(12), 2057. </w:t>
      </w:r>
      <w:hyperlink r:id="rId37" w:history="1">
        <w:r w:rsidRPr="00901F80">
          <w:rPr>
            <w:rStyle w:val="Hyperlink"/>
            <w:rFonts w:ascii="Arial" w:hAnsi="Arial" w:cs="Arial"/>
          </w:rPr>
          <w:t>https://doi.org/10.3390/buildings12122057</w:t>
        </w:r>
      </w:hyperlink>
    </w:p>
    <w:p w14:paraId="49745E27" w14:textId="77777777" w:rsidR="00B30427" w:rsidRDefault="00B30427" w:rsidP="00B30427">
      <w:pPr>
        <w:pStyle w:val="NormalWeb"/>
        <w:spacing w:before="0" w:beforeAutospacing="0" w:after="0" w:afterAutospacing="0" w:line="360" w:lineRule="auto"/>
        <w:ind w:left="720" w:hanging="720"/>
        <w:rPr>
          <w:rFonts w:ascii="Arial" w:hAnsi="Arial" w:cs="Arial"/>
        </w:rPr>
      </w:pPr>
    </w:p>
    <w:p w14:paraId="104CDBE8" w14:textId="77777777" w:rsidR="00B30427" w:rsidRDefault="00B30427" w:rsidP="00B30427">
      <w:pPr>
        <w:pStyle w:val="NormalWeb"/>
        <w:spacing w:before="0" w:beforeAutospacing="0" w:after="0" w:afterAutospacing="0" w:line="480" w:lineRule="auto"/>
        <w:ind w:left="720" w:hanging="720"/>
        <w:rPr>
          <w:rFonts w:ascii="Arial" w:hAnsi="Arial" w:cs="Arial"/>
        </w:rPr>
      </w:pPr>
      <w:r>
        <w:rPr>
          <w:rFonts w:ascii="Arial" w:hAnsi="Arial" w:cs="Arial"/>
        </w:rPr>
        <w:t xml:space="preserve">Martin, K. D, &amp; Murphy, P. E. (2016). The role of data privacy in marketing. In </w:t>
      </w:r>
      <w:r>
        <w:rPr>
          <w:rFonts w:ascii="Arial" w:hAnsi="Arial" w:cs="Arial"/>
          <w:i/>
          <w:iCs/>
        </w:rPr>
        <w:t>ResearchGate</w:t>
      </w:r>
      <w:r>
        <w:rPr>
          <w:rFonts w:ascii="Arial" w:hAnsi="Arial" w:cs="Arial"/>
        </w:rPr>
        <w:t xml:space="preserve">. SAGE Publications. </w:t>
      </w:r>
      <w:hyperlink r:id="rId38" w:history="1">
        <w:r w:rsidRPr="00C90FE6">
          <w:rPr>
            <w:rStyle w:val="Hyperlink"/>
            <w:rFonts w:ascii="Arial" w:hAnsi="Arial" w:cs="Arial"/>
          </w:rPr>
          <w:t>https://www.researchgate.net/publication/308578866_The_Role_of_Data_Privacy_in_Marketing</w:t>
        </w:r>
      </w:hyperlink>
    </w:p>
    <w:p w14:paraId="6F9D0FAC"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
    <w:p w14:paraId="776F22C1"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Mittal, A., Gupta, P., Kumar, V., Owad, A. A., </w:t>
      </w:r>
      <w:proofErr w:type="spellStart"/>
      <w:r w:rsidRPr="00901F80">
        <w:rPr>
          <w:rFonts w:ascii="Arial" w:hAnsi="Arial" w:cs="Arial"/>
        </w:rPr>
        <w:t>Mahlawat</w:t>
      </w:r>
      <w:proofErr w:type="spellEnd"/>
      <w:r w:rsidRPr="00901F80">
        <w:rPr>
          <w:rFonts w:ascii="Arial" w:hAnsi="Arial" w:cs="Arial"/>
        </w:rPr>
        <w:t xml:space="preserve">, S., &amp; Singh, S. (2023). The performance improvement analysis using six sigma </w:t>
      </w:r>
      <w:proofErr w:type="spellStart"/>
      <w:r w:rsidRPr="00901F80">
        <w:rPr>
          <w:rFonts w:ascii="Arial" w:hAnsi="Arial" w:cs="Arial"/>
        </w:rPr>
        <w:t>dmaic</w:t>
      </w:r>
      <w:proofErr w:type="spellEnd"/>
      <w:r w:rsidRPr="00901F80">
        <w:rPr>
          <w:rFonts w:ascii="Arial" w:hAnsi="Arial" w:cs="Arial"/>
        </w:rPr>
        <w:t xml:space="preserve"> methodology: A case study on </w:t>
      </w:r>
      <w:proofErr w:type="spellStart"/>
      <w:r w:rsidRPr="00901F80">
        <w:rPr>
          <w:rFonts w:ascii="Arial" w:hAnsi="Arial" w:cs="Arial"/>
        </w:rPr>
        <w:t>indian</w:t>
      </w:r>
      <w:proofErr w:type="spellEnd"/>
      <w:r w:rsidRPr="00901F80">
        <w:rPr>
          <w:rFonts w:ascii="Arial" w:hAnsi="Arial" w:cs="Arial"/>
        </w:rPr>
        <w:t xml:space="preserve"> manufacturing company. </w:t>
      </w:r>
      <w:proofErr w:type="spellStart"/>
      <w:r w:rsidRPr="00901F80">
        <w:rPr>
          <w:rFonts w:ascii="Arial" w:hAnsi="Arial" w:cs="Arial"/>
          <w:i/>
          <w:iCs/>
        </w:rPr>
        <w:t>Heliyon</w:t>
      </w:r>
      <w:proofErr w:type="spellEnd"/>
      <w:r w:rsidRPr="00901F80">
        <w:rPr>
          <w:rFonts w:ascii="Arial" w:hAnsi="Arial" w:cs="Arial"/>
        </w:rPr>
        <w:t xml:space="preserve">, </w:t>
      </w:r>
      <w:r w:rsidRPr="00901F80">
        <w:rPr>
          <w:rFonts w:ascii="Arial" w:hAnsi="Arial" w:cs="Arial"/>
          <w:i/>
          <w:iCs/>
        </w:rPr>
        <w:t>9</w:t>
      </w:r>
      <w:r w:rsidRPr="00901F80">
        <w:rPr>
          <w:rFonts w:ascii="Arial" w:hAnsi="Arial" w:cs="Arial"/>
        </w:rPr>
        <w:t xml:space="preserve">(3). </w:t>
      </w:r>
      <w:hyperlink r:id="rId39" w:history="1">
        <w:r w:rsidRPr="00901F80">
          <w:rPr>
            <w:rStyle w:val="Hyperlink"/>
            <w:rFonts w:ascii="Arial" w:hAnsi="Arial" w:cs="Arial"/>
          </w:rPr>
          <w:t>https://doi.org/10.1016/j.heliyon.2023.e14625</w:t>
        </w:r>
      </w:hyperlink>
    </w:p>
    <w:p w14:paraId="7D954E41" w14:textId="77777777" w:rsidR="00B30427" w:rsidRDefault="00B30427" w:rsidP="00B30427">
      <w:pPr>
        <w:pStyle w:val="NormalWeb"/>
        <w:spacing w:before="0" w:beforeAutospacing="0" w:after="0" w:afterAutospacing="0" w:line="360" w:lineRule="auto"/>
        <w:ind w:left="720" w:hanging="720"/>
        <w:rPr>
          <w:rFonts w:ascii="Arial" w:hAnsi="Arial" w:cs="Arial"/>
        </w:rPr>
      </w:pPr>
    </w:p>
    <w:p w14:paraId="63E81576" w14:textId="77777777" w:rsidR="00B30427" w:rsidRDefault="00B30427" w:rsidP="00B30427">
      <w:pPr>
        <w:pStyle w:val="NormalWeb"/>
        <w:spacing w:before="0" w:beforeAutospacing="0" w:after="0" w:afterAutospacing="0" w:line="480" w:lineRule="auto"/>
        <w:ind w:left="720" w:hanging="720"/>
        <w:rPr>
          <w:rFonts w:ascii="Arial" w:hAnsi="Arial" w:cs="Arial"/>
        </w:rPr>
      </w:pPr>
      <w:r>
        <w:rPr>
          <w:rFonts w:ascii="Arial" w:hAnsi="Arial" w:cs="Arial"/>
        </w:rPr>
        <w:t xml:space="preserve">Moen, R. D., &amp; Norman, C. L. (2010). </w:t>
      </w:r>
      <w:r>
        <w:rPr>
          <w:rFonts w:ascii="Arial" w:hAnsi="Arial" w:cs="Arial"/>
          <w:i/>
          <w:iCs/>
        </w:rPr>
        <w:t>Circling back</w:t>
      </w:r>
      <w:r>
        <w:rPr>
          <w:rFonts w:ascii="Arial" w:hAnsi="Arial" w:cs="Arial"/>
        </w:rPr>
        <w:t xml:space="preserve">. RCPCH QI Central. </w:t>
      </w:r>
      <w:hyperlink r:id="rId40" w:history="1">
        <w:r w:rsidRPr="00C90FE6">
          <w:rPr>
            <w:rStyle w:val="Hyperlink"/>
            <w:rFonts w:ascii="Arial" w:hAnsi="Arial" w:cs="Arial"/>
          </w:rPr>
          <w:t>https://qicentral.rcpch.ac.uk/wp-content/uploads/sites/9/2021/10/Moen-and-Norman-on-Deming-circling-back-ph556x.pdf</w:t>
        </w:r>
      </w:hyperlink>
    </w:p>
    <w:p w14:paraId="598C47D3"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Monday, L. (2022). Define, measure, </w:t>
      </w:r>
      <w:proofErr w:type="spellStart"/>
      <w:r w:rsidRPr="00901F80">
        <w:rPr>
          <w:rFonts w:ascii="Arial" w:hAnsi="Arial" w:cs="Arial"/>
        </w:rPr>
        <w:t>analyze</w:t>
      </w:r>
      <w:proofErr w:type="spellEnd"/>
      <w:r w:rsidRPr="00901F80">
        <w:rPr>
          <w:rFonts w:ascii="Arial" w:hAnsi="Arial" w:cs="Arial"/>
        </w:rPr>
        <w:t>, improve, control (</w:t>
      </w:r>
      <w:proofErr w:type="spellStart"/>
      <w:r w:rsidRPr="00901F80">
        <w:rPr>
          <w:rFonts w:ascii="Arial" w:hAnsi="Arial" w:cs="Arial"/>
        </w:rPr>
        <w:t>dmaic</w:t>
      </w:r>
      <w:proofErr w:type="spellEnd"/>
      <w:r w:rsidRPr="00901F80">
        <w:rPr>
          <w:rFonts w:ascii="Arial" w:hAnsi="Arial" w:cs="Arial"/>
        </w:rPr>
        <w:t xml:space="preserve">) methodology as a roadmap in quality improvement. </w:t>
      </w:r>
      <w:r w:rsidRPr="00901F80">
        <w:rPr>
          <w:rFonts w:ascii="Arial" w:hAnsi="Arial" w:cs="Arial"/>
          <w:i/>
          <w:iCs/>
        </w:rPr>
        <w:t>Global Journal on Quality and Safety in Healthcare</w:t>
      </w:r>
      <w:r w:rsidRPr="00901F80">
        <w:rPr>
          <w:rFonts w:ascii="Arial" w:hAnsi="Arial" w:cs="Arial"/>
        </w:rPr>
        <w:t xml:space="preserve">, </w:t>
      </w:r>
      <w:r w:rsidRPr="00901F80">
        <w:rPr>
          <w:rFonts w:ascii="Arial" w:hAnsi="Arial" w:cs="Arial"/>
          <w:i/>
          <w:iCs/>
        </w:rPr>
        <w:t>5</w:t>
      </w:r>
      <w:r w:rsidRPr="00901F80">
        <w:rPr>
          <w:rFonts w:ascii="Arial" w:hAnsi="Arial" w:cs="Arial"/>
        </w:rPr>
        <w:t xml:space="preserve">(2), 44–46. </w:t>
      </w:r>
      <w:hyperlink r:id="rId41" w:history="1">
        <w:r w:rsidRPr="00901F80">
          <w:rPr>
            <w:rStyle w:val="Hyperlink"/>
            <w:rFonts w:ascii="Arial" w:hAnsi="Arial" w:cs="Arial"/>
          </w:rPr>
          <w:t>https://doi.org/10.36401/jqsh-22-x2</w:t>
        </w:r>
      </w:hyperlink>
    </w:p>
    <w:p w14:paraId="75AC626F"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
    <w:p w14:paraId="71493508"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Norris, S. (2024). In the eye of the beholder: Stakeholder perceived value in sustainable business models. </w:t>
      </w:r>
      <w:r w:rsidRPr="00901F80">
        <w:rPr>
          <w:rFonts w:ascii="Arial" w:hAnsi="Arial" w:cs="Arial"/>
          <w:i/>
          <w:iCs/>
        </w:rPr>
        <w:t>Long Range Planning</w:t>
      </w:r>
      <w:r w:rsidRPr="00901F80">
        <w:rPr>
          <w:rFonts w:ascii="Arial" w:hAnsi="Arial" w:cs="Arial"/>
        </w:rPr>
        <w:t xml:space="preserve">, </w:t>
      </w:r>
      <w:r w:rsidRPr="00901F80">
        <w:rPr>
          <w:rFonts w:ascii="Arial" w:hAnsi="Arial" w:cs="Arial"/>
          <w:i/>
          <w:iCs/>
        </w:rPr>
        <w:t>57</w:t>
      </w:r>
      <w:r w:rsidRPr="00901F80">
        <w:rPr>
          <w:rFonts w:ascii="Arial" w:hAnsi="Arial" w:cs="Arial"/>
        </w:rPr>
        <w:t xml:space="preserve">(1), 102406–102406. </w:t>
      </w:r>
      <w:hyperlink r:id="rId42" w:history="1">
        <w:r w:rsidRPr="00901F80">
          <w:rPr>
            <w:rStyle w:val="Hyperlink"/>
            <w:rFonts w:ascii="Arial" w:hAnsi="Arial" w:cs="Arial"/>
          </w:rPr>
          <w:t>https://doi.org/10.1016/j.lrp.2023.102406</w:t>
        </w:r>
      </w:hyperlink>
    </w:p>
    <w:p w14:paraId="208465B9"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
    <w:p w14:paraId="123F40C1"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roofErr w:type="spellStart"/>
      <w:r w:rsidRPr="00901F80">
        <w:rPr>
          <w:rFonts w:ascii="Arial" w:hAnsi="Arial" w:cs="Arial"/>
        </w:rPr>
        <w:t>Ogeawuchi</w:t>
      </w:r>
      <w:proofErr w:type="spellEnd"/>
      <w:r w:rsidRPr="00901F80">
        <w:rPr>
          <w:rFonts w:ascii="Arial" w:hAnsi="Arial" w:cs="Arial"/>
        </w:rPr>
        <w:t xml:space="preserve">, J. (2024, December 21). Advances in CRM-Driven marketing intelligence for enhancing conversion rates and lifetime value models. </w:t>
      </w:r>
      <w:r w:rsidRPr="00901F80">
        <w:rPr>
          <w:rFonts w:ascii="Arial" w:hAnsi="Arial" w:cs="Arial"/>
          <w:i/>
          <w:iCs/>
        </w:rPr>
        <w:t>International Journal of Advanced Multidisciplinary Research and Studies</w:t>
      </w:r>
      <w:r w:rsidRPr="00901F80">
        <w:rPr>
          <w:rFonts w:ascii="Arial" w:hAnsi="Arial" w:cs="Arial"/>
        </w:rPr>
        <w:t xml:space="preserve">. </w:t>
      </w:r>
      <w:hyperlink r:id="rId43" w:history="1">
        <w:r w:rsidRPr="00901F80">
          <w:rPr>
            <w:rStyle w:val="Hyperlink"/>
            <w:rFonts w:ascii="Arial" w:hAnsi="Arial" w:cs="Arial"/>
          </w:rPr>
          <w:t>https://www.researchgate.net/profile/Jeffrey-Ogeawuchi/publication/392258243_Advances_in_CRM-Driven_Marketing_Intelligence_for_Enhancing_Conversion_Rates_and_Lifetime_Value_Models/links/684dcb78df3fa4286a40c536/Advances-in-CRM-Driven-Marketing-Intelligence-for-Enhancing-Conversion-Rates-and-Lifetime-Value-Models.pdf</w:t>
        </w:r>
      </w:hyperlink>
    </w:p>
    <w:p w14:paraId="1FA3D7B9" w14:textId="77777777" w:rsidR="00B30427" w:rsidRDefault="00B30427" w:rsidP="00B30427">
      <w:pPr>
        <w:pStyle w:val="NormalWeb"/>
        <w:spacing w:before="0" w:beforeAutospacing="0" w:after="0" w:afterAutospacing="0" w:line="360" w:lineRule="auto"/>
        <w:ind w:left="720" w:hanging="720"/>
        <w:rPr>
          <w:rFonts w:ascii="Arial" w:hAnsi="Arial" w:cs="Arial"/>
        </w:rPr>
      </w:pPr>
    </w:p>
    <w:p w14:paraId="6B97A31B" w14:textId="77777777" w:rsidR="00B30427" w:rsidRDefault="00B30427" w:rsidP="00B30427">
      <w:pPr>
        <w:pStyle w:val="NormalWeb"/>
        <w:spacing w:before="0" w:beforeAutospacing="0" w:after="0" w:afterAutospacing="0" w:line="480" w:lineRule="auto"/>
        <w:ind w:left="720" w:hanging="720"/>
        <w:rPr>
          <w:rFonts w:ascii="Arial" w:hAnsi="Arial" w:cs="Arial"/>
        </w:rPr>
      </w:pPr>
      <w:r>
        <w:rPr>
          <w:rFonts w:ascii="Arial" w:hAnsi="Arial" w:cs="Arial"/>
        </w:rPr>
        <w:lastRenderedPageBreak/>
        <w:t xml:space="preserve">Oliver, R. (1999). Fundamental issues and directions for marketing. </w:t>
      </w:r>
      <w:r>
        <w:rPr>
          <w:rFonts w:ascii="Arial" w:hAnsi="Arial" w:cs="Arial"/>
          <w:i/>
          <w:iCs/>
        </w:rPr>
        <w:t>Journal of Marketing</w:t>
      </w:r>
      <w:r>
        <w:rPr>
          <w:rFonts w:ascii="Arial" w:hAnsi="Arial" w:cs="Arial"/>
        </w:rPr>
        <w:t xml:space="preserve">, </w:t>
      </w:r>
      <w:r>
        <w:rPr>
          <w:rFonts w:ascii="Arial" w:hAnsi="Arial" w:cs="Arial"/>
          <w:i/>
          <w:iCs/>
        </w:rPr>
        <w:t>63</w:t>
      </w:r>
      <w:r>
        <w:rPr>
          <w:rFonts w:ascii="Arial" w:hAnsi="Arial" w:cs="Arial"/>
        </w:rPr>
        <w:t xml:space="preserve">, 33–44. </w:t>
      </w:r>
      <w:hyperlink r:id="rId44" w:history="1">
        <w:r w:rsidRPr="00C90FE6">
          <w:rPr>
            <w:rStyle w:val="Hyperlink"/>
            <w:rFonts w:ascii="Arial" w:hAnsi="Arial" w:cs="Arial"/>
          </w:rPr>
          <w:t>https://slunik.slu.se/kursfiler/SH0123/10292.1415/DW_2.pdf</w:t>
        </w:r>
      </w:hyperlink>
    </w:p>
    <w:p w14:paraId="335926EA"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
    <w:p w14:paraId="7E36AC41" w14:textId="77777777" w:rsidR="00B30427" w:rsidRDefault="00B30427" w:rsidP="00B30427">
      <w:pPr>
        <w:pStyle w:val="NormalWeb"/>
        <w:spacing w:before="0" w:beforeAutospacing="0" w:after="0" w:afterAutospacing="0" w:line="360" w:lineRule="auto"/>
        <w:ind w:left="720" w:hanging="720"/>
        <w:rPr>
          <w:rFonts w:ascii="Arial" w:hAnsi="Arial" w:cs="Arial"/>
        </w:rPr>
      </w:pPr>
      <w:proofErr w:type="spellStart"/>
      <w:r w:rsidRPr="00901F80">
        <w:rPr>
          <w:rFonts w:ascii="Arial" w:hAnsi="Arial" w:cs="Arial"/>
        </w:rPr>
        <w:t>Paraschivescu</w:t>
      </w:r>
      <w:proofErr w:type="spellEnd"/>
      <w:r w:rsidRPr="00901F80">
        <w:rPr>
          <w:rFonts w:ascii="Arial" w:hAnsi="Arial" w:cs="Arial"/>
        </w:rPr>
        <w:t xml:space="preserve">, A., &amp; </w:t>
      </w:r>
      <w:proofErr w:type="spellStart"/>
      <w:r w:rsidRPr="00901F80">
        <w:rPr>
          <w:rFonts w:ascii="Arial" w:hAnsi="Arial" w:cs="Arial"/>
        </w:rPr>
        <w:t>Cotîrleț</w:t>
      </w:r>
      <w:proofErr w:type="spellEnd"/>
      <w:r w:rsidRPr="00901F80">
        <w:rPr>
          <w:rFonts w:ascii="Arial" w:hAnsi="Arial" w:cs="Arial"/>
        </w:rPr>
        <w:t xml:space="preserve">, A. (2012). Kano model. </w:t>
      </w:r>
      <w:r w:rsidRPr="00901F80">
        <w:rPr>
          <w:rFonts w:ascii="Arial" w:hAnsi="Arial" w:cs="Arial"/>
          <w:i/>
          <w:iCs/>
        </w:rPr>
        <w:t>Economy Transdisciplinary Cognition</w:t>
      </w:r>
      <w:r w:rsidRPr="00901F80">
        <w:rPr>
          <w:rFonts w:ascii="Arial" w:hAnsi="Arial" w:cs="Arial"/>
        </w:rPr>
        <w:t xml:space="preserve">. </w:t>
      </w:r>
      <w:hyperlink r:id="rId45" w:history="1">
        <w:r w:rsidRPr="00901F80">
          <w:rPr>
            <w:rStyle w:val="Hyperlink"/>
            <w:rFonts w:ascii="Arial" w:hAnsi="Arial" w:cs="Arial"/>
          </w:rPr>
          <w:t>https://www.ugb.ro/etc/etc2012no2/18_Paraschivescu_final.pdf</w:t>
        </w:r>
      </w:hyperlink>
    </w:p>
    <w:p w14:paraId="127B443C"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
    <w:p w14:paraId="1DF566C6" w14:textId="77777777" w:rsidR="00B30427" w:rsidRDefault="00B30427" w:rsidP="00B30427">
      <w:pPr>
        <w:pStyle w:val="NormalWeb"/>
        <w:spacing w:before="0" w:beforeAutospacing="0" w:after="0" w:afterAutospacing="0" w:line="480" w:lineRule="auto"/>
        <w:ind w:left="720" w:hanging="720"/>
        <w:rPr>
          <w:rFonts w:ascii="Arial" w:hAnsi="Arial" w:cs="Arial"/>
        </w:rPr>
      </w:pPr>
      <w:r>
        <w:rPr>
          <w:rFonts w:ascii="Arial" w:hAnsi="Arial" w:cs="Arial"/>
        </w:rPr>
        <w:t xml:space="preserve">Patel, P. M., &amp; Deshpande, V. A. (2017). Application of Plan-Do-Check-Act cycle for quality and productivity improvement-a review. In </w:t>
      </w:r>
      <w:r>
        <w:rPr>
          <w:rFonts w:ascii="Arial" w:hAnsi="Arial" w:cs="Arial"/>
          <w:i/>
          <w:iCs/>
        </w:rPr>
        <w:t>ResearchGate</w:t>
      </w:r>
      <w:r>
        <w:rPr>
          <w:rFonts w:ascii="Arial" w:hAnsi="Arial" w:cs="Arial"/>
        </w:rPr>
        <w:t xml:space="preserve">. </w:t>
      </w:r>
      <w:hyperlink r:id="rId46" w:history="1">
        <w:r w:rsidRPr="00C90FE6">
          <w:rPr>
            <w:rStyle w:val="Hyperlink"/>
            <w:rFonts w:ascii="Arial" w:hAnsi="Arial" w:cs="Arial"/>
          </w:rPr>
          <w:t>https://www.researchgate.net/publication/318743952_Application_Of_Plan-Do-Check-Act_Cycle_For_Quality_And_Productivity_Improvement-A_Review</w:t>
        </w:r>
      </w:hyperlink>
    </w:p>
    <w:p w14:paraId="6A747D83" w14:textId="77777777" w:rsidR="00B30427" w:rsidRDefault="00B30427" w:rsidP="00B30427">
      <w:pPr>
        <w:pStyle w:val="NormalWeb"/>
        <w:spacing w:before="0" w:beforeAutospacing="0" w:after="0" w:afterAutospacing="0" w:line="360" w:lineRule="auto"/>
        <w:ind w:left="720" w:hanging="720"/>
        <w:rPr>
          <w:rFonts w:ascii="Arial" w:hAnsi="Arial" w:cs="Arial"/>
        </w:rPr>
      </w:pPr>
    </w:p>
    <w:p w14:paraId="120004A7" w14:textId="77777777" w:rsidR="00B30427" w:rsidRDefault="00B30427" w:rsidP="00B30427">
      <w:pPr>
        <w:pStyle w:val="NormalWeb"/>
        <w:spacing w:before="0" w:beforeAutospacing="0" w:after="0" w:afterAutospacing="0" w:line="480" w:lineRule="auto"/>
        <w:ind w:left="720" w:hanging="720"/>
        <w:rPr>
          <w:rFonts w:ascii="Arial" w:hAnsi="Arial" w:cs="Arial"/>
        </w:rPr>
      </w:pPr>
      <w:r>
        <w:rPr>
          <w:rFonts w:ascii="Arial" w:hAnsi="Arial" w:cs="Arial"/>
        </w:rPr>
        <w:t xml:space="preserve">Reyes, M. (2020). </w:t>
      </w:r>
      <w:r>
        <w:rPr>
          <w:rFonts w:ascii="Arial" w:hAnsi="Arial" w:cs="Arial"/>
          <w:i/>
          <w:iCs/>
        </w:rPr>
        <w:t xml:space="preserve">Consumer </w:t>
      </w:r>
      <w:proofErr w:type="spellStart"/>
      <w:r>
        <w:rPr>
          <w:rFonts w:ascii="Arial" w:hAnsi="Arial" w:cs="Arial"/>
          <w:i/>
          <w:iCs/>
        </w:rPr>
        <w:t>behavior</w:t>
      </w:r>
      <w:proofErr w:type="spellEnd"/>
      <w:r>
        <w:rPr>
          <w:rFonts w:ascii="Arial" w:hAnsi="Arial" w:cs="Arial"/>
          <w:i/>
          <w:iCs/>
        </w:rPr>
        <w:t xml:space="preserve"> and marketing</w:t>
      </w:r>
      <w:r>
        <w:rPr>
          <w:rFonts w:ascii="Arial" w:hAnsi="Arial" w:cs="Arial"/>
        </w:rPr>
        <w:t xml:space="preserve">. </w:t>
      </w:r>
      <w:proofErr w:type="spellStart"/>
      <w:r>
        <w:rPr>
          <w:rFonts w:ascii="Arial" w:hAnsi="Arial" w:cs="Arial"/>
        </w:rPr>
        <w:t>Intechopen</w:t>
      </w:r>
      <w:proofErr w:type="spellEnd"/>
      <w:r>
        <w:rPr>
          <w:rFonts w:ascii="Arial" w:hAnsi="Arial" w:cs="Arial"/>
        </w:rPr>
        <w:t xml:space="preserve">. </w:t>
      </w:r>
      <w:hyperlink r:id="rId47" w:history="1">
        <w:r w:rsidRPr="00C90FE6">
          <w:rPr>
            <w:rStyle w:val="Hyperlink"/>
            <w:rFonts w:ascii="Arial" w:hAnsi="Arial" w:cs="Arial"/>
          </w:rPr>
          <w:t>https://scispace.com/pdf/consumer-behavior-and-marketing-ilq1uvzrxb.pdf</w:t>
        </w:r>
      </w:hyperlink>
    </w:p>
    <w:p w14:paraId="25BF2A06"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p>
    <w:p w14:paraId="31BBFA3A" w14:textId="77777777" w:rsidR="00B30427" w:rsidRPr="00901F80" w:rsidRDefault="00B30427" w:rsidP="00B30427">
      <w:pPr>
        <w:pStyle w:val="NormalWeb"/>
        <w:spacing w:before="0" w:beforeAutospacing="0" w:after="0" w:afterAutospacing="0" w:line="360" w:lineRule="auto"/>
        <w:ind w:left="720" w:hanging="720"/>
        <w:rPr>
          <w:rFonts w:ascii="Arial" w:hAnsi="Arial" w:cs="Arial"/>
        </w:rPr>
      </w:pPr>
      <w:r w:rsidRPr="00901F80">
        <w:rPr>
          <w:rFonts w:ascii="Arial" w:hAnsi="Arial" w:cs="Arial"/>
        </w:rPr>
        <w:t xml:space="preserve">Selvakumar, L., Shanmugam, V., &amp; Menaga, A. (2022). Influence of customer relationship management towards customer loyalty with mediating factor customer satisfaction in insurances sector. </w:t>
      </w:r>
      <w:r w:rsidRPr="00901F80">
        <w:rPr>
          <w:rFonts w:ascii="Arial" w:hAnsi="Arial" w:cs="Arial"/>
          <w:i/>
          <w:iCs/>
        </w:rPr>
        <w:t>Quality - Access to Success</w:t>
      </w:r>
      <w:r w:rsidRPr="00901F80">
        <w:rPr>
          <w:rFonts w:ascii="Arial" w:hAnsi="Arial" w:cs="Arial"/>
        </w:rPr>
        <w:t xml:space="preserve">, </w:t>
      </w:r>
      <w:r w:rsidRPr="00901F80">
        <w:rPr>
          <w:rFonts w:ascii="Arial" w:hAnsi="Arial" w:cs="Arial"/>
          <w:i/>
          <w:iCs/>
        </w:rPr>
        <w:t>23</w:t>
      </w:r>
      <w:r w:rsidRPr="00901F80">
        <w:rPr>
          <w:rFonts w:ascii="Arial" w:hAnsi="Arial" w:cs="Arial"/>
        </w:rPr>
        <w:t xml:space="preserve">(187), 169–173. </w:t>
      </w:r>
      <w:hyperlink r:id="rId48" w:history="1">
        <w:r w:rsidRPr="00901F80">
          <w:rPr>
            <w:rStyle w:val="Hyperlink"/>
            <w:rFonts w:ascii="Arial" w:hAnsi="Arial" w:cs="Arial"/>
          </w:rPr>
          <w:t>https://doi.org/10.47750/qas/23.187.21</w:t>
        </w:r>
      </w:hyperlink>
    </w:p>
    <w:p w14:paraId="137B58F1" w14:textId="77777777" w:rsidR="00B30427" w:rsidRDefault="00B30427" w:rsidP="00B30427">
      <w:pPr>
        <w:pStyle w:val="NormalWeb"/>
        <w:spacing w:before="0" w:beforeAutospacing="0" w:after="0" w:afterAutospacing="0" w:line="360" w:lineRule="auto"/>
        <w:ind w:left="720" w:hanging="720"/>
        <w:rPr>
          <w:rFonts w:ascii="Arial" w:hAnsi="Arial" w:cs="Arial"/>
        </w:rPr>
      </w:pPr>
    </w:p>
    <w:p w14:paraId="7E0FCF2B" w14:textId="77777777" w:rsidR="00B30427" w:rsidRDefault="00B30427" w:rsidP="00B30427">
      <w:pPr>
        <w:pStyle w:val="NormalWeb"/>
        <w:spacing w:before="0" w:beforeAutospacing="0" w:after="0" w:afterAutospacing="0" w:line="480" w:lineRule="auto"/>
        <w:ind w:left="720" w:hanging="720"/>
        <w:rPr>
          <w:rFonts w:ascii="Arial" w:hAnsi="Arial" w:cs="Arial"/>
        </w:rPr>
      </w:pPr>
      <w:r>
        <w:rPr>
          <w:rFonts w:ascii="Arial" w:hAnsi="Arial" w:cs="Arial"/>
        </w:rPr>
        <w:t xml:space="preserve">van Otterloo, S. (2017). Information security and PDCA (Plan-Do-Check-Act) - ICT institute. In </w:t>
      </w:r>
      <w:r>
        <w:rPr>
          <w:rFonts w:ascii="Arial" w:hAnsi="Arial" w:cs="Arial"/>
          <w:i/>
          <w:iCs/>
        </w:rPr>
        <w:t>ICT Institute</w:t>
      </w:r>
      <w:r>
        <w:rPr>
          <w:rFonts w:ascii="Arial" w:hAnsi="Arial" w:cs="Arial"/>
        </w:rPr>
        <w:t xml:space="preserve">. </w:t>
      </w:r>
      <w:hyperlink r:id="rId49" w:history="1">
        <w:r w:rsidRPr="00C90FE6">
          <w:rPr>
            <w:rStyle w:val="Hyperlink"/>
            <w:rFonts w:ascii="Arial" w:hAnsi="Arial" w:cs="Arial"/>
          </w:rPr>
          <w:t>https://ictinstitute.nl/pdca-plan-do-check-act/</w:t>
        </w:r>
      </w:hyperlink>
    </w:p>
    <w:p w14:paraId="3F8B989C" w14:textId="77777777" w:rsidR="00B30427" w:rsidRDefault="00B30427" w:rsidP="00B30427">
      <w:pPr>
        <w:pStyle w:val="NormalWeb"/>
        <w:spacing w:before="0" w:beforeAutospacing="0" w:after="0" w:afterAutospacing="0" w:line="360" w:lineRule="auto"/>
        <w:ind w:left="720" w:hanging="720"/>
        <w:rPr>
          <w:rFonts w:ascii="Arial" w:hAnsi="Arial" w:cs="Arial"/>
        </w:rPr>
      </w:pPr>
    </w:p>
    <w:p w14:paraId="696A7967" w14:textId="77777777" w:rsidR="00B30427" w:rsidRDefault="00B30427" w:rsidP="00B30427">
      <w:pPr>
        <w:pStyle w:val="NormalWeb"/>
        <w:spacing w:before="0" w:beforeAutospacing="0" w:after="0" w:afterAutospacing="0" w:line="480" w:lineRule="auto"/>
        <w:ind w:left="720" w:hanging="720"/>
        <w:rPr>
          <w:rFonts w:ascii="Arial" w:hAnsi="Arial" w:cs="Arial"/>
        </w:rPr>
      </w:pPr>
      <w:proofErr w:type="spellStart"/>
      <w:r>
        <w:rPr>
          <w:rFonts w:ascii="Arial" w:hAnsi="Arial" w:cs="Arial"/>
        </w:rPr>
        <w:t>Velkoska</w:t>
      </w:r>
      <w:proofErr w:type="spellEnd"/>
      <w:r>
        <w:rPr>
          <w:rFonts w:ascii="Arial" w:hAnsi="Arial" w:cs="Arial"/>
        </w:rPr>
        <w:t xml:space="preserve">, C. (2022). Integration of Juran’s trilogy, </w:t>
      </w:r>
      <w:proofErr w:type="spellStart"/>
      <w:r>
        <w:rPr>
          <w:rFonts w:ascii="Arial" w:hAnsi="Arial" w:cs="Arial"/>
        </w:rPr>
        <w:t>deming’s</w:t>
      </w:r>
      <w:proofErr w:type="spellEnd"/>
      <w:r>
        <w:rPr>
          <w:rFonts w:ascii="Arial" w:hAnsi="Arial" w:cs="Arial"/>
        </w:rPr>
        <w:t xml:space="preserve"> quality cycle and </w:t>
      </w:r>
      <w:proofErr w:type="spellStart"/>
      <w:r>
        <w:rPr>
          <w:rFonts w:ascii="Arial" w:hAnsi="Arial" w:cs="Arial"/>
        </w:rPr>
        <w:t>dmaic</w:t>
      </w:r>
      <w:proofErr w:type="spellEnd"/>
      <w:r>
        <w:rPr>
          <w:rFonts w:ascii="Arial" w:hAnsi="Arial" w:cs="Arial"/>
        </w:rPr>
        <w:t xml:space="preserve"> methodology in the development of management with quality COST methodology. </w:t>
      </w:r>
      <w:r>
        <w:rPr>
          <w:rFonts w:ascii="Arial" w:hAnsi="Arial" w:cs="Arial"/>
          <w:i/>
          <w:iCs/>
        </w:rPr>
        <w:t>International Scientific Journal Vision</w:t>
      </w:r>
      <w:r>
        <w:rPr>
          <w:rFonts w:ascii="Arial" w:hAnsi="Arial" w:cs="Arial"/>
        </w:rPr>
        <w:t xml:space="preserve">, </w:t>
      </w:r>
      <w:r>
        <w:rPr>
          <w:rFonts w:ascii="Arial" w:hAnsi="Arial" w:cs="Arial"/>
          <w:i/>
          <w:iCs/>
        </w:rPr>
        <w:t>7</w:t>
      </w:r>
      <w:r>
        <w:rPr>
          <w:rFonts w:ascii="Arial" w:hAnsi="Arial" w:cs="Arial"/>
        </w:rPr>
        <w:t xml:space="preserve">(2), 109–123. </w:t>
      </w:r>
      <w:hyperlink r:id="rId50" w:history="1">
        <w:r w:rsidRPr="00C90FE6">
          <w:rPr>
            <w:rStyle w:val="Hyperlink"/>
            <w:rFonts w:ascii="Arial" w:hAnsi="Arial" w:cs="Arial"/>
          </w:rPr>
          <w:t>https://visionjournal.edu.mk/social/index.php/1/article/view/118</w:t>
        </w:r>
      </w:hyperlink>
    </w:p>
    <w:p w14:paraId="34C0515D" w14:textId="77777777" w:rsidR="00B30427" w:rsidRDefault="00B30427" w:rsidP="00B30427">
      <w:pPr>
        <w:pStyle w:val="NormalWeb"/>
        <w:spacing w:before="0" w:beforeAutospacing="0" w:after="0" w:afterAutospacing="0" w:line="360" w:lineRule="auto"/>
        <w:ind w:left="720" w:hanging="720"/>
        <w:rPr>
          <w:rFonts w:ascii="Arial" w:hAnsi="Arial" w:cs="Arial"/>
        </w:rPr>
      </w:pPr>
    </w:p>
    <w:p w14:paraId="50FE3AAB" w14:textId="77777777" w:rsidR="00B30427" w:rsidRDefault="00B30427" w:rsidP="00B30427">
      <w:pPr>
        <w:pStyle w:val="NormalWeb"/>
        <w:spacing w:before="0" w:beforeAutospacing="0" w:after="0" w:afterAutospacing="0" w:line="480" w:lineRule="auto"/>
        <w:ind w:left="720" w:hanging="720"/>
        <w:rPr>
          <w:rFonts w:ascii="Arial" w:hAnsi="Arial" w:cs="Arial"/>
        </w:rPr>
      </w:pPr>
      <w:r>
        <w:rPr>
          <w:rFonts w:ascii="Arial" w:hAnsi="Arial" w:cs="Arial"/>
        </w:rPr>
        <w:t xml:space="preserve">Woodruff, R. B. (1997). Customer value: The next source for competitive advantage. </w:t>
      </w:r>
      <w:r>
        <w:rPr>
          <w:rFonts w:ascii="Arial" w:hAnsi="Arial" w:cs="Arial"/>
          <w:i/>
          <w:iCs/>
        </w:rPr>
        <w:t>Journal of the Academy of Marketing Science</w:t>
      </w:r>
      <w:r>
        <w:rPr>
          <w:rFonts w:ascii="Arial" w:hAnsi="Arial" w:cs="Arial"/>
        </w:rPr>
        <w:t xml:space="preserve">, </w:t>
      </w:r>
      <w:r>
        <w:rPr>
          <w:rFonts w:ascii="Arial" w:hAnsi="Arial" w:cs="Arial"/>
          <w:i/>
          <w:iCs/>
        </w:rPr>
        <w:t>25</w:t>
      </w:r>
      <w:r>
        <w:rPr>
          <w:rFonts w:ascii="Arial" w:hAnsi="Arial" w:cs="Arial"/>
        </w:rPr>
        <w:t xml:space="preserve">(2), 139. </w:t>
      </w:r>
      <w:hyperlink r:id="rId51" w:history="1">
        <w:r w:rsidRPr="00C90FE6">
          <w:rPr>
            <w:rStyle w:val="Hyperlink"/>
            <w:rFonts w:ascii="Arial" w:hAnsi="Arial" w:cs="Arial"/>
          </w:rPr>
          <w:t>https://www.academia.edu/2530230/Customer_value_The_next_source_for_competitive_advantage</w:t>
        </w:r>
      </w:hyperlink>
    </w:p>
    <w:p w14:paraId="441DA2D0" w14:textId="77777777" w:rsidR="00B30427" w:rsidRDefault="00B30427" w:rsidP="00B30427">
      <w:pPr>
        <w:pStyle w:val="NormalWeb"/>
        <w:spacing w:before="0" w:beforeAutospacing="0" w:after="0" w:afterAutospacing="0" w:line="480" w:lineRule="auto"/>
        <w:ind w:left="720" w:hanging="720"/>
        <w:rPr>
          <w:rFonts w:ascii="Arial" w:hAnsi="Arial" w:cs="Arial"/>
        </w:rPr>
      </w:pPr>
      <w:r>
        <w:rPr>
          <w:rFonts w:ascii="Arial" w:hAnsi="Arial" w:cs="Arial"/>
        </w:rPr>
        <w:lastRenderedPageBreak/>
        <w:t xml:space="preserve">Zacarias, D. (2015). The complete guide to the kano model. In </w:t>
      </w:r>
      <w:r>
        <w:rPr>
          <w:rFonts w:ascii="Arial" w:hAnsi="Arial" w:cs="Arial"/>
          <w:i/>
          <w:iCs/>
        </w:rPr>
        <w:t>Folding Burritos</w:t>
      </w:r>
      <w:r>
        <w:rPr>
          <w:rFonts w:ascii="Arial" w:hAnsi="Arial" w:cs="Arial"/>
        </w:rPr>
        <w:t xml:space="preserve">. </w:t>
      </w:r>
      <w:hyperlink r:id="rId52" w:history="1">
        <w:r w:rsidRPr="00C90FE6">
          <w:rPr>
            <w:rStyle w:val="Hyperlink"/>
            <w:rFonts w:ascii="Arial" w:hAnsi="Arial" w:cs="Arial"/>
          </w:rPr>
          <w:t>https://foldingburritos.com/blog/kano-model/</w:t>
        </w:r>
      </w:hyperlink>
    </w:p>
    <w:p w14:paraId="3FFBE698" w14:textId="77777777" w:rsidR="00B30427" w:rsidRDefault="00B30427" w:rsidP="00B30427">
      <w:pPr>
        <w:rPr>
          <w:rFonts w:ascii="Arial" w:hAnsi="Arial" w:cs="Arial"/>
        </w:rPr>
      </w:pPr>
    </w:p>
    <w:p w14:paraId="3DCA37AD" w14:textId="77777777" w:rsidR="00B30427" w:rsidRPr="008D6723" w:rsidRDefault="00B30427" w:rsidP="00B30427">
      <w:pPr>
        <w:rPr>
          <w:rFonts w:ascii="Arial" w:hAnsi="Arial" w:cs="Arial"/>
        </w:rPr>
      </w:pPr>
    </w:p>
    <w:p w14:paraId="520007FA" w14:textId="77777777" w:rsidR="009A4DD0" w:rsidRPr="00B26848" w:rsidRDefault="009A4DD0" w:rsidP="00B26848"/>
    <w:sectPr w:rsidR="009A4DD0" w:rsidRPr="00B26848" w:rsidSect="00B30427">
      <w:footerReference w:type="default" r:id="rId53"/>
      <w:footerReference w:type="first" r:id="rId54"/>
      <w:pgSz w:w="12240" w:h="15840" w:code="1"/>
      <w:pgMar w:top="720" w:right="720" w:bottom="0" w:left="72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E0A7C" w14:textId="77777777" w:rsidR="00EF0FC9" w:rsidRDefault="00EF0FC9" w:rsidP="00E74B29">
      <w:r>
        <w:separator/>
      </w:r>
    </w:p>
  </w:endnote>
  <w:endnote w:type="continuationSeparator" w:id="0">
    <w:p w14:paraId="6C6B5112" w14:textId="77777777" w:rsidR="00EF0FC9" w:rsidRDefault="00EF0FC9"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019730"/>
      <w:docPartObj>
        <w:docPartGallery w:val="Page Numbers (Bottom of Page)"/>
        <w:docPartUnique/>
      </w:docPartObj>
    </w:sdtPr>
    <w:sdtEndPr>
      <w:rPr>
        <w:noProof/>
      </w:rPr>
    </w:sdtEndPr>
    <w:sdtContent>
      <w:p w14:paraId="2C609551" w14:textId="77777777" w:rsidR="00B30427" w:rsidRDefault="00B304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4D010C" w14:textId="77777777" w:rsidR="00B30427" w:rsidRDefault="00B304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032E7" w14:textId="77777777" w:rsidR="00B30427" w:rsidRDefault="00B30427" w:rsidP="00440E27">
    <w:pPr>
      <w:pStyle w:val="Footer"/>
      <w:jc w:val="center"/>
    </w:pPr>
  </w:p>
  <w:p w14:paraId="031DC3EE" w14:textId="77777777" w:rsidR="00B30427" w:rsidRDefault="00B30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816A9" w14:textId="77777777" w:rsidR="00EF0FC9" w:rsidRDefault="00EF0FC9" w:rsidP="00E74B29">
      <w:r>
        <w:separator/>
      </w:r>
    </w:p>
  </w:footnote>
  <w:footnote w:type="continuationSeparator" w:id="0">
    <w:p w14:paraId="36CB5FFC" w14:textId="77777777" w:rsidR="00EF0FC9" w:rsidRDefault="00EF0FC9"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892495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DD0"/>
    <w:rsid w:val="00017E6F"/>
    <w:rsid w:val="00026106"/>
    <w:rsid w:val="000266CC"/>
    <w:rsid w:val="00086FA5"/>
    <w:rsid w:val="000E4641"/>
    <w:rsid w:val="000E6ADA"/>
    <w:rsid w:val="00151F66"/>
    <w:rsid w:val="00177F8D"/>
    <w:rsid w:val="00185F4A"/>
    <w:rsid w:val="001C6207"/>
    <w:rsid w:val="001E097E"/>
    <w:rsid w:val="001F4B42"/>
    <w:rsid w:val="002744B0"/>
    <w:rsid w:val="0027593B"/>
    <w:rsid w:val="00292904"/>
    <w:rsid w:val="002A4674"/>
    <w:rsid w:val="002D2200"/>
    <w:rsid w:val="002F706D"/>
    <w:rsid w:val="00326CDC"/>
    <w:rsid w:val="003F67B5"/>
    <w:rsid w:val="003F6AC0"/>
    <w:rsid w:val="0040564B"/>
    <w:rsid w:val="0048120C"/>
    <w:rsid w:val="004909D9"/>
    <w:rsid w:val="004B2F61"/>
    <w:rsid w:val="004C5781"/>
    <w:rsid w:val="005158E2"/>
    <w:rsid w:val="00521481"/>
    <w:rsid w:val="00536059"/>
    <w:rsid w:val="005E4DDA"/>
    <w:rsid w:val="005E598B"/>
    <w:rsid w:val="006440BD"/>
    <w:rsid w:val="00665110"/>
    <w:rsid w:val="006709F1"/>
    <w:rsid w:val="006B794F"/>
    <w:rsid w:val="006C60E6"/>
    <w:rsid w:val="006E5964"/>
    <w:rsid w:val="00706292"/>
    <w:rsid w:val="00711D58"/>
    <w:rsid w:val="00716E85"/>
    <w:rsid w:val="00775A0B"/>
    <w:rsid w:val="007A1167"/>
    <w:rsid w:val="007A696C"/>
    <w:rsid w:val="007E7573"/>
    <w:rsid w:val="007F42B7"/>
    <w:rsid w:val="00837914"/>
    <w:rsid w:val="00874FE7"/>
    <w:rsid w:val="008D2021"/>
    <w:rsid w:val="008D6723"/>
    <w:rsid w:val="0094178F"/>
    <w:rsid w:val="00952F7D"/>
    <w:rsid w:val="009903D6"/>
    <w:rsid w:val="009A38BA"/>
    <w:rsid w:val="009A4DD0"/>
    <w:rsid w:val="009D1A6E"/>
    <w:rsid w:val="009D4CCF"/>
    <w:rsid w:val="00A61A31"/>
    <w:rsid w:val="00A977CB"/>
    <w:rsid w:val="00AC1664"/>
    <w:rsid w:val="00AE7F34"/>
    <w:rsid w:val="00B26848"/>
    <w:rsid w:val="00B30427"/>
    <w:rsid w:val="00B43E11"/>
    <w:rsid w:val="00BC1E80"/>
    <w:rsid w:val="00BE53A3"/>
    <w:rsid w:val="00C45D50"/>
    <w:rsid w:val="00C5165F"/>
    <w:rsid w:val="00D43125"/>
    <w:rsid w:val="00D66A3A"/>
    <w:rsid w:val="00DD67CE"/>
    <w:rsid w:val="00DF07B2"/>
    <w:rsid w:val="00DF198B"/>
    <w:rsid w:val="00DF23E4"/>
    <w:rsid w:val="00DF3959"/>
    <w:rsid w:val="00E021CC"/>
    <w:rsid w:val="00E74B29"/>
    <w:rsid w:val="00EB7C2B"/>
    <w:rsid w:val="00EF0FC9"/>
    <w:rsid w:val="00F43D9E"/>
    <w:rsid w:val="00FB2F1A"/>
    <w:rsid w:val="1AA6BC83"/>
    <w:rsid w:val="1C272044"/>
    <w:rsid w:val="322767D6"/>
    <w:rsid w:val="35813D6C"/>
    <w:rsid w:val="39A4FAA8"/>
    <w:rsid w:val="3B9EB734"/>
    <w:rsid w:val="57D8812F"/>
    <w:rsid w:val="7553B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920CC"/>
  <w15:chartTrackingRefBased/>
  <w15:docId w15:val="{46771F22-8F17-4142-93EC-5B331CC27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B30427"/>
    <w:rPr>
      <w:lang w:val="en-GB"/>
    </w:rPr>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lang w:val="en-US"/>
    </w:rPr>
  </w:style>
  <w:style w:type="paragraph" w:styleId="Heading2">
    <w:name w:val="heading 2"/>
    <w:basedOn w:val="Normal"/>
    <w:next w:val="Normal"/>
    <w:link w:val="Heading2Char"/>
    <w:uiPriority w:val="1"/>
    <w:qFormat/>
    <w:rsid w:val="00874FE7"/>
    <w:pPr>
      <w:jc w:val="center"/>
      <w:outlineLvl w:val="1"/>
    </w:pPr>
    <w:rPr>
      <w:b/>
      <w:sz w:val="48"/>
      <w:szCs w:val="48"/>
      <w:lang w:val="en-US"/>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lang w:val="en-US"/>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lang w:val="en-US"/>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lang w:val="en-US"/>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lang w:val="en-US"/>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lang w:val="en-US"/>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NormalWeb">
    <w:name w:val="Normal (Web)"/>
    <w:basedOn w:val="Normal"/>
    <w:uiPriority w:val="99"/>
    <w:semiHidden/>
    <w:unhideWhenUsed/>
    <w:rsid w:val="008D672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rsid w:val="00775A0B"/>
    <w:rPr>
      <w:color w:val="0000FF" w:themeColor="hyperlink"/>
      <w:u w:val="single"/>
    </w:rPr>
  </w:style>
  <w:style w:type="character" w:styleId="UnresolvedMention">
    <w:name w:val="Unresolved Mention"/>
    <w:basedOn w:val="DefaultParagraphFont"/>
    <w:uiPriority w:val="99"/>
    <w:semiHidden/>
    <w:unhideWhenUsed/>
    <w:rsid w:val="00775A0B"/>
    <w:rPr>
      <w:color w:val="605E5C"/>
      <w:shd w:val="clear" w:color="auto" w:fill="E1DFDD"/>
    </w:rPr>
  </w:style>
  <w:style w:type="paragraph" w:styleId="TOCHeading">
    <w:name w:val="TOC Heading"/>
    <w:basedOn w:val="Heading1"/>
    <w:next w:val="Normal"/>
    <w:uiPriority w:val="39"/>
    <w:unhideWhenUsed/>
    <w:qFormat/>
    <w:rsid w:val="007A1167"/>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7A1167"/>
    <w:pPr>
      <w:spacing w:after="100"/>
    </w:pPr>
    <w:rPr>
      <w:lang w:val="en-US"/>
    </w:rPr>
  </w:style>
  <w:style w:type="paragraph" w:styleId="TOC2">
    <w:name w:val="toc 2"/>
    <w:basedOn w:val="Normal"/>
    <w:next w:val="Normal"/>
    <w:autoRedefine/>
    <w:uiPriority w:val="39"/>
    <w:rsid w:val="007A1167"/>
    <w:pPr>
      <w:spacing w:after="100"/>
      <w:ind w:left="240"/>
    </w:pPr>
    <w:rPr>
      <w:lang w:val="en-US"/>
    </w:rPr>
  </w:style>
  <w:style w:type="paragraph" w:styleId="TOC3">
    <w:name w:val="toc 3"/>
    <w:basedOn w:val="Normal"/>
    <w:next w:val="Normal"/>
    <w:autoRedefine/>
    <w:uiPriority w:val="39"/>
    <w:rsid w:val="007A1167"/>
    <w:pPr>
      <w:spacing w:after="100"/>
      <w:ind w:left="480"/>
    </w:pPr>
    <w:rPr>
      <w:lang w:val="en-US"/>
    </w:rPr>
  </w:style>
  <w:style w:type="paragraph" w:styleId="Caption">
    <w:name w:val="caption"/>
    <w:basedOn w:val="Normal"/>
    <w:next w:val="Normal"/>
    <w:uiPriority w:val="35"/>
    <w:semiHidden/>
    <w:qFormat/>
    <w:rsid w:val="00B30427"/>
    <w:pPr>
      <w:spacing w:after="200"/>
    </w:pPr>
    <w:rPr>
      <w:i/>
      <w:iCs/>
      <w:color w:val="5E5E5E"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hyperlink" Target="https://sell.amazon.com/fulfillment-by-amazon" TargetMode="External"/><Relationship Id="rId26" Type="http://schemas.openxmlformats.org/officeDocument/2006/relationships/hyperlink" Target="https://www.academia.edu/5464947/Customer_Loyalty_Toward_an_Integrated_Conceptual_Framework" TargetMode="External"/><Relationship Id="rId39" Type="http://schemas.openxmlformats.org/officeDocument/2006/relationships/hyperlink" Target="https://doi.org/10.1016/j.heliyon.2023.e14625" TargetMode="External"/><Relationship Id="rId21" Type="http://schemas.openxmlformats.org/officeDocument/2006/relationships/hyperlink" Target="https://doi.org/10.35925/j.multi.2024.2.1" TargetMode="External"/><Relationship Id="rId34" Type="http://schemas.openxmlformats.org/officeDocument/2006/relationships/hyperlink" Target="https://doi.org/10.1186/s43093-020-0009-1" TargetMode="External"/><Relationship Id="rId42" Type="http://schemas.openxmlformats.org/officeDocument/2006/relationships/hyperlink" Target="https://doi.org/10.1016/j.lrp.2023.102406" TargetMode="External"/><Relationship Id="rId47" Type="http://schemas.openxmlformats.org/officeDocument/2006/relationships/hyperlink" Target="https://scispace.com/pdf/consumer-behavior-and-marketing-ilq1uvzrxb.pdf" TargetMode="External"/><Relationship Id="rId50" Type="http://schemas.openxmlformats.org/officeDocument/2006/relationships/hyperlink" Target="https://visionjournal.edu.mk/social/index.php/1/article/view/118"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cs.aws.amazon.com/managedservices/latest/userguide/apx-crm.html" TargetMode="External"/><Relationship Id="rId29" Type="http://schemas.openxmlformats.org/officeDocument/2006/relationships/hyperlink" Target="https://www.waru.edu/sites/default/files/2023-10/Fasko_NovDec2023.pdf" TargetMode="External"/><Relationship Id="rId11" Type="http://schemas.openxmlformats.org/officeDocument/2006/relationships/image" Target="media/image1.png"/><Relationship Id="rId24" Type="http://schemas.openxmlformats.org/officeDocument/2006/relationships/hyperlink" Target="https://doi.org/10.1109/iccsp64183.2025.11089247" TargetMode="External"/><Relationship Id="rId32" Type="http://schemas.openxmlformats.org/officeDocument/2006/relationships/hyperlink" Target="https://ico.org.uk/for-organisations/uk-gdpr-guidance-and-resources/childrens-information/childrens-code-guidance-and-resources/how-to-use-our-guidance-for-standard-one-best-interests-of-the-child/best-interests-framework/profiling-for-content-delivery/" TargetMode="External"/><Relationship Id="rId37" Type="http://schemas.openxmlformats.org/officeDocument/2006/relationships/hyperlink" Target="https://doi.org/10.3390/buildings12122057" TargetMode="External"/><Relationship Id="rId40" Type="http://schemas.openxmlformats.org/officeDocument/2006/relationships/hyperlink" Target="https://qicentral.rcpch.ac.uk/wp-content/uploads/sites/9/2021/10/Moen-and-Norman-on-Deming-circling-back-ph556x.pdf" TargetMode="External"/><Relationship Id="rId45" Type="http://schemas.openxmlformats.org/officeDocument/2006/relationships/hyperlink" Target="https://www.ugb.ro/etc/etc2012no2/18_Paraschivescu_final.pdf" TargetMode="External"/><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amazon.jobs/en/jobs/10472476/inventory-control-and-quality-assurance-area-manager-amet-icqa" TargetMode="External"/><Relationship Id="rId31" Type="http://schemas.openxmlformats.org/officeDocument/2006/relationships/hyperlink" Target="https://www.researchgate.net/profile/Raja-Masadeh/publication/322487895_Requirements_Prioritization_Techniques_Comparison/links/5a5dfb86aca272d4a3df5e98/Requirements-Prioritization-Techniques-Comparison.pdf" TargetMode="External"/><Relationship Id="rId44" Type="http://schemas.openxmlformats.org/officeDocument/2006/relationships/hyperlink" Target="https://slunik.slu.se/kursfiler/SH0123/10292.1415/DW_2.pdf" TargetMode="External"/><Relationship Id="rId52" Type="http://schemas.openxmlformats.org/officeDocument/2006/relationships/hyperlink" Target="https://foldingburritos.com/blog/kano-mod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llisonchair.tamu.edu/files/2020/06/The-Elements-of-Consumer-Value.pdf" TargetMode="External"/><Relationship Id="rId22" Type="http://schemas.openxmlformats.org/officeDocument/2006/relationships/hyperlink" Target="https://www.scribd.com/document/327021618/Consumer-Behaviour-Blythe" TargetMode="External"/><Relationship Id="rId27" Type="http://schemas.openxmlformats.org/officeDocument/2006/relationships/hyperlink" Target="https://doi.org/10.3233/web-230098" TargetMode="External"/><Relationship Id="rId30" Type="http://schemas.openxmlformats.org/officeDocument/2006/relationships/hyperlink" Target="https://cued.uic.edu/wp-content/uploads/sites/219/2023/10/Pain-Points_Final_Oct2023.pdf" TargetMode="External"/><Relationship Id="rId35" Type="http://schemas.openxmlformats.org/officeDocument/2006/relationships/hyperlink" Target="https://materiasiis.uson.mx/docs/control_de_calidad/1.calidad/6-latrilogia-de-la-calidad/the-quality-trilogy.pdf" TargetMode="External"/><Relationship Id="rId43" Type="http://schemas.openxmlformats.org/officeDocument/2006/relationships/hyperlink" Target="https://www.researchgate.net/profile/Jeffrey-Ogeawuchi/publication/392258243_Advances_in_CRM-Driven_Marketing_Intelligence_for_Enhancing_Conversion_Rates_and_Lifetime_Value_Models/links/684dcb78df3fa4286a40c536/Advances-in-CRM-Driven-Marketing-Intelligence-for-Enhancing-Conversion-Rates-and-Lifetime-Value-Models.pdf" TargetMode="External"/><Relationship Id="rId48" Type="http://schemas.openxmlformats.org/officeDocument/2006/relationships/hyperlink" Target="https://doi.org/10.47750/qas/23.187.21"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academia.edu/2530230/Customer_value_The_next_source_for_competitive_advantage"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www.sec.gov/Archives/edgar/data/1018724/000101872426000004/amzn-20251231.htm" TargetMode="External"/><Relationship Id="rId25" Type="http://schemas.openxmlformats.org/officeDocument/2006/relationships/hyperlink" Target="https://doi.org/10.1590/0103-6513.20220077" TargetMode="External"/><Relationship Id="rId33" Type="http://schemas.openxmlformats.org/officeDocument/2006/relationships/hyperlink" Target="https://doi.org/10.24818/rej/2024/88/07" TargetMode="External"/><Relationship Id="rId38" Type="http://schemas.openxmlformats.org/officeDocument/2006/relationships/hyperlink" Target="https://www.researchgate.net/publication/308578866_The_Role_of_Data_Privacy_in_Marketing" TargetMode="External"/><Relationship Id="rId46" Type="http://schemas.openxmlformats.org/officeDocument/2006/relationships/hyperlink" Target="https://www.researchgate.net/publication/318743952_Application_Of_Plan-Do-Check-Act_Cycle_For_Quality_And_Productivity_Improvement-A_Review" TargetMode="External"/><Relationship Id="rId20" Type="http://schemas.openxmlformats.org/officeDocument/2006/relationships/hyperlink" Target="https://www.researchgate.net/profile/Franz-Bailom/publication/240462191_The_Kano_Model_How_to_Delight_Your_Customers/links/0f3175342ad9e57525000000/The-Kano-Model-How-to-Delight-Your-Customers.pdf" TargetMode="External"/><Relationship Id="rId41" Type="http://schemas.openxmlformats.org/officeDocument/2006/relationships/hyperlink" Target="https://doi.org/10.36401/jqsh-22-x2"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aboutamazon.co.uk/who-we-are/leadership-principles" TargetMode="External"/><Relationship Id="rId23" Type="http://schemas.openxmlformats.org/officeDocument/2006/relationships/hyperlink" Target="https://www.jiem.org/index.php/jiem/article/view/2591/872" TargetMode="External"/><Relationship Id="rId28" Type="http://schemas.openxmlformats.org/officeDocument/2006/relationships/hyperlink" Target="https://doi.org/10.54660/.JFMR.2021.2.1.113-120" TargetMode="External"/><Relationship Id="rId36" Type="http://schemas.openxmlformats.org/officeDocument/2006/relationships/hyperlink" Target="https://doi.org/10.18231/j.jmra.2022.010" TargetMode="External"/><Relationship Id="rId49" Type="http://schemas.openxmlformats.org/officeDocument/2006/relationships/hyperlink" Target="https://ictinstitute.nl/pdca-plan-do-check-ac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xan\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3E955F-49FF-49A9-A3B9-8620CB9E76CB}">
  <ds:schemaRefs>
    <ds:schemaRef ds:uri="http://schemas.openxmlformats.org/officeDocument/2006/bibliography"/>
  </ds:schemaRefs>
</ds:datastoreItem>
</file>

<file path=customXml/itemProps2.xml><?xml version="1.0" encoding="utf-8"?>
<ds:datastoreItem xmlns:ds="http://schemas.openxmlformats.org/officeDocument/2006/customXml" ds:itemID="{5B78500D-A232-473D-9323-B5F9BB259332}">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E5839996-CCC2-4B4B-BB45-A9C641419A3B}">
  <ds:schemaRefs>
    <ds:schemaRef ds:uri="http://schemas.microsoft.com/sharepoint/v3/contenttype/forms"/>
  </ds:schemaRefs>
</ds:datastoreItem>
</file>

<file path=customXml/itemProps4.xml><?xml version="1.0" encoding="utf-8"?>
<ds:datastoreItem xmlns:ds="http://schemas.openxmlformats.org/officeDocument/2006/customXml" ds:itemID="{A3BB8769-E0A8-450B-A32F-AD36A1E54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Modern student report</Template>
  <TotalTime>2946</TotalTime>
  <Pages>21</Pages>
  <Words>7177</Words>
  <Characters>40911</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Plesca</dc:creator>
  <cp:keywords/>
  <dc:description/>
  <cp:lastModifiedBy>Roxana Plesca</cp:lastModifiedBy>
  <cp:revision>40</cp:revision>
  <dcterms:created xsi:type="dcterms:W3CDTF">2026-07-23T10:54:00Z</dcterms:created>
  <dcterms:modified xsi:type="dcterms:W3CDTF">2026-07-26T17:43:00Z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