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after="240" w:line="480" w:lineRule="auto"/>
        <w:ind w:left="0" w:right="0" w:firstLine="0"/>
        <w:jc w:val="left"/>
        <w:rPr>
          <w:rFonts w:ascii="Arial" w:hAnsi="Arial"/>
          <w:i w:val="1"/>
          <w:iCs w:val="1"/>
          <w:u w:val="single"/>
          <w:rtl w:val="0"/>
        </w:rPr>
      </w:pPr>
    </w:p>
    <w:p>
      <w:pPr>
        <w:pStyle w:val="Default"/>
        <w:bidi w:val="0"/>
        <w:spacing w:before="0" w:after="240" w:line="480" w:lineRule="auto"/>
        <w:ind w:left="0" w:right="0" w:firstLine="0"/>
        <w:jc w:val="left"/>
        <w:rPr>
          <w:rFonts w:ascii="Arial" w:hAnsi="Arial"/>
          <w:i w:val="1"/>
          <w:iCs w:val="1"/>
          <w:sz w:val="26"/>
          <w:szCs w:val="26"/>
          <w:u w:val="single"/>
          <w:rtl w:val="0"/>
        </w:rPr>
      </w:pPr>
    </w:p>
    <w:p>
      <w:pPr>
        <w:pStyle w:val="Default"/>
        <w:bidi w:val="0"/>
        <w:spacing w:before="0" w:after="240" w:line="480" w:lineRule="auto"/>
        <w:ind w:left="0" w:right="0" w:firstLine="0"/>
        <w:jc w:val="center"/>
        <w:rPr>
          <w:rFonts w:ascii="Arial" w:cs="Arial" w:hAnsi="Arial" w:eastAsia="Arial"/>
          <w:b w:val="1"/>
          <w:bCs w:val="1"/>
          <w:sz w:val="26"/>
          <w:szCs w:val="26"/>
          <w:rtl w:val="0"/>
        </w:rPr>
      </w:pPr>
      <w:r>
        <w:rPr>
          <w:rFonts w:ascii="Arial" w:hAnsi="Arial"/>
          <w:b w:val="1"/>
          <w:bCs w:val="1"/>
          <w:sz w:val="26"/>
          <w:szCs w:val="26"/>
          <w:rtl w:val="0"/>
          <w:lang w:val="en-US"/>
        </w:rPr>
        <w:t>Module: Mental Health in Children and Young People.</w:t>
      </w:r>
    </w:p>
    <w:p>
      <w:pPr>
        <w:pStyle w:val="Default"/>
        <w:bidi w:val="0"/>
        <w:spacing w:before="0" w:after="240" w:line="480" w:lineRule="auto"/>
        <w:ind w:left="0" w:right="0" w:firstLine="0"/>
        <w:jc w:val="center"/>
        <w:rPr>
          <w:rFonts w:ascii="Arial" w:cs="Arial" w:hAnsi="Arial" w:eastAsia="Arial"/>
          <w:b w:val="1"/>
          <w:bCs w:val="1"/>
          <w:sz w:val="26"/>
          <w:szCs w:val="26"/>
          <w:rtl w:val="0"/>
        </w:rPr>
      </w:pPr>
      <w:r>
        <w:rPr>
          <w:rFonts w:ascii="Arial" w:hAnsi="Arial"/>
          <w:b w:val="1"/>
          <w:bCs w:val="1"/>
          <w:sz w:val="26"/>
          <w:szCs w:val="26"/>
          <w:rtl w:val="0"/>
          <w:lang w:val="en-US"/>
        </w:rPr>
        <w:t>Module Code: ECPS6004</w:t>
      </w:r>
    </w:p>
    <w:p>
      <w:pPr>
        <w:pStyle w:val="Default"/>
        <w:bidi w:val="0"/>
        <w:spacing w:before="0" w:after="240" w:line="480" w:lineRule="auto"/>
        <w:ind w:left="0" w:right="0" w:firstLine="0"/>
        <w:jc w:val="center"/>
        <w:rPr>
          <w:rFonts w:ascii="Arial" w:cs="Arial" w:hAnsi="Arial" w:eastAsia="Arial"/>
          <w:b w:val="1"/>
          <w:bCs w:val="1"/>
          <w:sz w:val="26"/>
          <w:szCs w:val="26"/>
          <w:rtl w:val="0"/>
        </w:rPr>
      </w:pPr>
      <w:r>
        <w:rPr>
          <w:rFonts w:ascii="Arial" w:hAnsi="Arial"/>
          <w:b w:val="1"/>
          <w:bCs w:val="1"/>
          <w:sz w:val="26"/>
          <w:szCs w:val="26"/>
          <w:rtl w:val="0"/>
          <w:lang w:val="en-US"/>
        </w:rPr>
        <w:t xml:space="preserve">Title: </w:t>
      </w:r>
      <w:r>
        <w:rPr>
          <w:rFonts w:ascii="Arial" w:hAnsi="Arial"/>
          <w:b w:val="1"/>
          <w:bCs w:val="1"/>
          <w:sz w:val="26"/>
          <w:szCs w:val="26"/>
          <w:rtl w:val="0"/>
          <w:lang w:val="en-US"/>
        </w:rPr>
        <w:t>Addressing the Impact of Poverty-Related Adverse Childhood Experiences</w:t>
      </w:r>
      <w:r>
        <w:rPr>
          <w:rFonts w:ascii="Arial" w:hAnsi="Arial"/>
          <w:b w:val="1"/>
          <w:bCs w:val="1"/>
          <w:sz w:val="26"/>
          <w:szCs w:val="26"/>
          <w:rtl w:val="0"/>
          <w:lang w:val="en-US"/>
        </w:rPr>
        <w:t xml:space="preserve">. </w:t>
      </w:r>
      <w:r>
        <w:rPr>
          <w:rFonts w:ascii="Arial" w:hAnsi="Arial"/>
          <w:b w:val="1"/>
          <w:bCs w:val="1"/>
          <w:sz w:val="26"/>
          <w:szCs w:val="26"/>
          <w:rtl w:val="0"/>
          <w:lang w:val="en-US"/>
        </w:rPr>
        <w:t>A Critical Analysis of Protective Factors and Interventions for Youth Mental Health</w:t>
      </w:r>
      <w:r>
        <w:rPr>
          <w:rFonts w:ascii="Arial" w:hAnsi="Arial"/>
          <w:b w:val="1"/>
          <w:bCs w:val="1"/>
          <w:sz w:val="26"/>
          <w:szCs w:val="26"/>
          <w:rtl w:val="0"/>
          <w:lang w:val="en-US"/>
        </w:rPr>
        <w:t>.</w:t>
      </w:r>
    </w:p>
    <w:p>
      <w:pPr>
        <w:pStyle w:val="Default"/>
        <w:bidi w:val="0"/>
        <w:spacing w:before="0" w:after="240" w:line="480" w:lineRule="auto"/>
        <w:ind w:left="0" w:right="0" w:firstLine="0"/>
        <w:jc w:val="center"/>
        <w:rPr>
          <w:rFonts w:ascii="Arial" w:cs="Arial" w:hAnsi="Arial" w:eastAsia="Arial"/>
          <w:b w:val="1"/>
          <w:bCs w:val="1"/>
          <w:sz w:val="26"/>
          <w:szCs w:val="26"/>
          <w:rtl w:val="0"/>
        </w:rPr>
      </w:pPr>
    </w:p>
    <w:p>
      <w:pPr>
        <w:pStyle w:val="Default"/>
        <w:bidi w:val="0"/>
        <w:spacing w:before="0" w:after="240" w:line="480" w:lineRule="auto"/>
        <w:ind w:left="0" w:right="0" w:firstLine="0"/>
        <w:jc w:val="center"/>
        <w:rPr>
          <w:rFonts w:ascii="Arial" w:cs="Arial" w:hAnsi="Arial" w:eastAsia="Arial"/>
          <w:b w:val="1"/>
          <w:bCs w:val="1"/>
          <w:sz w:val="26"/>
          <w:szCs w:val="26"/>
          <w:rtl w:val="0"/>
        </w:rPr>
      </w:pPr>
    </w:p>
    <w:p>
      <w:pPr>
        <w:pStyle w:val="Default"/>
        <w:bidi w:val="0"/>
        <w:spacing w:before="0" w:after="240" w:line="480" w:lineRule="auto"/>
        <w:ind w:left="0" w:right="0" w:firstLine="0"/>
        <w:jc w:val="center"/>
        <w:rPr>
          <w:rFonts w:ascii="Arial" w:cs="Arial" w:hAnsi="Arial" w:eastAsia="Arial"/>
          <w:b w:val="1"/>
          <w:bCs w:val="1"/>
          <w:sz w:val="26"/>
          <w:szCs w:val="26"/>
          <w:rtl w:val="0"/>
        </w:rPr>
      </w:pPr>
    </w:p>
    <w:p>
      <w:pPr>
        <w:pStyle w:val="Default"/>
        <w:bidi w:val="0"/>
        <w:spacing w:before="0" w:after="240" w:line="480" w:lineRule="auto"/>
        <w:ind w:left="0" w:right="0" w:firstLine="0"/>
        <w:jc w:val="center"/>
        <w:rPr>
          <w:rFonts w:ascii="Arial" w:cs="Arial" w:hAnsi="Arial" w:eastAsia="Arial"/>
          <w:b w:val="1"/>
          <w:bCs w:val="1"/>
          <w:sz w:val="26"/>
          <w:szCs w:val="26"/>
          <w:rtl w:val="0"/>
        </w:rPr>
      </w:pPr>
    </w:p>
    <w:p>
      <w:pPr>
        <w:pStyle w:val="Default"/>
        <w:bidi w:val="0"/>
        <w:spacing w:before="0" w:after="240" w:line="480" w:lineRule="auto"/>
        <w:ind w:left="0" w:right="0" w:firstLine="0"/>
        <w:jc w:val="center"/>
        <w:rPr>
          <w:rFonts w:ascii="Arial" w:cs="Arial" w:hAnsi="Arial" w:eastAsia="Arial"/>
          <w:b w:val="1"/>
          <w:bCs w:val="1"/>
          <w:sz w:val="26"/>
          <w:szCs w:val="26"/>
          <w:rtl w:val="0"/>
        </w:rPr>
      </w:pPr>
    </w:p>
    <w:p>
      <w:pPr>
        <w:pStyle w:val="Default"/>
        <w:bidi w:val="0"/>
        <w:spacing w:before="0" w:after="240" w:line="480" w:lineRule="auto"/>
        <w:ind w:left="0" w:right="0" w:firstLine="0"/>
        <w:jc w:val="center"/>
        <w:rPr>
          <w:rFonts w:ascii="Arial" w:cs="Arial" w:hAnsi="Arial" w:eastAsia="Arial"/>
          <w:b w:val="1"/>
          <w:bCs w:val="1"/>
          <w:sz w:val="26"/>
          <w:szCs w:val="26"/>
          <w:rtl w:val="0"/>
        </w:rPr>
      </w:pPr>
    </w:p>
    <w:p>
      <w:pPr>
        <w:pStyle w:val="Default"/>
        <w:bidi w:val="0"/>
        <w:spacing w:before="0" w:after="240" w:line="480" w:lineRule="auto"/>
        <w:ind w:left="0" w:right="0" w:firstLine="0"/>
        <w:jc w:val="center"/>
        <w:rPr>
          <w:rFonts w:ascii="Arial" w:cs="Arial" w:hAnsi="Arial" w:eastAsia="Arial"/>
          <w:b w:val="1"/>
          <w:bCs w:val="1"/>
          <w:rtl w:val="0"/>
        </w:rPr>
      </w:pPr>
    </w:p>
    <w:p>
      <w:pPr>
        <w:pStyle w:val="Default"/>
        <w:bidi w:val="0"/>
        <w:spacing w:before="0" w:after="240" w:line="480" w:lineRule="auto"/>
        <w:ind w:left="0" w:right="0" w:firstLine="0"/>
        <w:jc w:val="center"/>
        <w:rPr>
          <w:rFonts w:ascii="Arial" w:cs="Arial" w:hAnsi="Arial" w:eastAsia="Arial"/>
          <w:b w:val="1"/>
          <w:bCs w:val="1"/>
          <w:rtl w:val="0"/>
        </w:rPr>
      </w:pPr>
    </w:p>
    <w:p>
      <w:pPr>
        <w:pStyle w:val="Default"/>
        <w:bidi w:val="0"/>
        <w:spacing w:before="0" w:after="240" w:line="480" w:lineRule="auto"/>
        <w:ind w:left="0" w:right="0" w:firstLine="0"/>
        <w:jc w:val="center"/>
        <w:rPr>
          <w:rFonts w:ascii="Arial" w:cs="Arial" w:hAnsi="Arial" w:eastAsia="Arial"/>
          <w:b w:val="1"/>
          <w:bCs w:val="1"/>
          <w:outline w:val="0"/>
          <w:color w:val="222222"/>
          <w:rtl w:val="0"/>
          <w14:textFill>
            <w14:solidFill>
              <w14:srgbClr w14:val="222222"/>
            </w14:solidFill>
          </w14:textFill>
        </w:rPr>
      </w:pPr>
    </w:p>
    <w:p>
      <w:pPr>
        <w:pStyle w:val="Default"/>
        <w:bidi w:val="0"/>
        <w:spacing w:before="0" w:after="240" w:line="480" w:lineRule="auto"/>
        <w:ind w:left="0" w:right="0" w:firstLine="0"/>
        <w:jc w:val="left"/>
        <w:rPr>
          <w:rFonts w:ascii="Times Roman" w:cs="Times Roman" w:hAnsi="Times Roman" w:eastAsia="Times Roman"/>
          <w:rtl w:val="0"/>
        </w:rPr>
      </w:pPr>
    </w:p>
    <w:p>
      <w:pPr>
        <w:pStyle w:val="Default"/>
        <w:bidi w:val="0"/>
        <w:spacing w:before="0" w:after="240" w:line="480" w:lineRule="auto"/>
        <w:ind w:left="0" w:right="0" w:firstLine="0"/>
        <w:jc w:val="left"/>
        <w:rPr>
          <w:rFonts w:ascii="Times Roman" w:cs="Times Roman" w:hAnsi="Times Roman" w:eastAsia="Times Roman"/>
          <w:rtl w:val="0"/>
        </w:rPr>
      </w:pPr>
    </w:p>
    <w:p>
      <w:pPr>
        <w:pStyle w:val="Default"/>
        <w:bidi w:val="0"/>
        <w:spacing w:before="0" w:after="240" w:line="480" w:lineRule="auto"/>
        <w:ind w:left="0" w:right="0" w:firstLine="0"/>
        <w:jc w:val="left"/>
        <w:rPr>
          <w:rFonts w:ascii="Times Roman" w:cs="Times Roman" w:hAnsi="Times Roman" w:eastAsia="Times Roman"/>
          <w:rtl w:val="0"/>
        </w:rPr>
      </w:pPr>
      <w:r>
        <w:rPr>
          <w:rFonts w:ascii="Times Roman" w:hAnsi="Times Roman"/>
          <w:rtl w:val="0"/>
          <w:lang w:val="en-US"/>
        </w:rPr>
        <w:t>In 2022 in England, one in five (19.9%) children aged 7 to 16 lived in households that experienced a reduction in income, with figures escalating to more than one in four (28.6%) of those children with a probable mental health disorder. Alarmingly, the rates of children aged 7 to 16 years experiencing poverty and homelessness, a risk factor for Adverse Childhood Experiences (ACEs), rose from one in nine (12.1%) in 2017 to one in six (16.7%) in 2020 (Newlove-Delgado et al., 2022). Gutman et al. (2015) underscore the profound impact of poverty on</w:t>
      </w:r>
      <w:r>
        <w:rPr>
          <w:rFonts w:ascii="Times Roman" w:hAnsi="Times Roman" w:hint="default"/>
          <w:rtl w:val="0"/>
        </w:rPr>
        <w:t> </w:t>
      </w:r>
      <w:r>
        <w:rPr>
          <w:rFonts w:ascii="Times Roman" w:hAnsi="Times Roman"/>
          <w:rtl w:val="0"/>
          <w:lang w:val="en-US"/>
        </w:rPr>
        <w:t>children's</w:t>
      </w:r>
      <w:r>
        <w:rPr>
          <w:rFonts w:ascii="Times Roman" w:hAnsi="Times Roman" w:hint="default"/>
          <w:rtl w:val="0"/>
        </w:rPr>
        <w:t> </w:t>
      </w:r>
      <w:r>
        <w:rPr>
          <w:rFonts w:ascii="Times Roman" w:hAnsi="Times Roman"/>
          <w:rtl w:val="0"/>
        </w:rPr>
        <w:t>mental</w:t>
      </w:r>
      <w:r>
        <w:rPr>
          <w:rFonts w:ascii="Times Roman" w:hAnsi="Times Roman" w:hint="default"/>
          <w:rtl w:val="0"/>
        </w:rPr>
        <w:t> </w:t>
      </w:r>
      <w:r>
        <w:rPr>
          <w:rFonts w:ascii="Times Roman" w:hAnsi="Times Roman"/>
          <w:rtl w:val="0"/>
          <w:lang w:val="en-US"/>
        </w:rPr>
        <w:t>health;</w:t>
      </w:r>
      <w:r>
        <w:rPr>
          <w:rFonts w:ascii="Times Roman" w:hAnsi="Times Roman" w:hint="default"/>
          <w:rtl w:val="0"/>
        </w:rPr>
        <w:t> </w:t>
      </w:r>
      <w:r>
        <w:rPr>
          <w:rFonts w:ascii="Times Roman" w:hAnsi="Times Roman"/>
          <w:rtl w:val="0"/>
          <w:lang w:val="en-US"/>
        </w:rPr>
        <w:t>with young people in the lowest income category being 4.5 times more likely to encounter severe mental health</w:t>
      </w:r>
      <w:r>
        <w:rPr>
          <w:rFonts w:ascii="Times Roman" w:hAnsi="Times Roman" w:hint="default"/>
          <w:rtl w:val="0"/>
        </w:rPr>
        <w:t> </w:t>
      </w:r>
      <w:r>
        <w:rPr>
          <w:rFonts w:ascii="Times Roman" w:hAnsi="Times Roman"/>
          <w:rtl w:val="0"/>
          <w:lang w:val="en-US"/>
        </w:rPr>
        <w:t>difficulties,</w:t>
      </w:r>
      <w:r>
        <w:rPr>
          <w:rFonts w:ascii="Times Roman" w:hAnsi="Times Roman" w:hint="default"/>
          <w:rtl w:val="0"/>
        </w:rPr>
        <w:t> </w:t>
      </w:r>
      <w:r>
        <w:rPr>
          <w:rFonts w:ascii="Times Roman" w:hAnsi="Times Roman"/>
          <w:rtl w:val="0"/>
          <w:lang w:val="en-US"/>
        </w:rPr>
        <w:t>compared to their peers in the highest income bracket. This essay aims to analyse the fictional case scenario of Ben, a 15-year-old adolescent who is currently facing significant challenges, primarily characterised by anxiety and panic attacks triggered when he needs to leave his house. His current coping mechanisms are maladaptive, and there is concern for his overall well-being as he engages in self-harm by scratching and cutting his wrists. The pressure from</w:t>
      </w:r>
      <w:r>
        <w:rPr>
          <w:rFonts w:ascii="Times Roman" w:hAnsi="Times Roman" w:hint="default"/>
          <w:rtl w:val="0"/>
        </w:rPr>
        <w:t> </w:t>
      </w:r>
      <w:r>
        <w:rPr>
          <w:rFonts w:ascii="Times Roman" w:hAnsi="Times Roman"/>
          <w:rtl w:val="0"/>
          <w:lang w:val="en-US"/>
        </w:rPr>
        <w:t>Ben's</w:t>
      </w:r>
      <w:r>
        <w:rPr>
          <w:rFonts w:ascii="Times Roman" w:hAnsi="Times Roman" w:hint="default"/>
          <w:rtl w:val="0"/>
        </w:rPr>
        <w:t> </w:t>
      </w:r>
      <w:r>
        <w:rPr>
          <w:rFonts w:ascii="Times Roman" w:hAnsi="Times Roman"/>
          <w:rtl w:val="0"/>
          <w:lang w:val="en-US"/>
        </w:rPr>
        <w:t>school has intensified, causing distress to his parents, who are deeply concerned about his self-destructive behaviour. In an attempt to address the pressure from the school,</w:t>
      </w:r>
      <w:r>
        <w:rPr>
          <w:rFonts w:ascii="Times Roman" w:hAnsi="Times Roman" w:hint="default"/>
          <w:rtl w:val="0"/>
        </w:rPr>
        <w:t> </w:t>
      </w:r>
      <w:r>
        <w:rPr>
          <w:rFonts w:ascii="Times Roman" w:hAnsi="Times Roman"/>
          <w:rtl w:val="0"/>
          <w:lang w:val="en-US"/>
        </w:rPr>
        <w:t>Ben's</w:t>
      </w:r>
      <w:r>
        <w:rPr>
          <w:rFonts w:ascii="Times Roman" w:hAnsi="Times Roman" w:hint="default"/>
          <w:rtl w:val="0"/>
        </w:rPr>
        <w:t> </w:t>
      </w:r>
      <w:r>
        <w:rPr>
          <w:rFonts w:ascii="Times Roman" w:hAnsi="Times Roman"/>
          <w:rtl w:val="0"/>
          <w:lang w:val="en-US"/>
        </w:rPr>
        <w:t>parents ensure his timely arrival at school, which exacerbates his distress</w:t>
      </w:r>
      <w:r>
        <w:rPr>
          <w:rFonts w:ascii="Times Roman" w:hAnsi="Times Roman" w:hint="default"/>
          <w:rtl w:val="0"/>
        </w:rPr>
        <w:t> </w:t>
      </w:r>
      <w:r>
        <w:rPr>
          <w:rFonts w:ascii="Times Roman" w:hAnsi="Times Roman"/>
          <w:rtl w:val="0"/>
          <w:lang w:val="en-US"/>
        </w:rPr>
        <w:t>leading</w:t>
      </w:r>
      <w:r>
        <w:rPr>
          <w:rFonts w:ascii="Times Roman" w:hAnsi="Times Roman" w:hint="default"/>
          <w:rtl w:val="0"/>
        </w:rPr>
        <w:t> </w:t>
      </w:r>
      <w:r>
        <w:rPr>
          <w:rFonts w:ascii="Times Roman" w:hAnsi="Times Roman"/>
          <w:rtl w:val="0"/>
          <w:lang w:val="en-US"/>
        </w:rPr>
        <w:t>to the onset of anxiety and somatic symptoms such as stomach cramps, shakes, and nausea.</w:t>
      </w:r>
      <w:r>
        <w:rPr>
          <w:rFonts w:ascii="Times Roman" w:hAnsi="Times Roman" w:hint="default"/>
          <w:rtl w:val="0"/>
        </w:rPr>
        <w:t> </w:t>
      </w:r>
      <w:r>
        <w:rPr>
          <w:rFonts w:ascii="Times Roman" w:hAnsi="Times Roman"/>
          <w:rtl w:val="0"/>
          <w:lang w:val="en-US"/>
        </w:rPr>
        <w:t>In specific, this case study aims to discuss the life-long implications, preventative factors, and</w:t>
      </w:r>
      <w:r>
        <w:rPr>
          <w:rFonts w:ascii="Times Roman" w:hAnsi="Times Roman" w:hint="default"/>
          <w:rtl w:val="0"/>
        </w:rPr>
        <w:t> </w:t>
      </w:r>
      <w:r>
        <w:rPr>
          <w:rFonts w:ascii="Times Roman" w:hAnsi="Times Roman"/>
          <w:rtl w:val="0"/>
          <w:lang w:val="fr-FR"/>
        </w:rPr>
        <w:t>interventions,</w:t>
      </w:r>
      <w:r>
        <w:rPr>
          <w:rFonts w:ascii="Times Roman" w:hAnsi="Times Roman" w:hint="default"/>
          <w:rtl w:val="0"/>
        </w:rPr>
        <w:t> </w:t>
      </w:r>
      <w:r>
        <w:rPr>
          <w:rFonts w:ascii="Times Roman" w:hAnsi="Times Roman"/>
          <w:rtl w:val="0"/>
          <w:lang w:val="en-US"/>
        </w:rPr>
        <w:t>concerning the risk factor of poverty on the development of Adverse Childhood Experiences (ACEs).</w:t>
      </w:r>
      <w:r>
        <w:rPr>
          <w:rFonts w:ascii="Times Roman" w:hAnsi="Times Roman" w:hint="default"/>
          <w:rtl w:val="0"/>
        </w:rPr>
        <w:t> </w:t>
      </w:r>
    </w:p>
    <w:p>
      <w:pPr>
        <w:pStyle w:val="Default"/>
        <w:bidi w:val="0"/>
        <w:spacing w:before="0" w:after="240" w:line="480" w:lineRule="auto"/>
        <w:ind w:left="0" w:right="0" w:firstLine="0"/>
        <w:jc w:val="left"/>
        <w:rPr>
          <w:rFonts w:ascii="Times Roman" w:cs="Times Roman" w:hAnsi="Times Roman" w:eastAsia="Times Roman"/>
          <w:rtl w:val="0"/>
        </w:rPr>
      </w:pPr>
      <w:r>
        <w:rPr>
          <w:rFonts w:ascii="Times Roman" w:cs="Times Roman" w:hAnsi="Times Roman" w:eastAsia="Times Roman"/>
          <w:rtl w:val="0"/>
        </w:rPr>
        <w:tab/>
      </w:r>
      <w:r>
        <w:rPr>
          <w:rFonts w:ascii="Times Roman" w:hAnsi="Times Roman"/>
          <w:rtl w:val="0"/>
          <w:lang w:val="en-US"/>
        </w:rPr>
        <w:t>Although all 10</w:t>
      </w:r>
      <w:r>
        <w:rPr>
          <w:rFonts w:ascii="Times Roman" w:hAnsi="Times Roman" w:hint="default"/>
          <w:rtl w:val="0"/>
        </w:rPr>
        <w:t> </w:t>
      </w:r>
      <w:r>
        <w:rPr>
          <w:rFonts w:ascii="Times Roman" w:hAnsi="Times Roman"/>
          <w:rtl w:val="0"/>
          <w:lang w:val="en-US"/>
        </w:rPr>
        <w:t>of the</w:t>
      </w:r>
      <w:r>
        <w:rPr>
          <w:rFonts w:ascii="Times Roman" w:hAnsi="Times Roman" w:hint="default"/>
          <w:rtl w:val="0"/>
        </w:rPr>
        <w:t> </w:t>
      </w:r>
      <w:r>
        <w:rPr>
          <w:rFonts w:ascii="Times Roman" w:hAnsi="Times Roman"/>
          <w:rtl w:val="0"/>
          <w:lang w:val="en-US"/>
        </w:rPr>
        <w:t>commonly measured ACEs are social, a limited discussion has taken place about the importance of</w:t>
      </w:r>
      <w:r>
        <w:rPr>
          <w:rFonts w:ascii="Times Roman" w:hAnsi="Times Roman" w:hint="default"/>
          <w:rtl w:val="0"/>
        </w:rPr>
        <w:t> </w:t>
      </w:r>
      <w:r>
        <w:rPr>
          <w:rFonts w:ascii="Times Roman" w:hAnsi="Times Roman"/>
          <w:rtl w:val="0"/>
          <w:lang w:val="it-IT"/>
        </w:rPr>
        <w:t>socio-economic</w:t>
      </w:r>
      <w:r>
        <w:rPr>
          <w:rFonts w:ascii="Times Roman" w:hAnsi="Times Roman" w:hint="default"/>
          <w:rtl w:val="0"/>
        </w:rPr>
        <w:t> </w:t>
      </w:r>
      <w:r>
        <w:rPr>
          <w:rFonts w:ascii="Times Roman" w:hAnsi="Times Roman"/>
          <w:rtl w:val="0"/>
          <w:lang w:val="en-US"/>
        </w:rPr>
        <w:t>conditions, such as poverty, in understanding and addressing ACEs. Felitti et</w:t>
      </w:r>
      <w:r>
        <w:rPr>
          <w:rFonts w:ascii="Times Roman" w:hAnsi="Times Roman" w:hint="default"/>
          <w:rtl w:val="0"/>
        </w:rPr>
        <w:t> </w:t>
      </w:r>
      <w:r>
        <w:rPr>
          <w:rFonts w:ascii="Times Roman" w:hAnsi="Times Roman"/>
          <w:rtl w:val="0"/>
          <w:lang w:val="pt-PT"/>
        </w:rPr>
        <w:t>al.'s</w:t>
      </w:r>
      <w:r>
        <w:rPr>
          <w:rFonts w:ascii="Times Roman" w:hAnsi="Times Roman" w:hint="default"/>
          <w:rtl w:val="0"/>
        </w:rPr>
        <w:t> </w:t>
      </w:r>
      <w:r>
        <w:rPr>
          <w:rFonts w:ascii="Times Roman" w:hAnsi="Times Roman"/>
          <w:rtl w:val="0"/>
          <w:lang w:val="en-US"/>
        </w:rPr>
        <w:t>(1998) pioneering ACEs study introduced an approach that utilises a straightforward tally of psychosocial risk factors experienced from infancy through adolescence to predict</w:t>
      </w:r>
      <w:r>
        <w:rPr>
          <w:rFonts w:ascii="Times Roman" w:hAnsi="Times Roman" w:hint="default"/>
          <w:rtl w:val="0"/>
        </w:rPr>
        <w:t> </w:t>
      </w:r>
      <w:r>
        <w:rPr>
          <w:rFonts w:ascii="Times Roman" w:hAnsi="Times Roman"/>
          <w:rtl w:val="0"/>
          <w:lang w:val="en-US"/>
        </w:rPr>
        <w:t>serious</w:t>
      </w:r>
      <w:r>
        <w:rPr>
          <w:rFonts w:ascii="Times Roman" w:hAnsi="Times Roman" w:hint="default"/>
          <w:rtl w:val="0"/>
        </w:rPr>
        <w:t> </w:t>
      </w:r>
      <w:r>
        <w:rPr>
          <w:rFonts w:ascii="Times Roman" w:hAnsi="Times Roman"/>
          <w:rtl w:val="0"/>
          <w:lang w:val="en-US"/>
        </w:rPr>
        <w:t>mental and physical ill health in adulthood. Although Felitti et al. (1998)</w:t>
      </w:r>
      <w:r>
        <w:rPr>
          <w:rFonts w:ascii="Times Roman" w:hAnsi="Times Roman" w:hint="default"/>
          <w:rtl w:val="0"/>
        </w:rPr>
        <w:t> </w:t>
      </w:r>
      <w:r>
        <w:rPr>
          <w:rFonts w:ascii="Times Roman" w:hAnsi="Times Roman"/>
          <w:rtl w:val="0"/>
          <w:lang w:val="en-US"/>
        </w:rPr>
        <w:t>don't</w:t>
      </w:r>
      <w:r>
        <w:rPr>
          <w:rFonts w:ascii="Times Roman" w:hAnsi="Times Roman" w:hint="default"/>
          <w:rtl w:val="0"/>
        </w:rPr>
        <w:t> </w:t>
      </w:r>
      <w:r>
        <w:rPr>
          <w:rFonts w:ascii="Times Roman" w:hAnsi="Times Roman"/>
          <w:rtl w:val="0"/>
          <w:lang w:val="en-US"/>
        </w:rPr>
        <w:t>explicitly mention poverty, they employ household dysfunction as a criterion for assessment. Recent research by Crouch et al. (2019), drawing on the 2016 National Survey of</w:t>
      </w:r>
      <w:r>
        <w:rPr>
          <w:rFonts w:ascii="Times Roman" w:hAnsi="Times Roman" w:hint="default"/>
          <w:rtl w:val="0"/>
        </w:rPr>
        <w:t> </w:t>
      </w:r>
      <w:r>
        <w:rPr>
          <w:rFonts w:ascii="Times Roman" w:hAnsi="Times Roman"/>
          <w:rtl w:val="0"/>
          <w:lang w:val="en-US"/>
        </w:rPr>
        <w:t>Children</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Health (NSCH), argues that poverty and economic challenges are the prevailing forms of adverse childhood experiences (ACE). Furthermore, communities affected by poverty and lacking access to educational and economic opportunities are regarded as being at risk for adverse childhood experiences (ACEs), according to the Centers for Disease Control and Prevention (CDC, 2022).</w:t>
      </w:r>
      <w:r>
        <w:rPr>
          <w:rFonts w:ascii="Times Roman" w:hAnsi="Times Roman" w:hint="default"/>
          <w:rtl w:val="0"/>
        </w:rPr>
        <w:t xml:space="preserve">  </w:t>
      </w:r>
      <w:r>
        <w:rPr>
          <w:rFonts w:ascii="Times Roman" w:hAnsi="Times Roman"/>
          <w:rtl w:val="0"/>
          <w:lang w:val="en-US"/>
        </w:rPr>
        <w:t>The Welsh</w:t>
      </w:r>
      <w:r>
        <w:rPr>
          <w:rFonts w:ascii="Times Roman" w:hAnsi="Times Roman" w:hint="default"/>
          <w:rtl w:val="0"/>
        </w:rPr>
        <w:t> </w:t>
      </w:r>
      <w:r>
        <w:rPr>
          <w:rFonts w:ascii="Times Roman" w:hAnsi="Times Roman"/>
          <w:rtl w:val="0"/>
          <w:lang w:val="en-US"/>
        </w:rPr>
        <w:t>Government</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(2021) ACEs policy review aims to address these</w:t>
      </w:r>
      <w:r>
        <w:rPr>
          <w:rFonts w:ascii="Times Roman" w:hAnsi="Times Roman" w:hint="default"/>
          <w:rtl w:val="0"/>
        </w:rPr>
        <w:t> </w:t>
      </w:r>
      <w:r>
        <w:rPr>
          <w:rFonts w:ascii="Times Roman" w:hAnsi="Times Roman"/>
          <w:rtl w:val="0"/>
          <w:lang w:val="en-US"/>
        </w:rPr>
        <w:t>concerns,</w:t>
      </w:r>
      <w:r>
        <w:rPr>
          <w:rFonts w:ascii="Times Roman" w:hAnsi="Times Roman" w:hint="default"/>
          <w:rtl w:val="0"/>
        </w:rPr>
        <w:t> </w:t>
      </w:r>
      <w:r>
        <w:rPr>
          <w:rFonts w:ascii="Times Roman" w:hAnsi="Times Roman"/>
          <w:rtl w:val="0"/>
          <w:lang w:val="en-US"/>
        </w:rPr>
        <w:t>and insists</w:t>
      </w:r>
      <w:r>
        <w:rPr>
          <w:rFonts w:ascii="Times Roman" w:hAnsi="Times Roman" w:hint="default"/>
          <w:rtl w:val="0"/>
        </w:rPr>
        <w:t> </w:t>
      </w:r>
      <w:r>
        <w:rPr>
          <w:rFonts w:ascii="Times Roman" w:hAnsi="Times Roman"/>
          <w:rtl w:val="0"/>
          <w:lang w:val="en-US"/>
        </w:rPr>
        <w:t>that</w:t>
      </w:r>
      <w:r>
        <w:rPr>
          <w:rFonts w:ascii="Times Roman" w:hAnsi="Times Roman" w:hint="default"/>
          <w:rtl w:val="0"/>
        </w:rPr>
        <w:t> </w:t>
      </w:r>
      <w:r>
        <w:rPr>
          <w:rFonts w:ascii="Times Roman" w:hAnsi="Times Roman"/>
          <w:rtl w:val="0"/>
          <w:lang w:val="en-US"/>
        </w:rPr>
        <w:t>where possible,</w:t>
      </w:r>
      <w:r>
        <w:rPr>
          <w:rFonts w:ascii="Times Roman" w:hAnsi="Times Roman" w:hint="default"/>
          <w:rtl w:val="0"/>
        </w:rPr>
        <w:t> </w:t>
      </w:r>
      <w:r>
        <w:rPr>
          <w:rFonts w:ascii="Times Roman" w:hAnsi="Times Roman"/>
          <w:rtl w:val="0"/>
          <w:lang w:val="en-US"/>
        </w:rPr>
        <w:t>ACEs should be prevented</w:t>
      </w:r>
      <w:r>
        <w:rPr>
          <w:rFonts w:ascii="Times Roman" w:hAnsi="Times Roman" w:hint="default"/>
          <w:rtl w:val="0"/>
        </w:rPr>
        <w:t> </w:t>
      </w:r>
      <w:r>
        <w:rPr>
          <w:rFonts w:ascii="Times Roman" w:hAnsi="Times Roman"/>
          <w:rtl w:val="0"/>
          <w:lang w:val="en-US"/>
        </w:rPr>
        <w:t>by adopting interventions and preventative measures that reduce the number of young people experiencing</w:t>
      </w:r>
      <w:r>
        <w:rPr>
          <w:rFonts w:ascii="Times Roman" w:hAnsi="Times Roman" w:hint="default"/>
          <w:rtl w:val="0"/>
        </w:rPr>
        <w:t> </w:t>
      </w:r>
      <w:r>
        <w:rPr>
          <w:rFonts w:ascii="Times Roman" w:hAnsi="Times Roman"/>
          <w:rtl w:val="0"/>
          <w:lang w:val="es-ES_tradnl"/>
        </w:rPr>
        <w:t>ACEs;</w:t>
      </w:r>
      <w:r>
        <w:rPr>
          <w:rFonts w:ascii="Times Roman" w:hAnsi="Times Roman" w:hint="default"/>
          <w:rtl w:val="0"/>
        </w:rPr>
        <w:t> </w:t>
      </w:r>
      <w:r>
        <w:rPr>
          <w:rFonts w:ascii="Times Roman" w:hAnsi="Times Roman"/>
          <w:rtl w:val="0"/>
          <w:lang w:val="en-US"/>
        </w:rPr>
        <w:t>specifically highlighting the necessity for deprived areas to receive the necessary support and resources due to the concentrated number of individuals subject to ACEs in these areas. It is imperative to recognise that poverty has</w:t>
      </w:r>
      <w:r>
        <w:rPr>
          <w:rFonts w:ascii="Times Roman" w:hAnsi="Times Roman" w:hint="default"/>
          <w:rtl w:val="0"/>
        </w:rPr>
        <w:t> </w:t>
      </w:r>
      <w:r>
        <w:rPr>
          <w:rFonts w:ascii="Times Roman" w:hAnsi="Times Roman"/>
          <w:rtl w:val="0"/>
          <w:lang w:val="en-US"/>
        </w:rPr>
        <w:t>been observed</w:t>
      </w:r>
      <w:r>
        <w:rPr>
          <w:rFonts w:ascii="Times Roman" w:hAnsi="Times Roman" w:hint="default"/>
          <w:rtl w:val="0"/>
        </w:rPr>
        <w:t> </w:t>
      </w:r>
      <w:r>
        <w:rPr>
          <w:rFonts w:ascii="Times Roman" w:hAnsi="Times Roman"/>
          <w:rtl w:val="0"/>
          <w:lang w:val="en-US"/>
        </w:rPr>
        <w:t>to have an abundance of psychological, social, and physical consequences, for</w:t>
      </w:r>
      <w:r>
        <w:rPr>
          <w:rFonts w:ascii="Times Roman" w:hAnsi="Times Roman" w:hint="default"/>
          <w:rtl w:val="0"/>
        </w:rPr>
        <w:t> </w:t>
      </w:r>
      <w:r>
        <w:rPr>
          <w:rFonts w:ascii="Times Roman" w:hAnsi="Times Roman"/>
          <w:rtl w:val="0"/>
          <w:lang w:val="en-US"/>
        </w:rPr>
        <w:t>example, children growing up in poverty are more prone to encountering risk factors such as inter-family violence, separating from loved ones, and sub-standard living conditions (Evans, 2004; Evans &amp; Kim, 2012).</w:t>
      </w:r>
      <w:r>
        <w:rPr>
          <w:rFonts w:ascii="Times Roman" w:hAnsi="Times Roman" w:hint="default"/>
          <w:rtl w:val="0"/>
        </w:rPr>
        <w:t> </w:t>
      </w:r>
    </w:p>
    <w:p>
      <w:pPr>
        <w:pStyle w:val="Default"/>
        <w:bidi w:val="0"/>
        <w:spacing w:before="0" w:after="240" w:line="480" w:lineRule="auto"/>
        <w:ind w:left="0" w:right="0" w:firstLine="0"/>
        <w:jc w:val="left"/>
        <w:rPr>
          <w:rFonts w:ascii="Times Roman" w:cs="Times Roman" w:hAnsi="Times Roman" w:eastAsia="Times Roman"/>
          <w:rtl w:val="0"/>
        </w:rPr>
      </w:pPr>
      <w:r>
        <w:rPr>
          <w:rFonts w:ascii="Times Roman" w:cs="Times Roman" w:hAnsi="Times Roman" w:eastAsia="Times Roman"/>
          <w:rtl w:val="0"/>
        </w:rPr>
        <w:tab/>
      </w:r>
      <w:r>
        <w:rPr>
          <w:rFonts w:ascii="Times Roman" w:hAnsi="Times Roman"/>
          <w:rtl w:val="0"/>
          <w:lang w:val="en-US"/>
        </w:rPr>
        <w:t>When considering</w:t>
      </w:r>
      <w:r>
        <w:rPr>
          <w:rFonts w:ascii="Times Roman" w:hAnsi="Times Roman" w:hint="default"/>
          <w:rtl w:val="0"/>
        </w:rPr>
        <w:t> </w:t>
      </w:r>
      <w:r>
        <w:rPr>
          <w:rFonts w:ascii="Times Roman" w:hAnsi="Times Roman"/>
          <w:rtl w:val="0"/>
        </w:rPr>
        <w:t>Ben</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case fictional case scenario, he is refusing to attend</w:t>
      </w:r>
      <w:r>
        <w:rPr>
          <w:rFonts w:ascii="Times Roman" w:hAnsi="Times Roman" w:hint="default"/>
          <w:rtl w:val="0"/>
        </w:rPr>
        <w:t> </w:t>
      </w:r>
      <w:r>
        <w:rPr>
          <w:rFonts w:ascii="Times Roman" w:hAnsi="Times Roman"/>
          <w:rtl w:val="0"/>
          <w:lang w:val="en-US"/>
        </w:rPr>
        <w:t>school,</w:t>
      </w:r>
      <w:r>
        <w:rPr>
          <w:rFonts w:ascii="Times Roman" w:hAnsi="Times Roman" w:hint="default"/>
          <w:rtl w:val="0"/>
        </w:rPr>
        <w:t> </w:t>
      </w:r>
      <w:r>
        <w:rPr>
          <w:rFonts w:ascii="Times Roman" w:hAnsi="Times Roman"/>
          <w:rtl w:val="0"/>
        </w:rPr>
        <w:t>and</w:t>
      </w:r>
      <w:r>
        <w:rPr>
          <w:rFonts w:ascii="Times Roman" w:hAnsi="Times Roman" w:hint="default"/>
          <w:rtl w:val="0"/>
        </w:rPr>
        <w:t> </w:t>
      </w:r>
      <w:r>
        <w:rPr>
          <w:rFonts w:ascii="Times Roman" w:hAnsi="Times Roman"/>
          <w:rtl w:val="0"/>
        </w:rPr>
        <w:t>as</w:t>
      </w:r>
      <w:r>
        <w:rPr>
          <w:rFonts w:ascii="Times Roman" w:hAnsi="Times Roman" w:hint="default"/>
          <w:rtl w:val="0"/>
        </w:rPr>
        <w:t> </w:t>
      </w:r>
      <w:r>
        <w:rPr>
          <w:rFonts w:ascii="Times Roman" w:hAnsi="Times Roman"/>
          <w:rtl w:val="0"/>
          <w:lang w:val="en-US"/>
        </w:rPr>
        <w:t>a result of the</w:t>
      </w:r>
      <w:r>
        <w:rPr>
          <w:rFonts w:ascii="Times Roman" w:hAnsi="Times Roman" w:hint="default"/>
          <w:rtl w:val="0"/>
        </w:rPr>
        <w:t> </w:t>
      </w:r>
      <w:r>
        <w:rPr>
          <w:rFonts w:ascii="Times Roman" w:hAnsi="Times Roman"/>
          <w:rtl w:val="0"/>
          <w:lang w:val="fr-FR"/>
        </w:rPr>
        <w:t>anticipation</w:t>
      </w:r>
      <w:r>
        <w:rPr>
          <w:rFonts w:ascii="Times Roman" w:hAnsi="Times Roman" w:hint="default"/>
          <w:rtl w:val="0"/>
        </w:rPr>
        <w:t> </w:t>
      </w:r>
      <w:r>
        <w:rPr>
          <w:rFonts w:ascii="Times Roman" w:hAnsi="Times Roman"/>
          <w:rtl w:val="0"/>
          <w:lang w:val="en-US"/>
        </w:rPr>
        <w:t>is experiencing extreme panic and anxiety when having to leave home; this avoidant behaviour and social withdrawal could stem from low self-confidence or negative perception of self. Robust research (Doi et al., 2019) highlights the profound impact of child poverty, which can lead to various detrimental consequences, such as diminished self-esteem - a recognised risk factor contributing to the development of mental health issues, increased suicide</w:t>
      </w:r>
      <w:r>
        <w:rPr>
          <w:rFonts w:ascii="Times Roman" w:hAnsi="Times Roman" w:hint="default"/>
          <w:rtl w:val="0"/>
        </w:rPr>
        <w:t> </w:t>
      </w:r>
      <w:r>
        <w:rPr>
          <w:rFonts w:ascii="Times Roman" w:hAnsi="Times Roman"/>
          <w:rtl w:val="0"/>
          <w:lang w:val="da-DK"/>
        </w:rPr>
        <w:t>risk,</w:t>
      </w:r>
      <w:r>
        <w:rPr>
          <w:rFonts w:ascii="Times Roman" w:hAnsi="Times Roman" w:hint="default"/>
          <w:rtl w:val="0"/>
        </w:rPr>
        <w:t> </w:t>
      </w:r>
      <w:r>
        <w:rPr>
          <w:rFonts w:ascii="Times Roman" w:hAnsi="Times Roman"/>
          <w:rtl w:val="0"/>
          <w:lang w:val="en-US"/>
        </w:rPr>
        <w:t>and academic underachievement. Ben is 15 years of age, a crucial period in physical and psychological development. Solmi et al. (2022) offer a comprehensive understanding of the age of onset for mental health challenges during youth, revealing that 48.4% of young people experience emerging mental health disorders. Notably, for specific conditions, the proportion of onset before the age of 18 is alarmingly</w:t>
      </w:r>
      <w:r>
        <w:rPr>
          <w:rFonts w:ascii="Times Roman" w:hAnsi="Times Roman" w:hint="default"/>
          <w:rtl w:val="0"/>
        </w:rPr>
        <w:t> </w:t>
      </w:r>
      <w:r>
        <w:rPr>
          <w:rFonts w:ascii="Times Roman" w:hAnsi="Times Roman"/>
          <w:rtl w:val="0"/>
          <w:lang w:val="en-US"/>
        </w:rPr>
        <w:t>higher;</w:t>
      </w:r>
      <w:r>
        <w:rPr>
          <w:rFonts w:ascii="Times Roman" w:hAnsi="Times Roman" w:hint="default"/>
          <w:rtl w:val="0"/>
        </w:rPr>
        <w:t> </w:t>
      </w:r>
      <w:r>
        <w:rPr>
          <w:rFonts w:ascii="Times Roman" w:hAnsi="Times Roman"/>
          <w:rtl w:val="0"/>
          <w:lang w:val="en-US"/>
        </w:rPr>
        <w:t>with 79.1% of cases of Social Anxiety Disorder (SAD) manifesting before adulthood.</w:t>
      </w:r>
      <w:r>
        <w:rPr>
          <w:rFonts w:ascii="Times Roman" w:hAnsi="Times Roman" w:hint="default"/>
          <w:rtl w:val="0"/>
        </w:rPr>
        <w:t> </w:t>
      </w:r>
      <w:r>
        <w:rPr>
          <w:rFonts w:ascii="Times Roman" w:hAnsi="Times Roman"/>
          <w:rtl w:val="0"/>
          <w:lang w:val="en-US"/>
        </w:rPr>
        <w:t>In contrast, historical studies have suggested that SAD can</w:t>
      </w:r>
      <w:r>
        <w:rPr>
          <w:rFonts w:ascii="Times Roman" w:hAnsi="Times Roman" w:hint="default"/>
          <w:rtl w:val="0"/>
        </w:rPr>
        <w:t> </w:t>
      </w:r>
      <w:r>
        <w:rPr>
          <w:rFonts w:ascii="Times Roman" w:hAnsi="Times Roman"/>
          <w:rtl w:val="0"/>
          <w:lang w:val="en-US"/>
        </w:rPr>
        <w:t>be diagnosed</w:t>
      </w:r>
      <w:r>
        <w:rPr>
          <w:rFonts w:ascii="Times Roman" w:hAnsi="Times Roman" w:hint="default"/>
          <w:rtl w:val="0"/>
        </w:rPr>
        <w:t> </w:t>
      </w:r>
      <w:r>
        <w:rPr>
          <w:rFonts w:ascii="Times Roman" w:hAnsi="Times Roman"/>
          <w:rtl w:val="0"/>
          <w:lang w:val="en-US"/>
        </w:rPr>
        <w:t>as early as</w:t>
      </w:r>
      <w:r>
        <w:rPr>
          <w:rFonts w:ascii="Times Roman" w:hAnsi="Times Roman" w:hint="default"/>
          <w:rtl w:val="0"/>
        </w:rPr>
        <w:t> </w:t>
      </w:r>
      <w:r>
        <w:rPr>
          <w:rFonts w:ascii="Times Roman" w:hAnsi="Times Roman"/>
          <w:rtl w:val="0"/>
        </w:rPr>
        <w:t>8</w:t>
      </w:r>
      <w:r>
        <w:rPr>
          <w:rFonts w:ascii="Times Roman" w:hAnsi="Times Roman" w:hint="default"/>
          <w:rtl w:val="0"/>
        </w:rPr>
        <w:t> </w:t>
      </w:r>
      <w:r>
        <w:rPr>
          <w:rFonts w:ascii="Times Roman" w:hAnsi="Times Roman"/>
          <w:rtl w:val="0"/>
          <w:lang w:val="en-US"/>
        </w:rPr>
        <w:t>years of age (Beidel &amp; Turner, 1988), underscoring the importance of early intervention and support for vulnerable young people. Currie and Spatz Widom (2010) claim that during their school years, young individuals with mental health issues like avoidant behaviour and social phobia experience heightened states of anxiety, which consequently distracts them from achieving their academic goals. According to the DMS-5 (American Psychiatric Association, 2013), SAD</w:t>
      </w:r>
      <w:r>
        <w:rPr>
          <w:rFonts w:ascii="Times Roman" w:hAnsi="Times Roman" w:hint="default"/>
          <w:rtl w:val="0"/>
        </w:rPr>
        <w:t> </w:t>
      </w:r>
      <w:r>
        <w:rPr>
          <w:rFonts w:ascii="Times Roman" w:hAnsi="Times Roman"/>
          <w:rtl w:val="0"/>
          <w:lang w:val="en-US"/>
        </w:rPr>
        <w:t>is defined</w:t>
      </w:r>
      <w:r>
        <w:rPr>
          <w:rFonts w:ascii="Times Roman" w:hAnsi="Times Roman" w:hint="default"/>
          <w:rtl w:val="0"/>
        </w:rPr>
        <w:t> </w:t>
      </w:r>
      <w:r>
        <w:rPr>
          <w:rFonts w:ascii="Times Roman" w:hAnsi="Times Roman"/>
          <w:rtl w:val="0"/>
          <w:lang w:val="en-US"/>
        </w:rPr>
        <w:t>as a persistent fear of social</w:t>
      </w:r>
      <w:r>
        <w:rPr>
          <w:rFonts w:ascii="Times Roman" w:hAnsi="Times Roman" w:hint="default"/>
          <w:rtl w:val="0"/>
        </w:rPr>
        <w:t> </w:t>
      </w:r>
      <w:r>
        <w:rPr>
          <w:rFonts w:ascii="Times Roman" w:hAnsi="Times Roman"/>
          <w:rtl w:val="0"/>
          <w:lang w:val="fr-FR"/>
        </w:rPr>
        <w:t>situations,</w:t>
      </w:r>
      <w:r>
        <w:rPr>
          <w:rFonts w:ascii="Times Roman" w:hAnsi="Times Roman" w:hint="default"/>
          <w:rtl w:val="0"/>
        </w:rPr>
        <w:t> </w:t>
      </w:r>
      <w:r>
        <w:rPr>
          <w:rFonts w:ascii="Times Roman" w:hAnsi="Times Roman"/>
          <w:rtl w:val="0"/>
          <w:lang w:val="en-US"/>
        </w:rPr>
        <w:t>where scrutiny is possible, leading to the development of somatic and psychological anxiety symptoms disproportionate to the perceived threat.</w:t>
      </w:r>
      <w:r>
        <w:rPr>
          <w:rFonts w:ascii="Times Roman" w:hAnsi="Times Roman" w:hint="default"/>
          <w:rtl w:val="0"/>
        </w:rPr>
        <w:t> </w:t>
      </w:r>
      <w:r>
        <w:rPr>
          <w:rFonts w:ascii="Times Roman" w:hAnsi="Times Roman"/>
          <w:rtl w:val="0"/>
          <w:lang w:val="en-US"/>
        </w:rPr>
        <w:t>It's</w:t>
      </w:r>
      <w:r>
        <w:rPr>
          <w:rFonts w:ascii="Times Roman" w:hAnsi="Times Roman" w:hint="default"/>
          <w:rtl w:val="0"/>
        </w:rPr>
        <w:t> </w:t>
      </w:r>
      <w:r>
        <w:rPr>
          <w:rFonts w:ascii="Times Roman" w:hAnsi="Times Roman"/>
          <w:rtl w:val="0"/>
          <w:lang w:val="en-US"/>
        </w:rPr>
        <w:t>crucial to recognise that without a clinical assessment and ruling out the influence of substance use or other medical conditions,</w:t>
      </w:r>
      <w:r>
        <w:rPr>
          <w:rFonts w:ascii="Times Roman" w:hAnsi="Times Roman" w:hint="default"/>
          <w:rtl w:val="0"/>
        </w:rPr>
        <w:t> </w:t>
      </w:r>
      <w:r>
        <w:rPr>
          <w:rFonts w:ascii="Times Roman" w:hAnsi="Times Roman"/>
          <w:rtl w:val="0"/>
          <w:lang w:val="en-US"/>
        </w:rPr>
        <w:t>Ben's</w:t>
      </w:r>
      <w:r>
        <w:rPr>
          <w:rFonts w:ascii="Times Roman" w:hAnsi="Times Roman" w:hint="default"/>
          <w:rtl w:val="0"/>
        </w:rPr>
        <w:t> </w:t>
      </w:r>
      <w:r>
        <w:rPr>
          <w:rFonts w:ascii="Times Roman" w:hAnsi="Times Roman"/>
          <w:rtl w:val="0"/>
          <w:lang w:val="en-US"/>
        </w:rPr>
        <w:t>symptoms could potentially stem from another cause.</w:t>
      </w:r>
      <w:r>
        <w:rPr>
          <w:rFonts w:ascii="Times Roman" w:hAnsi="Times Roman" w:hint="default"/>
          <w:rtl w:val="0"/>
        </w:rPr>
        <w:t> </w:t>
      </w:r>
      <w:r>
        <w:rPr>
          <w:rFonts w:ascii="Times Roman" w:hAnsi="Times Roman"/>
          <w:rtl w:val="0"/>
          <w:lang w:val="en-US"/>
        </w:rPr>
        <w:t>For example,</w:t>
      </w:r>
      <w:r>
        <w:rPr>
          <w:rFonts w:ascii="Times Roman" w:hAnsi="Times Roman" w:hint="default"/>
          <w:rtl w:val="0"/>
        </w:rPr>
        <w:t> </w:t>
      </w:r>
      <w:r>
        <w:rPr>
          <w:rFonts w:ascii="Times Roman" w:hAnsi="Times Roman"/>
          <w:rtl w:val="0"/>
          <w:lang w:val="en-US"/>
        </w:rPr>
        <w:t>when considering childhood poverty, young people growing up in lower</w:t>
      </w:r>
      <w:r>
        <w:rPr>
          <w:rFonts w:ascii="Times Roman" w:hAnsi="Times Roman" w:hint="default"/>
          <w:rtl w:val="0"/>
        </w:rPr>
        <w:t> </w:t>
      </w:r>
      <w:r>
        <w:rPr>
          <w:rFonts w:ascii="Times Roman" w:hAnsi="Times Roman"/>
          <w:rtl w:val="0"/>
          <w:lang w:val="it-IT"/>
        </w:rPr>
        <w:t>socioeconomic</w:t>
      </w:r>
      <w:r>
        <w:rPr>
          <w:rFonts w:ascii="Times Roman" w:hAnsi="Times Roman" w:hint="default"/>
          <w:rtl w:val="0"/>
        </w:rPr>
        <w:t> </w:t>
      </w:r>
      <w:r>
        <w:rPr>
          <w:rFonts w:ascii="Times Roman" w:hAnsi="Times Roman"/>
          <w:rtl w:val="0"/>
          <w:lang w:val="en-US"/>
        </w:rPr>
        <w:t>families are substantially more likely to be subject to ACEs, including parental separation, physical and emotional abuse, domestic violence, and punitive parental practices (Farah et al., 2006).</w:t>
      </w:r>
      <w:r>
        <w:rPr>
          <w:rFonts w:ascii="Times Roman" w:hAnsi="Times Roman" w:hint="default"/>
          <w:rtl w:val="0"/>
        </w:rPr>
        <w:t> </w:t>
      </w:r>
      <w:r>
        <w:rPr>
          <w:rFonts w:ascii="Times Roman" w:hAnsi="Times Roman"/>
          <w:rtl w:val="0"/>
          <w:lang w:val="en-US"/>
        </w:rPr>
        <w:t>This</w:t>
      </w:r>
      <w:r>
        <w:rPr>
          <w:rFonts w:ascii="Times Roman" w:hAnsi="Times Roman" w:hint="default"/>
          <w:rtl w:val="0"/>
        </w:rPr>
        <w:t> </w:t>
      </w:r>
      <w:r>
        <w:rPr>
          <w:rFonts w:ascii="Times Roman" w:hAnsi="Times Roman"/>
          <w:rtl w:val="0"/>
          <w:lang w:val="en-US"/>
        </w:rPr>
        <w:t>is also evidenced by Anda et al. (2010)</w:t>
      </w:r>
      <w:r>
        <w:rPr>
          <w:rFonts w:ascii="Times Roman" w:hAnsi="Times Roman" w:hint="default"/>
          <w:rtl w:val="0"/>
        </w:rPr>
        <w:t> </w:t>
      </w:r>
      <w:r>
        <w:rPr>
          <w:rFonts w:ascii="Times Roman" w:hAnsi="Times Roman"/>
          <w:rtl w:val="0"/>
          <w:lang w:val="en-US"/>
        </w:rPr>
        <w:t>who</w:t>
      </w:r>
      <w:r>
        <w:rPr>
          <w:rFonts w:ascii="Times Roman" w:hAnsi="Times Roman" w:hint="default"/>
          <w:rtl w:val="0"/>
        </w:rPr>
        <w:t> </w:t>
      </w:r>
      <w:r>
        <w:rPr>
          <w:rFonts w:ascii="Times Roman" w:hAnsi="Times Roman"/>
          <w:rtl w:val="0"/>
          <w:lang w:val="en-US"/>
        </w:rPr>
        <w:t>highlight youth living in poverty face a multitude of adversities with greater frequency and intensity when compared to their more financially secure peers. While the case scenario stipulates Ben and his parents are under pressure from the school, there seems to be a lack of support from the school to support Ben during this period. While eliminating ACEs is an ambitious goal, a more immediate priority should be fostering resilience in</w:t>
      </w:r>
      <w:r>
        <w:rPr>
          <w:rFonts w:ascii="Times Roman" w:hAnsi="Times Roman" w:hint="default"/>
          <w:rtl w:val="0"/>
        </w:rPr>
        <w:t> </w:t>
      </w:r>
      <w:r>
        <w:rPr>
          <w:rFonts w:ascii="Times Roman" w:hAnsi="Times Roman"/>
          <w:rtl w:val="0"/>
          <w:lang w:val="en-US"/>
        </w:rPr>
        <w:t>children;</w:t>
      </w:r>
      <w:r>
        <w:rPr>
          <w:rFonts w:ascii="Times Roman" w:hAnsi="Times Roman" w:hint="default"/>
          <w:rtl w:val="0"/>
        </w:rPr>
        <w:t> </w:t>
      </w:r>
      <w:r>
        <w:rPr>
          <w:rFonts w:ascii="Times Roman" w:hAnsi="Times Roman"/>
          <w:rtl w:val="0"/>
          <w:lang w:val="en-US"/>
        </w:rPr>
        <w:t>that will enable them to overcome adversities they face and avoid the harmful impacts of ACEs. Resilience programs that teach problem-solving and coping strategies can play a crucial role, such programs implemented in schools (Shonkoff, 2016; Ungar, 2013)</w:t>
      </w:r>
      <w:r>
        <w:rPr>
          <w:rFonts w:ascii="Times Roman" w:hAnsi="Times Roman" w:hint="default"/>
          <w:rtl w:val="0"/>
        </w:rPr>
        <w:t> </w:t>
      </w:r>
      <w:r>
        <w:rPr>
          <w:rFonts w:ascii="Times Roman" w:hAnsi="Times Roman"/>
          <w:rtl w:val="0"/>
          <w:lang w:val="en-US"/>
        </w:rPr>
        <w:t>Additionally, other potential contextual factors should</w:t>
      </w:r>
      <w:r>
        <w:rPr>
          <w:rFonts w:ascii="Times Roman" w:hAnsi="Times Roman" w:hint="default"/>
          <w:rtl w:val="0"/>
        </w:rPr>
        <w:t> </w:t>
      </w:r>
      <w:r>
        <w:rPr>
          <w:rFonts w:ascii="Times Roman" w:hAnsi="Times Roman"/>
          <w:rtl w:val="0"/>
        </w:rPr>
        <w:t>be</w:t>
      </w:r>
      <w:r>
        <w:rPr>
          <w:rFonts w:ascii="Times Roman" w:hAnsi="Times Roman"/>
          <w:rtl w:val="0"/>
          <w:lang w:val="en-US"/>
        </w:rPr>
        <w:t xml:space="preserve"> </w:t>
      </w:r>
      <w:r>
        <w:rPr>
          <w:rFonts w:ascii="Times Roman" w:hAnsi="Times Roman"/>
          <w:rtl w:val="0"/>
          <w:lang w:val="en-US"/>
        </w:rPr>
        <w:t>considered</w:t>
      </w:r>
      <w:r>
        <w:rPr>
          <w:rFonts w:ascii="Times Roman" w:hAnsi="Times Roman" w:hint="default"/>
          <w:rtl w:val="0"/>
        </w:rPr>
        <w:t> </w:t>
      </w:r>
      <w:r>
        <w:rPr>
          <w:rFonts w:ascii="Times Roman" w:hAnsi="Times Roman"/>
          <w:rtl w:val="0"/>
          <w:lang w:val="en-US"/>
        </w:rPr>
        <w:t>when</w:t>
      </w:r>
      <w:r>
        <w:rPr>
          <w:rFonts w:ascii="Times Roman" w:hAnsi="Times Roman" w:hint="default"/>
          <w:rtl w:val="0"/>
        </w:rPr>
        <w:t> </w:t>
      </w:r>
      <w:r>
        <w:rPr>
          <w:rFonts w:ascii="Times Roman" w:hAnsi="Times Roman"/>
          <w:rtl w:val="0"/>
          <w:lang w:val="en-US"/>
        </w:rPr>
        <w:t>trying to analyse</w:t>
      </w:r>
      <w:r>
        <w:rPr>
          <w:rFonts w:ascii="Times Roman" w:hAnsi="Times Roman" w:hint="default"/>
          <w:rtl w:val="0"/>
        </w:rPr>
        <w:t> </w:t>
      </w:r>
      <w:r>
        <w:rPr>
          <w:rFonts w:ascii="Times Roman" w:hAnsi="Times Roman"/>
          <w:rtl w:val="0"/>
        </w:rPr>
        <w:t>Ben</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behaviour. There are indications that youth from low-income households are at a significantly higher risk of being bullied by their peers at school. The</w:t>
      </w:r>
      <w:r>
        <w:rPr>
          <w:rFonts w:ascii="Times Roman" w:hAnsi="Times Roman" w:hint="default"/>
          <w:rtl w:val="0"/>
        </w:rPr>
        <w:t> </w:t>
      </w:r>
      <w:r>
        <w:rPr>
          <w:rFonts w:ascii="Times Roman" w:hAnsi="Times Roman"/>
          <w:rtl w:val="0"/>
          <w:lang w:val="en-US"/>
        </w:rPr>
        <w:t>Children</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Charity Commission on poverty in the United Kingdom argued that nearly two-thirds of children living in poverty are unable to afford access to</w:t>
      </w:r>
      <w:r>
        <w:rPr>
          <w:rFonts w:ascii="Times Roman" w:hAnsi="Times Roman" w:hint="default"/>
          <w:rtl w:val="0"/>
        </w:rPr>
        <w:t> </w:t>
      </w:r>
      <w:r>
        <w:rPr>
          <w:rFonts w:ascii="Times Roman" w:hAnsi="Times Roman"/>
          <w:rtl w:val="0"/>
          <w:lang w:val="fr-FR"/>
        </w:rPr>
        <w:t>certain</w:t>
      </w:r>
      <w:r>
        <w:rPr>
          <w:rFonts w:ascii="Times Roman" w:hAnsi="Times Roman" w:hint="default"/>
          <w:rtl w:val="0"/>
        </w:rPr>
        <w:t> </w:t>
      </w:r>
      <w:r>
        <w:rPr>
          <w:rFonts w:ascii="Times Roman" w:hAnsi="Times Roman"/>
          <w:rtl w:val="0"/>
          <w:lang w:val="en-US"/>
        </w:rPr>
        <w:t>school extracurricular activities, which leads to marginalisation and bullying from peers (Holloway et al., 2014). The Child Poverty Strategy for Wales (2024) highlights the negative impact of poverty</w:t>
      </w:r>
      <w:r>
        <w:rPr>
          <w:rFonts w:ascii="Times Roman" w:hAnsi="Times Roman" w:hint="default"/>
          <w:rtl w:val="0"/>
        </w:rPr>
        <w:t> </w:t>
      </w:r>
      <w:r>
        <w:rPr>
          <w:rFonts w:ascii="Times Roman" w:hAnsi="Times Roman"/>
          <w:rtl w:val="0"/>
        </w:rPr>
        <w:t>and</w:t>
      </w:r>
      <w:r>
        <w:rPr>
          <w:rFonts w:ascii="Times Roman" w:hAnsi="Times Roman" w:hint="default"/>
          <w:rtl w:val="0"/>
        </w:rPr>
        <w:t> </w:t>
      </w:r>
      <w:r>
        <w:rPr>
          <w:rFonts w:ascii="Times Roman" w:hAnsi="Times Roman"/>
          <w:rtl w:val="0"/>
          <w:lang w:val="en-US"/>
        </w:rPr>
        <w:t>children and young people day-to-day and long-term</w:t>
      </w:r>
      <w:r>
        <w:rPr>
          <w:rFonts w:ascii="Times Roman" w:hAnsi="Times Roman" w:hint="default"/>
          <w:rtl w:val="0"/>
        </w:rPr>
        <w:t> </w:t>
      </w:r>
      <w:r>
        <w:rPr>
          <w:rFonts w:ascii="Times Roman" w:hAnsi="Times Roman"/>
          <w:rtl w:val="0"/>
          <w:lang w:val="en-US"/>
        </w:rPr>
        <w:t>and asserts</w:t>
      </w:r>
      <w:r>
        <w:rPr>
          <w:rFonts w:ascii="Times Roman" w:hAnsi="Times Roman" w:hint="default"/>
          <w:rtl w:val="0"/>
        </w:rPr>
        <w:t> </w:t>
      </w:r>
      <w:r>
        <w:rPr>
          <w:rFonts w:ascii="Times Roman" w:hAnsi="Times Roman"/>
          <w:rtl w:val="0"/>
          <w:lang w:val="en-US"/>
        </w:rPr>
        <w:t>the Welsh</w:t>
      </w:r>
      <w:r>
        <w:rPr>
          <w:rFonts w:ascii="Times Roman" w:hAnsi="Times Roman" w:hint="default"/>
          <w:rtl w:val="0"/>
        </w:rPr>
        <w:t> </w:t>
      </w:r>
      <w:r>
        <w:rPr>
          <w:rFonts w:ascii="Times Roman" w:hAnsi="Times Roman"/>
          <w:rtl w:val="0"/>
          <w:lang w:val="en-US"/>
        </w:rPr>
        <w:t>Government</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implementation of the NEST framework (Welsh Government, 2023) as a preventive measure to ACEs and mitigate the impact poverty has on access to academia and goal achievement. Due to the scale and severity of ACEs, single service or interventions are unlikely to be effective,</w:t>
      </w:r>
      <w:r>
        <w:rPr>
          <w:rFonts w:ascii="Times Roman" w:hAnsi="Times Roman" w:hint="default"/>
          <w:rtl w:val="0"/>
        </w:rPr>
        <w:t> </w:t>
      </w:r>
      <w:r>
        <w:rPr>
          <w:rFonts w:ascii="Times Roman" w:hAnsi="Times Roman"/>
          <w:rtl w:val="0"/>
          <w:lang w:val="en-US"/>
        </w:rPr>
        <w:t>therefore</w:t>
      </w:r>
      <w:r>
        <w:rPr>
          <w:rFonts w:ascii="Times Roman" w:hAnsi="Times Roman" w:hint="default"/>
          <w:rtl w:val="0"/>
        </w:rPr>
        <w:t> </w:t>
      </w:r>
      <w:r>
        <w:rPr>
          <w:rFonts w:ascii="Times Roman" w:hAnsi="Times Roman"/>
          <w:rtl w:val="0"/>
          <w:lang w:val="en-US"/>
        </w:rPr>
        <w:t>it is imperative to address ACEs across various contexts, such as societal, community, relationship and individual (Oral et al., 2016).</w:t>
      </w:r>
      <w:r>
        <w:rPr>
          <w:rFonts w:ascii="Times Roman" w:hAnsi="Times Roman" w:hint="default"/>
          <w:rtl w:val="0"/>
        </w:rPr>
        <w:t> </w:t>
      </w:r>
      <w:r>
        <w:rPr>
          <w:rFonts w:ascii="Times Roman" w:hAnsi="Times Roman"/>
          <w:rtl w:val="0"/>
          <w:lang w:val="en-US"/>
        </w:rPr>
        <w:t>Additionally, Brennan et al. (2020) highlight the importance of providing crucial guidance across</w:t>
      </w:r>
      <w:r>
        <w:rPr>
          <w:rFonts w:ascii="Times Roman" w:hAnsi="Times Roman" w:hint="default"/>
          <w:rtl w:val="0"/>
        </w:rPr>
        <w:t> </w:t>
      </w:r>
      <w:r>
        <w:rPr>
          <w:rFonts w:ascii="Times Roman" w:hAnsi="Times Roman"/>
          <w:rtl w:val="0"/>
          <w:lang w:val="en-US"/>
        </w:rPr>
        <w:t>sectors such as</w:t>
      </w:r>
      <w:r>
        <w:rPr>
          <w:rFonts w:ascii="Times Roman" w:hAnsi="Times Roman" w:hint="default"/>
          <w:rtl w:val="0"/>
        </w:rPr>
        <w:t> </w:t>
      </w:r>
      <w:r>
        <w:rPr>
          <w:rFonts w:ascii="Times Roman" w:hAnsi="Times Roman"/>
          <w:rtl w:val="0"/>
          <w:lang w:val="en-US"/>
        </w:rPr>
        <w:t>health, education, and social services.</w:t>
      </w:r>
      <w:r>
        <w:rPr>
          <w:rFonts w:ascii="Times Roman" w:hAnsi="Times Roman" w:hint="default"/>
          <w:rtl w:val="0"/>
        </w:rPr>
        <w:t> </w:t>
      </w:r>
      <w:r>
        <w:rPr>
          <w:rFonts w:ascii="Times Roman" w:hAnsi="Times Roman"/>
          <w:rtl w:val="0"/>
          <w:lang w:val="en-US"/>
        </w:rPr>
        <w:t>Over the last decade, the Welsh government (2021) have introduced various legislations to educate and address ACEs across these contexts, with the adoption of trauma-informed care</w:t>
      </w:r>
      <w:r>
        <w:rPr>
          <w:rFonts w:ascii="Times Roman" w:hAnsi="Times Roman" w:hint="default"/>
          <w:rtl w:val="0"/>
        </w:rPr>
        <w:t> </w:t>
      </w:r>
      <w:r>
        <w:rPr>
          <w:rFonts w:ascii="Times Roman" w:hAnsi="Times Roman"/>
          <w:rtl w:val="0"/>
          <w:lang w:val="en-US"/>
        </w:rPr>
        <w:t>being adopted</w:t>
      </w:r>
      <w:r>
        <w:rPr>
          <w:rFonts w:ascii="Times Roman" w:hAnsi="Times Roman" w:hint="default"/>
          <w:rtl w:val="0"/>
        </w:rPr>
        <w:t> </w:t>
      </w:r>
      <w:r>
        <w:rPr>
          <w:rFonts w:ascii="Times Roman" w:hAnsi="Times Roman"/>
          <w:rtl w:val="0"/>
          <w:lang w:val="en-US"/>
        </w:rPr>
        <w:t>across frontline</w:t>
      </w:r>
      <w:r>
        <w:rPr>
          <w:rFonts w:ascii="Times Roman" w:hAnsi="Times Roman" w:hint="default"/>
          <w:rtl w:val="0"/>
        </w:rPr>
        <w:t> </w:t>
      </w:r>
      <w:r>
        <w:rPr>
          <w:rFonts w:ascii="Times Roman" w:hAnsi="Times Roman"/>
          <w:rtl w:val="0"/>
          <w:lang w:val="en-US"/>
        </w:rPr>
        <w:t>professions;</w:t>
      </w:r>
      <w:r>
        <w:rPr>
          <w:rFonts w:ascii="Times Roman" w:hAnsi="Times Roman" w:hint="default"/>
          <w:rtl w:val="0"/>
        </w:rPr>
        <w:t> </w:t>
      </w:r>
      <w:r>
        <w:rPr>
          <w:rFonts w:ascii="Times Roman" w:hAnsi="Times Roman"/>
          <w:rtl w:val="0"/>
          <w:lang w:val="en-US"/>
        </w:rPr>
        <w:t>evident in sectors like law enforcement, education, and housing. While initial assessments of these training initiatives seem promising in enhancing ACE understanding and awareness, additional evaluation is necessary to gauge their efficacy, influence, scalability, and applicability (Di Lemma et al., 2019).</w:t>
      </w:r>
    </w:p>
    <w:p>
      <w:pPr>
        <w:pStyle w:val="Default"/>
        <w:bidi w:val="0"/>
        <w:spacing w:before="0" w:after="240" w:line="480" w:lineRule="auto"/>
        <w:ind w:left="0" w:right="0" w:firstLine="0"/>
        <w:jc w:val="left"/>
        <w:rPr>
          <w:rFonts w:ascii="Times Roman" w:cs="Times Roman" w:hAnsi="Times Roman" w:eastAsia="Times Roman"/>
          <w:rtl w:val="0"/>
        </w:rPr>
      </w:pPr>
      <w:r>
        <w:rPr>
          <w:rFonts w:ascii="Times Roman" w:cs="Times Roman" w:hAnsi="Times Roman" w:eastAsia="Times Roman"/>
          <w:rtl w:val="0"/>
        </w:rPr>
        <w:tab/>
      </w:r>
      <w:r>
        <w:rPr>
          <w:rFonts w:ascii="Times Roman" w:hAnsi="Times Roman"/>
          <w:rtl w:val="0"/>
          <w:lang w:val="en-US"/>
        </w:rPr>
        <w:t>When considering the severity of</w:t>
      </w:r>
      <w:r>
        <w:rPr>
          <w:rFonts w:ascii="Times Roman" w:hAnsi="Times Roman" w:hint="default"/>
          <w:rtl w:val="0"/>
        </w:rPr>
        <w:t> </w:t>
      </w:r>
      <w:r>
        <w:rPr>
          <w:rFonts w:ascii="Times Roman" w:hAnsi="Times Roman"/>
          <w:rtl w:val="0"/>
        </w:rPr>
        <w:t>Ben</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beliefs and behaviours, immediate intervention is necessary as he has begun demonstrating concerning self-harming</w:t>
      </w:r>
      <w:r>
        <w:rPr>
          <w:rFonts w:ascii="Times Roman" w:hAnsi="Times Roman" w:hint="default"/>
          <w:rtl w:val="0"/>
        </w:rPr>
        <w:t> </w:t>
      </w:r>
      <w:r>
        <w:rPr>
          <w:rFonts w:ascii="Times Roman" w:hAnsi="Times Roman"/>
          <w:rtl w:val="0"/>
          <w:lang w:val="en-US"/>
        </w:rPr>
        <w:t>behaviour,</w:t>
      </w:r>
      <w:r>
        <w:rPr>
          <w:rFonts w:ascii="Times Roman" w:hAnsi="Times Roman" w:hint="default"/>
          <w:rtl w:val="0"/>
        </w:rPr>
        <w:t> </w:t>
      </w:r>
      <w:r>
        <w:rPr>
          <w:rFonts w:ascii="Times Roman" w:hAnsi="Times Roman"/>
          <w:rtl w:val="0"/>
          <w:lang w:val="en-US"/>
        </w:rPr>
        <w:t>and social withdrawal. The self-harming behaviour exhibited by Ben serves as an alarming indicator, significantly increasing the probability of suicide in adulthood. Morgan et al. (2017) argue that children and adolescents who engage in self-injurious acts face a 17 times greater risk of succumbing to suicide compared to their counterparts with no history of self-harm. Additionally,</w:t>
      </w:r>
      <w:r>
        <w:rPr>
          <w:rFonts w:ascii="Times Roman" w:hAnsi="Times Roman" w:hint="default"/>
          <w:rtl w:val="0"/>
        </w:rPr>
        <w:t xml:space="preserve">  </w:t>
      </w:r>
      <w:r>
        <w:rPr>
          <w:rFonts w:ascii="Times Roman" w:hAnsi="Times Roman"/>
          <w:rtl w:val="0"/>
          <w:lang w:val="en-US"/>
        </w:rPr>
        <w:t>anxiety disorders should be acknowledged as a chronic mental health disorder, with the potential for follow-through into adulthood if not</w:t>
      </w:r>
      <w:r>
        <w:rPr>
          <w:rFonts w:ascii="Times Roman" w:hAnsi="Times Roman" w:hint="default"/>
          <w:rtl w:val="0"/>
        </w:rPr>
        <w:t> </w:t>
      </w:r>
      <w:r>
        <w:rPr>
          <w:rFonts w:ascii="Times Roman" w:hAnsi="Times Roman"/>
          <w:rtl w:val="0"/>
          <w:lang w:val="en-US"/>
        </w:rPr>
        <w:t>acknowledged</w:t>
      </w:r>
      <w:r>
        <w:rPr>
          <w:rFonts w:ascii="Times Roman" w:hAnsi="Times Roman" w:hint="default"/>
          <w:rtl w:val="0"/>
        </w:rPr>
        <w:t> </w:t>
      </w:r>
      <w:r>
        <w:rPr>
          <w:rFonts w:ascii="Times Roman" w:hAnsi="Times Roman"/>
          <w:rtl w:val="0"/>
          <w:lang w:val="en-US"/>
        </w:rPr>
        <w:t>and addressed;</w:t>
      </w:r>
      <w:r>
        <w:rPr>
          <w:rFonts w:ascii="Times Roman" w:hAnsi="Times Roman" w:hint="default"/>
          <w:rtl w:val="0"/>
        </w:rPr>
        <w:t> </w:t>
      </w:r>
      <w:r>
        <w:rPr>
          <w:rFonts w:ascii="Times Roman" w:hAnsi="Times Roman"/>
          <w:rtl w:val="0"/>
          <w:lang w:val="en-US"/>
        </w:rPr>
        <w:t>therefore</w:t>
      </w:r>
      <w:r>
        <w:rPr>
          <w:rFonts w:ascii="Times Roman" w:hAnsi="Times Roman" w:hint="default"/>
          <w:rtl w:val="0"/>
        </w:rPr>
        <w:t> </w:t>
      </w:r>
      <w:r>
        <w:rPr>
          <w:rFonts w:ascii="Times Roman" w:hAnsi="Times Roman"/>
          <w:rtl w:val="0"/>
          <w:lang w:val="en-US"/>
        </w:rPr>
        <w:t>early and effective interventions are crucial to</w:t>
      </w:r>
      <w:r>
        <w:rPr>
          <w:rFonts w:ascii="Times Roman" w:hAnsi="Times Roman" w:hint="default"/>
          <w:rtl w:val="0"/>
        </w:rPr>
        <w:t> </w:t>
      </w:r>
      <w:r>
        <w:rPr>
          <w:rFonts w:ascii="Times Roman" w:hAnsi="Times Roman"/>
          <w:rtl w:val="0"/>
        </w:rPr>
        <w:t>Ben</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future psychological and physical development. In addition to the risk of suicide, historically, the connection between ACEs and long-term health issues has been attributed to coping mechanisms like substance abuse that young people adopt to cope with the trauma caused by ACEs (Felitti et al., 1998). It is imperative to recognise that recent studies assert that the trauma stemming from ACEs may also disrupt crucial epigenetic and neurobiological processes involved in the development of the brain, immune system, and endocrine system, thereby diminishing</w:t>
      </w:r>
      <w:r>
        <w:rPr>
          <w:rFonts w:ascii="Times Roman" w:hAnsi="Times Roman" w:hint="default"/>
          <w:rtl w:val="0"/>
        </w:rPr>
        <w:t> </w:t>
      </w:r>
      <w:r>
        <w:rPr>
          <w:rFonts w:ascii="Times Roman" w:hAnsi="Times Roman"/>
          <w:rtl w:val="0"/>
          <w:lang w:val="en-US"/>
        </w:rPr>
        <w:t>children's</w:t>
      </w:r>
      <w:r>
        <w:rPr>
          <w:rFonts w:ascii="Times Roman" w:hAnsi="Times Roman" w:hint="default"/>
          <w:rtl w:val="0"/>
        </w:rPr>
        <w:t> </w:t>
      </w:r>
      <w:r>
        <w:rPr>
          <w:rFonts w:ascii="Times Roman" w:hAnsi="Times Roman"/>
          <w:rtl w:val="0"/>
          <w:lang w:val="en-US"/>
        </w:rPr>
        <w:t>physical and mental resilience (McGowan et al., 2009; McCrory et al., 2011). Foundational research of ACES has identified a link with the original 10 Aces to detrimental long-term health implications. For example, 1,900,000 cases of heart disease and 21,000,000 cases of depression</w:t>
      </w:r>
      <w:r>
        <w:rPr>
          <w:rFonts w:ascii="Times Roman" w:hAnsi="Times Roman" w:hint="default"/>
          <w:rtl w:val="0"/>
        </w:rPr>
        <w:t> </w:t>
      </w:r>
      <w:r>
        <w:rPr>
          <w:rFonts w:ascii="Times Roman" w:hAnsi="Times Roman"/>
          <w:rtl w:val="0"/>
          <w:lang w:val="en-US"/>
        </w:rPr>
        <w:t>were perceived</w:t>
      </w:r>
      <w:r>
        <w:rPr>
          <w:rFonts w:ascii="Times Roman" w:hAnsi="Times Roman" w:hint="default"/>
          <w:rtl w:val="0"/>
        </w:rPr>
        <w:t> </w:t>
      </w:r>
      <w:r>
        <w:rPr>
          <w:rFonts w:ascii="Times Roman" w:hAnsi="Times Roman"/>
          <w:rtl w:val="0"/>
          <w:lang w:val="en-US"/>
        </w:rPr>
        <w:t>to have been</w:t>
      </w:r>
      <w:r>
        <w:rPr>
          <w:rFonts w:ascii="Times Roman" w:hAnsi="Times Roman" w:hint="default"/>
          <w:rtl w:val="0"/>
        </w:rPr>
        <w:t> </w:t>
      </w:r>
      <w:r>
        <w:rPr>
          <w:rFonts w:ascii="Times Roman" w:hAnsi="Times Roman"/>
          <w:rtl w:val="0"/>
          <w:lang w:val="es-ES_tradnl"/>
        </w:rPr>
        <w:t>preventable,</w:t>
      </w:r>
      <w:r>
        <w:rPr>
          <w:rFonts w:ascii="Times Roman" w:hAnsi="Times Roman" w:hint="default"/>
          <w:rtl w:val="0"/>
        </w:rPr>
        <w:t> </w:t>
      </w:r>
      <w:r>
        <w:rPr>
          <w:rFonts w:ascii="Times Roman" w:hAnsi="Times Roman"/>
          <w:rtl w:val="0"/>
          <w:lang w:val="en-US"/>
        </w:rPr>
        <w:t>if the ACEs had been acknowledged and addressed (Centers for Disease Control and Prevention, 2022).</w:t>
      </w:r>
      <w:r>
        <w:rPr>
          <w:rFonts w:ascii="Times Roman" w:hAnsi="Times Roman" w:hint="default"/>
          <w:rtl w:val="0"/>
        </w:rPr>
        <w:t xml:space="preserve">  </w:t>
      </w:r>
      <w:r>
        <w:rPr>
          <w:rFonts w:ascii="Times Roman" w:hAnsi="Times Roman"/>
          <w:rtl w:val="0"/>
          <w:lang w:val="en-US"/>
        </w:rPr>
        <w:t>A systematic review and meta-analysis conducted by Hughes et al. (2017) suggested that individuals who have experienced four or more adverse childhood experiences (ACEs) face a significantly higher risk of various harmful health outcomes and behaviours compared to those with no ACEs. The study found a weak to modest association between having four or more ACEs and obesity and diabetes.</w:t>
      </w:r>
      <w:r>
        <w:rPr>
          <w:rFonts w:ascii="Times Roman" w:hAnsi="Times Roman" w:hint="default"/>
          <w:rtl w:val="0"/>
        </w:rPr>
        <w:t> </w:t>
      </w:r>
      <w:r>
        <w:rPr>
          <w:rFonts w:ascii="Times Roman" w:hAnsi="Times Roman"/>
          <w:rtl w:val="0"/>
          <w:lang w:val="en-US"/>
        </w:rPr>
        <w:t>Moderate links</w:t>
      </w:r>
      <w:r>
        <w:rPr>
          <w:rFonts w:ascii="Times Roman" w:hAnsi="Times Roman" w:hint="default"/>
          <w:rtl w:val="0"/>
        </w:rPr>
        <w:t> </w:t>
      </w:r>
      <w:r>
        <w:rPr>
          <w:rFonts w:ascii="Times Roman" w:hAnsi="Times Roman"/>
          <w:rtl w:val="0"/>
          <w:lang w:val="en-US"/>
        </w:rPr>
        <w:t>were identified</w:t>
      </w:r>
      <w:r>
        <w:rPr>
          <w:rFonts w:ascii="Times Roman" w:hAnsi="Times Roman" w:hint="default"/>
          <w:rtl w:val="0"/>
        </w:rPr>
        <w:t> </w:t>
      </w:r>
      <w:r>
        <w:rPr>
          <w:rFonts w:ascii="Times Roman" w:hAnsi="Times Roman"/>
          <w:rtl w:val="0"/>
          <w:lang w:val="en-US"/>
        </w:rPr>
        <w:t>between four or more ACEs and smoking, alcohol use, poor self-rated health, cancer, heart disease, and respiratory disease. The strongest associations</w:t>
      </w:r>
      <w:r>
        <w:rPr>
          <w:rFonts w:ascii="Times Roman" w:hAnsi="Times Roman" w:hint="default"/>
          <w:rtl w:val="0"/>
        </w:rPr>
        <w:t> </w:t>
      </w:r>
      <w:r>
        <w:rPr>
          <w:rFonts w:ascii="Times Roman" w:hAnsi="Times Roman"/>
          <w:rtl w:val="0"/>
          <w:lang w:val="en-US"/>
        </w:rPr>
        <w:t>were observed</w:t>
      </w:r>
      <w:r>
        <w:rPr>
          <w:rFonts w:ascii="Times Roman" w:hAnsi="Times Roman" w:hint="default"/>
          <w:rtl w:val="0"/>
        </w:rPr>
        <w:t> </w:t>
      </w:r>
      <w:r>
        <w:rPr>
          <w:rFonts w:ascii="Times Roman" w:hAnsi="Times Roman"/>
          <w:rtl w:val="0"/>
          <w:lang w:val="en-US"/>
        </w:rPr>
        <w:t>between four or more ACEs and drug abuse, interpersonal violence, victimisation, suicidal ideation, and suicide attempts. While the research discussed so far is robust, it is imperative to recognise the factors that may be misinterpreting ACEs or under-representing certain minority groups. Despite the research (Bernard et al., 2022) highlighting racism as a</w:t>
      </w:r>
      <w:r>
        <w:rPr>
          <w:rFonts w:ascii="Times Roman" w:hAnsi="Times Roman" w:hint="default"/>
          <w:rtl w:val="0"/>
        </w:rPr>
        <w:t> </w:t>
      </w:r>
      <w:r>
        <w:rPr>
          <w:rFonts w:ascii="Times Roman" w:hAnsi="Times Roman"/>
          <w:rtl w:val="0"/>
          <w:lang w:val="fr-FR"/>
        </w:rPr>
        <w:t>major</w:t>
      </w:r>
      <w:r>
        <w:rPr>
          <w:rFonts w:ascii="Times Roman" w:hAnsi="Times Roman" w:hint="default"/>
          <w:rtl w:val="0"/>
        </w:rPr>
        <w:t> </w:t>
      </w:r>
      <w:r>
        <w:rPr>
          <w:rFonts w:ascii="Times Roman" w:hAnsi="Times Roman"/>
          <w:rtl w:val="0"/>
          <w:lang w:val="pt-PT"/>
        </w:rPr>
        <w:t>trauma for</w:t>
      </w:r>
      <w:r>
        <w:rPr>
          <w:rFonts w:ascii="Times Roman" w:hAnsi="Times Roman" w:hint="default"/>
          <w:rtl w:val="0"/>
        </w:rPr>
        <w:t> </w:t>
      </w:r>
      <w:r>
        <w:rPr>
          <w:rFonts w:ascii="Times Roman" w:hAnsi="Times Roman"/>
          <w:rtl w:val="0"/>
          <w:lang w:val="en-US"/>
        </w:rPr>
        <w:t>black young, historic ACE research (Felitti et al., 1998) has neglected the contextual influence of racism on mental and physical health. Felitti et</w:t>
      </w:r>
      <w:r>
        <w:rPr>
          <w:rFonts w:ascii="Times Roman" w:hAnsi="Times Roman" w:hint="default"/>
          <w:rtl w:val="0"/>
        </w:rPr>
        <w:t> </w:t>
      </w:r>
      <w:r>
        <w:rPr>
          <w:rFonts w:ascii="Times Roman" w:hAnsi="Times Roman"/>
          <w:rtl w:val="0"/>
          <w:lang w:val="pt-PT"/>
        </w:rPr>
        <w:t>al.</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(1998) original ACE study primarily included white, middle-aged, middle-class</w:t>
      </w:r>
      <w:r>
        <w:rPr>
          <w:rFonts w:ascii="Times Roman" w:hAnsi="Times Roman" w:hint="default"/>
          <w:rtl w:val="0"/>
        </w:rPr>
        <w:t> </w:t>
      </w:r>
      <w:r>
        <w:rPr>
          <w:rFonts w:ascii="Times Roman" w:hAnsi="Times Roman"/>
          <w:rtl w:val="0"/>
          <w:lang w:val="fr-FR"/>
        </w:rPr>
        <w:t>participants;</w:t>
      </w:r>
      <w:r>
        <w:rPr>
          <w:rFonts w:ascii="Times Roman" w:hAnsi="Times Roman" w:hint="default"/>
          <w:rtl w:val="0"/>
        </w:rPr>
        <w:t> </w:t>
      </w:r>
      <w:r>
        <w:rPr>
          <w:rFonts w:ascii="Times Roman" w:hAnsi="Times Roman"/>
          <w:rtl w:val="0"/>
          <w:lang w:val="en-US"/>
        </w:rPr>
        <w:t>limiting the generalisability of the findings. Inspired by frameworks that recognise the significance of racial trauma amongst black youth (Jernigan &amp; Daniel, 2011; Saleem et al., 2019), a culturally-informed ACEs model has</w:t>
      </w:r>
      <w:r>
        <w:rPr>
          <w:rFonts w:ascii="Times Roman" w:hAnsi="Times Roman" w:hint="default"/>
          <w:rtl w:val="0"/>
        </w:rPr>
        <w:t> </w:t>
      </w:r>
      <w:r>
        <w:rPr>
          <w:rFonts w:ascii="Times Roman" w:hAnsi="Times Roman"/>
          <w:rtl w:val="0"/>
          <w:lang w:val="en-US"/>
        </w:rPr>
        <w:t>been proposed</w:t>
      </w:r>
      <w:r>
        <w:rPr>
          <w:rFonts w:ascii="Times Roman" w:hAnsi="Times Roman" w:hint="default"/>
          <w:rtl w:val="0"/>
        </w:rPr>
        <w:t> </w:t>
      </w:r>
      <w:r>
        <w:rPr>
          <w:rFonts w:ascii="Times Roman" w:hAnsi="Times Roman"/>
          <w:rtl w:val="0"/>
          <w:lang w:val="en-US"/>
        </w:rPr>
        <w:t>by Bernard et al. (2021) for understanding the pervasive mental health impact of racism on black youth. Furthermore, scholars have differing perspectives on how to categorise ACEs, with some describing them as stressful events (Hammond et al., 2019), others labelling them as traumatic (Ballard et al., 2019), and still others referring to them as traumatic stressors (Anda et al., 2007).</w:t>
      </w:r>
    </w:p>
    <w:p>
      <w:pPr>
        <w:pStyle w:val="Default"/>
        <w:bidi w:val="0"/>
        <w:spacing w:before="0" w:after="240" w:line="480" w:lineRule="auto"/>
        <w:ind w:left="0" w:right="0" w:firstLine="0"/>
        <w:jc w:val="left"/>
        <w:rPr>
          <w:rFonts w:ascii="Times Roman" w:cs="Times Roman" w:hAnsi="Times Roman" w:eastAsia="Times Roman"/>
          <w:rtl w:val="0"/>
        </w:rPr>
      </w:pPr>
      <w:r>
        <w:rPr>
          <w:rFonts w:ascii="Times Roman" w:cs="Times Roman" w:hAnsi="Times Roman" w:eastAsia="Times Roman"/>
          <w:rtl w:val="0"/>
        </w:rPr>
        <w:tab/>
      </w:r>
      <w:r>
        <w:rPr>
          <w:rFonts w:ascii="Times Roman" w:hAnsi="Times Roman"/>
          <w:rtl w:val="0"/>
          <w:lang w:val="en-US"/>
        </w:rPr>
        <w:t>Peterman et al. (2015) highlight Exposure Therapy</w:t>
      </w:r>
      <w:r>
        <w:rPr>
          <w:rFonts w:ascii="Times Roman" w:hAnsi="Times Roman" w:hint="default"/>
          <w:rtl w:val="0"/>
        </w:rPr>
        <w:t xml:space="preserve">  </w:t>
      </w:r>
      <w:r>
        <w:rPr>
          <w:rFonts w:ascii="Times Roman" w:hAnsi="Times Roman"/>
          <w:rtl w:val="0"/>
          <w:lang w:val="en-US"/>
        </w:rPr>
        <w:t>(ET) as a favourable evidence-based approach for children and young people demonstrating anxiety disorders, such as generalised anxiety disorder, separation anxiety, phobias, panic disorders, and social anxiety disorder. Whilst recognising the benefits of this in relation to</w:t>
      </w:r>
      <w:r>
        <w:rPr>
          <w:rFonts w:ascii="Times Roman" w:hAnsi="Times Roman" w:hint="default"/>
          <w:rtl w:val="0"/>
        </w:rPr>
        <w:t> </w:t>
      </w:r>
      <w:r>
        <w:rPr>
          <w:rFonts w:ascii="Times Roman" w:hAnsi="Times Roman"/>
          <w:rtl w:val="0"/>
        </w:rPr>
        <w:t>Ben</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experience, it is imperative to</w:t>
      </w:r>
      <w:r>
        <w:rPr>
          <w:rFonts w:ascii="Times Roman" w:hAnsi="Times Roman" w:hint="default"/>
          <w:rtl w:val="0"/>
        </w:rPr>
        <w:t> </w:t>
      </w:r>
      <w:r>
        <w:rPr>
          <w:rFonts w:ascii="Times Roman" w:hAnsi="Times Roman"/>
          <w:rtl w:val="0"/>
          <w:lang w:val="en-US"/>
        </w:rPr>
        <w:t>recognise</w:t>
      </w:r>
      <w:r>
        <w:rPr>
          <w:rFonts w:ascii="Times Roman" w:hAnsi="Times Roman" w:hint="default"/>
          <w:rtl w:val="0"/>
        </w:rPr>
        <w:t> </w:t>
      </w:r>
      <w:r>
        <w:rPr>
          <w:rFonts w:ascii="Times Roman" w:hAnsi="Times Roman"/>
          <w:rtl w:val="0"/>
          <w:lang w:val="en-US"/>
        </w:rPr>
        <w:t>the limitation of parental involvement in ET. Ginsburg and Schlossberg (2002) assert that youth with anxiety disorders typically have parents who also suffer from an anxiety disorder, suggesting that parents may inadvertently reinforce maladaptive beliefs, coping mechanisms, and avoidance behaviours that</w:t>
      </w:r>
      <w:r>
        <w:rPr>
          <w:rFonts w:ascii="Times Roman" w:hAnsi="Times Roman" w:hint="default"/>
          <w:rtl w:val="0"/>
        </w:rPr>
        <w:t> </w:t>
      </w:r>
      <w:r>
        <w:rPr>
          <w:rFonts w:ascii="Times Roman" w:hAnsi="Times Roman"/>
          <w:rtl w:val="0"/>
          <w:lang w:val="en-US"/>
        </w:rPr>
        <w:t>are displayed</w:t>
      </w:r>
      <w:r>
        <w:rPr>
          <w:rFonts w:ascii="Times Roman" w:hAnsi="Times Roman" w:hint="default"/>
          <w:rtl w:val="0"/>
        </w:rPr>
        <w:t> </w:t>
      </w:r>
      <w:r>
        <w:rPr>
          <w:rFonts w:ascii="Times Roman" w:hAnsi="Times Roman"/>
          <w:rtl w:val="0"/>
          <w:lang w:val="en-US"/>
        </w:rPr>
        <w:t>by the young person (Peris et al., 2020).</w:t>
      </w:r>
      <w:r>
        <w:rPr>
          <w:rFonts w:ascii="Times Roman" w:hAnsi="Times Roman" w:hint="default"/>
          <w:rtl w:val="0"/>
        </w:rPr>
        <w:t xml:space="preserve">  </w:t>
      </w:r>
      <w:r>
        <w:rPr>
          <w:rFonts w:ascii="Times Roman" w:hAnsi="Times Roman"/>
          <w:rtl w:val="0"/>
          <w:lang w:val="en-US"/>
        </w:rPr>
        <w:t>Regarding</w:t>
      </w:r>
      <w:r>
        <w:rPr>
          <w:rFonts w:ascii="Times Roman" w:hAnsi="Times Roman" w:hint="default"/>
          <w:rtl w:val="0"/>
        </w:rPr>
        <w:t> </w:t>
      </w:r>
      <w:r>
        <w:rPr>
          <w:rFonts w:ascii="Times Roman" w:hAnsi="Times Roman"/>
          <w:rtl w:val="0"/>
        </w:rPr>
        <w:t>Ben</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self-harming behaviour, a more individualised intervention may be appropriate due to the complexities of ACEs, which is particularly important due to the assertion that ACEs are not only predictors of common anxiety disorders but the risk of self-harm and suicidal ideation (Bunting, 2023). Trauma-focused Cognitive Behavioural Therapy (TF-CBT) is an individualised therapeutic approach with evidence of reducing symptoms of ACE-related trauma and increasing young</w:t>
      </w:r>
      <w:r>
        <w:rPr>
          <w:rFonts w:ascii="Times Roman" w:hAnsi="Times Roman" w:hint="default"/>
          <w:rtl w:val="0"/>
        </w:rPr>
        <w:t> </w:t>
      </w:r>
      <w:r>
        <w:rPr>
          <w:rFonts w:ascii="Times Roman" w:hAnsi="Times Roman"/>
          <w:rtl w:val="0"/>
          <w:lang w:val="en-US"/>
        </w:rPr>
        <w:t>people</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resilience. Palfrey et al. (2023) present a compelling argument for the efficacy of TF-CBT as an intervention for young individuals who have experienced ACEs, with their findings suggesting that participants exhibited significant improvements in overall psychological functioning, including enhanced conduct, emotional regulation, reduced re-experiencing of traumatic events, decreased avoidance behaviours, and better management of hyper-arousal symptoms. However, it is imperative to recognise that whilst</w:t>
      </w:r>
      <w:r>
        <w:rPr>
          <w:rFonts w:ascii="Times Roman" w:hAnsi="Times Roman" w:hint="default"/>
          <w:rtl w:val="0"/>
        </w:rPr>
        <w:t> </w:t>
      </w:r>
      <w:r>
        <w:rPr>
          <w:rFonts w:ascii="Times Roman" w:hAnsi="Times Roman"/>
          <w:rtl w:val="0"/>
        </w:rPr>
        <w:t>in</w:t>
      </w:r>
      <w:r>
        <w:rPr>
          <w:rFonts w:ascii="Times Roman" w:hAnsi="Times Roman" w:hint="default"/>
          <w:rtl w:val="0"/>
        </w:rPr>
        <w:t> </w:t>
      </w:r>
      <w:r>
        <w:rPr>
          <w:rFonts w:ascii="Times Roman" w:hAnsi="Times Roman"/>
          <w:rtl w:val="0"/>
          <w:lang w:val="en-US"/>
        </w:rPr>
        <w:t>theory, TF-CBT could alleviate</w:t>
      </w:r>
      <w:r>
        <w:rPr>
          <w:rFonts w:ascii="Times Roman" w:hAnsi="Times Roman" w:hint="default"/>
          <w:rtl w:val="0"/>
        </w:rPr>
        <w:t> </w:t>
      </w:r>
      <w:r>
        <w:rPr>
          <w:rFonts w:ascii="Times Roman" w:hAnsi="Times Roman"/>
          <w:rtl w:val="0"/>
        </w:rPr>
        <w:t>Ben</w:t>
      </w:r>
      <w:r>
        <w:rPr>
          <w:rFonts w:ascii="Times Roman" w:hAnsi="Times Roman" w:hint="default"/>
          <w:rtl w:val="1"/>
        </w:rPr>
        <w:t>’</w:t>
      </w:r>
      <w:r>
        <w:rPr>
          <w:rFonts w:ascii="Times Roman" w:hAnsi="Times Roman"/>
          <w:rtl w:val="0"/>
        </w:rPr>
        <w:t>s</w:t>
      </w:r>
      <w:r>
        <w:rPr>
          <w:rFonts w:ascii="Times Roman" w:hAnsi="Times Roman" w:hint="default"/>
          <w:rtl w:val="0"/>
        </w:rPr>
        <w:t> </w:t>
      </w:r>
      <w:r>
        <w:rPr>
          <w:rFonts w:ascii="Times Roman" w:hAnsi="Times Roman"/>
          <w:rtl w:val="0"/>
          <w:lang w:val="en-US"/>
        </w:rPr>
        <w:t>psychological and somatic symptoms, poverty is a systemic barrier that prevents youth from accessing evidence-based health treatment. Rural and low-income areas face the highest levels of unmet mental health treatment due to scarce resources, lack of providers, and high private therapy costs (Castro-Ramirez et al., 2021). Over the last</w:t>
      </w:r>
      <w:r>
        <w:rPr>
          <w:rFonts w:ascii="Times Roman" w:hAnsi="Times Roman" w:hint="default"/>
          <w:rtl w:val="0"/>
        </w:rPr>
        <w:t> </w:t>
      </w:r>
      <w:r>
        <w:rPr>
          <w:rFonts w:ascii="Times Roman" w:hAnsi="Times Roman"/>
          <w:rtl w:val="0"/>
          <w:lang w:val="en-US"/>
        </w:rPr>
        <w:t>decade</w:t>
      </w:r>
      <w:r>
        <w:rPr>
          <w:rFonts w:ascii="Times Roman" w:hAnsi="Times Roman" w:hint="default"/>
          <w:rtl w:val="0"/>
        </w:rPr>
        <w:t> </w:t>
      </w:r>
      <w:r>
        <w:rPr>
          <w:rFonts w:ascii="Times Roman" w:hAnsi="Times Roman"/>
          <w:rtl w:val="0"/>
          <w:lang w:val="en-US"/>
        </w:rPr>
        <w:t xml:space="preserve">there has been a national effort to improve relationships between Child and Adolescent Mental Health Services (CAMHS) and schools due to the need to address youth mental health conditions and self-harming behaviour, notably, the Welsh Government invested over </w:t>
      </w:r>
      <w:r>
        <w:rPr>
          <w:rFonts w:ascii="Times Roman" w:hAnsi="Times Roman" w:hint="default"/>
          <w:rtl w:val="0"/>
        </w:rPr>
        <w:t>£</w:t>
      </w:r>
      <w:r>
        <w:rPr>
          <w:rFonts w:ascii="Times Roman" w:hAnsi="Times Roman"/>
          <w:rtl w:val="0"/>
          <w:lang w:val="en-US"/>
        </w:rPr>
        <w:t>1,4,00,000 into specialist practitioners to liaise, consult, and inform teaching staff on best practice (Welsh Government, 2017). Extensive research has underscored the pivotal role that schools can play in mitigating the detrimental effects of trauma and fostering protective factors against the short-term and long-term consequences of ACEs. Numerous studies (Brody et al., 2002; Fraser et al., 1999; Liu et al., 2020; Zelazo &amp; Lyons, 2012) have provided compelling evidence supporting the potential of school-based interventions to alleviate the negative impacts of trauma and promote resilience in vulnerable youth.</w:t>
      </w:r>
      <w:r>
        <w:rPr>
          <w:rFonts w:ascii="Times Roman" w:hAnsi="Times Roman" w:hint="default"/>
          <w:rtl w:val="0"/>
        </w:rPr>
        <w:t> </w:t>
      </w:r>
      <w:r>
        <w:rPr>
          <w:rFonts w:ascii="Times Roman" w:hAnsi="Times Roman"/>
          <w:rtl w:val="0"/>
          <w:lang w:val="en-US"/>
        </w:rPr>
        <w:t>Furthermore, Ford and Courtois (2013) assert the importance of providing youth with the opportunity to interact with knowledgeable, compassionate, and empathetic adults who possess a deep understanding of the profound impact ACEs can have on</w:t>
      </w:r>
      <w:r>
        <w:rPr>
          <w:rFonts w:ascii="Times Roman" w:hAnsi="Times Roman" w:hint="default"/>
          <w:rtl w:val="0"/>
        </w:rPr>
        <w:t> </w:t>
      </w:r>
      <w:r>
        <w:rPr>
          <w:rFonts w:ascii="Times Roman" w:hAnsi="Times Roman"/>
          <w:rtl w:val="0"/>
          <w:lang w:val="en-US"/>
        </w:rPr>
        <w:t>children's</w:t>
      </w:r>
      <w:r>
        <w:rPr>
          <w:rFonts w:ascii="Times Roman" w:hAnsi="Times Roman" w:hint="default"/>
          <w:rtl w:val="0"/>
        </w:rPr>
        <w:t> </w:t>
      </w:r>
      <w:r>
        <w:rPr>
          <w:rFonts w:ascii="Times Roman" w:hAnsi="Times Roman"/>
          <w:rtl w:val="0"/>
          <w:lang w:val="en-US"/>
        </w:rPr>
        <w:t>mental well-being and behaviour. These nurturing relationships</w:t>
      </w:r>
      <w:r>
        <w:rPr>
          <w:rFonts w:ascii="Times Roman" w:hAnsi="Times Roman" w:hint="default"/>
          <w:rtl w:val="0"/>
        </w:rPr>
        <w:t> </w:t>
      </w:r>
      <w:r>
        <w:rPr>
          <w:rFonts w:ascii="Times Roman" w:hAnsi="Times Roman"/>
          <w:rtl w:val="0"/>
          <w:lang w:val="en-US"/>
        </w:rPr>
        <w:t>serve as</w:t>
      </w:r>
      <w:r>
        <w:rPr>
          <w:rFonts w:ascii="Times Roman" w:hAnsi="Times Roman" w:hint="default"/>
          <w:rtl w:val="0"/>
        </w:rPr>
        <w:t> </w:t>
      </w:r>
      <w:r>
        <w:rPr>
          <w:rFonts w:ascii="Times Roman" w:hAnsi="Times Roman"/>
          <w:rtl w:val="0"/>
          <w:lang w:val="en-US"/>
        </w:rPr>
        <w:t>a pivotal protective factor, fostering resilience and supporting the healthy development of young individuals who have faced adversity.</w:t>
      </w:r>
      <w:r>
        <w:rPr>
          <w:rFonts w:ascii="Times Roman" w:hAnsi="Times Roman" w:hint="default"/>
          <w:rtl w:val="0"/>
        </w:rPr>
        <w:t> </w:t>
      </w:r>
      <w:r>
        <w:rPr>
          <w:rFonts w:ascii="Times Roman" w:hAnsi="Times Roman"/>
          <w:rtl w:val="0"/>
          <w:lang w:val="en-US"/>
        </w:rPr>
        <w:t>Having access</w:t>
      </w:r>
      <w:r>
        <w:rPr>
          <w:rFonts w:ascii="Times Roman" w:hAnsi="Times Roman" w:hint="default"/>
          <w:rtl w:val="0"/>
        </w:rPr>
        <w:t> </w:t>
      </w:r>
      <w:r>
        <w:rPr>
          <w:rFonts w:ascii="Times Roman" w:hAnsi="Times Roman"/>
          <w:rtl w:val="0"/>
          <w:lang w:val="en-US"/>
        </w:rPr>
        <w:t>to an always-available trusted adult during childhood is associated with higher levels of childhood resilience, even for those who experienced</w:t>
      </w:r>
      <w:r>
        <w:rPr>
          <w:rFonts w:ascii="Times Roman" w:hAnsi="Times Roman" w:hint="default"/>
          <w:rtl w:val="0"/>
        </w:rPr>
        <w:t> </w:t>
      </w:r>
      <w:r>
        <w:rPr>
          <w:rFonts w:ascii="Times Roman" w:hAnsi="Times Roman"/>
          <w:rtl w:val="0"/>
        </w:rPr>
        <w:t>4</w:t>
      </w:r>
      <w:r>
        <w:rPr>
          <w:rFonts w:ascii="Times Roman" w:hAnsi="Times Roman" w:hint="default"/>
          <w:rtl w:val="0"/>
        </w:rPr>
        <w:t> </w:t>
      </w:r>
      <w:r>
        <w:rPr>
          <w:rFonts w:ascii="Times Roman" w:hAnsi="Times Roman"/>
          <w:rtl w:val="0"/>
          <w:lang w:val="en-US"/>
        </w:rPr>
        <w:t>or more ACEs (Ashton et al., 2021).</w:t>
      </w:r>
    </w:p>
    <w:p>
      <w:pPr>
        <w:pStyle w:val="Default"/>
        <w:bidi w:val="0"/>
        <w:spacing w:before="0" w:after="240" w:line="480" w:lineRule="auto"/>
        <w:ind w:left="0" w:right="0" w:firstLine="0"/>
        <w:jc w:val="left"/>
        <w:rPr>
          <w:rFonts w:ascii="Times Roman" w:cs="Times Roman" w:hAnsi="Times Roman" w:eastAsia="Times Roman"/>
          <w:rtl w:val="0"/>
        </w:rPr>
      </w:pPr>
      <w:r>
        <w:rPr>
          <w:rFonts w:ascii="Times Roman" w:cs="Times Roman" w:hAnsi="Times Roman" w:eastAsia="Times Roman"/>
          <w:rtl w:val="0"/>
        </w:rPr>
        <w:tab/>
      </w:r>
      <w:r>
        <w:rPr>
          <w:rFonts w:ascii="Times Roman" w:hAnsi="Times Roman"/>
          <w:rtl w:val="0"/>
          <w:lang w:val="en-US"/>
        </w:rPr>
        <w:t>In conclusion, Adverse Childhood Experiences (ACEs), particularly those associated with poverty, can have detrimental effects on the</w:t>
      </w:r>
      <w:r>
        <w:rPr>
          <w:rFonts w:ascii="Times Roman" w:hAnsi="Times Roman" w:hint="default"/>
          <w:rtl w:val="0"/>
        </w:rPr>
        <w:t> </w:t>
      </w:r>
      <w:r>
        <w:rPr>
          <w:rFonts w:ascii="Times Roman" w:hAnsi="Times Roman"/>
          <w:rtl w:val="0"/>
          <w:lang w:val="en-US"/>
        </w:rPr>
        <w:t>development,</w:t>
      </w:r>
      <w:r>
        <w:rPr>
          <w:rFonts w:ascii="Times Roman" w:hAnsi="Times Roman" w:hint="default"/>
          <w:rtl w:val="0"/>
        </w:rPr>
        <w:t> </w:t>
      </w:r>
      <w:r>
        <w:rPr>
          <w:rFonts w:ascii="Times Roman" w:hAnsi="Times Roman"/>
          <w:rtl w:val="0"/>
          <w:lang w:val="en-US"/>
        </w:rPr>
        <w:t>and lifelong mental and physical health of children and adolescents. Extensive academic research has consistently demonstrated the heightened risk that ACEs pose for psychological disorders, self-harm, and long-term health consequences. While evidence-based interventions like Exposure Therapy and Trauma-focused Cognitive Behavioural Therapy (CBT) have shown promising results, access to these services remains limited, especially for individuals from low-income backgrounds, as interpreted from</w:t>
      </w:r>
      <w:r>
        <w:rPr>
          <w:rFonts w:ascii="Times Roman" w:hAnsi="Times Roman" w:hint="default"/>
          <w:rtl w:val="0"/>
        </w:rPr>
        <w:t> </w:t>
      </w:r>
      <w:r>
        <w:rPr>
          <w:rFonts w:ascii="Times Roman" w:hAnsi="Times Roman"/>
          <w:rtl w:val="0"/>
          <w:lang w:val="en-US"/>
        </w:rPr>
        <w:t>Ben's</w:t>
      </w:r>
      <w:r>
        <w:rPr>
          <w:rFonts w:ascii="Times Roman" w:hAnsi="Times Roman" w:hint="default"/>
          <w:rtl w:val="0"/>
        </w:rPr>
        <w:t> </w:t>
      </w:r>
      <w:r>
        <w:rPr>
          <w:rFonts w:ascii="Times Roman" w:hAnsi="Times Roman"/>
          <w:rtl w:val="0"/>
          <w:lang w:val="en-US"/>
        </w:rPr>
        <w:t>fictional case scenario. Furthermore, a multi-faceted approach is crucial to understand impact the impact of ACEs on immediate thoughts and</w:t>
      </w:r>
      <w:r>
        <w:rPr>
          <w:rFonts w:ascii="Times Roman" w:hAnsi="Times Roman" w:hint="default"/>
          <w:rtl w:val="0"/>
        </w:rPr>
        <w:t> </w:t>
      </w:r>
      <w:r>
        <w:rPr>
          <w:rFonts w:ascii="Times Roman" w:hAnsi="Times Roman"/>
          <w:rtl w:val="0"/>
          <w:lang w:val="en-US"/>
        </w:rPr>
        <w:t>behaviours,</w:t>
      </w:r>
      <w:r>
        <w:rPr>
          <w:rFonts w:ascii="Times Roman" w:hAnsi="Times Roman" w:hint="default"/>
          <w:rtl w:val="0"/>
        </w:rPr>
        <w:t> </w:t>
      </w:r>
      <w:r>
        <w:rPr>
          <w:rFonts w:ascii="Times Roman" w:hAnsi="Times Roman"/>
          <w:rtl w:val="0"/>
          <w:lang w:val="en-US"/>
        </w:rPr>
        <w:t>and long-term health consequences, targeting prevention efforts at societal, community, and individual</w:t>
      </w:r>
      <w:r>
        <w:rPr>
          <w:rFonts w:ascii="Times Roman" w:hAnsi="Times Roman" w:hint="default"/>
          <w:rtl w:val="0"/>
        </w:rPr>
        <w:t> </w:t>
      </w:r>
      <w:r>
        <w:rPr>
          <w:rFonts w:ascii="Times Roman" w:hAnsi="Times Roman"/>
          <w:rtl w:val="0"/>
          <w:lang w:val="en-US"/>
        </w:rPr>
        <w:t>levels,</w:t>
      </w:r>
      <w:r>
        <w:rPr>
          <w:rFonts w:ascii="Times Roman" w:hAnsi="Times Roman" w:hint="default"/>
          <w:rtl w:val="0"/>
        </w:rPr>
        <w:t> </w:t>
      </w:r>
      <w:r>
        <w:rPr>
          <w:rFonts w:ascii="Times Roman" w:hAnsi="Times Roman"/>
          <w:rtl w:val="0"/>
          <w:lang w:val="en-US"/>
        </w:rPr>
        <w:t>as a protective</w:t>
      </w:r>
      <w:r>
        <w:rPr>
          <w:rFonts w:ascii="Times Roman" w:hAnsi="Times Roman" w:hint="default"/>
          <w:rtl w:val="0"/>
        </w:rPr>
        <w:t> </w:t>
      </w:r>
      <w:r>
        <w:rPr>
          <w:rFonts w:ascii="Times Roman" w:hAnsi="Times Roman"/>
          <w:rtl w:val="0"/>
          <w:lang w:val="es-ES_tradnl"/>
        </w:rPr>
        <w:t>factor,</w:t>
      </w:r>
      <w:r>
        <w:rPr>
          <w:rFonts w:ascii="Times Roman" w:hAnsi="Times Roman" w:hint="default"/>
          <w:rtl w:val="0"/>
        </w:rPr>
        <w:t> </w:t>
      </w:r>
      <w:r>
        <w:rPr>
          <w:rFonts w:ascii="Times Roman" w:hAnsi="Times Roman"/>
          <w:rtl w:val="0"/>
          <w:lang w:val="en-US"/>
        </w:rPr>
        <w:t>and to equip young people with essential coping strategies that can mitigate the impact of ACEs.</w:t>
      </w: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0" w:right="0" w:firstLine="0"/>
        <w:jc w:val="left"/>
        <w:rPr>
          <w:rFonts w:ascii="Times Roman" w:cs="Times Roman" w:hAnsi="Times Roman" w:eastAsia="Times Roman"/>
          <w:rtl w:val="0"/>
        </w:rPr>
      </w:pPr>
    </w:p>
    <w:p>
      <w:pPr>
        <w:pStyle w:val="Default"/>
        <w:bidi w:val="0"/>
        <w:spacing w:before="0" w:after="230" w:line="240" w:lineRule="auto"/>
        <w:ind w:left="0" w:right="0" w:firstLine="0"/>
        <w:jc w:val="center"/>
        <w:rPr>
          <w:rFonts w:ascii="Arial" w:cs="Arial" w:hAnsi="Arial" w:eastAsia="Arial"/>
          <w:sz w:val="20"/>
          <w:szCs w:val="20"/>
          <w:shd w:val="clear" w:color="auto" w:fill="ffffff"/>
          <w:rtl w:val="0"/>
        </w:rPr>
      </w:pPr>
    </w:p>
    <w:p>
      <w:pPr>
        <w:pStyle w:val="Default"/>
        <w:bidi w:val="0"/>
        <w:spacing w:before="0" w:after="230" w:line="240" w:lineRule="auto"/>
        <w:ind w:left="0" w:right="0" w:firstLine="0"/>
        <w:jc w:val="center"/>
        <w:rPr>
          <w:rFonts w:ascii="Arial" w:cs="Arial" w:hAnsi="Arial" w:eastAsia="Arial"/>
          <w:sz w:val="20"/>
          <w:szCs w:val="20"/>
          <w:shd w:val="clear" w:color="auto" w:fill="ffffff"/>
          <w:rtl w:val="0"/>
        </w:rPr>
      </w:pPr>
      <w:r>
        <w:rPr>
          <w:rFonts w:ascii="Arial" w:hAnsi="Arial"/>
          <w:sz w:val="20"/>
          <w:szCs w:val="20"/>
          <w:shd w:val="clear" w:color="auto" w:fill="ffffff"/>
          <w:rtl w:val="0"/>
          <w:lang w:val="fr-FR"/>
        </w:rPr>
        <w:t>References</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American Psychiatric Association, D., &amp; American Psychiatric Association. (2013).</w:t>
      </w:r>
      <w:r>
        <w:rPr>
          <w:rFonts w:ascii="Arial" w:hAnsi="Arial" w:hint="default"/>
          <w:sz w:val="20"/>
          <w:szCs w:val="20"/>
          <w:shd w:val="clear" w:color="auto" w:fill="ffffff"/>
          <w:rtl w:val="0"/>
        </w:rPr>
        <w:t> </w:t>
      </w:r>
      <w:r>
        <w:rPr>
          <w:rFonts w:ascii="Arial" w:hAnsi="Arial"/>
          <w:i w:val="1"/>
          <w:iCs w:val="1"/>
          <w:sz w:val="20"/>
          <w:szCs w:val="20"/>
          <w:shd w:val="clear" w:color="auto" w:fill="ffffff"/>
          <w:rtl w:val="0"/>
          <w:lang w:val="en-US"/>
        </w:rPr>
        <w:t>Diagnostic and statistical manual of mental disorders: DSM-5</w:t>
      </w:r>
      <w:r>
        <w:rPr>
          <w:rFonts w:ascii="Arial" w:hAnsi="Arial"/>
          <w:sz w:val="20"/>
          <w:szCs w:val="20"/>
          <w:shd w:val="clear" w:color="auto" w:fill="ffffff"/>
          <w:rtl w:val="0"/>
          <w:lang w:val="en-US"/>
        </w:rPr>
        <w:t>. American psychiatric association Washington, DC.</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Anda, R. F., Brown, D. W., Felitti, V. J., Bremner, J. D., Dube, S. R., &amp; Giles, W. H. (2007). Adverse childhood experiences and prescribed psychotropic medications in adults.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American Journal of Preventive Medicine,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32</w:t>
      </w:r>
      <w:r>
        <w:rPr>
          <w:rFonts w:ascii="Arial" w:hAnsi="Arial"/>
          <w:sz w:val="20"/>
          <w:szCs w:val="20"/>
          <w:shd w:val="clear" w:color="auto" w:fill="ffffff"/>
          <w:rtl w:val="0"/>
        </w:rPr>
        <w:t>(5), 389-394.</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"https://doi.org/10.1016/j.amepre.2007.01.005"</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rPr>
        <w:t>https://doi.org/10.1016/j.amepre.2007.01.005</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Anda, R. F., Butchart, A., Felitti, V. J., &amp; Brown, D. W. (2010). Building a framework for global surveillance of the public health implications of adverse childhood experiences.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American Journal of Preventive Medicine,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39</w:t>
      </w:r>
      <w:r>
        <w:rPr>
          <w:rFonts w:ascii="Arial" w:hAnsi="Arial"/>
          <w:sz w:val="20"/>
          <w:szCs w:val="20"/>
          <w:shd w:val="clear" w:color="auto" w:fill="ffffff"/>
          <w:rtl w:val="0"/>
        </w:rPr>
        <w:t>(1), 93-98.</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"https://doi.org/10.1016/j.amepre.2010.03.015"</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rPr>
        <w:t>https://doi.org/10.1016/j.amepre.2010.03.015</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Ashton, K., Davies, A.R., Hughes, K.</w:t>
      </w:r>
      <w:r>
        <w:rPr>
          <w:rFonts w:ascii="Arial" w:hAnsi="Arial" w:hint="default"/>
          <w:sz w:val="20"/>
          <w:szCs w:val="20"/>
          <w:shd w:val="clear" w:color="auto" w:fill="ffffff"/>
          <w:rtl w:val="0"/>
        </w:rPr>
        <w:t> </w:t>
      </w:r>
      <w:r>
        <w:rPr>
          <w:rFonts w:ascii="Arial" w:hAnsi="Arial"/>
          <w:i w:val="1"/>
          <w:iCs w:val="1"/>
          <w:sz w:val="20"/>
          <w:szCs w:val="20"/>
          <w:shd w:val="clear" w:color="auto" w:fill="ffffff"/>
          <w:rtl w:val="0"/>
        </w:rPr>
        <w:t>et al.</w:t>
      </w:r>
      <w:r>
        <w:rPr>
          <w:rFonts w:ascii="Arial" w:hAnsi="Arial" w:hint="default"/>
          <w:sz w:val="20"/>
          <w:szCs w:val="20"/>
          <w:shd w:val="clear" w:color="auto" w:fill="ffffff"/>
          <w:rtl w:val="0"/>
        </w:rPr>
        <w:t> </w:t>
      </w:r>
      <w:r>
        <w:rPr>
          <w:rFonts w:ascii="Arial" w:hAnsi="Arial"/>
          <w:sz w:val="20"/>
          <w:szCs w:val="20"/>
          <w:shd w:val="clear" w:color="auto" w:fill="ffffff"/>
          <w:rtl w:val="0"/>
          <w:lang w:val="en-US"/>
        </w:rPr>
        <w:t>Adult support during childhood: a retrospective study of trusted adult relationships, sources of personal adult support and their association with childhood resilience resources.</w:t>
      </w:r>
      <w:r>
        <w:rPr>
          <w:rFonts w:ascii="Arial" w:hAnsi="Arial" w:hint="default"/>
          <w:sz w:val="20"/>
          <w:szCs w:val="20"/>
          <w:shd w:val="clear" w:color="auto" w:fill="ffffff"/>
          <w:rtl w:val="0"/>
        </w:rPr>
        <w:t> </w:t>
      </w:r>
      <w:r>
        <w:rPr>
          <w:rFonts w:ascii="Arial" w:hAnsi="Arial"/>
          <w:i w:val="1"/>
          <w:iCs w:val="1"/>
          <w:sz w:val="20"/>
          <w:szCs w:val="20"/>
          <w:shd w:val="clear" w:color="auto" w:fill="ffffff"/>
          <w:rtl w:val="0"/>
        </w:rPr>
        <w:t>BMC Psychol</w:t>
      </w:r>
      <w:r>
        <w:rPr>
          <w:rFonts w:ascii="Arial" w:hAnsi="Arial" w:hint="default"/>
          <w:sz w:val="20"/>
          <w:szCs w:val="20"/>
          <w:shd w:val="clear" w:color="auto" w:fill="ffffff"/>
          <w:rtl w:val="0"/>
        </w:rPr>
        <w:t> </w:t>
      </w:r>
      <w:r>
        <w:rPr>
          <w:rFonts w:ascii="Arial" w:hAnsi="Arial"/>
          <w:b w:val="1"/>
          <w:bCs w:val="1"/>
          <w:sz w:val="20"/>
          <w:szCs w:val="20"/>
          <w:shd w:val="clear" w:color="auto" w:fill="ffffff"/>
          <w:rtl w:val="0"/>
        </w:rPr>
        <w:t>9</w:t>
      </w:r>
      <w:r>
        <w:rPr>
          <w:rFonts w:ascii="Arial" w:hAnsi="Arial"/>
          <w:sz w:val="20"/>
          <w:szCs w:val="20"/>
          <w:shd w:val="clear" w:color="auto" w:fill="ffffff"/>
          <w:rtl w:val="0"/>
        </w:rPr>
        <w:t>, 101 (2021). https://doi.org/10.1186/s40359-021-00601-x</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rPr>
        <w:t>Ballard, J., George, L., Zazueta</w:t>
      </w:r>
      <w:r>
        <w:rPr>
          <w:rFonts w:ascii="Arial" w:hAnsi="Arial" w:hint="default"/>
          <w:sz w:val="20"/>
          <w:szCs w:val="20"/>
          <w:shd w:val="clear" w:color="auto" w:fill="ffffff"/>
          <w:rtl w:val="0"/>
        </w:rPr>
        <w:t>‐</w:t>
      </w:r>
      <w:r>
        <w:rPr>
          <w:rFonts w:ascii="Arial" w:hAnsi="Arial"/>
          <w:sz w:val="20"/>
          <w:szCs w:val="20"/>
          <w:shd w:val="clear" w:color="auto" w:fill="ffffff"/>
          <w:rtl w:val="0"/>
          <w:lang w:val="en-US"/>
        </w:rPr>
        <w:t>Lara, E., Turner, L., Aguado, J., Law, J., &amp; Alger, R. (2019). Trauma informed public health nursing visits to parents and children.</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Public Health Nursing,</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36</w:t>
      </w:r>
      <w:r>
        <w:rPr>
          <w:rFonts w:ascii="Arial" w:hAnsi="Arial"/>
          <w:sz w:val="20"/>
          <w:szCs w:val="20"/>
          <w:shd w:val="clear" w:color="auto" w:fill="ffffff"/>
          <w:rtl w:val="0"/>
        </w:rPr>
        <w:t>(5), 694-701.</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"https://doi.org/10.1111/phn.12634"</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https://doi.org/10.1111/phn.12634</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 xml:space="preserve">Bernard, D. L., Calhoun, C. D., Banks, D. E., Halliday, C. A., Hughes-Halbert, C., &amp; Danielson, C. K. (2021). Making the </w:t>
      </w:r>
      <w:r>
        <w:rPr>
          <w:rFonts w:ascii="Arial" w:hAnsi="Arial" w:hint="default"/>
          <w:sz w:val="20"/>
          <w:szCs w:val="20"/>
          <w:shd w:val="clear" w:color="auto" w:fill="ffffff"/>
          <w:rtl w:val="1"/>
          <w:lang w:val="ar-SA" w:bidi="ar-SA"/>
        </w:rPr>
        <w:t>“</w:t>
      </w:r>
      <w:r>
        <w:rPr>
          <w:rFonts w:ascii="Arial" w:hAnsi="Arial"/>
          <w:sz w:val="20"/>
          <w:szCs w:val="20"/>
          <w:shd w:val="clear" w:color="auto" w:fill="ffffff"/>
          <w:rtl w:val="0"/>
          <w:lang w:val="de-DE"/>
        </w:rPr>
        <w:t>C-ACE</w:t>
      </w:r>
      <w:r>
        <w:rPr>
          <w:rFonts w:ascii="Arial" w:hAnsi="Arial" w:hint="default"/>
          <w:sz w:val="20"/>
          <w:szCs w:val="20"/>
          <w:shd w:val="clear" w:color="auto" w:fill="ffffff"/>
          <w:rtl w:val="0"/>
        </w:rPr>
        <w:t xml:space="preserve">” </w:t>
      </w:r>
      <w:r>
        <w:rPr>
          <w:rFonts w:ascii="Arial" w:hAnsi="Arial"/>
          <w:sz w:val="20"/>
          <w:szCs w:val="20"/>
          <w:shd w:val="clear" w:color="auto" w:fill="ffffff"/>
          <w:rtl w:val="0"/>
          <w:lang w:val="en-US"/>
        </w:rPr>
        <w:t>for a culturally-informed adverse childhood experiences framework to understand the pervasive mental health impact of racism on black youth.</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Journal of Child &amp; Adolescent Trauma,</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14</w:t>
      </w:r>
      <w:r>
        <w:rPr>
          <w:rFonts w:ascii="Arial" w:hAnsi="Arial"/>
          <w:sz w:val="20"/>
          <w:szCs w:val="20"/>
          <w:shd w:val="clear" w:color="auto" w:fill="ffffff"/>
          <w:rtl w:val="0"/>
          <w:lang w:val="it-IT"/>
        </w:rPr>
        <w:t>, 233-247.</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"https://doi.org/10.1007/s40653-020-00319-9"</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https://doi.org/10.1007/s40653-020-00319-9</w:t>
      </w:r>
      <w:r>
        <w:rPr>
          <w:rFonts w:ascii="Arial" w:cs="Arial" w:hAnsi="Arial" w:eastAsia="Arial"/>
          <w:sz w:val="20"/>
          <w:szCs w:val="20"/>
          <w:shd w:val="clear" w:color="auto" w:fill="ffffff"/>
          <w:rtl w:val="0"/>
        </w:rPr>
        <w:fldChar w:fldCharType="end" w:fldLock="0"/>
      </w:r>
      <w:r>
        <w:rPr>
          <w:rFonts w:ascii="Arial" w:hAnsi="Arial"/>
          <w:sz w:val="20"/>
          <w:szCs w:val="20"/>
          <w:shd w:val="clear" w:color="auto" w:fill="ffffff"/>
          <w:rtl w:val="0"/>
          <w:lang w:val="en-US"/>
        </w:rPr>
        <w:t xml:space="preserve"> </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Bernard, D. L., Smith, Q., &amp; Lanier, P. (2022). Racial discrimination and other adverse childhood experiences as risk factors for internalizing mental health concerns among Black youth.</w:t>
      </w:r>
      <w:r>
        <w:rPr>
          <w:rFonts w:ascii="Arial" w:hAnsi="Arial" w:hint="default"/>
          <w:sz w:val="20"/>
          <w:szCs w:val="20"/>
          <w:shd w:val="clear" w:color="auto" w:fill="ffffff"/>
          <w:rtl w:val="0"/>
        </w:rPr>
        <w:t> </w:t>
      </w:r>
      <w:r>
        <w:rPr>
          <w:rFonts w:ascii="Arial" w:hAnsi="Arial"/>
          <w:i w:val="1"/>
          <w:iCs w:val="1"/>
          <w:sz w:val="20"/>
          <w:szCs w:val="20"/>
          <w:shd w:val="clear" w:color="auto" w:fill="ffffff"/>
          <w:rtl w:val="0"/>
          <w:lang w:val="en-US"/>
        </w:rPr>
        <w:t>Journal of traumatic stress</w:t>
      </w:r>
      <w:r>
        <w:rPr>
          <w:rFonts w:ascii="Arial" w:hAnsi="Arial"/>
          <w:sz w:val="20"/>
          <w:szCs w:val="20"/>
          <w:shd w:val="clear" w:color="auto" w:fill="ffffff"/>
          <w:rtl w:val="0"/>
        </w:rPr>
        <w:t>,</w:t>
      </w:r>
      <w:r>
        <w:rPr>
          <w:rFonts w:ascii="Arial" w:hAnsi="Arial" w:hint="default"/>
          <w:sz w:val="20"/>
          <w:szCs w:val="20"/>
          <w:shd w:val="clear" w:color="auto" w:fill="ffffff"/>
          <w:rtl w:val="0"/>
        </w:rPr>
        <w:t> </w:t>
      </w:r>
      <w:r>
        <w:rPr>
          <w:rFonts w:ascii="Arial" w:hAnsi="Arial"/>
          <w:i w:val="1"/>
          <w:iCs w:val="1"/>
          <w:sz w:val="20"/>
          <w:szCs w:val="20"/>
          <w:shd w:val="clear" w:color="auto" w:fill="ffffff"/>
          <w:rtl w:val="0"/>
        </w:rPr>
        <w:t>35</w:t>
      </w:r>
      <w:r>
        <w:rPr>
          <w:rFonts w:ascii="Arial" w:hAnsi="Arial"/>
          <w:sz w:val="20"/>
          <w:szCs w:val="20"/>
          <w:shd w:val="clear" w:color="auto" w:fill="ffffff"/>
          <w:rtl w:val="0"/>
        </w:rPr>
        <w:t>(2), 473-483.</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"https://doi.org/10.1002/jts.22760"</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https://doi.org/10.1002/jts.22760</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Brody, G. H., Dorsey, S., Forehand, R., &amp; Armistead, L. (2002). Unique and protective contributions of parenting and classroom processes to the adjustment of african american children living in single</w:t>
      </w:r>
      <w:r>
        <w:rPr>
          <w:rFonts w:ascii="Arial" w:hAnsi="Arial" w:hint="default"/>
          <w:sz w:val="20"/>
          <w:szCs w:val="20"/>
          <w:shd w:val="clear" w:color="auto" w:fill="ffffff"/>
          <w:rtl w:val="0"/>
        </w:rPr>
        <w:t>‐</w:t>
      </w:r>
      <w:r>
        <w:rPr>
          <w:rFonts w:ascii="Arial" w:hAnsi="Arial"/>
          <w:sz w:val="20"/>
          <w:szCs w:val="20"/>
          <w:shd w:val="clear" w:color="auto" w:fill="ffffff"/>
          <w:rtl w:val="0"/>
        </w:rPr>
        <w:t>parent families.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Child Development,</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73</w:t>
      </w:r>
      <w:r>
        <w:rPr>
          <w:rFonts w:ascii="Arial" w:hAnsi="Arial"/>
          <w:sz w:val="20"/>
          <w:szCs w:val="20"/>
          <w:shd w:val="clear" w:color="auto" w:fill="ffffff"/>
          <w:rtl w:val="0"/>
        </w:rPr>
        <w:t>(1), 274-286.</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"https://doi.org/10.1111/1467-8624.00405"</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https://doi.org/10.1111/1467-8624.00405</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Bunting, L., McCartan, C., Davidson, G., Grant, A., Mulholland, C., Schubotz, D., Hamill, R., McBride, O., Murphy, J., &amp; Nolan, E. (2023). The influence of adverse and positive childhood experiences on young people's mental health and experiences of self-harm and suicidal ideation.</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Child Abuse &amp; Neglect,</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140</w:t>
      </w:r>
      <w:r>
        <w:rPr>
          <w:rFonts w:ascii="Arial" w:hAnsi="Arial"/>
          <w:sz w:val="20"/>
          <w:szCs w:val="20"/>
          <w:shd w:val="clear" w:color="auto" w:fill="ffffff"/>
          <w:rtl w:val="0"/>
        </w:rPr>
        <w:t>, 106159.</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"https://doi.org/10.1016/j.chiabu.2023.106159"</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rPr>
        <w:t>https://doi.org/10.1016/j.chiabu.2023.106159</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Castro-Ramirez, F., Al-Suwaidi, M., Garcia, P., Rankin, O., Ricard, J. R., &amp; Nock, M. K. (2021). Racism and poverty are barriers to the treatment of youth mental health concerns.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Journal of Clinical Child &amp; Adolescent Psychology,</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50</w:t>
      </w:r>
      <w:r>
        <w:rPr>
          <w:rFonts w:ascii="Arial" w:hAnsi="Arial"/>
          <w:sz w:val="20"/>
          <w:szCs w:val="20"/>
          <w:shd w:val="clear" w:color="auto" w:fill="ffffff"/>
          <w:rtl w:val="0"/>
        </w:rPr>
        <w:t>(4), 534-546.</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"https://doi.org/10.1080/15374416.2021.1941058"</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https://doi.org/10.1080/15374416.2021.1941058</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i w:val="0"/>
          <w:iCs w:val="0"/>
          <w:sz w:val="20"/>
          <w:szCs w:val="20"/>
          <w:shd w:val="clear" w:color="auto" w:fill="ffffff"/>
          <w:rtl w:val="0"/>
        </w:rPr>
      </w:pPr>
      <w:r>
        <w:rPr>
          <w:rFonts w:ascii="Arial" w:hAnsi="Arial"/>
          <w:i w:val="0"/>
          <w:iCs w:val="0"/>
          <w:sz w:val="20"/>
          <w:szCs w:val="20"/>
          <w:shd w:val="clear" w:color="auto" w:fill="ffffff"/>
          <w:rtl w:val="0"/>
          <w:lang w:val="en-US"/>
        </w:rPr>
        <w:t>Centers for Disease Control and Prevention. (2022). Risk and protective factors.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fr-FR"/>
        </w:rPr>
        <w:t>Violence Prevention.</w:t>
      </w:r>
      <w:r>
        <w:rPr>
          <w:rFonts w:ascii="Arial" w:hAnsi="Arial"/>
          <w:i w:val="1"/>
          <w:iCs w:val="1"/>
          <w:sz w:val="20"/>
          <w:szCs w:val="20"/>
          <w:shd w:val="clear" w:color="auto" w:fill="ffffff"/>
          <w:rtl w:val="0"/>
          <w:lang w:val="en-US"/>
        </w:rPr>
        <w:t xml:space="preserve"> </w:t>
      </w:r>
      <w:r>
        <w:rPr>
          <w:rFonts w:ascii="Arial" w:hAnsi="Arial"/>
          <w:i w:val="0"/>
          <w:iCs w:val="0"/>
          <w:sz w:val="20"/>
          <w:szCs w:val="20"/>
          <w:shd w:val="clear" w:color="auto" w:fill="ffffff"/>
          <w:rtl w:val="0"/>
          <w:lang w:val="en-US"/>
        </w:rPr>
        <w:t xml:space="preserve">Available at: </w:t>
      </w:r>
      <w:r>
        <w:rPr>
          <w:rFonts w:ascii="Arial" w:hAnsi="Arial"/>
          <w:i w:val="0"/>
          <w:iCs w:val="0"/>
          <w:sz w:val="20"/>
          <w:szCs w:val="20"/>
          <w:shd w:val="clear" w:color="auto" w:fill="ffffff"/>
          <w:rtl w:val="0"/>
          <w:lang w:val="de-DE"/>
        </w:rPr>
        <w:t>Https://</w:t>
      </w:r>
      <w:r>
        <w:rPr>
          <w:rFonts w:ascii="Arial" w:hAnsi="Arial"/>
          <w:i w:val="0"/>
          <w:iCs w:val="0"/>
          <w:sz w:val="20"/>
          <w:szCs w:val="20"/>
          <w:shd w:val="clear" w:color="auto" w:fill="ffffff"/>
          <w:rtl w:val="0"/>
          <w:lang w:val="en-US"/>
        </w:rPr>
        <w:t>w</w:t>
      </w:r>
      <w:r>
        <w:rPr>
          <w:rFonts w:ascii="Arial" w:hAnsi="Arial"/>
          <w:i w:val="0"/>
          <w:iCs w:val="0"/>
          <w:sz w:val="20"/>
          <w:szCs w:val="20"/>
          <w:shd w:val="clear" w:color="auto" w:fill="ffffff"/>
          <w:rtl w:val="0"/>
          <w:lang w:val="en-US"/>
        </w:rPr>
        <w:t>ww.Cdc.Gov/Violenceprevention/Youthviolence/Riskprotectivefactors.</w:t>
      </w:r>
      <w:r>
        <w:rPr>
          <w:rFonts w:ascii="Arial" w:hAnsi="Arial"/>
          <w:i w:val="0"/>
          <w:iCs w:val="0"/>
          <w:sz w:val="20"/>
          <w:szCs w:val="20"/>
          <w:shd w:val="clear" w:color="auto" w:fill="ffffff"/>
          <w:rtl w:val="0"/>
          <w:lang w:val="en-US"/>
        </w:rPr>
        <w:t xml:space="preserve"> </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Crouch, E., Probst, J. C., Radcliff, E., Bennett, K. J., &amp; McKinney, S. H. (2019). Prevalence of adverse childhood experiences (ACEs) among US children.</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Child Abuse &amp; Neglect,</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92</w:t>
      </w:r>
      <w:r>
        <w:rPr>
          <w:rFonts w:ascii="Arial" w:hAnsi="Arial"/>
          <w:sz w:val="20"/>
          <w:szCs w:val="20"/>
          <w:shd w:val="clear" w:color="auto" w:fill="ffffff"/>
          <w:rtl w:val="0"/>
        </w:rPr>
        <w:t>, 209-218.</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"https://doi.org/10.1016/j.chiabu.2019.04.010"</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rPr>
        <w:t>https://doi.org/10.1016/j.chiabu.2019.04.010</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Currie, J., &amp; Spatz Widom, C. (2010). Long-term consequences of child abuse and neglect on adult economic well-being.</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Child Maltreatment,</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15</w:t>
      </w:r>
      <w:r>
        <w:rPr>
          <w:rFonts w:ascii="Arial" w:hAnsi="Arial"/>
          <w:sz w:val="20"/>
          <w:szCs w:val="20"/>
          <w:shd w:val="clear" w:color="auto" w:fill="ffffff"/>
          <w:rtl w:val="0"/>
        </w:rPr>
        <w:t>(2), 111-120.</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"https://doi.org/10.1177/1077559509355316"</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https://doi.org/10.1177/1077559509355316</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i w:val="0"/>
          <w:iCs w:val="0"/>
          <w:sz w:val="20"/>
          <w:szCs w:val="20"/>
          <w:shd w:val="clear" w:color="auto" w:fill="ffffff"/>
          <w:rtl w:val="0"/>
        </w:rPr>
      </w:pPr>
      <w:r>
        <w:rPr>
          <w:rFonts w:ascii="Arial" w:hAnsi="Arial"/>
          <w:i w:val="0"/>
          <w:iCs w:val="0"/>
          <w:sz w:val="20"/>
          <w:szCs w:val="20"/>
          <w:shd w:val="clear" w:color="auto" w:fill="ffffff"/>
          <w:rtl w:val="0"/>
          <w:lang w:val="it-IT"/>
        </w:rPr>
        <w:t>Di Lemma, L., Davies, A. R., Ford, K., Hughes, K., Homolova, L., Gray, B., &amp; Richardson, G. (2019).</w:t>
      </w:r>
      <w:r>
        <w:rPr>
          <w:rFonts w:ascii="Arial" w:hAnsi="Arial" w:hint="default"/>
          <w:i w:val="0"/>
          <w:iCs w:val="0"/>
          <w:sz w:val="20"/>
          <w:szCs w:val="20"/>
          <w:shd w:val="clear" w:color="auto" w:fill="ffffff"/>
          <w:rtl w:val="0"/>
        </w:rPr>
        <w:t> </w:t>
      </w:r>
      <w:r>
        <w:rPr>
          <w:rFonts w:ascii="Arial" w:hAnsi="Arial"/>
          <w:i w:val="1"/>
          <w:iCs w:val="1"/>
          <w:sz w:val="20"/>
          <w:szCs w:val="20"/>
          <w:shd w:val="clear" w:color="auto" w:fill="ffffff"/>
          <w:rtl w:val="0"/>
          <w:lang w:val="en-US"/>
        </w:rPr>
        <w:t>Responding to adverse childhood experiences: An evidence review of interventions to prevent and address adversity across the life course</w:t>
      </w:r>
      <w:r>
        <w:rPr>
          <w:rFonts w:ascii="Arial" w:hAnsi="Arial"/>
          <w:i w:val="0"/>
          <w:iCs w:val="0"/>
          <w:sz w:val="20"/>
          <w:szCs w:val="20"/>
          <w:shd w:val="clear" w:color="auto" w:fill="ffffff"/>
          <w:rtl w:val="0"/>
          <w:lang w:val="en-US"/>
        </w:rPr>
        <w:t>. Public Health Wales; Bangor University.</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Doi, S., Fujiwara, T., Isumi, A., &amp; Ochi, M. (2019). Pathway of the association between child poverty and low self-esteem: Results from a population-based study of adolescents in japan.</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Frontiers in Psychology,</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10</w:t>
      </w:r>
      <w:r>
        <w:rPr>
          <w:rFonts w:ascii="Arial" w:hAnsi="Arial"/>
          <w:sz w:val="20"/>
          <w:szCs w:val="20"/>
          <w:shd w:val="clear" w:color="auto" w:fill="ffffff"/>
          <w:rtl w:val="0"/>
        </w:rPr>
        <w:t>, 937.</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"https://doi.org/10.3389/fpsyg.2019.00937"</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https://doi.org/10.3389/fpsyg.2019.00937</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Evans, G. W. (2004). The environment of childhood poverty.</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American Psychologist,</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59</w:t>
      </w:r>
      <w:r>
        <w:rPr>
          <w:rFonts w:ascii="Arial" w:hAnsi="Arial"/>
          <w:sz w:val="20"/>
          <w:szCs w:val="20"/>
          <w:shd w:val="clear" w:color="auto" w:fill="ffffff"/>
          <w:rtl w:val="0"/>
        </w:rPr>
        <w:t>(2), 77.</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"https://psycnet.apa.org/doi/10.1037/0003-066X.59.2.77"</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https://doi.org/10.1037/0003-066X.59.2.77</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Evans, G. W., &amp; Kim, P. (2012). Childhood poverty and young adults</w:t>
      </w:r>
      <w:r>
        <w:rPr>
          <w:rFonts w:ascii="Arial" w:hAnsi="Arial" w:hint="default"/>
          <w:sz w:val="20"/>
          <w:szCs w:val="20"/>
          <w:shd w:val="clear" w:color="auto" w:fill="ffffff"/>
          <w:rtl w:val="1"/>
        </w:rPr>
        <w:t xml:space="preserve">’ </w:t>
      </w:r>
      <w:r>
        <w:rPr>
          <w:rFonts w:ascii="Arial" w:hAnsi="Arial"/>
          <w:sz w:val="20"/>
          <w:szCs w:val="20"/>
          <w:shd w:val="clear" w:color="auto" w:fill="ffffff"/>
          <w:rtl w:val="0"/>
          <w:lang w:val="en-US"/>
        </w:rPr>
        <w:t>allostatic load: The mediating role of childhood cumulative risk exposure.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Psychological Science,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23</w:t>
      </w:r>
      <w:r>
        <w:rPr>
          <w:rFonts w:ascii="Arial" w:hAnsi="Arial"/>
          <w:sz w:val="20"/>
          <w:szCs w:val="20"/>
          <w:shd w:val="clear" w:color="auto" w:fill="ffffff"/>
          <w:rtl w:val="0"/>
        </w:rPr>
        <w:t>(9), 979-983.</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"https://doi.org/10.1177/0956797612441218"</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https://doi.org/10.1177/0956797612441218</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Farah, M. J., Shera, D. M., Savage, J. H., Betancourt, L., Giannetta, J. M., Brodsky, N. L., Malmud, E. K., &amp; Hurt, H. (2006). Childhood poverty: Specific associations with neurocognitive development.</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Brain Research,</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1110</w:t>
      </w:r>
      <w:r>
        <w:rPr>
          <w:rFonts w:ascii="Arial" w:hAnsi="Arial"/>
          <w:sz w:val="20"/>
          <w:szCs w:val="20"/>
          <w:shd w:val="clear" w:color="auto" w:fill="ffffff"/>
          <w:rtl w:val="0"/>
        </w:rPr>
        <w:t>(1), 166-174.</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Felitti, V. J., Anda, R. F., Nordenberg, D., Williamson, D. F., Spitz, A. M., Edwards, V., &amp; Marks, J. S. (1998). Relationship of childhood abuse and household dysfunction to many of the leading causes of death in adults: The adverse childhood experiences (ACE) study.</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American Journal of Preventive Medicine,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14</w:t>
      </w:r>
      <w:r>
        <w:rPr>
          <w:rFonts w:ascii="Arial" w:hAnsi="Arial"/>
          <w:sz w:val="20"/>
          <w:szCs w:val="20"/>
          <w:shd w:val="clear" w:color="auto" w:fill="ffffff"/>
          <w:rtl w:val="0"/>
        </w:rPr>
        <w:t>(4), 245-258.</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"https://doi.org/10.1016/j.brainres.2006.06.072"</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pt-PT"/>
        </w:rPr>
        <w:t>https://doi.org/10.1016/j.brainres.2006.06.072</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i w:val="0"/>
          <w:iCs w:val="0"/>
          <w:sz w:val="20"/>
          <w:szCs w:val="20"/>
          <w:shd w:val="clear" w:color="auto" w:fill="ffffff"/>
          <w:rtl w:val="0"/>
        </w:rPr>
      </w:pPr>
      <w:r>
        <w:rPr>
          <w:rFonts w:ascii="Arial" w:hAnsi="Arial"/>
          <w:i w:val="0"/>
          <w:iCs w:val="0"/>
          <w:sz w:val="20"/>
          <w:szCs w:val="20"/>
          <w:shd w:val="clear" w:color="auto" w:fill="ffffff"/>
          <w:rtl w:val="0"/>
          <w:lang w:val="fr-FR"/>
        </w:rPr>
        <w:t>Ford, J. D., &amp; Courtois, C. A. (2013).</w:t>
      </w:r>
      <w:r>
        <w:rPr>
          <w:rFonts w:ascii="Arial" w:hAnsi="Arial" w:hint="default"/>
          <w:i w:val="0"/>
          <w:iCs w:val="0"/>
          <w:sz w:val="20"/>
          <w:szCs w:val="20"/>
          <w:shd w:val="clear" w:color="auto" w:fill="ffffff"/>
          <w:rtl w:val="0"/>
        </w:rPr>
        <w:t> </w:t>
      </w:r>
      <w:r>
        <w:rPr>
          <w:rFonts w:ascii="Arial" w:hAnsi="Arial"/>
          <w:i w:val="1"/>
          <w:iCs w:val="1"/>
          <w:sz w:val="20"/>
          <w:szCs w:val="20"/>
          <w:shd w:val="clear" w:color="auto" w:fill="ffffff"/>
          <w:rtl w:val="0"/>
          <w:lang w:val="en-US"/>
        </w:rPr>
        <w:t>Treating complex traumatic stress disorders in children and adolescents: Scientific foundations and therapeutic models</w:t>
      </w:r>
      <w:r>
        <w:rPr>
          <w:rFonts w:ascii="Arial" w:hAnsi="Arial"/>
          <w:i w:val="0"/>
          <w:iCs w:val="0"/>
          <w:sz w:val="20"/>
          <w:szCs w:val="20"/>
          <w:shd w:val="clear" w:color="auto" w:fill="ffffff"/>
          <w:rtl w:val="0"/>
        </w:rPr>
        <w:t>. Guilford Press.</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Fraser, M. W., Galinsky, M. J., &amp; Richman, J. M. (1999). Risk, protection, and resilience: Toward a conceptual framework for social work practice.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Social Work Research,</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23</w:t>
      </w:r>
      <w:r>
        <w:rPr>
          <w:rFonts w:ascii="Arial" w:hAnsi="Arial"/>
          <w:sz w:val="20"/>
          <w:szCs w:val="20"/>
          <w:shd w:val="clear" w:color="auto" w:fill="ffffff"/>
          <w:rtl w:val="0"/>
        </w:rPr>
        <w:t>(3), 131-143.</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"https://doi.org/10.1093/swr/23.3.131"</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https://doi.org/10.1093/swr/23.3.131</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i w:val="1"/>
          <w:iCs w:val="1"/>
          <w:sz w:val="20"/>
          <w:szCs w:val="20"/>
          <w:shd w:val="clear" w:color="auto" w:fill="ffffff"/>
          <w:rtl w:val="0"/>
        </w:rPr>
      </w:pPr>
      <w:r>
        <w:rPr>
          <w:rFonts w:ascii="Arial" w:hAnsi="Arial"/>
          <w:sz w:val="20"/>
          <w:szCs w:val="20"/>
          <w:shd w:val="clear" w:color="auto" w:fill="ffffff"/>
          <w:rtl w:val="0"/>
          <w:lang w:val="en-US"/>
        </w:rPr>
        <w:t>Gutman, L. M., Joshi, H., Parsonage, M., &amp; Schoon, I. (2015). Children of the new century: Mental health findings from the millennium cohort study.</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Centre for Mental Health Report.London, UK: Centre for Mental Health</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Hammond, N. G., Orr, S. L., &amp; Colman, I. (2019). Early life stress in adolescent migraine and the mediational influence of symptoms of depression and anxiety in a canadian cohort.</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Headache: The Journal of Head and Face Pain,</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59</w:t>
      </w:r>
      <w:r>
        <w:rPr>
          <w:rFonts w:ascii="Arial" w:hAnsi="Arial"/>
          <w:sz w:val="20"/>
          <w:szCs w:val="20"/>
          <w:shd w:val="clear" w:color="auto" w:fill="ffffff"/>
          <w:rtl w:val="0"/>
        </w:rPr>
        <w:t>(10), 1687-1699.</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"https://doi.org/10.1111/head.13644"</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https://doi.org/10.1111/head.13644</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i w:val="0"/>
          <w:iCs w:val="0"/>
          <w:sz w:val="20"/>
          <w:szCs w:val="20"/>
          <w:shd w:val="clear" w:color="auto" w:fill="ffffff"/>
          <w:rtl w:val="0"/>
        </w:rPr>
      </w:pPr>
      <w:r>
        <w:rPr>
          <w:rFonts w:ascii="Arial" w:hAnsi="Arial"/>
          <w:i w:val="0"/>
          <w:iCs w:val="0"/>
          <w:sz w:val="20"/>
          <w:szCs w:val="20"/>
          <w:shd w:val="clear" w:color="auto" w:fill="ffffff"/>
          <w:rtl w:val="0"/>
          <w:lang w:val="en-US"/>
        </w:rPr>
        <w:t>Holloway, E., Mahony, S., Royston, S., &amp; Mueller, D. (2014). At what cost? exposing the impact of poverty on school life.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The Children</w:t>
      </w:r>
      <w:r>
        <w:rPr>
          <w:rFonts w:ascii="Arial" w:hAnsi="Arial" w:hint="default"/>
          <w:i w:val="1"/>
          <w:iCs w:val="1"/>
          <w:sz w:val="20"/>
          <w:szCs w:val="20"/>
          <w:shd w:val="clear" w:color="auto" w:fill="ffffff"/>
          <w:rtl w:val="1"/>
        </w:rPr>
        <w:t>’</w:t>
      </w:r>
      <w:r>
        <w:rPr>
          <w:rFonts w:ascii="Arial" w:hAnsi="Arial"/>
          <w:i w:val="1"/>
          <w:iCs w:val="1"/>
          <w:sz w:val="20"/>
          <w:szCs w:val="20"/>
          <w:shd w:val="clear" w:color="auto" w:fill="ffffff"/>
          <w:rtl w:val="0"/>
          <w:lang w:val="en-US"/>
        </w:rPr>
        <w:t>s Commission on Poverty.</w:t>
      </w:r>
      <w:r>
        <w:rPr>
          <w:rFonts w:ascii="Arial" w:hAnsi="Arial"/>
          <w:i w:val="1"/>
          <w:iCs w:val="1"/>
          <w:sz w:val="20"/>
          <w:szCs w:val="20"/>
          <w:shd w:val="clear" w:color="auto" w:fill="ffffff"/>
          <w:rtl w:val="0"/>
          <w:lang w:val="en-US"/>
        </w:rPr>
        <w:t xml:space="preserve"> </w:t>
      </w:r>
      <w:r>
        <w:rPr>
          <w:rFonts w:ascii="Arial" w:hAnsi="Arial"/>
          <w:i w:val="0"/>
          <w:iCs w:val="0"/>
          <w:sz w:val="20"/>
          <w:szCs w:val="20"/>
          <w:shd w:val="clear" w:color="auto" w:fill="ffffff"/>
          <w:rtl w:val="0"/>
          <w:lang w:val="en-US"/>
        </w:rPr>
        <w:t>Available at:</w:t>
      </w:r>
      <w:r>
        <w:rPr>
          <w:rFonts w:ascii="Arial" w:hAnsi="Arial"/>
          <w:i w:val="0"/>
          <w:iCs w:val="0"/>
          <w:sz w:val="20"/>
          <w:szCs w:val="20"/>
          <w:shd w:val="clear" w:color="auto" w:fill="ffffff"/>
          <w:rtl w:val="0"/>
          <w:lang w:val="en-US"/>
        </w:rPr>
        <w:t xml:space="preserve"> Http://Www.Childrenssociety.Org.Uk/Sites/Default/Files/At_What_Cost_Ex Posing_the_impact_of_poverty_on_school_life-Full_Report.Pdf,</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Jernigan, M. M., &amp; Daniel, J. H. (2011). Racial trauma in the lives of black children and adolescents: Challenges and clinical implications.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Journal of Child &amp; Adolescent Trauma,</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4</w:t>
      </w:r>
      <w:r>
        <w:rPr>
          <w:rFonts w:ascii="Arial" w:hAnsi="Arial"/>
          <w:sz w:val="20"/>
          <w:szCs w:val="20"/>
          <w:shd w:val="clear" w:color="auto" w:fill="ffffff"/>
          <w:rtl w:val="0"/>
        </w:rPr>
        <w:t>, 123-141.</w:t>
      </w:r>
      <w:r>
        <w:rPr>
          <w:rFonts w:ascii="Arial" w:hAnsi="Arial"/>
          <w:sz w:val="20"/>
          <w:szCs w:val="20"/>
          <w:shd w:val="clear" w:color="auto" w:fill="ffffff"/>
          <w:rtl w:val="0"/>
          <w:lang w:val="en-US"/>
        </w:rPr>
        <w:t xml:space="preserve"> </w:t>
      </w:r>
      <w:r>
        <w:rPr>
          <w:rFonts w:ascii="Arial" w:hAnsi="Arial"/>
          <w:sz w:val="20"/>
          <w:szCs w:val="20"/>
          <w:shd w:val="clear" w:color="auto" w:fill="ffffff"/>
          <w:rtl w:val="0"/>
          <w:lang w:val="en-US"/>
        </w:rPr>
        <w:t>https://doi.org/10.1080/19361521.2011.574678</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Liu, Y., Carney, J. V., Kim, H., Hazler, R. J., &amp; Guo, X. (2020). Victimization and students</w:t>
      </w:r>
      <w:r>
        <w:rPr>
          <w:rFonts w:ascii="Arial" w:hAnsi="Arial" w:hint="default"/>
          <w:sz w:val="20"/>
          <w:szCs w:val="20"/>
          <w:shd w:val="clear" w:color="auto" w:fill="ffffff"/>
          <w:rtl w:val="1"/>
        </w:rPr>
        <w:t xml:space="preserve">’ </w:t>
      </w:r>
      <w:r>
        <w:rPr>
          <w:rFonts w:ascii="Arial" w:hAnsi="Arial"/>
          <w:sz w:val="20"/>
          <w:szCs w:val="20"/>
          <w:shd w:val="clear" w:color="auto" w:fill="ffffff"/>
          <w:rtl w:val="0"/>
          <w:lang w:val="en-US"/>
        </w:rPr>
        <w:t>psychological well-being: The mediating roles of hope and school connectedness.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Children and Youth Services Review,</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108</w:t>
      </w:r>
      <w:r>
        <w:rPr>
          <w:rFonts w:ascii="Arial" w:hAnsi="Arial"/>
          <w:sz w:val="20"/>
          <w:szCs w:val="20"/>
          <w:shd w:val="clear" w:color="auto" w:fill="ffffff"/>
          <w:rtl w:val="0"/>
        </w:rPr>
        <w:t>, 104674.</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"https://doi.org/10.1016/j.childyouth.2019.104674"</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https://doi.org/10.1016/j.childyouth.2019.104674</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McCrory, E., De Brito, S. A., &amp; Viding, E. (2011). The impact of childhood maltreatment: A review of neurobiological and genetic factors.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de-DE"/>
        </w:rPr>
        <w:t>Frontiers in Psychiatry,</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2</w:t>
      </w:r>
      <w:r>
        <w:rPr>
          <w:rFonts w:ascii="Arial" w:hAnsi="Arial"/>
          <w:sz w:val="20"/>
          <w:szCs w:val="20"/>
          <w:shd w:val="clear" w:color="auto" w:fill="ffffff"/>
          <w:rtl w:val="0"/>
        </w:rPr>
        <w:t>, 10122.</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"https://doi.org/10.3389/fpsyt.2011.00048"</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https://doi.org/10.3389/fpsyt.2011.00048</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it-IT"/>
        </w:rPr>
        <w:t>McGowan, P. O., Sasaki, A., D'alessio, A. C., Dymov, S., Labont</w:t>
      </w:r>
      <w:r>
        <w:rPr>
          <w:rFonts w:ascii="Arial" w:hAnsi="Arial" w:hint="default"/>
          <w:sz w:val="20"/>
          <w:szCs w:val="20"/>
          <w:shd w:val="clear" w:color="auto" w:fill="ffffff"/>
          <w:rtl w:val="0"/>
          <w:lang w:val="fr-FR"/>
        </w:rPr>
        <w:t>é</w:t>
      </w:r>
      <w:r>
        <w:rPr>
          <w:rFonts w:ascii="Arial" w:hAnsi="Arial"/>
          <w:sz w:val="20"/>
          <w:szCs w:val="20"/>
          <w:shd w:val="clear" w:color="auto" w:fill="ffffff"/>
          <w:rtl w:val="0"/>
          <w:lang w:val="en-US"/>
        </w:rPr>
        <w:t>, B., Szyf, M., Turecki, G., &amp; Meaney, M. J. (2009). Epigenetic regulation of the glucocorticoid receptor in human brain associates with childhood abuse.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fr-FR"/>
        </w:rPr>
        <w:t>Nature Neuroscience,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12</w:t>
      </w:r>
      <w:r>
        <w:rPr>
          <w:rFonts w:ascii="Arial" w:hAnsi="Arial"/>
          <w:sz w:val="20"/>
          <w:szCs w:val="20"/>
          <w:shd w:val="clear" w:color="auto" w:fill="ffffff"/>
          <w:rtl w:val="0"/>
        </w:rPr>
        <w:t>(3), 342-348.</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"https://doi.org/10.1038/nn.2270"</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https://doi.org/10.1038/nn.2270</w:t>
      </w:r>
      <w:r>
        <w:rPr>
          <w:rFonts w:ascii="Arial" w:cs="Arial" w:hAnsi="Arial" w:eastAsia="Arial"/>
          <w:sz w:val="20"/>
          <w:szCs w:val="20"/>
          <w:shd w:val="clear" w:color="auto" w:fill="ffffff"/>
          <w:rtl w:val="0"/>
        </w:rPr>
        <w:fldChar w:fldCharType="end" w:fldLock="0"/>
      </w:r>
      <w:r>
        <w:rPr>
          <w:rFonts w:ascii="Arial" w:hAnsi="Arial"/>
          <w:sz w:val="20"/>
          <w:szCs w:val="20"/>
          <w:shd w:val="clear" w:color="auto" w:fill="ffffff"/>
          <w:rtl w:val="0"/>
          <w:lang w:val="en-US"/>
        </w:rPr>
        <w:t xml:space="preserve"> </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Newlove-Delgado, T., Williams, T., Robertson, K., McManus, S., Sadler, K., Vizard, T., ... &amp; Ford, T. (2021). Mental health of children and young people in England, 2021. Leeds, UK: NHS Digital.</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Oral, R., Ramirez, M., Coohey, C., Nakada, S., Walz, A., Kuntz, A., Benoit, J., &amp; Peek-Asa, C. (2016). Adverse childhood experiences and trauma informed care: The future of health care.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Pediatric Research,</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79</w:t>
      </w:r>
      <w:r>
        <w:rPr>
          <w:rFonts w:ascii="Arial" w:hAnsi="Arial"/>
          <w:sz w:val="20"/>
          <w:szCs w:val="20"/>
          <w:shd w:val="clear" w:color="auto" w:fill="ffffff"/>
          <w:rtl w:val="0"/>
        </w:rPr>
        <w:t>(1), 227-233.</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"https://doi.org/10.1038/pr.2015.197"</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https://doi.org/10.1038/pr.2015.197</w:t>
      </w:r>
      <w:r>
        <w:rPr>
          <w:rFonts w:ascii="Arial" w:cs="Arial" w:hAnsi="Arial" w:eastAsia="Arial"/>
          <w:sz w:val="20"/>
          <w:szCs w:val="20"/>
          <w:shd w:val="clear" w:color="auto" w:fill="ffffff"/>
          <w:rtl w:val="0"/>
        </w:rPr>
        <w:fldChar w:fldCharType="end" w:fldLock="0"/>
      </w:r>
      <w:r>
        <w:rPr>
          <w:rFonts w:ascii="Arial" w:hAnsi="Arial"/>
          <w:sz w:val="20"/>
          <w:szCs w:val="20"/>
          <w:shd w:val="clear" w:color="auto" w:fill="ffffff"/>
          <w:rtl w:val="0"/>
          <w:lang w:val="en-US"/>
        </w:rPr>
        <w:t xml:space="preserve"> </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Palfrey, N., Ryan, R., &amp; Reay, R. E. (2023). Implementation of trauma-specific interventions in a child and adolescent mental health service.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Journal of Child and Family Studies,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32</w:t>
      </w:r>
      <w:r>
        <w:rPr>
          <w:rFonts w:ascii="Arial" w:hAnsi="Arial"/>
          <w:sz w:val="20"/>
          <w:szCs w:val="20"/>
          <w:shd w:val="clear" w:color="auto" w:fill="ffffff"/>
          <w:rtl w:val="0"/>
        </w:rPr>
        <w:t>(6), 1722-1735.</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"https://doi.org/10.1007/s10826-022-02467-y"</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https://doi.org/10.1007/s10826-022-02467-y</w:t>
      </w:r>
      <w:r>
        <w:rPr>
          <w:rFonts w:ascii="Arial" w:cs="Arial" w:hAnsi="Arial" w:eastAsia="Arial"/>
          <w:sz w:val="20"/>
          <w:szCs w:val="20"/>
          <w:shd w:val="clear" w:color="auto" w:fill="ffffff"/>
          <w:rtl w:val="0"/>
        </w:rPr>
        <w:fldChar w:fldCharType="end" w:fldLock="0"/>
      </w:r>
      <w:r>
        <w:rPr>
          <w:rFonts w:ascii="Arial" w:hAnsi="Arial"/>
          <w:sz w:val="20"/>
          <w:szCs w:val="20"/>
          <w:shd w:val="clear" w:color="auto" w:fill="ffffff"/>
          <w:rtl w:val="0"/>
          <w:lang w:val="en-US"/>
        </w:rPr>
        <w:t xml:space="preserve"> </w:t>
      </w:r>
    </w:p>
    <w:p>
      <w:pPr>
        <w:pStyle w:val="Default"/>
        <w:bidi w:val="0"/>
        <w:spacing w:before="0" w:after="230" w:line="240" w:lineRule="auto"/>
        <w:ind w:left="600" w:right="0" w:hanging="600"/>
        <w:jc w:val="left"/>
        <w:rPr>
          <w:rFonts w:ascii="Arial" w:cs="Arial" w:hAnsi="Arial" w:eastAsia="Arial"/>
          <w:i w:val="0"/>
          <w:iCs w:val="0"/>
          <w:sz w:val="20"/>
          <w:szCs w:val="20"/>
          <w:shd w:val="clear" w:color="auto" w:fill="ffffff"/>
          <w:rtl w:val="0"/>
        </w:rPr>
      </w:pPr>
      <w:r>
        <w:rPr>
          <w:rFonts w:ascii="Arial" w:hAnsi="Arial"/>
          <w:i w:val="0"/>
          <w:iCs w:val="0"/>
          <w:sz w:val="20"/>
          <w:szCs w:val="20"/>
          <w:shd w:val="clear" w:color="auto" w:fill="ffffff"/>
          <w:rtl w:val="0"/>
          <w:lang w:val="en-US"/>
        </w:rPr>
        <w:t>Peris, T. S., Storch, E. A., &amp; McGuire, J. F. (2020).</w:t>
      </w:r>
      <w:r>
        <w:rPr>
          <w:rFonts w:ascii="Arial" w:hAnsi="Arial" w:hint="default"/>
          <w:i w:val="0"/>
          <w:iCs w:val="0"/>
          <w:sz w:val="20"/>
          <w:szCs w:val="20"/>
          <w:shd w:val="clear" w:color="auto" w:fill="ffffff"/>
          <w:rtl w:val="0"/>
        </w:rPr>
        <w:t> </w:t>
      </w:r>
      <w:r>
        <w:rPr>
          <w:rFonts w:ascii="Arial" w:hAnsi="Arial"/>
          <w:i w:val="1"/>
          <w:iCs w:val="1"/>
          <w:sz w:val="20"/>
          <w:szCs w:val="20"/>
          <w:shd w:val="clear" w:color="auto" w:fill="ffffff"/>
          <w:rtl w:val="0"/>
          <w:lang w:val="en-US"/>
        </w:rPr>
        <w:t>Exposure therapy for children with anxiety and OCD: Clinician's guide to integrated treatment</w:t>
      </w:r>
      <w:r>
        <w:rPr>
          <w:rFonts w:ascii="Arial" w:hAnsi="Arial"/>
          <w:i w:val="0"/>
          <w:iCs w:val="0"/>
          <w:sz w:val="20"/>
          <w:szCs w:val="20"/>
          <w:shd w:val="clear" w:color="auto" w:fill="ffffff"/>
          <w:rtl w:val="0"/>
        </w:rPr>
        <w:t>. Academic Press.</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Peterman, J. S., Read, K. L., Wei, C., &amp; Kendall, P. C. (2015). The art of exposure: Putting science into practice.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Cognitive and Behavioral Practice,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22</w:t>
      </w:r>
      <w:r>
        <w:rPr>
          <w:rFonts w:ascii="Arial" w:hAnsi="Arial"/>
          <w:sz w:val="20"/>
          <w:szCs w:val="20"/>
          <w:shd w:val="clear" w:color="auto" w:fill="ffffff"/>
          <w:rtl w:val="0"/>
        </w:rPr>
        <w:t>(3), 379-392.</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"https://doi.org/10.1016/j.cbpra.2014.02.003"</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rPr>
        <w:t>https://doi.org/10.1016/j.cbpra.2014.02.003</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 xml:space="preserve">Saleem, F. T., Anderson, R. E., &amp; Williams, M. (2020). Addressing the </w:t>
      </w:r>
      <w:r>
        <w:rPr>
          <w:rFonts w:ascii="Arial" w:hAnsi="Arial" w:hint="default"/>
          <w:sz w:val="20"/>
          <w:szCs w:val="20"/>
          <w:shd w:val="clear" w:color="auto" w:fill="ffffff"/>
          <w:rtl w:val="1"/>
          <w:lang w:val="ar-SA" w:bidi="ar-SA"/>
        </w:rPr>
        <w:t>“</w:t>
      </w:r>
      <w:r>
        <w:rPr>
          <w:rFonts w:ascii="Arial" w:hAnsi="Arial"/>
          <w:sz w:val="20"/>
          <w:szCs w:val="20"/>
          <w:shd w:val="clear" w:color="auto" w:fill="ffffff"/>
          <w:rtl w:val="0"/>
          <w:lang w:val="en-US"/>
        </w:rPr>
        <w:t>myth</w:t>
      </w:r>
      <w:r>
        <w:rPr>
          <w:rFonts w:ascii="Arial" w:hAnsi="Arial" w:hint="default"/>
          <w:sz w:val="20"/>
          <w:szCs w:val="20"/>
          <w:shd w:val="clear" w:color="auto" w:fill="ffffff"/>
          <w:rtl w:val="0"/>
        </w:rPr>
        <w:t xml:space="preserve">” </w:t>
      </w:r>
      <w:r>
        <w:rPr>
          <w:rFonts w:ascii="Arial" w:hAnsi="Arial"/>
          <w:sz w:val="20"/>
          <w:szCs w:val="20"/>
          <w:shd w:val="clear" w:color="auto" w:fill="ffffff"/>
          <w:rtl w:val="0"/>
          <w:lang w:val="en-US"/>
        </w:rPr>
        <w:t>of racial trauma: Developmental and ecological considerations for youth of color.</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Clinical Child and Family Psychology Review,</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23</w:t>
      </w:r>
      <w:r>
        <w:rPr>
          <w:rFonts w:ascii="Arial" w:hAnsi="Arial"/>
          <w:sz w:val="20"/>
          <w:szCs w:val="20"/>
          <w:shd w:val="clear" w:color="auto" w:fill="ffffff"/>
          <w:rtl w:val="0"/>
        </w:rPr>
        <w:t>(1),</w:t>
      </w:r>
      <w:r>
        <w:rPr>
          <w:rFonts w:ascii="Arial" w:hAnsi="Arial"/>
          <w:sz w:val="20"/>
          <w:szCs w:val="20"/>
          <w:shd w:val="clear" w:color="auto" w:fill="ffffff"/>
          <w:rtl w:val="0"/>
          <w:lang w:val="en-US"/>
        </w:rPr>
        <w:t xml:space="preserve"> </w:t>
      </w:r>
      <w:r>
        <w:rPr>
          <w:rFonts w:ascii="Arial" w:hAnsi="Arial"/>
          <w:sz w:val="20"/>
          <w:szCs w:val="20"/>
          <w:shd w:val="clear" w:color="auto" w:fill="ffffff"/>
          <w:rtl w:val="0"/>
        </w:rPr>
        <w:t>1-14.</w:t>
      </w:r>
      <w:r>
        <w:rPr>
          <w:rFonts w:ascii="Arial" w:hAnsi="Arial"/>
          <w:sz w:val="20"/>
          <w:szCs w:val="20"/>
          <w:shd w:val="clear" w:color="auto" w:fill="ffffff"/>
          <w:rtl w:val="0"/>
          <w:lang w:val="en-US"/>
        </w:rPr>
        <w:t xml:space="preserve"> </w:t>
      </w:r>
      <w:r>
        <w:rPr>
          <w:rFonts w:ascii="Arial" w:hAnsi="Arial"/>
          <w:sz w:val="20"/>
          <w:szCs w:val="20"/>
          <w:shd w:val="clear" w:color="auto" w:fill="ffffff"/>
          <w:rtl w:val="0"/>
          <w:lang w:val="en-US"/>
        </w:rPr>
        <w:t>https://doi.org/10.1007/s10567-019-00304-1</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Shonkoff, J. P. (2016). Center on the Developing Child at Harvard University.</w:t>
      </w:r>
      <w:r>
        <w:rPr>
          <w:rFonts w:ascii="Arial" w:hAnsi="Arial" w:hint="default"/>
          <w:sz w:val="20"/>
          <w:szCs w:val="20"/>
          <w:shd w:val="clear" w:color="auto" w:fill="ffffff"/>
          <w:rtl w:val="0"/>
        </w:rPr>
        <w:t> </w:t>
      </w:r>
      <w:r>
        <w:rPr>
          <w:rFonts w:ascii="Arial" w:hAnsi="Arial"/>
          <w:sz w:val="20"/>
          <w:szCs w:val="20"/>
          <w:shd w:val="clear" w:color="auto" w:fill="ffffff"/>
          <w:rtl w:val="0"/>
          <w:lang w:val="en-US"/>
        </w:rPr>
        <w:t xml:space="preserve">From Best Practices to Breakthrough Impacts: A Science-Based Approach to Building a More Promising Future for Young Children and Families. Available at: </w:t>
      </w:r>
      <w:r>
        <w:rPr>
          <w:rFonts w:ascii="Arial" w:cs="Arial" w:hAnsi="Arial" w:eastAsia="Arial"/>
          <w:sz w:val="20"/>
          <w:szCs w:val="20"/>
          <w:shd w:val="clear" w:color="auto" w:fill="ffffff"/>
          <w:rtl w:val="0"/>
        </w:rPr>
        <w:fldChar w:fldCharType="begin" w:fldLock="0"/>
      </w:r>
      <w:r>
        <w:rPr>
          <w:rFonts w:ascii="Arial" w:cs="Arial" w:hAnsi="Arial" w:eastAsia="Arial"/>
          <w:sz w:val="20"/>
          <w:szCs w:val="20"/>
          <w:shd w:val="clear" w:color="auto" w:fill="ffffff"/>
          <w:rtl w:val="0"/>
        </w:rPr>
        <w:instrText xml:space="preserve"> HYPERLINK "https://developingchild.harvard.edu/resources/from-best-practices-to-breakthrough-impacts/"</w:instrText>
      </w:r>
      <w:r>
        <w:rPr>
          <w:rFonts w:ascii="Arial" w:cs="Arial" w:hAnsi="Arial" w:eastAsia="Arial"/>
          <w:sz w:val="20"/>
          <w:szCs w:val="20"/>
          <w:shd w:val="clear" w:color="auto" w:fill="ffffff"/>
          <w:rtl w:val="0"/>
        </w:rPr>
        <w:fldChar w:fldCharType="separate" w:fldLock="0"/>
      </w:r>
      <w:r>
        <w:rPr>
          <w:rFonts w:ascii="Arial" w:hAnsi="Arial"/>
          <w:sz w:val="20"/>
          <w:szCs w:val="20"/>
          <w:shd w:val="clear" w:color="auto" w:fill="ffffff"/>
          <w:rtl w:val="0"/>
          <w:lang w:val="en-US"/>
        </w:rPr>
        <w:t>https://developingchild.harvard.edu/resources/from-best-practices-to-breakthrough-impacts/</w:t>
      </w:r>
      <w:r>
        <w:rPr>
          <w:rFonts w:ascii="Arial" w:cs="Arial" w:hAnsi="Arial" w:eastAsia="Arial"/>
          <w:sz w:val="20"/>
          <w:szCs w:val="20"/>
          <w:shd w:val="clear" w:color="auto" w:fill="ffffff"/>
          <w:rtl w:val="0"/>
        </w:rPr>
        <w:fldChar w:fldCharType="end" w:fldLock="0"/>
      </w:r>
      <w:r>
        <w:rPr>
          <w:rFonts w:ascii="Arial" w:hAnsi="Arial"/>
          <w:sz w:val="20"/>
          <w:szCs w:val="20"/>
          <w:shd w:val="clear" w:color="auto" w:fill="ffffff"/>
          <w:rtl w:val="0"/>
        </w:rPr>
        <w:t xml:space="preserve"> </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Solmi, M., Radua, J., Olivola, M., Croce, E., Soardo, L., Salazar de Pablo, G., Il Shin, J., Kirkbride, J. B., Jones, P., &amp; Kim, J. H. (2022). Age at onset of mental disorders worldwide: Large-scale meta-analysis of 192 epidemiological studies.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Molecular Psychiatry,</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27</w:t>
      </w:r>
      <w:r>
        <w:rPr>
          <w:rFonts w:ascii="Arial" w:hAnsi="Arial"/>
          <w:sz w:val="20"/>
          <w:szCs w:val="20"/>
          <w:shd w:val="clear" w:color="auto" w:fill="ffffff"/>
          <w:rtl w:val="0"/>
        </w:rPr>
        <w:t>(1), 281-295.</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"https://doi.org/10.1016/j.chiabu.2012.08.004"</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rPr>
        <w:t>https://doi.org/10.1016/j.chiabu.2012.08.004</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 xml:space="preserve">Welsh Government (2023). </w:t>
      </w:r>
      <w:r>
        <w:rPr>
          <w:rFonts w:ascii="Arial" w:hAnsi="Arial"/>
          <w:i w:val="1"/>
          <w:iCs w:val="1"/>
          <w:sz w:val="20"/>
          <w:szCs w:val="20"/>
          <w:shd w:val="clear" w:color="auto" w:fill="ffffff"/>
          <w:rtl w:val="0"/>
          <w:lang w:val="en-US"/>
        </w:rPr>
        <w:t xml:space="preserve">NEST framework (mental health and wellbeing). </w:t>
      </w:r>
      <w:r>
        <w:rPr>
          <w:rFonts w:ascii="Arial" w:hAnsi="Arial"/>
          <w:sz w:val="20"/>
          <w:szCs w:val="20"/>
          <w:shd w:val="clear" w:color="auto" w:fill="ffffff"/>
          <w:rtl w:val="0"/>
          <w:lang w:val="en-US"/>
        </w:rPr>
        <w:t xml:space="preserve">Available at: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"https://www.gov.wales/nest-framework-mental-health-and-wellbeing-core-principles"</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https://www.gov.wales/nest-framework-mental-health-and-wellbeing-core-principles</w:t>
      </w:r>
      <w:r>
        <w:rPr>
          <w:rFonts w:ascii="Arial" w:cs="Arial" w:hAnsi="Arial" w:eastAsia="Arial"/>
          <w:sz w:val="20"/>
          <w:szCs w:val="20"/>
          <w:shd w:val="clear" w:color="auto" w:fill="ffffff"/>
          <w:rtl w:val="0"/>
        </w:rPr>
        <w:fldChar w:fldCharType="end" w:fldLock="0"/>
      </w:r>
      <w:r>
        <w:rPr>
          <w:rFonts w:ascii="Arial" w:hAnsi="Arial"/>
          <w:sz w:val="20"/>
          <w:szCs w:val="20"/>
          <w:shd w:val="clear" w:color="auto" w:fill="ffffff"/>
          <w:rtl w:val="0"/>
        </w:rPr>
        <w:t>.</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Welsh Government (2021).</w:t>
      </w:r>
      <w:r>
        <w:rPr>
          <w:rFonts w:ascii="Arial" w:hAnsi="Arial"/>
          <w:i w:val="1"/>
          <w:iCs w:val="1"/>
          <w:sz w:val="20"/>
          <w:szCs w:val="20"/>
          <w:shd w:val="clear" w:color="auto" w:fill="ffffff"/>
          <w:rtl w:val="0"/>
          <w:lang w:val="en-US"/>
        </w:rPr>
        <w:t xml:space="preserve"> Review of Adverse Childhood Experiences (ACE) Policy: Report. </w:t>
      </w:r>
      <w:r>
        <w:rPr>
          <w:rFonts w:ascii="Arial" w:hAnsi="Arial"/>
          <w:sz w:val="20"/>
          <w:szCs w:val="20"/>
          <w:shd w:val="clear" w:color="auto" w:fill="ffffff"/>
          <w:rtl w:val="0"/>
          <w:lang w:val="en-US"/>
        </w:rPr>
        <w:t xml:space="preserve">Available at: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"https://www.gov.wales/review-adverse-childhood-experiences-ace-policy-report-html"</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https://www.gov.wales/review-adverse-childhood-experiences-ace-policy-report-html</w:t>
      </w:r>
      <w:r>
        <w:rPr>
          <w:rFonts w:ascii="Arial" w:cs="Arial" w:hAnsi="Arial" w:eastAsia="Arial"/>
          <w:sz w:val="20"/>
          <w:szCs w:val="20"/>
          <w:shd w:val="clear" w:color="auto" w:fill="ffffff"/>
          <w:rtl w:val="0"/>
        </w:rPr>
        <w:fldChar w:fldCharType="end" w:fldLock="0"/>
      </w:r>
      <w:r>
        <w:rPr>
          <w:rFonts w:ascii="Arial" w:hAnsi="Arial"/>
          <w:sz w:val="20"/>
          <w:szCs w:val="20"/>
          <w:shd w:val="clear" w:color="auto" w:fill="ffffff"/>
          <w:rtl w:val="0"/>
        </w:rPr>
        <w:t xml:space="preserve"> </w:t>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 xml:space="preserve">Welsh Government (2017). </w:t>
      </w:r>
      <w:r>
        <w:rPr>
          <w:rFonts w:ascii="Arial" w:hAnsi="Arial"/>
          <w:i w:val="1"/>
          <w:iCs w:val="1"/>
          <w:sz w:val="20"/>
          <w:szCs w:val="20"/>
          <w:shd w:val="clear" w:color="auto" w:fill="ffffff"/>
          <w:rtl w:val="0"/>
          <w:lang w:val="en-US"/>
        </w:rPr>
        <w:t>Review of Adverse Childhood Experiences (ACE) Policy: Report</w:t>
      </w:r>
      <w:r>
        <w:rPr>
          <w:rFonts w:ascii="Arial" w:hAnsi="Arial"/>
          <w:sz w:val="20"/>
          <w:szCs w:val="20"/>
          <w:shd w:val="clear" w:color="auto" w:fill="ffffff"/>
          <w:rtl w:val="0"/>
          <w:lang w:val="en-US"/>
        </w:rPr>
        <w:t>. Available at:</w:t>
      </w:r>
      <w:r>
        <w:rPr>
          <w:rFonts w:ascii="Arial" w:hAnsi="Arial"/>
          <w:sz w:val="20"/>
          <w:szCs w:val="20"/>
          <w:shd w:val="clear" w:color="auto" w:fill="ffffff"/>
          <w:rtl w:val="0"/>
          <w:lang w:val="en-US"/>
        </w:rPr>
        <w:t xml:space="preserve"> </w:t>
      </w:r>
      <w:r>
        <w:rPr>
          <w:rStyle w:val="Hyperlink.0"/>
          <w:rFonts w:ascii="Arial" w:cs="Arial" w:hAnsi="Arial" w:eastAsia="Arial"/>
          <w:sz w:val="20"/>
          <w:szCs w:val="20"/>
          <w:shd w:val="clear" w:color="auto" w:fill="ffffff"/>
          <w:rtl w:val="0"/>
        </w:rPr>
        <w:fldChar w:fldCharType="begin" w:fldLock="0"/>
      </w:r>
      <w:r>
        <w:rPr>
          <w:rStyle w:val="Hyperlink.0"/>
          <w:rFonts w:ascii="Arial" w:cs="Arial" w:hAnsi="Arial" w:eastAsia="Arial"/>
          <w:sz w:val="20"/>
          <w:szCs w:val="20"/>
          <w:shd w:val="clear" w:color="auto" w:fill="ffffff"/>
          <w:rtl w:val="0"/>
        </w:rPr>
        <w:instrText xml:space="preserve"> HYPERLINK "https://www.gov.wales/new-initiative-put-specialist-emotional-mental-health-support-wales-schools-0"</w:instrText>
      </w:r>
      <w:r>
        <w:rPr>
          <w:rStyle w:val="Hyperlink.0"/>
          <w:rFonts w:ascii="Arial" w:cs="Arial" w:hAnsi="Arial" w:eastAsia="Arial"/>
          <w:sz w:val="20"/>
          <w:szCs w:val="20"/>
          <w:shd w:val="clear" w:color="auto" w:fill="ffffff"/>
          <w:rtl w:val="0"/>
        </w:rPr>
        <w:fldChar w:fldCharType="separate" w:fldLock="0"/>
      </w:r>
      <w:r>
        <w:rPr>
          <w:rStyle w:val="Hyperlink.0"/>
          <w:rFonts w:ascii="Arial" w:hAnsi="Arial"/>
          <w:sz w:val="20"/>
          <w:szCs w:val="20"/>
          <w:shd w:val="clear" w:color="auto" w:fill="ffffff"/>
          <w:rtl w:val="0"/>
          <w:lang w:val="en-US"/>
        </w:rPr>
        <w:t>https://www.gov.wales/new-initiative-put-specialist-emotional-mental-health-support-wales-schools-0</w:t>
      </w:r>
      <w:r>
        <w:rPr>
          <w:rFonts w:ascii="Arial" w:cs="Arial" w:hAnsi="Arial" w:eastAsia="Arial"/>
          <w:sz w:val="20"/>
          <w:szCs w:val="20"/>
          <w:shd w:val="clear" w:color="auto" w:fill="ffffff"/>
          <w:rtl w:val="0"/>
        </w:rPr>
        <w:fldChar w:fldCharType="end" w:fldLock="0"/>
      </w:r>
    </w:p>
    <w:p>
      <w:pPr>
        <w:pStyle w:val="Default"/>
        <w:bidi w:val="0"/>
        <w:spacing w:before="0" w:after="230" w:line="240" w:lineRule="auto"/>
        <w:ind w:left="600" w:right="0" w:hanging="600"/>
        <w:jc w:val="left"/>
        <w:rPr>
          <w:rFonts w:ascii="Arial" w:cs="Arial" w:hAnsi="Arial" w:eastAsia="Arial"/>
          <w:sz w:val="20"/>
          <w:szCs w:val="20"/>
          <w:shd w:val="clear" w:color="auto" w:fill="ffffff"/>
          <w:rtl w:val="0"/>
        </w:rPr>
      </w:pPr>
      <w:r>
        <w:rPr>
          <w:rFonts w:ascii="Arial" w:hAnsi="Arial"/>
          <w:sz w:val="20"/>
          <w:szCs w:val="20"/>
          <w:shd w:val="clear" w:color="auto" w:fill="ffffff"/>
          <w:rtl w:val="0"/>
          <w:lang w:val="en-US"/>
        </w:rPr>
        <w:t>Zelazo, P. D., &amp; Lyons, K. E. (2012). The potential benefits of mindfulness training in early childhood: A developmental social cognitive neuroscience perspective.</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lang w:val="en-US"/>
        </w:rPr>
        <w:t>Child Development Perspectives,</w:t>
      </w:r>
      <w:r>
        <w:rPr>
          <w:rFonts w:ascii="Arial" w:hAnsi="Arial" w:hint="default"/>
          <w:i w:val="1"/>
          <w:iCs w:val="1"/>
          <w:sz w:val="20"/>
          <w:szCs w:val="20"/>
          <w:shd w:val="clear" w:color="auto" w:fill="ffffff"/>
          <w:rtl w:val="0"/>
        </w:rPr>
        <w:t> </w:t>
      </w:r>
      <w:r>
        <w:rPr>
          <w:rFonts w:ascii="Arial" w:hAnsi="Arial"/>
          <w:i w:val="1"/>
          <w:iCs w:val="1"/>
          <w:sz w:val="20"/>
          <w:szCs w:val="20"/>
          <w:shd w:val="clear" w:color="auto" w:fill="ffffff"/>
          <w:rtl w:val="0"/>
        </w:rPr>
        <w:t>6</w:t>
      </w:r>
      <w:r>
        <w:rPr>
          <w:rFonts w:ascii="Arial" w:hAnsi="Arial"/>
          <w:sz w:val="20"/>
          <w:szCs w:val="20"/>
          <w:shd w:val="clear" w:color="auto" w:fill="ffffff"/>
          <w:rtl w:val="0"/>
        </w:rPr>
        <w:t>(2), 154-160.</w:t>
      </w:r>
    </w:p>
    <w:p>
      <w:pPr>
        <w:pStyle w:val="Default"/>
        <w:bidi w:val="0"/>
        <w:spacing w:before="0" w:after="230" w:line="240" w:lineRule="auto"/>
        <w:ind w:left="600" w:right="0" w:hanging="600"/>
        <w:jc w:val="left"/>
        <w:rPr>
          <w:rFonts w:ascii="Arial" w:cs="Arial" w:hAnsi="Arial" w:eastAsia="Arial"/>
          <w:sz w:val="28"/>
          <w:szCs w:val="28"/>
          <w:shd w:val="clear" w:color="auto" w:fill="ffffff"/>
          <w:rtl w:val="0"/>
        </w:rPr>
      </w:pPr>
    </w:p>
    <w:p>
      <w:pPr>
        <w:pStyle w:val="Body"/>
        <w:spacing w:line="480" w:lineRule="auto"/>
        <w:rPr>
          <w:rFonts w:ascii="Arial" w:cs="Arial" w:hAnsi="Arial" w:eastAsia="Arial"/>
        </w:rPr>
      </w:pPr>
    </w:p>
    <w:p>
      <w:pPr>
        <w:pStyle w:val="Default"/>
        <w:bidi w:val="0"/>
        <w:spacing w:before="0" w:after="240" w:line="240" w:lineRule="auto"/>
        <w:ind w:left="0" w:right="0" w:firstLine="0"/>
        <w:jc w:val="left"/>
        <w:rPr>
          <w:rFonts w:ascii="Arial" w:cs="Arial" w:hAnsi="Arial" w:eastAsia="Arial"/>
          <w:sz w:val="24"/>
          <w:szCs w:val="24"/>
          <w:rtl w:val="0"/>
        </w:rPr>
      </w:pPr>
    </w:p>
    <w:p>
      <w:pPr>
        <w:pStyle w:val="Default"/>
        <w:bidi w:val="0"/>
        <w:spacing w:before="0" w:after="240" w:line="240" w:lineRule="auto"/>
        <w:ind w:left="0" w:right="0" w:firstLine="0"/>
        <w:jc w:val="left"/>
        <w:rPr>
          <w:rtl w:val="0"/>
        </w:rPr>
      </w:pPr>
      <w:r>
        <w:rPr>
          <w:rFonts w:ascii="Arial" w:cs="Arial" w:hAnsi="Arial" w:eastAsia="Arial"/>
          <w:sz w:val="21"/>
          <w:szCs w:val="21"/>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