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6A7F8" w14:textId="1CB812F8" w:rsidR="0035128D" w:rsidRPr="007E1830" w:rsidRDefault="00EE0B25" w:rsidP="00EE0B25">
      <w:pPr>
        <w:spacing w:after="0" w:line="240" w:lineRule="auto"/>
        <w:rPr>
          <w:b/>
          <w:bCs/>
        </w:rPr>
      </w:pPr>
      <w:r w:rsidRPr="007E1830">
        <w:rPr>
          <w:b/>
          <w:bCs/>
        </w:rPr>
        <w:t>USA or China? Which is the more important for the future of humanity in the 21</w:t>
      </w:r>
      <w:r w:rsidRPr="007E1830">
        <w:rPr>
          <w:b/>
          <w:bCs/>
          <w:vertAlign w:val="superscript"/>
        </w:rPr>
        <w:t>st</w:t>
      </w:r>
      <w:r w:rsidRPr="007E1830">
        <w:rPr>
          <w:b/>
          <w:bCs/>
        </w:rPr>
        <w:t xml:space="preserve"> Century?</w:t>
      </w:r>
    </w:p>
    <w:p w14:paraId="41772300" w14:textId="12867F16" w:rsidR="00EE0B25" w:rsidRDefault="00EE0B25" w:rsidP="00EE0B25">
      <w:pPr>
        <w:spacing w:after="0" w:line="240" w:lineRule="auto"/>
      </w:pPr>
    </w:p>
    <w:p w14:paraId="4CC6186D" w14:textId="52E4D139" w:rsidR="00EE0B25" w:rsidRDefault="00EE0B25" w:rsidP="00EE0B25">
      <w:pPr>
        <w:spacing w:after="0" w:line="240" w:lineRule="auto"/>
      </w:pPr>
      <w:r>
        <w:t>The motive of this essay is to address the question surrounding the rivalry that exists between two of the world’s superpowers, and which of the two may prove to be the most important for the future of humanity in the 21</w:t>
      </w:r>
      <w:r w:rsidRPr="00EE0B25">
        <w:rPr>
          <w:vertAlign w:val="superscript"/>
        </w:rPr>
        <w:t>st</w:t>
      </w:r>
      <w:r>
        <w:t xml:space="preserve"> century. We are of course referring to that of China and their political and economic counterpart, the United States. The former, although a cultural powerhouse since bygone ages, has only erupted in recent history as a now nation-state of vast wealth and perhaps unparalleled potential.</w:t>
      </w:r>
      <w:r w:rsidR="004F5FF8">
        <w:t xml:space="preserve"> With a population now fast exceeding one billion persons, it is difficult to see how the United States with a population approximately one-third of the size can possibly challenge such a sizable labour force?</w:t>
      </w:r>
      <w:r w:rsidR="00835A9C">
        <w:t xml:space="preserve"> At the beginning of the twentieth century global influence was centered to the “western” hemisphere with its vast tracts of imperial realm, dotted throughout the world, or rather – absorbing, or indeed overwhelming every accessible inch of land that was deemed valuable to the impending capitalist advance that had strengthened following the explosion of the industrial revolution. Perhaps one could say that it appears very much the case that global influence cycles continuously as political economies activate under technological advancement – rising and falling consequent to the inventions that allow for enhanced domination. China was known at one point as the discoverer of gunpowder and the innovator of artistry and engineering of many kinds across the hemisphere in the East. While China was </w:t>
      </w:r>
      <w:r w:rsidR="001F6988">
        <w:t>constructing monumental architectural wonders</w:t>
      </w:r>
      <w:r w:rsidR="004F4D96">
        <w:t xml:space="preserve"> such as the “Great Wall of China” and indeed equally inspiring works of philosophy and literary works, including Confucianism and Sun Tzu’s “The Art of War” – Europe had its own designs of wholly comparable masterpieces. But just as the Greeks and Romans</w:t>
      </w:r>
      <w:r w:rsidR="00910840">
        <w:t xml:space="preserve"> fell and the dark ages loomed and doomed Europe’s former stature – China itself would follow the same lines, and demise into a system of feudal states, crumbling before the glamour of its once mighty heritage. By the mid-nineteenth century Europe’s empires had reached China’s soil and began to annex slices of its territory. The Portuguese, British and Japanese among others would assert the height of their power through a series of conflicts, including the famed opium wars. But one hundred years surpassing these battles and China was unifying under the anti-imperialist “red block” – and international class war that aimed to depose the ancient system of feudalism that had gained momentum under industrial capitalism – and consequently, had furthered the class divide</w:t>
      </w:r>
      <w:r w:rsidR="00D406E6">
        <w:t>.</w:t>
      </w:r>
    </w:p>
    <w:p w14:paraId="2F3B590A" w14:textId="12D3AC9A" w:rsidR="00D406E6" w:rsidRDefault="00D406E6" w:rsidP="00EE0B25">
      <w:pPr>
        <w:spacing w:after="0" w:line="240" w:lineRule="auto"/>
      </w:pPr>
    </w:p>
    <w:p w14:paraId="5D914CDC" w14:textId="05C4504C" w:rsidR="00D406E6" w:rsidRDefault="00D406E6" w:rsidP="00EE0B25">
      <w:pPr>
        <w:spacing w:after="0" w:line="240" w:lineRule="auto"/>
      </w:pPr>
      <w:r>
        <w:t>What would begin under the smog of the first and second world wars would be the beginning of a new global leadership with the Soviet Union and China challenging the “old block”, but stopping short under the wrath of a new capital-driven empire, the United States – a country that had utilised its geographical position, isolated from the historical origin of “western” culture to a highly advantageous position in the new world. Ultimately the United States would lose the war in the East.</w:t>
      </w:r>
    </w:p>
    <w:p w14:paraId="57493878" w14:textId="2F082AA9" w:rsidR="00D406E6" w:rsidRDefault="00D406E6" w:rsidP="00EE0B25">
      <w:pPr>
        <w:spacing w:after="0" w:line="240" w:lineRule="auto"/>
      </w:pPr>
    </w:p>
    <w:p w14:paraId="675971C7" w14:textId="69C6C7E5" w:rsidR="00D406E6" w:rsidRDefault="006902F8" w:rsidP="00EE0B25">
      <w:pPr>
        <w:spacing w:after="0" w:line="240" w:lineRule="auto"/>
      </w:pPr>
      <w:r>
        <w:t xml:space="preserve">Under the leadership of dedicated socialists and communists, a series of proxy wars were fought throughout the post second-world-war period, known as the </w:t>
      </w:r>
      <w:r w:rsidR="00C83563">
        <w:t>“Cold War”. The United States who backed the Nationalist group known as the “Kuomintang” was also quick to land troops in Korea, creating the divide that we see today with the partition of North and South. Vietnam was not at all dissimilar either with a further attempt by the United States to curb the spread of workers’ authority. China’s history in the years of the latter half of the twentieth century should be acknowledged as impactful to the retention of sizable collective driven ideologies. In territories as far as Angola – the Chinese were fighting imperialist backed forces sponsored primarily by US</w:t>
      </w:r>
      <w:r w:rsidR="004D70EE">
        <w:t xml:space="preserve"> global economic interests. China understood quickly, following the path of the USSR, that international expansion was necessary for ensuring the survival of their own sovereignty and consequently the ideals of collectivism. It could be said that the difference between socially oriented collectivist driven policy compared to that of capitalist is that the former attempts to construct a future, whereas the latter system tales concern for the present. Subsequently if we address the history of the conflict between both political ideologies, we can see that “the western” approach, has for a short period given a false sense of hope. Capitalism has sustained itself barely – initiating financial market crashes </w:t>
      </w:r>
      <w:r w:rsidR="004D70EE">
        <w:lastRenderedPageBreak/>
        <w:t>and resultingly global economic depressions on a not altogether infrequent basis. Additionally such a domineering free market system has placed capital control in the hands of business rather than that of government – whereby long term socially important fabrics have been eroded by the desire to divide society as a method of financial gain.</w:t>
      </w:r>
    </w:p>
    <w:p w14:paraId="09EF92A8" w14:textId="46D9F12D" w:rsidR="004D70EE" w:rsidRDefault="004D70EE" w:rsidP="00EE0B25">
      <w:pPr>
        <w:spacing w:after="0" w:line="240" w:lineRule="auto"/>
      </w:pPr>
    </w:p>
    <w:p w14:paraId="32062364" w14:textId="3F1791F0" w:rsidR="004D70EE" w:rsidRDefault="00C10F3A" w:rsidP="00EE0B25">
      <w:pPr>
        <w:spacing w:after="0" w:line="240" w:lineRule="auto"/>
      </w:pPr>
      <w:r>
        <w:t>Lorenzo Fioramonti</w:t>
      </w:r>
      <w:r w:rsidR="006A4646">
        <w:t>, a social science academic argued that:</w:t>
      </w:r>
    </w:p>
    <w:p w14:paraId="06467FC1" w14:textId="599FC13D" w:rsidR="006A4646" w:rsidRDefault="006A4646" w:rsidP="00EE0B25">
      <w:pPr>
        <w:spacing w:after="0" w:line="240" w:lineRule="auto"/>
      </w:pPr>
    </w:p>
    <w:p w14:paraId="60C52EDA" w14:textId="2D1F1891" w:rsidR="006A4646" w:rsidRDefault="006A4646" w:rsidP="006A4646">
      <w:pPr>
        <w:spacing w:after="0" w:line="240" w:lineRule="auto"/>
        <w:ind w:left="720"/>
      </w:pPr>
      <w:r w:rsidRPr="006A4646">
        <w:rPr>
          <w:i/>
          <w:iCs/>
        </w:rPr>
        <w:t>Social and physical diseases caused by unfettered capitalist growth, like crime and pollution, result in increased home security or medical expenses, which is recorded as a positive GDP increase – thus grossly distorting the real well-being of a nation.</w:t>
      </w:r>
      <w:r>
        <w:t xml:space="preserve"> (Pillay, 2018, p.150)</w:t>
      </w:r>
    </w:p>
    <w:p w14:paraId="1CA3A97E" w14:textId="1CFE4879" w:rsidR="00EE0B25" w:rsidRDefault="00EE0B25" w:rsidP="00EE0B25">
      <w:pPr>
        <w:spacing w:after="0" w:line="240" w:lineRule="auto"/>
      </w:pPr>
    </w:p>
    <w:p w14:paraId="119B2541" w14:textId="57AB98B7" w:rsidR="00EE0B25" w:rsidRDefault="006A4646" w:rsidP="00EE0B25">
      <w:pPr>
        <w:spacing w:after="0" w:line="240" w:lineRule="auto"/>
      </w:pPr>
      <w:r>
        <w:t xml:space="preserve">Indeed, it could be strongly argued that the GDP (Gross Domestic Product) paradigm that many of us residents of a capitalist system have come to believe is somewhat integral to the successful progression of society – is in fact a model that bases principles “on the assumption of continuous economic growth as an end in itself”. (Pillay, 2018, p.149). In Pillay, 2018 – the question is brought to the table as to whether the GDP metric is actually a reliable indication of economic growth, and </w:t>
      </w:r>
      <w:r w:rsidR="00E11F68">
        <w:t>as such social welfare? Perhaps then the time has come to question our current domineering ideology and indeed look elsewhere for any superior methods. China is one such example of an alternative</w:t>
      </w:r>
      <w:r w:rsidR="00FD13F7">
        <w:t xml:space="preserve"> led state, however as indeed Fioramonti says: if “GDP has become a talisman of the growth paradigm – mesmerising whole nations and peoples into a seductive vortex that serves the interest of capital as an end in itself” – then who is to say that China itself won’t become the very object of what is supposedly opposed for so long?</w:t>
      </w:r>
    </w:p>
    <w:p w14:paraId="6D0E964B" w14:textId="63A8B813" w:rsidR="00FD13F7" w:rsidRDefault="00FD13F7" w:rsidP="00EE0B25">
      <w:pPr>
        <w:spacing w:after="0" w:line="240" w:lineRule="auto"/>
      </w:pPr>
    </w:p>
    <w:p w14:paraId="5AAAA26B" w14:textId="3D3A2FD3" w:rsidR="00FD13F7" w:rsidRDefault="00FD13F7" w:rsidP="00EE0B25">
      <w:pPr>
        <w:spacing w:after="0" w:line="240" w:lineRule="auto"/>
      </w:pPr>
      <w:r>
        <w:t>Modern China, now somewhat of a hybrid compared with its revolutionary Maoist origins seems to be transitioning to a fully capitalist order, wholly reliant economically – for now at least, on the consumerism that Marxism was practically opposed to and from which the Chinese Communist Party</w:t>
      </w:r>
      <w:r w:rsidR="00B779DC">
        <w:t xml:space="preserve"> sprouted. China is heavily involved in the globalist agenda that capitalist endeavour naturally arrives at. US treasury bonds remain largely owned by the Chinese government who could at any given moment strongly undermine the US economy. That said; should the Chinese government ever decide to “cash-in” on their authority as </w:t>
      </w:r>
      <w:r w:rsidR="0039797B">
        <w:t>heavy</w:t>
      </w:r>
      <w:r w:rsidR="00B779DC">
        <w:t>-s</w:t>
      </w:r>
      <w:r w:rsidR="0039797B">
        <w:t>t</w:t>
      </w:r>
      <w:r w:rsidR="00B779DC">
        <w:t>ake</w:t>
      </w:r>
      <w:bookmarkStart w:id="0" w:name="_GoBack"/>
      <w:bookmarkEnd w:id="0"/>
      <w:r w:rsidR="00B779DC">
        <w:t xml:space="preserve"> owners of the US national debt, then they themselves would suffer the brunt of their actions, perhaps just as much as the intended victim, for any undermining of the US economy would noticeably undermine the value of the US dollar, and as such their own position as the forerunners of global production. As a </w:t>
      </w:r>
      <w:r w:rsidR="00EA505D">
        <w:t>reminder, the purpose of this piece is to look into whether the US or China is more important for the future of humanity, yet it may well be that both are intertwined. The question that we should in fact be asking is whether or not capitalism itself is not a derivative of human nature? Socialist value systems attempt to alter society for the better; however even the most successful “leftist” nations have eventually submitted to capitalist tendencies. Take the fall of the Soviet Union or capitalisation of Cuba as two such examples even with strength in perceived unity – the self interest; the competitive components of our being is what led to the collapse of such opposition. In conclusion, I believe that China will eventually become the mirror image of that which it stood against. That said, I believe also that China will prove more beneficial to humanity in the 21</w:t>
      </w:r>
      <w:r w:rsidR="00EA505D" w:rsidRPr="00EA505D">
        <w:rPr>
          <w:vertAlign w:val="superscript"/>
        </w:rPr>
        <w:t>st</w:t>
      </w:r>
      <w:r w:rsidR="00EA505D">
        <w:t xml:space="preserve"> century given that the stagnation felt by the declination of the “west”, consequent to its inability to compete economically will not effect China in today’s present century. To finish on a quote by John Stuart Mill, a nineteenth</w:t>
      </w:r>
      <w:r w:rsidR="00027175">
        <w:t xml:space="preserve"> century political economist: </w:t>
      </w:r>
      <w:r w:rsidR="00027175" w:rsidRPr="00027175">
        <w:rPr>
          <w:i/>
          <w:iCs/>
        </w:rPr>
        <w:t>“To what ultimate point is society tending by its industrial progress?”</w:t>
      </w:r>
      <w:r w:rsidR="00027175">
        <w:rPr>
          <w:i/>
          <w:iCs/>
        </w:rPr>
        <w:t xml:space="preserve"> </w:t>
      </w:r>
      <w:r w:rsidR="00027175" w:rsidRPr="00027175">
        <w:t>(Mill 2004 [1848]; 688, p.172) Boonstra and Joose, 2013)</w:t>
      </w:r>
    </w:p>
    <w:p w14:paraId="2B8EE836" w14:textId="246F17AA" w:rsidR="00027175" w:rsidRDefault="00027175" w:rsidP="00EE0B25">
      <w:pPr>
        <w:spacing w:after="0" w:line="240" w:lineRule="auto"/>
      </w:pPr>
    </w:p>
    <w:p w14:paraId="3F9BE4ED" w14:textId="77777777" w:rsidR="006C7331" w:rsidRDefault="006C7331" w:rsidP="00EE0B25">
      <w:pPr>
        <w:spacing w:after="0" w:line="240" w:lineRule="auto"/>
        <w:rPr>
          <w:b/>
          <w:bCs/>
        </w:rPr>
      </w:pPr>
    </w:p>
    <w:p w14:paraId="4F8F673F" w14:textId="77777777" w:rsidR="006C7331" w:rsidRDefault="006C7331" w:rsidP="00EE0B25">
      <w:pPr>
        <w:spacing w:after="0" w:line="240" w:lineRule="auto"/>
        <w:rPr>
          <w:b/>
          <w:bCs/>
        </w:rPr>
      </w:pPr>
    </w:p>
    <w:p w14:paraId="70031C33" w14:textId="77777777" w:rsidR="006C7331" w:rsidRDefault="006C7331" w:rsidP="00EE0B25">
      <w:pPr>
        <w:spacing w:after="0" w:line="240" w:lineRule="auto"/>
        <w:rPr>
          <w:b/>
          <w:bCs/>
        </w:rPr>
      </w:pPr>
    </w:p>
    <w:p w14:paraId="1FDBF89F" w14:textId="77777777" w:rsidR="006C7331" w:rsidRDefault="006C7331" w:rsidP="00EE0B25">
      <w:pPr>
        <w:spacing w:after="0" w:line="240" w:lineRule="auto"/>
        <w:rPr>
          <w:b/>
          <w:bCs/>
        </w:rPr>
      </w:pPr>
    </w:p>
    <w:p w14:paraId="54EBA980" w14:textId="425DB455" w:rsidR="00027175" w:rsidRPr="00027175" w:rsidRDefault="00027175" w:rsidP="00EE0B25">
      <w:pPr>
        <w:spacing w:after="0" w:line="240" w:lineRule="auto"/>
        <w:rPr>
          <w:b/>
          <w:bCs/>
        </w:rPr>
      </w:pPr>
      <w:r w:rsidRPr="00027175">
        <w:rPr>
          <w:b/>
          <w:bCs/>
        </w:rPr>
        <w:lastRenderedPageBreak/>
        <w:t>Bibliography</w:t>
      </w:r>
    </w:p>
    <w:p w14:paraId="58EEB1EC" w14:textId="77777777" w:rsidR="006C7331" w:rsidRDefault="006C7331" w:rsidP="00EE0B25">
      <w:pPr>
        <w:spacing w:after="0" w:line="240" w:lineRule="auto"/>
      </w:pPr>
    </w:p>
    <w:p w14:paraId="6D81095B" w14:textId="77A39CA6" w:rsidR="006C7331" w:rsidRDefault="00027175" w:rsidP="00EE0B25">
      <w:pPr>
        <w:spacing w:after="0" w:line="240" w:lineRule="auto"/>
      </w:pPr>
      <w:r>
        <w:t xml:space="preserve">Boonstra, W.J. and Joose, S. (2013) “The Social Dynamics of Degrowth” Environmental Values, 22/27, pp. 171-189. Available at: </w:t>
      </w:r>
      <w:hyperlink r:id="rId4" w:history="1">
        <w:r w:rsidRPr="00741917">
          <w:rPr>
            <w:rStyle w:val="Hyperlink"/>
          </w:rPr>
          <w:t>http://www.jstor.org/stable234460977</w:t>
        </w:r>
      </w:hyperlink>
      <w:r>
        <w:t>. (Accessed 4</w:t>
      </w:r>
      <w:r w:rsidRPr="00027175">
        <w:rPr>
          <w:vertAlign w:val="superscript"/>
        </w:rPr>
        <w:t>th</w:t>
      </w:r>
      <w:r>
        <w:t xml:space="preserve"> October 2020)</w:t>
      </w:r>
    </w:p>
    <w:p w14:paraId="593AAA67" w14:textId="77777777" w:rsidR="006C7331" w:rsidRDefault="006C7331" w:rsidP="00EE0B25">
      <w:pPr>
        <w:spacing w:after="0" w:line="240" w:lineRule="auto"/>
      </w:pPr>
    </w:p>
    <w:p w14:paraId="30B0444D" w14:textId="5E912C6E" w:rsidR="00027175" w:rsidRDefault="00027175" w:rsidP="00EE0B25">
      <w:pPr>
        <w:spacing w:after="0" w:line="240" w:lineRule="auto"/>
      </w:pPr>
      <w:r>
        <w:t>Pillay, Devan. “Challnging the Growth Paradigm: Marx, Buddha and the pursuit of happiness” in The Climate Crisis: South African and Global Democratic Eco-Socialist Alternatives, edited by Satgar Shivas. 148-67. Johannesburg: Witts University Press 2018. Accessed November 13, 2020. Doi. 10.18772/2201802541.12.</w:t>
      </w:r>
    </w:p>
    <w:p w14:paraId="02625AF2" w14:textId="1247A75F" w:rsidR="005E165D" w:rsidRDefault="005E165D" w:rsidP="00EE0B25">
      <w:pPr>
        <w:spacing w:after="0" w:line="240" w:lineRule="auto"/>
      </w:pPr>
    </w:p>
    <w:p w14:paraId="61EC967E" w14:textId="487815E4" w:rsidR="005E165D" w:rsidRPr="00027175" w:rsidRDefault="005E165D" w:rsidP="00EE0B25">
      <w:pPr>
        <w:spacing w:after="0" w:line="240" w:lineRule="auto"/>
      </w:pPr>
      <w:r w:rsidRPr="005E165D">
        <w:rPr>
          <w:b/>
          <w:bCs/>
        </w:rPr>
        <w:t>Word count:</w:t>
      </w:r>
      <w:r>
        <w:t xml:space="preserve"> 1437 words</w:t>
      </w:r>
    </w:p>
    <w:sectPr w:rsidR="005E165D" w:rsidRPr="000271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B25"/>
    <w:rsid w:val="000238CF"/>
    <w:rsid w:val="00026F56"/>
    <w:rsid w:val="00027175"/>
    <w:rsid w:val="000469C4"/>
    <w:rsid w:val="00063550"/>
    <w:rsid w:val="00085702"/>
    <w:rsid w:val="00117198"/>
    <w:rsid w:val="00122F7F"/>
    <w:rsid w:val="001309DE"/>
    <w:rsid w:val="00167B76"/>
    <w:rsid w:val="001734F3"/>
    <w:rsid w:val="00175B26"/>
    <w:rsid w:val="001876B3"/>
    <w:rsid w:val="00194015"/>
    <w:rsid w:val="001C7E6A"/>
    <w:rsid w:val="001F6988"/>
    <w:rsid w:val="00231151"/>
    <w:rsid w:val="00286278"/>
    <w:rsid w:val="002F1245"/>
    <w:rsid w:val="002F239A"/>
    <w:rsid w:val="0035128D"/>
    <w:rsid w:val="00364290"/>
    <w:rsid w:val="00381032"/>
    <w:rsid w:val="0038643D"/>
    <w:rsid w:val="0039797B"/>
    <w:rsid w:val="003F2959"/>
    <w:rsid w:val="003F4708"/>
    <w:rsid w:val="00412E4F"/>
    <w:rsid w:val="00415E8E"/>
    <w:rsid w:val="004454D0"/>
    <w:rsid w:val="004C568D"/>
    <w:rsid w:val="004D70EE"/>
    <w:rsid w:val="004F4D96"/>
    <w:rsid w:val="004F5FF8"/>
    <w:rsid w:val="0051384E"/>
    <w:rsid w:val="00567C44"/>
    <w:rsid w:val="00591C62"/>
    <w:rsid w:val="005B35C0"/>
    <w:rsid w:val="005B71CB"/>
    <w:rsid w:val="005E165D"/>
    <w:rsid w:val="005F19C0"/>
    <w:rsid w:val="00611F16"/>
    <w:rsid w:val="00623FB2"/>
    <w:rsid w:val="00640088"/>
    <w:rsid w:val="00655992"/>
    <w:rsid w:val="006570F6"/>
    <w:rsid w:val="006902F8"/>
    <w:rsid w:val="006A4646"/>
    <w:rsid w:val="006C7331"/>
    <w:rsid w:val="00713226"/>
    <w:rsid w:val="00730A14"/>
    <w:rsid w:val="007325D9"/>
    <w:rsid w:val="00744178"/>
    <w:rsid w:val="00761F28"/>
    <w:rsid w:val="00783473"/>
    <w:rsid w:val="007E1830"/>
    <w:rsid w:val="008232ED"/>
    <w:rsid w:val="00825EA0"/>
    <w:rsid w:val="0082631F"/>
    <w:rsid w:val="008271A6"/>
    <w:rsid w:val="00827E7F"/>
    <w:rsid w:val="00835A9C"/>
    <w:rsid w:val="00876F8F"/>
    <w:rsid w:val="00885134"/>
    <w:rsid w:val="00892EBD"/>
    <w:rsid w:val="008B13E2"/>
    <w:rsid w:val="008C772D"/>
    <w:rsid w:val="008F5DA9"/>
    <w:rsid w:val="009100F6"/>
    <w:rsid w:val="00910840"/>
    <w:rsid w:val="00950E45"/>
    <w:rsid w:val="0098557E"/>
    <w:rsid w:val="009856D5"/>
    <w:rsid w:val="009C165F"/>
    <w:rsid w:val="00A0103C"/>
    <w:rsid w:val="00A119D8"/>
    <w:rsid w:val="00A14F32"/>
    <w:rsid w:val="00A817BF"/>
    <w:rsid w:val="00AE548A"/>
    <w:rsid w:val="00B36FF7"/>
    <w:rsid w:val="00B779DC"/>
    <w:rsid w:val="00B9195E"/>
    <w:rsid w:val="00BA4493"/>
    <w:rsid w:val="00BC3C3C"/>
    <w:rsid w:val="00C037F7"/>
    <w:rsid w:val="00C10F3A"/>
    <w:rsid w:val="00C24546"/>
    <w:rsid w:val="00C4141D"/>
    <w:rsid w:val="00C75EBF"/>
    <w:rsid w:val="00C83563"/>
    <w:rsid w:val="00CA0DE6"/>
    <w:rsid w:val="00CD4731"/>
    <w:rsid w:val="00CE0846"/>
    <w:rsid w:val="00D008D6"/>
    <w:rsid w:val="00D406E6"/>
    <w:rsid w:val="00D503CC"/>
    <w:rsid w:val="00D70911"/>
    <w:rsid w:val="00D85EA5"/>
    <w:rsid w:val="00D94E4E"/>
    <w:rsid w:val="00DB3EE1"/>
    <w:rsid w:val="00DF46EB"/>
    <w:rsid w:val="00E11F68"/>
    <w:rsid w:val="00E41D74"/>
    <w:rsid w:val="00E4327B"/>
    <w:rsid w:val="00E5016D"/>
    <w:rsid w:val="00E81F9F"/>
    <w:rsid w:val="00EA505D"/>
    <w:rsid w:val="00EA50E5"/>
    <w:rsid w:val="00EB41DE"/>
    <w:rsid w:val="00ED581A"/>
    <w:rsid w:val="00ED7944"/>
    <w:rsid w:val="00EE0B25"/>
    <w:rsid w:val="00FD13F7"/>
    <w:rsid w:val="00FF1B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DD45B"/>
  <w15:chartTrackingRefBased/>
  <w15:docId w15:val="{1DD92E74-CF3F-4BFD-A51A-9D7810236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7175"/>
    <w:rPr>
      <w:color w:val="0563C1" w:themeColor="hyperlink"/>
      <w:u w:val="single"/>
    </w:rPr>
  </w:style>
  <w:style w:type="character" w:styleId="UnresolvedMention">
    <w:name w:val="Unresolved Mention"/>
    <w:basedOn w:val="DefaultParagraphFont"/>
    <w:uiPriority w:val="99"/>
    <w:semiHidden/>
    <w:unhideWhenUsed/>
    <w:rsid w:val="000271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jstor.org/stable23446097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3</Pages>
  <Words>1368</Words>
  <Characters>7799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Bevan</dc:creator>
  <cp:keywords/>
  <dc:description/>
  <cp:lastModifiedBy>Andy Bevan</cp:lastModifiedBy>
  <cp:revision>16</cp:revision>
  <dcterms:created xsi:type="dcterms:W3CDTF">2020-11-14T09:55:00Z</dcterms:created>
  <dcterms:modified xsi:type="dcterms:W3CDTF">2020-11-16T09:46:00Z</dcterms:modified>
</cp:coreProperties>
</file>