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3AAE3" w14:textId="77777777" w:rsidR="00F34C49" w:rsidRDefault="00F34C49">
      <w:pPr>
        <w:spacing w:before="200" w:after="200" w:line="360" w:lineRule="auto"/>
        <w:jc w:val="center"/>
        <w:rPr>
          <w:rFonts w:ascii="Times New Roman" w:eastAsia="Times New Roman" w:hAnsi="Times New Roman" w:cs="Times New Roman"/>
          <w:b/>
          <w:sz w:val="24"/>
          <w:szCs w:val="24"/>
        </w:rPr>
      </w:pPr>
    </w:p>
    <w:p w14:paraId="25CFC1E0" w14:textId="1E7724F7" w:rsidR="00F34C49" w:rsidRDefault="00C44395">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5BD1EC79" wp14:editId="1F69C882">
            <wp:extent cx="3060700" cy="1238250"/>
            <wp:effectExtent l="0" t="0" r="6350" b="0"/>
            <wp:docPr id="2048429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29793" name="Picture 2048429793"/>
                    <pic:cNvPicPr/>
                  </pic:nvPicPr>
                  <pic:blipFill>
                    <a:blip r:embed="rId8">
                      <a:extLst>
                        <a:ext uri="{28A0092B-C50C-407E-A947-70E740481C1C}">
                          <a14:useLocalDpi xmlns:a14="http://schemas.microsoft.com/office/drawing/2010/main" val="0"/>
                        </a:ext>
                      </a:extLst>
                    </a:blip>
                    <a:stretch>
                      <a:fillRect/>
                    </a:stretch>
                  </pic:blipFill>
                  <pic:spPr>
                    <a:xfrm>
                      <a:off x="0" y="0"/>
                      <a:ext cx="3060700" cy="1238250"/>
                    </a:xfrm>
                    <a:prstGeom prst="rect">
                      <a:avLst/>
                    </a:prstGeom>
                  </pic:spPr>
                </pic:pic>
              </a:graphicData>
            </a:graphic>
          </wp:inline>
        </w:drawing>
      </w:r>
    </w:p>
    <w:p w14:paraId="2E4D6825" w14:textId="30295CB7" w:rsidR="00F34C49" w:rsidRDefault="00F34C49">
      <w:pPr>
        <w:spacing w:before="200" w:after="200" w:line="360" w:lineRule="auto"/>
        <w:jc w:val="center"/>
        <w:rPr>
          <w:rFonts w:ascii="Times New Roman" w:eastAsia="Times New Roman" w:hAnsi="Times New Roman" w:cs="Times New Roman"/>
          <w:b/>
          <w:sz w:val="24"/>
          <w:szCs w:val="24"/>
        </w:rPr>
      </w:pPr>
    </w:p>
    <w:p w14:paraId="3911B5AA" w14:textId="324D1CA8" w:rsidR="00C44395" w:rsidRPr="00685BBD" w:rsidRDefault="00C44395" w:rsidP="00C44395">
      <w:pPr>
        <w:jc w:val="center"/>
        <w:rPr>
          <w:rFonts w:ascii="Times New Roman" w:hAnsi="Times New Roman" w:cs="Times New Roman"/>
          <w:b/>
          <w:bCs/>
          <w:sz w:val="40"/>
          <w:szCs w:val="40"/>
        </w:rPr>
      </w:pPr>
      <w:r w:rsidRPr="00830B78">
        <w:rPr>
          <w:b/>
          <w:bCs/>
          <w:sz w:val="44"/>
          <w:szCs w:val="44"/>
        </w:rPr>
        <w:t xml:space="preserve"> </w:t>
      </w:r>
      <w:r w:rsidRPr="00BE5537">
        <w:rPr>
          <w:b/>
          <w:bCs/>
          <w:sz w:val="40"/>
          <w:szCs w:val="40"/>
        </w:rPr>
        <w:t>N</w:t>
      </w:r>
      <w:r w:rsidR="002173E6" w:rsidRPr="00BE5537">
        <w:rPr>
          <w:b/>
          <w:bCs/>
          <w:sz w:val="40"/>
          <w:szCs w:val="40"/>
        </w:rPr>
        <w:t>AME</w:t>
      </w:r>
      <w:r w:rsidRPr="00830B78">
        <w:rPr>
          <w:b/>
          <w:bCs/>
          <w:sz w:val="44"/>
          <w:szCs w:val="44"/>
        </w:rPr>
        <w:t xml:space="preserve">: </w:t>
      </w:r>
      <w:r w:rsidR="00F521B0" w:rsidRPr="00BE5537">
        <w:rPr>
          <w:rFonts w:ascii="Times New Roman" w:hAnsi="Times New Roman" w:cs="Times New Roman"/>
          <w:b/>
          <w:bCs/>
          <w:sz w:val="36"/>
          <w:szCs w:val="36"/>
        </w:rPr>
        <w:t>DIVYA HARISHKUMAR SOLANKI</w:t>
      </w:r>
    </w:p>
    <w:p w14:paraId="5DE0B81B" w14:textId="01C0D7C7" w:rsidR="00CF16C1" w:rsidRPr="00BE5537" w:rsidRDefault="00A55265" w:rsidP="00CF16C1">
      <w:pPr>
        <w:spacing w:before="200" w:after="200" w:line="360" w:lineRule="auto"/>
        <w:jc w:val="center"/>
        <w:rPr>
          <w:b/>
          <w:bCs/>
          <w:sz w:val="36"/>
          <w:szCs w:val="36"/>
        </w:rPr>
      </w:pPr>
      <w:r w:rsidRPr="001750BA">
        <w:rPr>
          <w:b/>
          <w:bCs/>
          <w:sz w:val="44"/>
          <w:szCs w:val="44"/>
        </w:rPr>
        <w:t>S</w:t>
      </w:r>
      <w:r w:rsidR="00F521B0">
        <w:rPr>
          <w:b/>
          <w:bCs/>
          <w:sz w:val="44"/>
          <w:szCs w:val="44"/>
        </w:rPr>
        <w:t>TUDENT</w:t>
      </w:r>
      <w:r w:rsidRPr="001750BA">
        <w:rPr>
          <w:b/>
          <w:bCs/>
          <w:sz w:val="44"/>
          <w:szCs w:val="44"/>
        </w:rPr>
        <w:t xml:space="preserve"> ID</w:t>
      </w:r>
      <w:r w:rsidRPr="00830B78">
        <w:rPr>
          <w:b/>
          <w:bCs/>
          <w:sz w:val="44"/>
          <w:szCs w:val="44"/>
        </w:rPr>
        <w:t>:</w:t>
      </w:r>
      <w:r w:rsidRPr="00BE5537">
        <w:rPr>
          <w:b/>
          <w:bCs/>
          <w:sz w:val="36"/>
          <w:szCs w:val="36"/>
        </w:rPr>
        <w:t>2237588</w:t>
      </w:r>
    </w:p>
    <w:p w14:paraId="1D10B428" w14:textId="77777777" w:rsidR="00742470" w:rsidRPr="00BE5537" w:rsidRDefault="002B7551" w:rsidP="00742470">
      <w:pPr>
        <w:spacing w:before="200" w:after="200" w:line="360" w:lineRule="auto"/>
        <w:jc w:val="center"/>
        <w:rPr>
          <w:rFonts w:ascii="Times New Roman" w:hAnsi="Times New Roman" w:cs="Times New Roman"/>
          <w:b/>
          <w:bCs/>
          <w:sz w:val="36"/>
          <w:szCs w:val="36"/>
        </w:rPr>
      </w:pPr>
      <w:r w:rsidRPr="00BE5537">
        <w:rPr>
          <w:b/>
          <w:bCs/>
          <w:sz w:val="40"/>
          <w:szCs w:val="40"/>
        </w:rPr>
        <w:t>PROGRAMME</w:t>
      </w:r>
      <w:r w:rsidR="00567A4E" w:rsidRPr="00830B78">
        <w:rPr>
          <w:b/>
          <w:bCs/>
          <w:sz w:val="44"/>
          <w:szCs w:val="44"/>
        </w:rPr>
        <w:t xml:space="preserve">: </w:t>
      </w:r>
      <w:r w:rsidR="00533E49" w:rsidRPr="00BE5537">
        <w:rPr>
          <w:rFonts w:ascii="Times New Roman" w:eastAsiaTheme="minorHAnsi" w:hAnsi="Times New Roman" w:cs="Times New Roman"/>
          <w:b/>
          <w:bCs/>
          <w:kern w:val="2"/>
          <w:sz w:val="36"/>
          <w:szCs w:val="36"/>
          <w14:ligatures w14:val="standardContextual"/>
        </w:rPr>
        <w:t>M</w:t>
      </w:r>
      <w:r w:rsidR="002173E6" w:rsidRPr="00BE5537">
        <w:rPr>
          <w:rFonts w:ascii="Times New Roman" w:eastAsiaTheme="minorHAnsi" w:hAnsi="Times New Roman" w:cs="Times New Roman"/>
          <w:b/>
          <w:bCs/>
          <w:kern w:val="2"/>
          <w:sz w:val="36"/>
          <w:szCs w:val="36"/>
          <w14:ligatures w14:val="standardContextual"/>
        </w:rPr>
        <w:t>ASTER OF BUSINESS ADMINISTRATION</w:t>
      </w:r>
    </w:p>
    <w:p w14:paraId="767AF7B1" w14:textId="532DBF4C" w:rsidR="00533E49" w:rsidRPr="00742470" w:rsidRDefault="00974767" w:rsidP="00742470">
      <w:pPr>
        <w:spacing w:before="200" w:after="200" w:line="360" w:lineRule="auto"/>
        <w:jc w:val="center"/>
        <w:rPr>
          <w:b/>
          <w:bCs/>
          <w:sz w:val="40"/>
          <w:szCs w:val="40"/>
        </w:rPr>
      </w:pPr>
      <w:r w:rsidRPr="00BE5537">
        <w:rPr>
          <w:b/>
          <w:bCs/>
          <w:sz w:val="40"/>
          <w:szCs w:val="40"/>
        </w:rPr>
        <w:t>MODULE</w:t>
      </w:r>
      <w:r>
        <w:rPr>
          <w:b/>
          <w:bCs/>
          <w:sz w:val="44"/>
          <w:szCs w:val="44"/>
        </w:rPr>
        <w:t xml:space="preserve">: </w:t>
      </w:r>
      <w:r w:rsidR="00EE76DB" w:rsidRPr="00BE5537">
        <w:rPr>
          <w:rFonts w:ascii="Times New Roman" w:hAnsi="Times New Roman" w:cs="Times New Roman"/>
          <w:b/>
          <w:bCs/>
          <w:sz w:val="36"/>
          <w:szCs w:val="36"/>
        </w:rPr>
        <w:t>ENTREPRENEURSHIP</w:t>
      </w:r>
    </w:p>
    <w:p w14:paraId="04608895" w14:textId="3FE7FED3" w:rsidR="00533E49" w:rsidRDefault="00B36D1D" w:rsidP="00A55265">
      <w:pPr>
        <w:jc w:val="center"/>
        <w:rPr>
          <w:rFonts w:ascii="Times New Roman" w:hAnsi="Times New Roman" w:cs="Times New Roman"/>
          <w:b/>
          <w:bCs/>
          <w:sz w:val="44"/>
          <w:szCs w:val="44"/>
        </w:rPr>
      </w:pPr>
      <w:r w:rsidRPr="00BE5537">
        <w:rPr>
          <w:b/>
          <w:bCs/>
          <w:sz w:val="40"/>
          <w:szCs w:val="40"/>
        </w:rPr>
        <w:t xml:space="preserve">MODULE </w:t>
      </w:r>
      <w:r w:rsidR="00974767" w:rsidRPr="00BE5537">
        <w:rPr>
          <w:b/>
          <w:bCs/>
          <w:sz w:val="40"/>
          <w:szCs w:val="40"/>
        </w:rPr>
        <w:t>CODE</w:t>
      </w:r>
      <w:r w:rsidR="00974767">
        <w:rPr>
          <w:b/>
          <w:bCs/>
          <w:sz w:val="44"/>
          <w:szCs w:val="44"/>
        </w:rPr>
        <w:t>:</w:t>
      </w:r>
      <w:r>
        <w:rPr>
          <w:b/>
          <w:bCs/>
          <w:sz w:val="44"/>
          <w:szCs w:val="44"/>
        </w:rPr>
        <w:t xml:space="preserve"> </w:t>
      </w:r>
      <w:r w:rsidR="00533E49" w:rsidRPr="00BE5537">
        <w:rPr>
          <w:rFonts w:ascii="Times New Roman" w:hAnsi="Times New Roman" w:cs="Times New Roman"/>
          <w:b/>
          <w:bCs/>
          <w:sz w:val="36"/>
          <w:szCs w:val="36"/>
        </w:rPr>
        <w:t>LCMB 700</w:t>
      </w:r>
      <w:r w:rsidR="00B76CD3" w:rsidRPr="00BE5537">
        <w:rPr>
          <w:rFonts w:ascii="Times New Roman" w:hAnsi="Times New Roman" w:cs="Times New Roman"/>
          <w:b/>
          <w:bCs/>
          <w:sz w:val="36"/>
          <w:szCs w:val="36"/>
        </w:rPr>
        <w:t>4</w:t>
      </w:r>
    </w:p>
    <w:p w14:paraId="59C65EF3" w14:textId="77777777" w:rsidR="00BE5537" w:rsidRPr="00974767" w:rsidRDefault="00BE5537" w:rsidP="00A55265">
      <w:pPr>
        <w:jc w:val="center"/>
        <w:rPr>
          <w:rFonts w:ascii="Times New Roman" w:hAnsi="Times New Roman" w:cs="Times New Roman"/>
          <w:b/>
          <w:bCs/>
          <w:sz w:val="44"/>
          <w:szCs w:val="44"/>
        </w:rPr>
      </w:pPr>
    </w:p>
    <w:p w14:paraId="75EF92ED" w14:textId="50A4DCDF" w:rsidR="00B36D1D" w:rsidRPr="00101568" w:rsidRDefault="00974767" w:rsidP="00A55265">
      <w:pPr>
        <w:jc w:val="center"/>
        <w:rPr>
          <w:b/>
          <w:bCs/>
          <w:sz w:val="44"/>
          <w:szCs w:val="44"/>
        </w:rPr>
      </w:pPr>
      <w:r w:rsidRPr="00BE5537">
        <w:rPr>
          <w:b/>
          <w:bCs/>
          <w:sz w:val="40"/>
          <w:szCs w:val="40"/>
        </w:rPr>
        <w:t>LECTURER</w:t>
      </w:r>
      <w:r>
        <w:rPr>
          <w:b/>
          <w:bCs/>
          <w:sz w:val="44"/>
          <w:szCs w:val="44"/>
        </w:rPr>
        <w:t>:</w:t>
      </w:r>
      <w:r w:rsidR="00113AFC">
        <w:rPr>
          <w:b/>
          <w:bCs/>
          <w:sz w:val="44"/>
          <w:szCs w:val="44"/>
        </w:rPr>
        <w:t xml:space="preserve"> </w:t>
      </w:r>
      <w:r w:rsidR="00113AFC" w:rsidRPr="00BE5537">
        <w:rPr>
          <w:rFonts w:ascii="Times New Roman" w:hAnsi="Times New Roman" w:cs="Times New Roman"/>
          <w:b/>
          <w:bCs/>
          <w:sz w:val="36"/>
          <w:szCs w:val="36"/>
        </w:rPr>
        <w:t>MASUD IBRAHIM</w:t>
      </w:r>
      <w:r w:rsidR="00113AFC">
        <w:rPr>
          <w:b/>
          <w:bCs/>
          <w:sz w:val="44"/>
          <w:szCs w:val="44"/>
        </w:rPr>
        <w:t xml:space="preserve"> </w:t>
      </w:r>
    </w:p>
    <w:p w14:paraId="066469C4" w14:textId="77777777" w:rsidR="00533E49" w:rsidRPr="002B4C45" w:rsidRDefault="00533E49" w:rsidP="00533E49">
      <w:pPr>
        <w:jc w:val="center"/>
      </w:pPr>
    </w:p>
    <w:p w14:paraId="553A2911" w14:textId="77777777" w:rsidR="00533E49" w:rsidRPr="00283F65" w:rsidRDefault="00533E49" w:rsidP="00533E49"/>
    <w:p w14:paraId="2C9597F8" w14:textId="77777777" w:rsidR="00F34C49" w:rsidRDefault="00F34C49">
      <w:pPr>
        <w:spacing w:before="200" w:after="200" w:line="360" w:lineRule="auto"/>
        <w:jc w:val="center"/>
        <w:rPr>
          <w:rFonts w:ascii="Times New Roman" w:eastAsia="Times New Roman" w:hAnsi="Times New Roman" w:cs="Times New Roman"/>
          <w:b/>
          <w:sz w:val="24"/>
          <w:szCs w:val="24"/>
        </w:rPr>
      </w:pPr>
    </w:p>
    <w:p w14:paraId="7FA037D3" w14:textId="2C973BE8" w:rsidR="00F34C49" w:rsidRDefault="00F34C49">
      <w:pPr>
        <w:spacing w:before="200" w:after="200" w:line="360" w:lineRule="auto"/>
        <w:jc w:val="center"/>
        <w:rPr>
          <w:rFonts w:ascii="Times New Roman" w:eastAsia="Times New Roman" w:hAnsi="Times New Roman" w:cs="Times New Roman"/>
          <w:b/>
          <w:sz w:val="24"/>
          <w:szCs w:val="24"/>
        </w:rPr>
      </w:pPr>
    </w:p>
    <w:p w14:paraId="408AA58C" w14:textId="77777777" w:rsidR="00F34C49" w:rsidRDefault="003E573B">
      <w:pPr>
        <w:spacing w:before="200" w:after="200" w:line="360" w:lineRule="auto"/>
        <w:jc w:val="center"/>
        <w:rPr>
          <w:rFonts w:ascii="Times New Roman" w:eastAsia="Times New Roman" w:hAnsi="Times New Roman" w:cs="Times New Roman"/>
          <w:b/>
          <w:sz w:val="24"/>
          <w:szCs w:val="24"/>
        </w:rPr>
      </w:pPr>
      <w:r>
        <w:br w:type="page"/>
      </w:r>
    </w:p>
    <w:bookmarkStart w:id="0" w:name="_ppuha1u7wv8w" w:colFirst="0" w:colLast="0" w:displacedByCustomXml="next"/>
    <w:bookmarkEnd w:id="0" w:displacedByCustomXml="next"/>
    <w:sdt>
      <w:sdtPr>
        <w:rPr>
          <w:rFonts w:ascii="Arial" w:eastAsia="Arial" w:hAnsi="Arial" w:cs="Arial"/>
          <w:color w:val="auto"/>
          <w:sz w:val="22"/>
          <w:szCs w:val="22"/>
          <w:lang w:val="en-GB"/>
        </w:rPr>
        <w:id w:val="536009535"/>
        <w:docPartObj>
          <w:docPartGallery w:val="Table of Contents"/>
          <w:docPartUnique/>
        </w:docPartObj>
      </w:sdtPr>
      <w:sdtEndPr>
        <w:rPr>
          <w:b/>
          <w:bCs/>
          <w:noProof/>
        </w:rPr>
      </w:sdtEndPr>
      <w:sdtContent>
        <w:p w14:paraId="69156739" w14:textId="2CE8604C" w:rsidR="00FE656F" w:rsidRPr="00FE656F" w:rsidRDefault="00FE656F" w:rsidP="00FE656F">
          <w:pPr>
            <w:pStyle w:val="TOCHeading"/>
            <w:spacing w:line="360" w:lineRule="auto"/>
            <w:jc w:val="center"/>
            <w:rPr>
              <w:rFonts w:ascii="Times New Roman" w:hAnsi="Times New Roman" w:cs="Times New Roman"/>
              <w:b/>
              <w:bCs/>
              <w:color w:val="auto"/>
              <w:sz w:val="24"/>
              <w:szCs w:val="24"/>
            </w:rPr>
          </w:pPr>
          <w:r w:rsidRPr="00FE656F">
            <w:rPr>
              <w:rFonts w:ascii="Times New Roman" w:hAnsi="Times New Roman" w:cs="Times New Roman"/>
              <w:b/>
              <w:bCs/>
              <w:color w:val="auto"/>
              <w:sz w:val="24"/>
              <w:szCs w:val="24"/>
            </w:rPr>
            <w:t>Table of Contents</w:t>
          </w:r>
        </w:p>
        <w:p w14:paraId="7F7CED3F" w14:textId="51E2B54D" w:rsidR="00FE656F" w:rsidRPr="00FE656F" w:rsidRDefault="00FE656F" w:rsidP="00FE656F">
          <w:pPr>
            <w:pStyle w:val="TOC1"/>
            <w:tabs>
              <w:tab w:val="right" w:leader="dot" w:pos="9019"/>
            </w:tabs>
            <w:spacing w:line="360" w:lineRule="auto"/>
            <w:jc w:val="both"/>
            <w:rPr>
              <w:rFonts w:ascii="Times New Roman" w:hAnsi="Times New Roman" w:cs="Times New Roman"/>
              <w:noProof/>
              <w:sz w:val="24"/>
              <w:szCs w:val="24"/>
            </w:rPr>
          </w:pPr>
          <w:r w:rsidRPr="00FE656F">
            <w:rPr>
              <w:rFonts w:ascii="Times New Roman" w:hAnsi="Times New Roman" w:cs="Times New Roman"/>
              <w:sz w:val="24"/>
              <w:szCs w:val="24"/>
            </w:rPr>
            <w:fldChar w:fldCharType="begin"/>
          </w:r>
          <w:r w:rsidRPr="00FE656F">
            <w:rPr>
              <w:rFonts w:ascii="Times New Roman" w:hAnsi="Times New Roman" w:cs="Times New Roman"/>
              <w:sz w:val="24"/>
              <w:szCs w:val="24"/>
            </w:rPr>
            <w:instrText xml:space="preserve"> TOC \o "1-3" \h \z \u </w:instrText>
          </w:r>
          <w:r w:rsidRPr="00FE656F">
            <w:rPr>
              <w:rFonts w:ascii="Times New Roman" w:hAnsi="Times New Roman" w:cs="Times New Roman"/>
              <w:sz w:val="24"/>
              <w:szCs w:val="24"/>
            </w:rPr>
            <w:fldChar w:fldCharType="separate"/>
          </w:r>
          <w:hyperlink w:anchor="_Toc149327254" w:history="1">
            <w:r w:rsidRPr="00FE656F">
              <w:rPr>
                <w:rStyle w:val="Hyperlink"/>
                <w:rFonts w:ascii="Times New Roman" w:hAnsi="Times New Roman" w:cs="Times New Roman"/>
                <w:noProof/>
                <w:sz w:val="24"/>
                <w:szCs w:val="24"/>
              </w:rPr>
              <w:t>Overview of proposed business idea</w:t>
            </w:r>
            <w:r w:rsidRPr="00FE656F">
              <w:rPr>
                <w:rFonts w:ascii="Times New Roman" w:hAnsi="Times New Roman" w:cs="Times New Roman"/>
                <w:noProof/>
                <w:webHidden/>
                <w:sz w:val="24"/>
                <w:szCs w:val="24"/>
              </w:rPr>
              <w:tab/>
            </w:r>
            <w:r w:rsidRPr="00FE656F">
              <w:rPr>
                <w:rFonts w:ascii="Times New Roman" w:hAnsi="Times New Roman" w:cs="Times New Roman"/>
                <w:noProof/>
                <w:webHidden/>
                <w:sz w:val="24"/>
                <w:szCs w:val="24"/>
              </w:rPr>
              <w:fldChar w:fldCharType="begin"/>
            </w:r>
            <w:r w:rsidRPr="00FE656F">
              <w:rPr>
                <w:rFonts w:ascii="Times New Roman" w:hAnsi="Times New Roman" w:cs="Times New Roman"/>
                <w:noProof/>
                <w:webHidden/>
                <w:sz w:val="24"/>
                <w:szCs w:val="24"/>
              </w:rPr>
              <w:instrText xml:space="preserve"> PAGEREF _Toc149327254 \h </w:instrText>
            </w:r>
            <w:r w:rsidRPr="00FE656F">
              <w:rPr>
                <w:rFonts w:ascii="Times New Roman" w:hAnsi="Times New Roman" w:cs="Times New Roman"/>
                <w:noProof/>
                <w:webHidden/>
                <w:sz w:val="24"/>
                <w:szCs w:val="24"/>
              </w:rPr>
            </w:r>
            <w:r w:rsidRPr="00FE656F">
              <w:rPr>
                <w:rFonts w:ascii="Times New Roman" w:hAnsi="Times New Roman" w:cs="Times New Roman"/>
                <w:noProof/>
                <w:webHidden/>
                <w:sz w:val="24"/>
                <w:szCs w:val="24"/>
              </w:rPr>
              <w:fldChar w:fldCharType="separate"/>
            </w:r>
            <w:r w:rsidRPr="00FE656F">
              <w:rPr>
                <w:rFonts w:ascii="Times New Roman" w:hAnsi="Times New Roman" w:cs="Times New Roman"/>
                <w:noProof/>
                <w:webHidden/>
                <w:sz w:val="24"/>
                <w:szCs w:val="24"/>
              </w:rPr>
              <w:t>3</w:t>
            </w:r>
            <w:r w:rsidRPr="00FE656F">
              <w:rPr>
                <w:rFonts w:ascii="Times New Roman" w:hAnsi="Times New Roman" w:cs="Times New Roman"/>
                <w:noProof/>
                <w:webHidden/>
                <w:sz w:val="24"/>
                <w:szCs w:val="24"/>
              </w:rPr>
              <w:fldChar w:fldCharType="end"/>
            </w:r>
          </w:hyperlink>
        </w:p>
        <w:p w14:paraId="76A6813F" w14:textId="36818673" w:rsidR="00FE656F" w:rsidRPr="00FE656F" w:rsidRDefault="00000000" w:rsidP="00FE656F">
          <w:pPr>
            <w:pStyle w:val="TOC1"/>
            <w:tabs>
              <w:tab w:val="right" w:leader="dot" w:pos="9019"/>
            </w:tabs>
            <w:spacing w:line="360" w:lineRule="auto"/>
            <w:jc w:val="both"/>
            <w:rPr>
              <w:rFonts w:ascii="Times New Roman" w:hAnsi="Times New Roman" w:cs="Times New Roman"/>
              <w:noProof/>
              <w:sz w:val="24"/>
              <w:szCs w:val="24"/>
            </w:rPr>
          </w:pPr>
          <w:hyperlink w:anchor="_Toc149327255" w:history="1">
            <w:r w:rsidR="00FE656F" w:rsidRPr="00FE656F">
              <w:rPr>
                <w:rStyle w:val="Hyperlink"/>
                <w:rFonts w:ascii="Times New Roman" w:hAnsi="Times New Roman" w:cs="Times New Roman"/>
                <w:noProof/>
                <w:sz w:val="24"/>
                <w:szCs w:val="24"/>
              </w:rPr>
              <w:t>Market Gap and Addressing Strategies</w:t>
            </w:r>
            <w:r w:rsidR="00FE656F" w:rsidRPr="00FE656F">
              <w:rPr>
                <w:rFonts w:ascii="Times New Roman" w:hAnsi="Times New Roman" w:cs="Times New Roman"/>
                <w:noProof/>
                <w:webHidden/>
                <w:sz w:val="24"/>
                <w:szCs w:val="24"/>
              </w:rPr>
              <w:tab/>
            </w:r>
            <w:r w:rsidR="00FE656F" w:rsidRPr="00FE656F">
              <w:rPr>
                <w:rFonts w:ascii="Times New Roman" w:hAnsi="Times New Roman" w:cs="Times New Roman"/>
                <w:noProof/>
                <w:webHidden/>
                <w:sz w:val="24"/>
                <w:szCs w:val="24"/>
              </w:rPr>
              <w:fldChar w:fldCharType="begin"/>
            </w:r>
            <w:r w:rsidR="00FE656F" w:rsidRPr="00FE656F">
              <w:rPr>
                <w:rFonts w:ascii="Times New Roman" w:hAnsi="Times New Roman" w:cs="Times New Roman"/>
                <w:noProof/>
                <w:webHidden/>
                <w:sz w:val="24"/>
                <w:szCs w:val="24"/>
              </w:rPr>
              <w:instrText xml:space="preserve"> PAGEREF _Toc149327255 \h </w:instrText>
            </w:r>
            <w:r w:rsidR="00FE656F" w:rsidRPr="00FE656F">
              <w:rPr>
                <w:rFonts w:ascii="Times New Roman" w:hAnsi="Times New Roman" w:cs="Times New Roman"/>
                <w:noProof/>
                <w:webHidden/>
                <w:sz w:val="24"/>
                <w:szCs w:val="24"/>
              </w:rPr>
            </w:r>
            <w:r w:rsidR="00FE656F" w:rsidRPr="00FE656F">
              <w:rPr>
                <w:rFonts w:ascii="Times New Roman" w:hAnsi="Times New Roman" w:cs="Times New Roman"/>
                <w:noProof/>
                <w:webHidden/>
                <w:sz w:val="24"/>
                <w:szCs w:val="24"/>
              </w:rPr>
              <w:fldChar w:fldCharType="separate"/>
            </w:r>
            <w:r w:rsidR="00FE656F" w:rsidRPr="00FE656F">
              <w:rPr>
                <w:rFonts w:ascii="Times New Roman" w:hAnsi="Times New Roman" w:cs="Times New Roman"/>
                <w:noProof/>
                <w:webHidden/>
                <w:sz w:val="24"/>
                <w:szCs w:val="24"/>
              </w:rPr>
              <w:t>3</w:t>
            </w:r>
            <w:r w:rsidR="00FE656F" w:rsidRPr="00FE656F">
              <w:rPr>
                <w:rFonts w:ascii="Times New Roman" w:hAnsi="Times New Roman" w:cs="Times New Roman"/>
                <w:noProof/>
                <w:webHidden/>
                <w:sz w:val="24"/>
                <w:szCs w:val="24"/>
              </w:rPr>
              <w:fldChar w:fldCharType="end"/>
            </w:r>
          </w:hyperlink>
        </w:p>
        <w:p w14:paraId="6CB9355C" w14:textId="138D2965" w:rsidR="00FE656F" w:rsidRPr="00FE656F" w:rsidRDefault="00000000" w:rsidP="00FE656F">
          <w:pPr>
            <w:pStyle w:val="TOC1"/>
            <w:tabs>
              <w:tab w:val="right" w:leader="dot" w:pos="9019"/>
            </w:tabs>
            <w:spacing w:line="360" w:lineRule="auto"/>
            <w:jc w:val="both"/>
            <w:rPr>
              <w:rFonts w:ascii="Times New Roman" w:hAnsi="Times New Roman" w:cs="Times New Roman"/>
              <w:noProof/>
              <w:sz w:val="24"/>
              <w:szCs w:val="24"/>
            </w:rPr>
          </w:pPr>
          <w:hyperlink w:anchor="_Toc149327256" w:history="1">
            <w:r w:rsidR="00FE656F" w:rsidRPr="00FE656F">
              <w:rPr>
                <w:rStyle w:val="Hyperlink"/>
                <w:rFonts w:ascii="Times New Roman" w:hAnsi="Times New Roman" w:cs="Times New Roman"/>
                <w:noProof/>
                <w:sz w:val="24"/>
                <w:szCs w:val="24"/>
              </w:rPr>
              <w:t>Business Location and Legal Entity</w:t>
            </w:r>
            <w:r w:rsidR="00FE656F" w:rsidRPr="00FE656F">
              <w:rPr>
                <w:rFonts w:ascii="Times New Roman" w:hAnsi="Times New Roman" w:cs="Times New Roman"/>
                <w:noProof/>
                <w:webHidden/>
                <w:sz w:val="24"/>
                <w:szCs w:val="24"/>
              </w:rPr>
              <w:tab/>
            </w:r>
            <w:r w:rsidR="00FE656F" w:rsidRPr="00FE656F">
              <w:rPr>
                <w:rFonts w:ascii="Times New Roman" w:hAnsi="Times New Roman" w:cs="Times New Roman"/>
                <w:noProof/>
                <w:webHidden/>
                <w:sz w:val="24"/>
                <w:szCs w:val="24"/>
              </w:rPr>
              <w:fldChar w:fldCharType="begin"/>
            </w:r>
            <w:r w:rsidR="00FE656F" w:rsidRPr="00FE656F">
              <w:rPr>
                <w:rFonts w:ascii="Times New Roman" w:hAnsi="Times New Roman" w:cs="Times New Roman"/>
                <w:noProof/>
                <w:webHidden/>
                <w:sz w:val="24"/>
                <w:szCs w:val="24"/>
              </w:rPr>
              <w:instrText xml:space="preserve"> PAGEREF _Toc149327256 \h </w:instrText>
            </w:r>
            <w:r w:rsidR="00FE656F" w:rsidRPr="00FE656F">
              <w:rPr>
                <w:rFonts w:ascii="Times New Roman" w:hAnsi="Times New Roman" w:cs="Times New Roman"/>
                <w:noProof/>
                <w:webHidden/>
                <w:sz w:val="24"/>
                <w:szCs w:val="24"/>
              </w:rPr>
            </w:r>
            <w:r w:rsidR="00FE656F" w:rsidRPr="00FE656F">
              <w:rPr>
                <w:rFonts w:ascii="Times New Roman" w:hAnsi="Times New Roman" w:cs="Times New Roman"/>
                <w:noProof/>
                <w:webHidden/>
                <w:sz w:val="24"/>
                <w:szCs w:val="24"/>
              </w:rPr>
              <w:fldChar w:fldCharType="separate"/>
            </w:r>
            <w:r w:rsidR="00FE656F" w:rsidRPr="00FE656F">
              <w:rPr>
                <w:rFonts w:ascii="Times New Roman" w:hAnsi="Times New Roman" w:cs="Times New Roman"/>
                <w:noProof/>
                <w:webHidden/>
                <w:sz w:val="24"/>
                <w:szCs w:val="24"/>
              </w:rPr>
              <w:t>6</w:t>
            </w:r>
            <w:r w:rsidR="00FE656F" w:rsidRPr="00FE656F">
              <w:rPr>
                <w:rFonts w:ascii="Times New Roman" w:hAnsi="Times New Roman" w:cs="Times New Roman"/>
                <w:noProof/>
                <w:webHidden/>
                <w:sz w:val="24"/>
                <w:szCs w:val="24"/>
              </w:rPr>
              <w:fldChar w:fldCharType="end"/>
            </w:r>
          </w:hyperlink>
        </w:p>
        <w:p w14:paraId="184104C8" w14:textId="35E590EF" w:rsidR="00FE656F" w:rsidRPr="00FE656F" w:rsidRDefault="00000000" w:rsidP="00FE656F">
          <w:pPr>
            <w:pStyle w:val="TOC1"/>
            <w:tabs>
              <w:tab w:val="right" w:leader="dot" w:pos="9019"/>
            </w:tabs>
            <w:spacing w:line="360" w:lineRule="auto"/>
            <w:jc w:val="both"/>
            <w:rPr>
              <w:rFonts w:ascii="Times New Roman" w:hAnsi="Times New Roman" w:cs="Times New Roman"/>
              <w:noProof/>
              <w:sz w:val="24"/>
              <w:szCs w:val="24"/>
            </w:rPr>
          </w:pPr>
          <w:hyperlink w:anchor="_Toc149327257" w:history="1">
            <w:r w:rsidR="00FE656F" w:rsidRPr="00FE656F">
              <w:rPr>
                <w:rStyle w:val="Hyperlink"/>
                <w:rFonts w:ascii="Times New Roman" w:hAnsi="Times New Roman" w:cs="Times New Roman"/>
                <w:noProof/>
                <w:sz w:val="24"/>
                <w:szCs w:val="24"/>
              </w:rPr>
              <w:t>SWOT Analysis</w:t>
            </w:r>
            <w:r w:rsidR="00FE656F" w:rsidRPr="00FE656F">
              <w:rPr>
                <w:rFonts w:ascii="Times New Roman" w:hAnsi="Times New Roman" w:cs="Times New Roman"/>
                <w:noProof/>
                <w:webHidden/>
                <w:sz w:val="24"/>
                <w:szCs w:val="24"/>
              </w:rPr>
              <w:tab/>
            </w:r>
            <w:r w:rsidR="00FE656F" w:rsidRPr="00FE656F">
              <w:rPr>
                <w:rFonts w:ascii="Times New Roman" w:hAnsi="Times New Roman" w:cs="Times New Roman"/>
                <w:noProof/>
                <w:webHidden/>
                <w:sz w:val="24"/>
                <w:szCs w:val="24"/>
              </w:rPr>
              <w:fldChar w:fldCharType="begin"/>
            </w:r>
            <w:r w:rsidR="00FE656F" w:rsidRPr="00FE656F">
              <w:rPr>
                <w:rFonts w:ascii="Times New Roman" w:hAnsi="Times New Roman" w:cs="Times New Roman"/>
                <w:noProof/>
                <w:webHidden/>
                <w:sz w:val="24"/>
                <w:szCs w:val="24"/>
              </w:rPr>
              <w:instrText xml:space="preserve"> PAGEREF _Toc149327257 \h </w:instrText>
            </w:r>
            <w:r w:rsidR="00FE656F" w:rsidRPr="00FE656F">
              <w:rPr>
                <w:rFonts w:ascii="Times New Roman" w:hAnsi="Times New Roman" w:cs="Times New Roman"/>
                <w:noProof/>
                <w:webHidden/>
                <w:sz w:val="24"/>
                <w:szCs w:val="24"/>
              </w:rPr>
            </w:r>
            <w:r w:rsidR="00FE656F" w:rsidRPr="00FE656F">
              <w:rPr>
                <w:rFonts w:ascii="Times New Roman" w:hAnsi="Times New Roman" w:cs="Times New Roman"/>
                <w:noProof/>
                <w:webHidden/>
                <w:sz w:val="24"/>
                <w:szCs w:val="24"/>
              </w:rPr>
              <w:fldChar w:fldCharType="separate"/>
            </w:r>
            <w:r w:rsidR="00FE656F" w:rsidRPr="00FE656F">
              <w:rPr>
                <w:rFonts w:ascii="Times New Roman" w:hAnsi="Times New Roman" w:cs="Times New Roman"/>
                <w:noProof/>
                <w:webHidden/>
                <w:sz w:val="24"/>
                <w:szCs w:val="24"/>
              </w:rPr>
              <w:t>7</w:t>
            </w:r>
            <w:r w:rsidR="00FE656F" w:rsidRPr="00FE656F">
              <w:rPr>
                <w:rFonts w:ascii="Times New Roman" w:hAnsi="Times New Roman" w:cs="Times New Roman"/>
                <w:noProof/>
                <w:webHidden/>
                <w:sz w:val="24"/>
                <w:szCs w:val="24"/>
              </w:rPr>
              <w:fldChar w:fldCharType="end"/>
            </w:r>
          </w:hyperlink>
        </w:p>
        <w:p w14:paraId="116137F6" w14:textId="5A5852C7" w:rsidR="00FE656F" w:rsidRPr="00FE656F" w:rsidRDefault="00000000" w:rsidP="00FE656F">
          <w:pPr>
            <w:pStyle w:val="TOC1"/>
            <w:tabs>
              <w:tab w:val="right" w:leader="dot" w:pos="9019"/>
            </w:tabs>
            <w:spacing w:line="360" w:lineRule="auto"/>
            <w:jc w:val="both"/>
            <w:rPr>
              <w:rFonts w:ascii="Times New Roman" w:hAnsi="Times New Roman" w:cs="Times New Roman"/>
              <w:noProof/>
              <w:sz w:val="24"/>
              <w:szCs w:val="24"/>
            </w:rPr>
          </w:pPr>
          <w:hyperlink w:anchor="_Toc149327258" w:history="1">
            <w:r w:rsidR="00FE656F" w:rsidRPr="00FE656F">
              <w:rPr>
                <w:rStyle w:val="Hyperlink"/>
                <w:rFonts w:ascii="Times New Roman" w:hAnsi="Times New Roman" w:cs="Times New Roman"/>
                <w:noProof/>
                <w:sz w:val="24"/>
                <w:szCs w:val="24"/>
              </w:rPr>
              <w:t>Target Market and Capture Strategies</w:t>
            </w:r>
            <w:r w:rsidR="00FE656F" w:rsidRPr="00FE656F">
              <w:rPr>
                <w:rFonts w:ascii="Times New Roman" w:hAnsi="Times New Roman" w:cs="Times New Roman"/>
                <w:noProof/>
                <w:webHidden/>
                <w:sz w:val="24"/>
                <w:szCs w:val="24"/>
              </w:rPr>
              <w:tab/>
            </w:r>
            <w:r w:rsidR="00FE656F" w:rsidRPr="00FE656F">
              <w:rPr>
                <w:rFonts w:ascii="Times New Roman" w:hAnsi="Times New Roman" w:cs="Times New Roman"/>
                <w:noProof/>
                <w:webHidden/>
                <w:sz w:val="24"/>
                <w:szCs w:val="24"/>
              </w:rPr>
              <w:fldChar w:fldCharType="begin"/>
            </w:r>
            <w:r w:rsidR="00FE656F" w:rsidRPr="00FE656F">
              <w:rPr>
                <w:rFonts w:ascii="Times New Roman" w:hAnsi="Times New Roman" w:cs="Times New Roman"/>
                <w:noProof/>
                <w:webHidden/>
                <w:sz w:val="24"/>
                <w:szCs w:val="24"/>
              </w:rPr>
              <w:instrText xml:space="preserve"> PAGEREF _Toc149327258 \h </w:instrText>
            </w:r>
            <w:r w:rsidR="00FE656F" w:rsidRPr="00FE656F">
              <w:rPr>
                <w:rFonts w:ascii="Times New Roman" w:hAnsi="Times New Roman" w:cs="Times New Roman"/>
                <w:noProof/>
                <w:webHidden/>
                <w:sz w:val="24"/>
                <w:szCs w:val="24"/>
              </w:rPr>
            </w:r>
            <w:r w:rsidR="00FE656F" w:rsidRPr="00FE656F">
              <w:rPr>
                <w:rFonts w:ascii="Times New Roman" w:hAnsi="Times New Roman" w:cs="Times New Roman"/>
                <w:noProof/>
                <w:webHidden/>
                <w:sz w:val="24"/>
                <w:szCs w:val="24"/>
              </w:rPr>
              <w:fldChar w:fldCharType="separate"/>
            </w:r>
            <w:r w:rsidR="00FE656F" w:rsidRPr="00FE656F">
              <w:rPr>
                <w:rFonts w:ascii="Times New Roman" w:hAnsi="Times New Roman" w:cs="Times New Roman"/>
                <w:noProof/>
                <w:webHidden/>
                <w:sz w:val="24"/>
                <w:szCs w:val="24"/>
              </w:rPr>
              <w:t>8</w:t>
            </w:r>
            <w:r w:rsidR="00FE656F" w:rsidRPr="00FE656F">
              <w:rPr>
                <w:rFonts w:ascii="Times New Roman" w:hAnsi="Times New Roman" w:cs="Times New Roman"/>
                <w:noProof/>
                <w:webHidden/>
                <w:sz w:val="24"/>
                <w:szCs w:val="24"/>
              </w:rPr>
              <w:fldChar w:fldCharType="end"/>
            </w:r>
          </w:hyperlink>
        </w:p>
        <w:p w14:paraId="59ACA0E6" w14:textId="6F20529A" w:rsidR="00FE656F" w:rsidRPr="00FE656F" w:rsidRDefault="00000000" w:rsidP="00FE656F">
          <w:pPr>
            <w:pStyle w:val="TOC1"/>
            <w:tabs>
              <w:tab w:val="right" w:leader="dot" w:pos="9019"/>
            </w:tabs>
            <w:spacing w:line="360" w:lineRule="auto"/>
            <w:jc w:val="both"/>
            <w:rPr>
              <w:rFonts w:ascii="Times New Roman" w:hAnsi="Times New Roman" w:cs="Times New Roman"/>
              <w:noProof/>
              <w:sz w:val="24"/>
              <w:szCs w:val="24"/>
            </w:rPr>
          </w:pPr>
          <w:hyperlink w:anchor="_Toc149327259" w:history="1">
            <w:r w:rsidR="00FE656F" w:rsidRPr="00FE656F">
              <w:rPr>
                <w:rStyle w:val="Hyperlink"/>
                <w:rFonts w:ascii="Times New Roman" w:hAnsi="Times New Roman" w:cs="Times New Roman"/>
                <w:noProof/>
                <w:sz w:val="24"/>
                <w:szCs w:val="24"/>
              </w:rPr>
              <w:t>Determining Financial Plan, Funding Requirements, and external sources of the business</w:t>
            </w:r>
            <w:r w:rsidR="00FE656F" w:rsidRPr="00FE656F">
              <w:rPr>
                <w:rFonts w:ascii="Times New Roman" w:hAnsi="Times New Roman" w:cs="Times New Roman"/>
                <w:noProof/>
                <w:webHidden/>
                <w:sz w:val="24"/>
                <w:szCs w:val="24"/>
              </w:rPr>
              <w:tab/>
            </w:r>
            <w:r w:rsidR="00FE656F" w:rsidRPr="00FE656F">
              <w:rPr>
                <w:rFonts w:ascii="Times New Roman" w:hAnsi="Times New Roman" w:cs="Times New Roman"/>
                <w:noProof/>
                <w:webHidden/>
                <w:sz w:val="24"/>
                <w:szCs w:val="24"/>
              </w:rPr>
              <w:fldChar w:fldCharType="begin"/>
            </w:r>
            <w:r w:rsidR="00FE656F" w:rsidRPr="00FE656F">
              <w:rPr>
                <w:rFonts w:ascii="Times New Roman" w:hAnsi="Times New Roman" w:cs="Times New Roman"/>
                <w:noProof/>
                <w:webHidden/>
                <w:sz w:val="24"/>
                <w:szCs w:val="24"/>
              </w:rPr>
              <w:instrText xml:space="preserve"> PAGEREF _Toc149327259 \h </w:instrText>
            </w:r>
            <w:r w:rsidR="00FE656F" w:rsidRPr="00FE656F">
              <w:rPr>
                <w:rFonts w:ascii="Times New Roman" w:hAnsi="Times New Roman" w:cs="Times New Roman"/>
                <w:noProof/>
                <w:webHidden/>
                <w:sz w:val="24"/>
                <w:szCs w:val="24"/>
              </w:rPr>
            </w:r>
            <w:r w:rsidR="00FE656F" w:rsidRPr="00FE656F">
              <w:rPr>
                <w:rFonts w:ascii="Times New Roman" w:hAnsi="Times New Roman" w:cs="Times New Roman"/>
                <w:noProof/>
                <w:webHidden/>
                <w:sz w:val="24"/>
                <w:szCs w:val="24"/>
              </w:rPr>
              <w:fldChar w:fldCharType="separate"/>
            </w:r>
            <w:r w:rsidR="00FE656F" w:rsidRPr="00FE656F">
              <w:rPr>
                <w:rFonts w:ascii="Times New Roman" w:hAnsi="Times New Roman" w:cs="Times New Roman"/>
                <w:noProof/>
                <w:webHidden/>
                <w:sz w:val="24"/>
                <w:szCs w:val="24"/>
              </w:rPr>
              <w:t>10</w:t>
            </w:r>
            <w:r w:rsidR="00FE656F" w:rsidRPr="00FE656F">
              <w:rPr>
                <w:rFonts w:ascii="Times New Roman" w:hAnsi="Times New Roman" w:cs="Times New Roman"/>
                <w:noProof/>
                <w:webHidden/>
                <w:sz w:val="24"/>
                <w:szCs w:val="24"/>
              </w:rPr>
              <w:fldChar w:fldCharType="end"/>
            </w:r>
          </w:hyperlink>
        </w:p>
        <w:p w14:paraId="4EA56ACD" w14:textId="5B69788D" w:rsidR="00FE656F" w:rsidRPr="00FE656F" w:rsidRDefault="00000000" w:rsidP="00FE656F">
          <w:pPr>
            <w:pStyle w:val="TOC1"/>
            <w:tabs>
              <w:tab w:val="right" w:leader="dot" w:pos="9019"/>
            </w:tabs>
            <w:spacing w:line="360" w:lineRule="auto"/>
            <w:jc w:val="both"/>
            <w:rPr>
              <w:rFonts w:ascii="Times New Roman" w:hAnsi="Times New Roman" w:cs="Times New Roman"/>
              <w:noProof/>
              <w:sz w:val="24"/>
              <w:szCs w:val="24"/>
            </w:rPr>
          </w:pPr>
          <w:hyperlink w:anchor="_Toc149327260" w:history="1">
            <w:r w:rsidR="00FE656F" w:rsidRPr="00FE656F">
              <w:rPr>
                <w:rStyle w:val="Hyperlink"/>
                <w:rFonts w:ascii="Times New Roman" w:hAnsi="Times New Roman" w:cs="Times New Roman"/>
                <w:noProof/>
                <w:sz w:val="24"/>
                <w:szCs w:val="24"/>
              </w:rPr>
              <w:t>References</w:t>
            </w:r>
            <w:r w:rsidR="00FE656F" w:rsidRPr="00FE656F">
              <w:rPr>
                <w:rFonts w:ascii="Times New Roman" w:hAnsi="Times New Roman" w:cs="Times New Roman"/>
                <w:noProof/>
                <w:webHidden/>
                <w:sz w:val="24"/>
                <w:szCs w:val="24"/>
              </w:rPr>
              <w:tab/>
            </w:r>
            <w:r w:rsidR="00FE656F" w:rsidRPr="00FE656F">
              <w:rPr>
                <w:rFonts w:ascii="Times New Roman" w:hAnsi="Times New Roman" w:cs="Times New Roman"/>
                <w:noProof/>
                <w:webHidden/>
                <w:sz w:val="24"/>
                <w:szCs w:val="24"/>
              </w:rPr>
              <w:fldChar w:fldCharType="begin"/>
            </w:r>
            <w:r w:rsidR="00FE656F" w:rsidRPr="00FE656F">
              <w:rPr>
                <w:rFonts w:ascii="Times New Roman" w:hAnsi="Times New Roman" w:cs="Times New Roman"/>
                <w:noProof/>
                <w:webHidden/>
                <w:sz w:val="24"/>
                <w:szCs w:val="24"/>
              </w:rPr>
              <w:instrText xml:space="preserve"> PAGEREF _Toc149327260 \h </w:instrText>
            </w:r>
            <w:r w:rsidR="00FE656F" w:rsidRPr="00FE656F">
              <w:rPr>
                <w:rFonts w:ascii="Times New Roman" w:hAnsi="Times New Roman" w:cs="Times New Roman"/>
                <w:noProof/>
                <w:webHidden/>
                <w:sz w:val="24"/>
                <w:szCs w:val="24"/>
              </w:rPr>
            </w:r>
            <w:r w:rsidR="00FE656F" w:rsidRPr="00FE656F">
              <w:rPr>
                <w:rFonts w:ascii="Times New Roman" w:hAnsi="Times New Roman" w:cs="Times New Roman"/>
                <w:noProof/>
                <w:webHidden/>
                <w:sz w:val="24"/>
                <w:szCs w:val="24"/>
              </w:rPr>
              <w:fldChar w:fldCharType="separate"/>
            </w:r>
            <w:r w:rsidR="00FE656F" w:rsidRPr="00FE656F">
              <w:rPr>
                <w:rFonts w:ascii="Times New Roman" w:hAnsi="Times New Roman" w:cs="Times New Roman"/>
                <w:noProof/>
                <w:webHidden/>
                <w:sz w:val="24"/>
                <w:szCs w:val="24"/>
              </w:rPr>
              <w:t>14</w:t>
            </w:r>
            <w:r w:rsidR="00FE656F" w:rsidRPr="00FE656F">
              <w:rPr>
                <w:rFonts w:ascii="Times New Roman" w:hAnsi="Times New Roman" w:cs="Times New Roman"/>
                <w:noProof/>
                <w:webHidden/>
                <w:sz w:val="24"/>
                <w:szCs w:val="24"/>
              </w:rPr>
              <w:fldChar w:fldCharType="end"/>
            </w:r>
          </w:hyperlink>
        </w:p>
        <w:p w14:paraId="7525DB15" w14:textId="78429202" w:rsidR="00FE656F" w:rsidRDefault="00FE656F" w:rsidP="00FE656F">
          <w:pPr>
            <w:spacing w:line="360" w:lineRule="auto"/>
            <w:jc w:val="both"/>
          </w:pPr>
          <w:r w:rsidRPr="00FE656F">
            <w:rPr>
              <w:rFonts w:ascii="Times New Roman" w:hAnsi="Times New Roman" w:cs="Times New Roman"/>
              <w:b/>
              <w:bCs/>
              <w:noProof/>
              <w:sz w:val="24"/>
              <w:szCs w:val="24"/>
            </w:rPr>
            <w:fldChar w:fldCharType="end"/>
          </w:r>
        </w:p>
      </w:sdtContent>
    </w:sdt>
    <w:p w14:paraId="6C1CAB5D" w14:textId="77777777" w:rsidR="00FE656F" w:rsidRDefault="00FE656F">
      <w:pPr>
        <w:rPr>
          <w:rFonts w:ascii="Times New Roman" w:eastAsia="Times New Roman" w:hAnsi="Times New Roman" w:cs="Times New Roman"/>
          <w:b/>
          <w:sz w:val="24"/>
          <w:szCs w:val="24"/>
        </w:rPr>
      </w:pPr>
      <w:r>
        <w:br w:type="page"/>
      </w:r>
    </w:p>
    <w:p w14:paraId="21FDBB10" w14:textId="121288F4" w:rsidR="00F34C49" w:rsidRDefault="003E573B">
      <w:pPr>
        <w:pStyle w:val="Heading1"/>
      </w:pPr>
      <w:bookmarkStart w:id="1" w:name="_Toc149327254"/>
      <w:r>
        <w:lastRenderedPageBreak/>
        <w:t>Overview of proposed business idea</w:t>
      </w:r>
      <w:bookmarkEnd w:id="1"/>
    </w:p>
    <w:p w14:paraId="1DFE0811" w14:textId="5D4041D5"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Greentech Innovations in the UK strives to use a </w:t>
      </w:r>
      <w:r>
        <w:rPr>
          <w:rFonts w:ascii="Times New Roman" w:eastAsia="Times New Roman" w:hAnsi="Times New Roman" w:cs="Times New Roman"/>
          <w:b/>
          <w:i/>
          <w:sz w:val="24"/>
          <w:szCs w:val="24"/>
        </w:rPr>
        <w:t>“Waste-To-Energy (WTE) conversion”</w:t>
      </w:r>
      <w:r>
        <w:rPr>
          <w:rFonts w:ascii="Times New Roman" w:eastAsia="Times New Roman" w:hAnsi="Times New Roman" w:cs="Times New Roman"/>
          <w:sz w:val="24"/>
          <w:szCs w:val="24"/>
        </w:rPr>
        <w:t xml:space="preserve"> mechanism to transform the renewable energy sector. Simply utilizing the energy generated by waste that is organic resources, this cutting-edge technology reduces the negative environmental effects of disposing of waste by producing clean, sustainable electrical power. The cutting-edge waste treatment plant, complete with cutting-edge anaerobic digestion along with gasification technology, is the foundation of our business strategy (Foster</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This procedure not only deals with the critical issue of waste management, but it also makes a major contribution to the fight against climate change by lowering greenhouse gas emissions. </w:t>
      </w:r>
    </w:p>
    <w:p w14:paraId="358830F2" w14:textId="7C33F89B"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systems effectively release syngas along with biogas from the breakdown of organic waste, including food scraps, agricultural wastes, and other substances that break down. After being caught, these gases are used to produce heat and power. The system removes the requirement for disposal in landfills, which is an important contributor to greenhouse gas emissions, it provides a low environmental effect. In order to finish the sustainability circle, the resultant organic waste will also be utilized as premium compost or fertilizer. This creative solution not only solves the urgent problem of disposing of waste, but it also makes a major dent in the generation of greenhouse gases. Greentech Innovations remains at the forefront of sustainable energy, revolutionizing the disposal of garbage by turning organic materials into renewable warmth and electricity. Simply removing organic waste from burning and garbage dump companies, immediately reduces the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hazardous gases released into the atmosphere. Moreover, the heat and current produced will be utilized locally or linked to the current energy systems, enhancing energy safety and durability. Greentech Innovations hopes to pave the path for a more ecologically conscious and sustainable world by turning garbage into an asset with the operation of this venture.</w:t>
      </w:r>
    </w:p>
    <w:p w14:paraId="44CA734E" w14:textId="77777777" w:rsidR="00F34C49" w:rsidRDefault="003E573B">
      <w:pPr>
        <w:pStyle w:val="Heading1"/>
      </w:pPr>
      <w:bookmarkStart w:id="2" w:name="_x80qkz4mtwux" w:colFirst="0" w:colLast="0"/>
      <w:bookmarkStart w:id="3" w:name="_Toc149327255"/>
      <w:bookmarkEnd w:id="2"/>
      <w:r>
        <w:t>Market Gap and Addressing Strategies</w:t>
      </w:r>
      <w:bookmarkEnd w:id="3"/>
    </w:p>
    <w:p w14:paraId="25B64470" w14:textId="60E87178"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growing worldwide environmental challenge brought on by the effects of climate change by utilizing </w:t>
      </w:r>
      <w:r>
        <w:rPr>
          <w:rFonts w:ascii="Times New Roman" w:eastAsia="Times New Roman" w:hAnsi="Times New Roman" w:cs="Times New Roman"/>
          <w:b/>
          <w:i/>
          <w:sz w:val="24"/>
          <w:szCs w:val="24"/>
        </w:rPr>
        <w:t>“Waste-To-Energy Conversion”</w:t>
      </w:r>
      <w:r>
        <w:rPr>
          <w:rFonts w:ascii="Times New Roman" w:eastAsia="Times New Roman" w:hAnsi="Times New Roman" w:cs="Times New Roman"/>
          <w:sz w:val="24"/>
          <w:szCs w:val="24"/>
        </w:rPr>
        <w:t xml:space="preserve"> technological advances, </w:t>
      </w:r>
      <w:r>
        <w:rPr>
          <w:rFonts w:ascii="Times New Roman" w:eastAsia="Times New Roman" w:hAnsi="Times New Roman" w:cs="Times New Roman"/>
          <w:b/>
          <w:i/>
          <w:sz w:val="24"/>
          <w:szCs w:val="24"/>
        </w:rPr>
        <w:t>"Greentech Innovations"</w:t>
      </w:r>
      <w:r>
        <w:rPr>
          <w:rFonts w:ascii="Times New Roman" w:eastAsia="Times New Roman" w:hAnsi="Times New Roman" w:cs="Times New Roman"/>
          <w:sz w:val="24"/>
          <w:szCs w:val="24"/>
        </w:rPr>
        <w:t xml:space="preserve"> offers a sustainable alternative. This creative endeavour aims to solve the pressing problem of waste management simultaneously capitalizing on the rising need for alternative energy sources. </w:t>
      </w:r>
    </w:p>
    <w:p w14:paraId="5C6C5301" w14:textId="77777777" w:rsidR="00F34C49" w:rsidRDefault="003E573B">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8507AB9" wp14:editId="0280E0C7">
            <wp:extent cx="5731200" cy="36195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619500"/>
                    </a:xfrm>
                    <a:prstGeom prst="rect">
                      <a:avLst/>
                    </a:prstGeom>
                    <a:ln w="25400">
                      <a:solidFill>
                        <a:srgbClr val="000000"/>
                      </a:solidFill>
                      <a:prstDash val="solid"/>
                    </a:ln>
                  </pic:spPr>
                </pic:pic>
              </a:graphicData>
            </a:graphic>
          </wp:inline>
        </w:drawing>
      </w:r>
    </w:p>
    <w:p w14:paraId="42B930CB" w14:textId="77777777" w:rsidR="00F34C49" w:rsidRDefault="003E573B">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Waste-to-energy market value from 2019 to 2027</w:t>
      </w:r>
    </w:p>
    <w:p w14:paraId="5591B702" w14:textId="77777777" w:rsidR="00F34C49" w:rsidRDefault="003E573B">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2023)</w:t>
      </w:r>
    </w:p>
    <w:p w14:paraId="5226AAB5" w14:textId="77777777"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energy from waste marketplace had a valuation of 35.1 billion US dollars worldwide. The waste-to-energy market is projected to reach a valuation of 50.1 billion USD by 2027, with compound annual growth rate (CAGR) of 4.6% (statista.com, 2023). Global warming has become mostly to blame for the rising frequency of natural disasters, that has made the demand for sustainable energy sources critical. This urgent problem has brought attention to a huge market gap for sustainable and effective energy generation techniques. Technology that converts waste into energy offers a convincing answer to this conundrum. </w:t>
      </w:r>
    </w:p>
    <w:p w14:paraId="306FB992" w14:textId="77777777" w:rsidR="00F34C49" w:rsidRDefault="003E573B">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53BF668" wp14:editId="0868AB89">
            <wp:extent cx="4876800" cy="322897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876800" cy="3228975"/>
                    </a:xfrm>
                    <a:prstGeom prst="rect">
                      <a:avLst/>
                    </a:prstGeom>
                    <a:ln w="25400">
                      <a:solidFill>
                        <a:srgbClr val="000000"/>
                      </a:solidFill>
                      <a:prstDash val="solid"/>
                    </a:ln>
                  </pic:spPr>
                </pic:pic>
              </a:graphicData>
            </a:graphic>
          </wp:inline>
        </w:drawing>
      </w:r>
    </w:p>
    <w:p w14:paraId="492EEB62" w14:textId="77777777" w:rsidR="00F34C49" w:rsidRDefault="003E573B">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Market share of energy-from-waste incinerator operators in UK in 2021</w:t>
      </w:r>
    </w:p>
    <w:p w14:paraId="2808E42C" w14:textId="77777777" w:rsidR="00F34C49" w:rsidRDefault="003E573B">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2023)</w:t>
      </w:r>
    </w:p>
    <w:p w14:paraId="78263017" w14:textId="6837205E"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Estimating input quantity, recycled materials, and garbage disposal companies had 21.6% of the waste-to-energy market in 2021. Veolia, a French waste-handling business, came next and in that particular year, the yearly capacity of UK EfW factories exceeded 17 million metric tonnes (statista.com, 2023). Staff will reduce the amount of waste going to landfills and produce renewable electricity that is clean by utilizing the potential energies that are present in different types of waste. </w:t>
      </w:r>
      <w:r w:rsidR="00A9687A" w:rsidRPr="00A9687A">
        <w:rPr>
          <w:rFonts w:ascii="Times New Roman" w:eastAsia="Times New Roman" w:hAnsi="Times New Roman" w:cs="Times New Roman"/>
          <w:sz w:val="24"/>
          <w:szCs w:val="24"/>
        </w:rPr>
        <w:t xml:space="preserve">This innovative approach merely addresses the pressing issue of garbage disposal, but it also significantly reduces greenhouse gas emissions. By converting natural substances into renewable power and warmth, </w:t>
      </w:r>
      <w:r w:rsidRPr="00A9687A">
        <w:rPr>
          <w:rFonts w:ascii="Times New Roman" w:eastAsia="Times New Roman" w:hAnsi="Times New Roman" w:cs="Times New Roman"/>
          <w:sz w:val="24"/>
          <w:szCs w:val="24"/>
        </w:rPr>
        <w:t>Greentech</w:t>
      </w:r>
      <w:r w:rsidR="00A9687A" w:rsidRPr="00A9687A">
        <w:rPr>
          <w:rFonts w:ascii="Times New Roman" w:eastAsia="Times New Roman" w:hAnsi="Times New Roman" w:cs="Times New Roman"/>
          <w:sz w:val="24"/>
          <w:szCs w:val="24"/>
        </w:rPr>
        <w:t xml:space="preserve"> Innovations continues to be at the cutting-edge of environmentally conscious energy, revolutionising the way waste is disposed. </w:t>
      </w:r>
      <w:r>
        <w:rPr>
          <w:rFonts w:ascii="Times New Roman" w:eastAsia="Times New Roman" w:hAnsi="Times New Roman" w:cs="Times New Roman"/>
          <w:sz w:val="24"/>
          <w:szCs w:val="24"/>
        </w:rPr>
        <w:t>This strategy marks a significant advancement in the direction of a more environmentally friendly and sustainable future by directly addressing the twin issues of waste disposal and producing energy sustainably.</w:t>
      </w:r>
    </w:p>
    <w:p w14:paraId="6C0FE6D4" w14:textId="77777777" w:rsidR="00F34C49" w:rsidRDefault="003E573B">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Addressing Strategies</w:t>
      </w:r>
    </w:p>
    <w:p w14:paraId="39173240" w14:textId="7CA2388C"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Technology Advancement:</w:t>
      </w:r>
      <w:r>
        <w:rPr>
          <w:rFonts w:ascii="Times New Roman" w:eastAsia="Times New Roman" w:hAnsi="Times New Roman" w:cs="Times New Roman"/>
          <w:sz w:val="24"/>
          <w:szCs w:val="24"/>
        </w:rPr>
        <w:t xml:space="preserve"> Greentech Innovations is dedicated to ongoing investigation and creation of technologies for waste-to-energy transformation. Companies will seek partnerships </w:t>
      </w:r>
      <w:r>
        <w:rPr>
          <w:rFonts w:ascii="Times New Roman" w:eastAsia="Times New Roman" w:hAnsi="Times New Roman" w:cs="Times New Roman"/>
          <w:sz w:val="24"/>
          <w:szCs w:val="24"/>
        </w:rPr>
        <w:lastRenderedPageBreak/>
        <w:t xml:space="preserve">with top research organizations and subject matter experts to make sure companies stay at the cutting edge of scientific advancement (Kalair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p>
    <w:p w14:paraId="49EF95FE" w14:textId="77777777"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Market Research and Localization:</w:t>
      </w:r>
      <w:r>
        <w:rPr>
          <w:rFonts w:ascii="Times New Roman" w:eastAsia="Times New Roman" w:hAnsi="Times New Roman" w:cs="Times New Roman"/>
          <w:sz w:val="24"/>
          <w:szCs w:val="24"/>
        </w:rPr>
        <w:t xml:space="preserve"> Determining those areas have high rates of waste creation and restricted access to dependable energy sources that are renewable, a thorough market research study will be carried out. thereby customizing our suggestions to these regions' unique demands and obstacles, one will hope to gain a competitive edge and promote local collaborations for sustainable development over time.</w:t>
      </w:r>
    </w:p>
    <w:p w14:paraId="075A1BD3" w14:textId="0D68E522"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Regulatory Compliance and Environmental Impact: </w:t>
      </w:r>
      <w:r>
        <w:rPr>
          <w:rFonts w:ascii="Times New Roman" w:eastAsia="Times New Roman" w:hAnsi="Times New Roman" w:cs="Times New Roman"/>
          <w:sz w:val="24"/>
          <w:szCs w:val="24"/>
        </w:rPr>
        <w:t>Greentech Innovations understands the importance it is to follow strict environmental laws. In order to ensure complete adherence to regional, governmental, and global standards, the community will collaborate closely with administrative organizations. In addition, a thorough evaluation of environmental impacts will be carried out to quantify and minimize any possible ecological footprint related to our activities.</w:t>
      </w:r>
    </w:p>
    <w:p w14:paraId="26EA2C5F" w14:textId="68715FD7"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Partnerships and Collaborations: </w:t>
      </w:r>
      <w:r>
        <w:rPr>
          <w:rFonts w:ascii="Times New Roman" w:eastAsia="Times New Roman" w:hAnsi="Times New Roman" w:cs="Times New Roman"/>
          <w:sz w:val="24"/>
          <w:szCs w:val="24"/>
        </w:rPr>
        <w:t>Greentech Innovations intends to establish strategic alliances with renewable energy proponents, governmental bodies, and waste disposal organizations. These partnerships will additionally make it easier to obtain a consistent stream of waste products, but they will also allow us to make better use of the assets and structures that are already in place.</w:t>
      </w:r>
    </w:p>
    <w:p w14:paraId="00B4ED44" w14:textId="77777777" w:rsidR="00F34C49" w:rsidRDefault="003E573B">
      <w:pPr>
        <w:pStyle w:val="Heading1"/>
      </w:pPr>
      <w:bookmarkStart w:id="4" w:name="_w007dmhg01w5" w:colFirst="0" w:colLast="0"/>
      <w:bookmarkStart w:id="5" w:name="_Toc149327256"/>
      <w:bookmarkEnd w:id="4"/>
      <w:r>
        <w:t>Business Location and Legal Entity</w:t>
      </w:r>
      <w:bookmarkEnd w:id="5"/>
    </w:p>
    <w:p w14:paraId="37FEF862" w14:textId="77777777" w:rsidR="00F34C49" w:rsidRDefault="003E573B">
      <w:pPr>
        <w:pBdr>
          <w:top w:val="nil"/>
          <w:left w:val="nil"/>
          <w:bottom w:val="nil"/>
          <w:right w:val="nil"/>
          <w:between w:val="nil"/>
        </w:pBd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The business location will be chosen in East Sussex, United Kingdom.</w:t>
      </w:r>
    </w:p>
    <w:p w14:paraId="4B8BA7A9" w14:textId="77777777" w:rsidR="00F34C49" w:rsidRDefault="003E573B">
      <w:pPr>
        <w:pBdr>
          <w:top w:val="nil"/>
          <w:left w:val="nil"/>
          <w:bottom w:val="nil"/>
          <w:right w:val="nil"/>
          <w:between w:val="nil"/>
        </w:pBd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Justification for location</w:t>
      </w:r>
    </w:p>
    <w:p w14:paraId="47ABDE74" w14:textId="67800999"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waste-to-energy conversion company of Greentech Innovations has found the perfect home in East Sussex, UK. The location is a great fit for this project because of its strategic benefits. First off, there is a lot of garbage produced in East Sussex due to the region's flourishing industrial economy and crowded population of cities. This guarantees a steady and dependable supply of feedstock for waste-to-energy converting processes, and that is essential to the long-term viability and financial success of the enterprise. Second, the effective transportation of waste materials is made possible by their close proximity to important urban centres </w:t>
      </w:r>
      <w:r w:rsidR="00026F7A">
        <w:rPr>
          <w:rFonts w:ascii="Times New Roman" w:eastAsia="Times New Roman" w:hAnsi="Times New Roman" w:cs="Times New Roman"/>
          <w:sz w:val="24"/>
          <w:szCs w:val="24"/>
        </w:rPr>
        <w:t>involving Brighton</w:t>
      </w:r>
      <w:r>
        <w:rPr>
          <w:rFonts w:ascii="Times New Roman" w:eastAsia="Times New Roman" w:hAnsi="Times New Roman" w:cs="Times New Roman"/>
          <w:sz w:val="24"/>
          <w:szCs w:val="24"/>
        </w:rPr>
        <w:t xml:space="preserve"> and Hastings. This maximizes income potential for Greentech Innovations by lowering logistical expenses and positioning the company to serve a large </w:t>
      </w:r>
      <w:r>
        <w:rPr>
          <w:rFonts w:ascii="Times New Roman" w:eastAsia="Times New Roman" w:hAnsi="Times New Roman" w:cs="Times New Roman"/>
          <w:sz w:val="24"/>
          <w:szCs w:val="24"/>
        </w:rPr>
        <w:lastRenderedPageBreak/>
        <w:t xml:space="preserve">number of customers for its energy solutions. The UK's favourable regulatory climate is in line with the company's goal, particularly in reference to measures promoting renewable energy (Hussain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Regarding companies using sustainable practices, the government provides a variety of loans, incentives, and assistance, adding another level of backing and security to Greentech Innovations' finances.</w:t>
      </w:r>
    </w:p>
    <w:p w14:paraId="2781DCBD" w14:textId="77777777" w:rsidR="00F34C49" w:rsidRDefault="003E573B">
      <w:pP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 Entity</w:t>
      </w:r>
    </w:p>
    <w:p w14:paraId="3BFDF4E9" w14:textId="49480C18"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Greentech Innovations will operate as a legal entity that is registered under the Companies Act 2006. Simply limiting their individual liability, the proprietor's and shareholders' personal possessions are shielded from any legal troubles and financial hardships. The company's financial security and expansion potential are guaranteed by the legal structure that has been selected, which permits a variety of capital-raising strategies, including the issuance of shares and the pursuit of venture capitalist funding. The selected legal entity clarifies its operational obligations and decision-making processes by outlining the regulatory structure and the respective positions and obligations of stakeholders.</w:t>
      </w:r>
    </w:p>
    <w:p w14:paraId="18A9559B" w14:textId="77777777" w:rsidR="00F34C49" w:rsidRDefault="003E573B">
      <w:pPr>
        <w:pStyle w:val="Heading1"/>
      </w:pPr>
      <w:bookmarkStart w:id="6" w:name="_tapssdud3v0n" w:colFirst="0" w:colLast="0"/>
      <w:bookmarkStart w:id="7" w:name="_Toc149327257"/>
      <w:bookmarkEnd w:id="6"/>
      <w:r>
        <w:t>SWOT Analysis</w:t>
      </w:r>
      <w:bookmarkEnd w:id="7"/>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34C49" w14:paraId="304D5566" w14:textId="77777777">
        <w:tc>
          <w:tcPr>
            <w:tcW w:w="4514" w:type="dxa"/>
            <w:shd w:val="clear" w:color="auto" w:fill="auto"/>
            <w:tcMar>
              <w:top w:w="100" w:type="dxa"/>
              <w:left w:w="100" w:type="dxa"/>
              <w:bottom w:w="100" w:type="dxa"/>
              <w:right w:w="100" w:type="dxa"/>
            </w:tcMar>
          </w:tcPr>
          <w:p w14:paraId="3345CF4F"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Strengths: </w:t>
            </w:r>
          </w:p>
          <w:p w14:paraId="182EE5CA" w14:textId="0515F6AE" w:rsidR="00F34C49" w:rsidRDefault="003E573B">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Greentech Innovations has established itself as a leader in the field of renewable power by utilizing state-of-the-art waste-to-energy conversion systems.</w:t>
            </w:r>
          </w:p>
          <w:p w14:paraId="5A3232EC" w14:textId="77777777" w:rsidR="00F34C49" w:rsidRDefault="003E573B">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will use a variety of waste from factory byproducts, residue from agriculture, and solid waste from the community (Vrabie, 2021).</w:t>
            </w:r>
          </w:p>
          <w:p w14:paraId="52D87EF2" w14:textId="77777777" w:rsidR="00F34C49" w:rsidRDefault="003E573B">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Globally, governments are putting policies into place to support renewable energy sources. </w:t>
            </w:r>
          </w:p>
          <w:p w14:paraId="568AE361" w14:textId="761BE106" w:rsidR="00F34C49" w:rsidRDefault="003E573B">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a staff of specialists in waste-to-energy conversion </w:t>
            </w:r>
            <w:r>
              <w:rPr>
                <w:rFonts w:ascii="Times New Roman" w:eastAsia="Times New Roman" w:hAnsi="Times New Roman" w:cs="Times New Roman"/>
                <w:sz w:val="24"/>
                <w:szCs w:val="24"/>
              </w:rPr>
              <w:lastRenderedPageBreak/>
              <w:t>technology, Greentech Innovations will guarantee dependable and effective operations.</w:t>
            </w:r>
          </w:p>
        </w:tc>
        <w:tc>
          <w:tcPr>
            <w:tcW w:w="4514" w:type="dxa"/>
            <w:shd w:val="clear" w:color="auto" w:fill="auto"/>
            <w:tcMar>
              <w:top w:w="100" w:type="dxa"/>
              <w:left w:w="100" w:type="dxa"/>
              <w:bottom w:w="100" w:type="dxa"/>
              <w:right w:w="100" w:type="dxa"/>
            </w:tcMar>
          </w:tcPr>
          <w:p w14:paraId="2941D56F"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Weaknesses:</w:t>
            </w:r>
            <w:r>
              <w:rPr>
                <w:rFonts w:ascii="Times New Roman" w:eastAsia="Times New Roman" w:hAnsi="Times New Roman" w:cs="Times New Roman"/>
                <w:sz w:val="24"/>
                <w:szCs w:val="24"/>
              </w:rPr>
              <w:t xml:space="preserve"> </w:t>
            </w:r>
          </w:p>
          <w:p w14:paraId="5DA5CAF4" w14:textId="77777777" w:rsidR="00F34C49" w:rsidRDefault="003E573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Waste-to-energy plant establishment necessitates a large upfront expense for equipment, technology, and operational setting.</w:t>
            </w:r>
          </w:p>
          <w:p w14:paraId="3C67E55B" w14:textId="4F1B7E91" w:rsidR="00F34C49" w:rsidRDefault="003E573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 for renewable energy is getting more and more competitive (Tang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Greentech Innovations will have to demonstrate outstanding technology or efficient operation.</w:t>
            </w:r>
          </w:p>
          <w:p w14:paraId="78D6B16B" w14:textId="77777777" w:rsidR="00F34C49" w:rsidRDefault="003E573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possible for project execution to be delayed by the lengthy and complicated process of obtaining the required permissions.</w:t>
            </w:r>
          </w:p>
          <w:p w14:paraId="5F613C26" w14:textId="77777777" w:rsidR="00F34C49" w:rsidRDefault="003E573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will be difficult to secure a steady </w:t>
            </w:r>
            <w:r>
              <w:rPr>
                <w:rFonts w:ascii="Times New Roman" w:eastAsia="Times New Roman" w:hAnsi="Times New Roman" w:cs="Times New Roman"/>
                <w:sz w:val="24"/>
                <w:szCs w:val="24"/>
              </w:rPr>
              <w:lastRenderedPageBreak/>
              <w:t>and dependable supply of waste feeding because it depends on things like waste management regulations.</w:t>
            </w:r>
          </w:p>
        </w:tc>
      </w:tr>
      <w:tr w:rsidR="00F34C49" w14:paraId="2F7265AF" w14:textId="77777777">
        <w:tc>
          <w:tcPr>
            <w:tcW w:w="4514" w:type="dxa"/>
            <w:shd w:val="clear" w:color="auto" w:fill="auto"/>
            <w:tcMar>
              <w:top w:w="100" w:type="dxa"/>
              <w:left w:w="100" w:type="dxa"/>
              <w:bottom w:w="100" w:type="dxa"/>
              <w:right w:w="100" w:type="dxa"/>
            </w:tcMar>
          </w:tcPr>
          <w:p w14:paraId="21D1EA7F"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Opportunities: </w:t>
            </w:r>
          </w:p>
          <w:p w14:paraId="0D1DC5B5" w14:textId="77777777" w:rsidR="00F34C49" w:rsidRDefault="003E573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scope for growth in the waste-to-energy sector globally, particularly in areas where trash generation is significant.</w:t>
            </w:r>
          </w:p>
          <w:p w14:paraId="4A3673BD" w14:textId="2DEE0821" w:rsidR="00F34C49" w:rsidRDefault="003E573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a consistent supply of waste material and obtaining support for the project, Greentech Innovations will investigate opportunities for partnership with waste management firms, municipality officials, and other stakeholders.</w:t>
            </w:r>
          </w:p>
          <w:p w14:paraId="26030256" w14:textId="77777777" w:rsidR="00F34C49" w:rsidRDefault="003E573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investigation and advancement may yield advancements in the field of waste-to-energy technologies.</w:t>
            </w:r>
          </w:p>
          <w:p w14:paraId="5C7D6D90" w14:textId="77777777" w:rsidR="00F34C49" w:rsidRDefault="003E573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Putting money into educational programs and public education efforts will assist in changing people's opinions of waste-to-energy conversion.</w:t>
            </w:r>
          </w:p>
        </w:tc>
        <w:tc>
          <w:tcPr>
            <w:tcW w:w="4514" w:type="dxa"/>
            <w:shd w:val="clear" w:color="auto" w:fill="auto"/>
            <w:tcMar>
              <w:top w:w="100" w:type="dxa"/>
              <w:left w:w="100" w:type="dxa"/>
              <w:bottom w:w="100" w:type="dxa"/>
              <w:right w:w="100" w:type="dxa"/>
            </w:tcMar>
          </w:tcPr>
          <w:p w14:paraId="52E122B9"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Threats: </w:t>
            </w:r>
          </w:p>
          <w:p w14:paraId="21FE0540" w14:textId="77777777" w:rsidR="00F34C49" w:rsidRDefault="003E573B">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will become susceptible to changes in energy costs, which could have an impact on the affordability of waste-to-energy options.</w:t>
            </w:r>
          </w:p>
          <w:p w14:paraId="291C2D43" w14:textId="77777777" w:rsidR="00F34C49" w:rsidRDefault="003E573B">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will be significantly impacted by changes to laws and rules pertaining to waste management.</w:t>
            </w:r>
          </w:p>
          <w:p w14:paraId="390121FB" w14:textId="77777777" w:rsidR="00F34C49" w:rsidRDefault="003E573B">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Conventional waste-to-energy solutions will find themselves outdated due to the rapid improvements in renewable energy sources.</w:t>
            </w:r>
          </w:p>
          <w:p w14:paraId="7B816E53" w14:textId="77777777" w:rsidR="00F34C49" w:rsidRDefault="003E573B">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issues that will impact the operational viability of waste to electricity plants include natural disasters and disruptions in trash supply networks.</w:t>
            </w:r>
          </w:p>
        </w:tc>
      </w:tr>
    </w:tbl>
    <w:p w14:paraId="52B3A40B" w14:textId="54672DAB"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 strong business strategy for Greentech Innovations' Waste-To-Energy Conversion project will need to consider these strengths, weaknesses, opportunities, and threats. A thorough market study, financial forecasts, plans for operations, and a thorough risk management strategy should all be part of this plan. Investors and other interested parties will also need to be convinced of the company's dedication to ecological and environmental responsibility.</w:t>
      </w:r>
    </w:p>
    <w:p w14:paraId="50A9200C" w14:textId="77777777" w:rsidR="00F34C49" w:rsidRDefault="003E573B">
      <w:pPr>
        <w:pStyle w:val="Heading1"/>
      </w:pPr>
      <w:bookmarkStart w:id="8" w:name="_wldlga9h5ps6" w:colFirst="0" w:colLast="0"/>
      <w:bookmarkStart w:id="9" w:name="_Toc149327258"/>
      <w:bookmarkEnd w:id="8"/>
      <w:r>
        <w:lastRenderedPageBreak/>
        <w:t>Target Market and Capture Strategies</w:t>
      </w:r>
      <w:bookmarkEnd w:id="9"/>
    </w:p>
    <w:p w14:paraId="033F5557" w14:textId="31742384"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“Waste-to-Energy Conversion” company of Greentech Innovations uses the </w:t>
      </w:r>
      <w:r>
        <w:rPr>
          <w:rFonts w:ascii="Times New Roman" w:eastAsia="Times New Roman" w:hAnsi="Times New Roman" w:cs="Times New Roman"/>
          <w:b/>
          <w:i/>
          <w:sz w:val="24"/>
          <w:szCs w:val="24"/>
        </w:rPr>
        <w:t>“Segmentation, Targeting, and Positioning (STP)”</w:t>
      </w:r>
      <w:r>
        <w:rPr>
          <w:rFonts w:ascii="Times New Roman" w:eastAsia="Times New Roman" w:hAnsi="Times New Roman" w:cs="Times New Roman"/>
          <w:sz w:val="24"/>
          <w:szCs w:val="24"/>
        </w:rPr>
        <w:t xml:space="preserve"> approach to precisely define and seize its target market.</w:t>
      </w:r>
    </w:p>
    <w:p w14:paraId="2FB98A14" w14:textId="77777777" w:rsidR="00F34C49" w:rsidRDefault="003E573B">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2895048" wp14:editId="58D9A5C2">
            <wp:extent cx="4774838" cy="3271838"/>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774838" cy="3271838"/>
                    </a:xfrm>
                    <a:prstGeom prst="rect">
                      <a:avLst/>
                    </a:prstGeom>
                    <a:ln w="25400">
                      <a:solidFill>
                        <a:srgbClr val="000000"/>
                      </a:solidFill>
                      <a:prstDash val="solid"/>
                    </a:ln>
                  </pic:spPr>
                </pic:pic>
              </a:graphicData>
            </a:graphic>
          </wp:inline>
        </w:drawing>
      </w:r>
    </w:p>
    <w:p w14:paraId="7BF2DFD4" w14:textId="77777777" w:rsidR="00F34C49" w:rsidRDefault="003E573B">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STP Model</w:t>
      </w:r>
    </w:p>
    <w:p w14:paraId="2F81D28F" w14:textId="77777777" w:rsidR="00F34C49" w:rsidRDefault="003E573B">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productmindset.substack.com, 2023)</w:t>
      </w:r>
    </w:p>
    <w:p w14:paraId="22778C3F" w14:textId="4C497593"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Segmentation: </w:t>
      </w:r>
      <w:r>
        <w:rPr>
          <w:rFonts w:ascii="Times New Roman" w:eastAsia="Times New Roman" w:hAnsi="Times New Roman" w:cs="Times New Roman"/>
          <w:sz w:val="24"/>
          <w:szCs w:val="24"/>
        </w:rPr>
        <w:t xml:space="preserve">The market has to first be divided into discrete segments according to shared needs, behaviours, and features. The three main markets for Greentech Innovations are agriculture, businesses, and municipalities. There are distinct prospects for garbage collecting and energy generation in each section. Municipalities are a vital market for garbage collection services since they produce large amounts of solid waste from their communities. Industries generate specific waste streams that are able to be effectively transformed into energy, providing a possible channel for collaboration (Ram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Contrarily, agriculture provides a useful source of food waste that will be converted into renewable energy, therefore minimizing waste in agricultural sectors.</w:t>
      </w:r>
    </w:p>
    <w:p w14:paraId="5F4C0DA0" w14:textId="2BDE876C"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Targeting:</w:t>
      </w:r>
      <w:r>
        <w:rPr>
          <w:rFonts w:ascii="Times New Roman" w:eastAsia="Times New Roman" w:hAnsi="Times New Roman" w:cs="Times New Roman"/>
          <w:sz w:val="24"/>
          <w:szCs w:val="24"/>
        </w:rPr>
        <w:t xml:space="preserve"> Following market segmentation, Greentech Innovations determines which market sectors are most appealing in light of variables such as size, potential for growth, and alignment with the company's competencies. Here, the main emphasis is on the municipalities since they </w:t>
      </w:r>
      <w:r>
        <w:rPr>
          <w:rFonts w:ascii="Times New Roman" w:eastAsia="Times New Roman" w:hAnsi="Times New Roman" w:cs="Times New Roman"/>
          <w:sz w:val="24"/>
          <w:szCs w:val="24"/>
        </w:rPr>
        <w:lastRenderedPageBreak/>
        <w:t xml:space="preserve">are a reliable and significant supply of waste. Greentech seeks to create effective waste disposal processes in collaboration with municipalities and authorities, guaranteeing a consistent supply of recyclable materials for energy production. Companies also have a lot of promise since they will handle their garbage and produce energy at the same time, which is a win-win situation (Dastjerdi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Utilizing agricultural wastes to generate renewable energy in line with ethical agricultural practices, agriculture offers another feasible goal.</w:t>
      </w:r>
    </w:p>
    <w:p w14:paraId="03B38A92" w14:textId="75D3623E"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Positioning:</w:t>
      </w:r>
      <w:r>
        <w:rPr>
          <w:rFonts w:ascii="Times New Roman" w:eastAsia="Times New Roman" w:hAnsi="Times New Roman" w:cs="Times New Roman"/>
          <w:sz w:val="24"/>
          <w:szCs w:val="24"/>
        </w:rPr>
        <w:t xml:space="preserve"> The process of positioning entails creating a unique brand and value proposal in the eyes of the intended market. Greentech Innovations presents itself as a cutting-edge, ecologically aware business committed to halting environmental deterioration and global warming. Greentech solves the problems of waste management and generation of electricity by turning trash into clean energy. The business places a strong emphasis on its dedication to lowering the release of greenhouse gases, resource conservation, and the advancement of sustainable practices (Hoang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Greentech facilitates comprehension and backing for the advantages of converting waste materials into energy by means of community involvement and instruction.</w:t>
      </w:r>
    </w:p>
    <w:p w14:paraId="19D7B58B" w14:textId="175D4E58"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Capturing the target market successfully, Greentech Innovations uses a variety of tactics. The foundation is made up of local collaborations with municipalities, which guarantee a consistent flow of waste. Investing in state-of-the-art technologies to convert waste into energy increases energy output while lowering the ecological impact and strengthening the competitive position of the business. Efficiency increases are driven by a committed investigation and creation effort that continuously enhances waste conversion technologies. Initiatives for community involvement increase awareness and win support from the community, enhancing Greentech’s standing as a conscientious corporate citizen. Furthermore, the production and commercialization of </w:t>
      </w:r>
      <w:r>
        <w:rPr>
          <w:rFonts w:ascii="Times New Roman" w:eastAsia="Times New Roman" w:hAnsi="Times New Roman" w:cs="Times New Roman"/>
          <w:b/>
          <w:i/>
          <w:sz w:val="24"/>
          <w:szCs w:val="24"/>
        </w:rPr>
        <w:t>“Renewable Energy Credits (RECs)”</w:t>
      </w:r>
      <w:r>
        <w:rPr>
          <w:rFonts w:ascii="Times New Roman" w:eastAsia="Times New Roman" w:hAnsi="Times New Roman" w:cs="Times New Roman"/>
          <w:sz w:val="24"/>
          <w:szCs w:val="24"/>
        </w:rPr>
        <w:t xml:space="preserve"> offer an extra revenue stream that reinforces the financial sustainability of the organization.</w:t>
      </w:r>
    </w:p>
    <w:p w14:paraId="035C594F" w14:textId="77777777" w:rsidR="00F34C49" w:rsidRDefault="003E573B">
      <w:pPr>
        <w:pStyle w:val="Heading1"/>
      </w:pPr>
      <w:bookmarkStart w:id="10" w:name="_tmrcjwecdthf" w:colFirst="0" w:colLast="0"/>
      <w:bookmarkStart w:id="11" w:name="_Toc149327259"/>
      <w:bookmarkEnd w:id="10"/>
      <w:r>
        <w:t>Determining Financial Plan, Funding Requirements, and external sources of the business</w:t>
      </w:r>
      <w:bookmarkEnd w:id="11"/>
    </w:p>
    <w:p w14:paraId="08DAEDF1" w14:textId="77777777" w:rsidR="00F34C49" w:rsidRDefault="003E573B">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Financial Plan</w:t>
      </w:r>
    </w:p>
    <w:tbl>
      <w:tblPr>
        <w:tblStyle w:val="a0"/>
        <w:tblW w:w="88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1185"/>
        <w:gridCol w:w="1200"/>
        <w:gridCol w:w="1275"/>
        <w:gridCol w:w="1275"/>
        <w:gridCol w:w="1275"/>
        <w:gridCol w:w="1245"/>
      </w:tblGrid>
      <w:tr w:rsidR="00F34C49" w14:paraId="7520EDE5" w14:textId="77777777">
        <w:tc>
          <w:tcPr>
            <w:tcW w:w="1440" w:type="dxa"/>
            <w:shd w:val="clear" w:color="auto" w:fill="auto"/>
            <w:tcMar>
              <w:top w:w="100" w:type="dxa"/>
              <w:left w:w="100" w:type="dxa"/>
              <w:bottom w:w="100" w:type="dxa"/>
              <w:right w:w="100" w:type="dxa"/>
            </w:tcMar>
          </w:tcPr>
          <w:p w14:paraId="51E6D98B"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Category</w:t>
            </w:r>
          </w:p>
        </w:tc>
        <w:tc>
          <w:tcPr>
            <w:tcW w:w="1185" w:type="dxa"/>
            <w:shd w:val="clear" w:color="auto" w:fill="auto"/>
            <w:tcMar>
              <w:top w:w="100" w:type="dxa"/>
              <w:left w:w="100" w:type="dxa"/>
              <w:bottom w:w="100" w:type="dxa"/>
              <w:right w:w="100" w:type="dxa"/>
            </w:tcMar>
          </w:tcPr>
          <w:p w14:paraId="20347CAB"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tc>
        <w:tc>
          <w:tcPr>
            <w:tcW w:w="1200" w:type="dxa"/>
            <w:shd w:val="clear" w:color="auto" w:fill="auto"/>
            <w:tcMar>
              <w:top w:w="100" w:type="dxa"/>
              <w:left w:w="100" w:type="dxa"/>
              <w:bottom w:w="100" w:type="dxa"/>
              <w:right w:w="100" w:type="dxa"/>
            </w:tcMar>
          </w:tcPr>
          <w:p w14:paraId="189F776D"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Year 1</w:t>
            </w:r>
          </w:p>
        </w:tc>
        <w:tc>
          <w:tcPr>
            <w:tcW w:w="1275" w:type="dxa"/>
            <w:shd w:val="clear" w:color="auto" w:fill="auto"/>
            <w:tcMar>
              <w:top w:w="100" w:type="dxa"/>
              <w:left w:w="100" w:type="dxa"/>
              <w:bottom w:w="100" w:type="dxa"/>
              <w:right w:w="100" w:type="dxa"/>
            </w:tcMar>
          </w:tcPr>
          <w:p w14:paraId="38B55921"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Year 2</w:t>
            </w:r>
          </w:p>
        </w:tc>
        <w:tc>
          <w:tcPr>
            <w:tcW w:w="1275" w:type="dxa"/>
            <w:shd w:val="clear" w:color="auto" w:fill="auto"/>
            <w:tcMar>
              <w:top w:w="100" w:type="dxa"/>
              <w:left w:w="100" w:type="dxa"/>
              <w:bottom w:w="100" w:type="dxa"/>
              <w:right w:w="100" w:type="dxa"/>
            </w:tcMar>
          </w:tcPr>
          <w:p w14:paraId="20291A3C"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Year 3</w:t>
            </w:r>
          </w:p>
        </w:tc>
        <w:tc>
          <w:tcPr>
            <w:tcW w:w="1275" w:type="dxa"/>
            <w:shd w:val="clear" w:color="auto" w:fill="auto"/>
            <w:tcMar>
              <w:top w:w="100" w:type="dxa"/>
              <w:left w:w="100" w:type="dxa"/>
              <w:bottom w:w="100" w:type="dxa"/>
              <w:right w:w="100" w:type="dxa"/>
            </w:tcMar>
          </w:tcPr>
          <w:p w14:paraId="63E04211"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Year 4</w:t>
            </w:r>
          </w:p>
        </w:tc>
        <w:tc>
          <w:tcPr>
            <w:tcW w:w="1245" w:type="dxa"/>
            <w:shd w:val="clear" w:color="auto" w:fill="auto"/>
            <w:tcMar>
              <w:top w:w="100" w:type="dxa"/>
              <w:left w:w="100" w:type="dxa"/>
              <w:bottom w:w="100" w:type="dxa"/>
              <w:right w:w="100" w:type="dxa"/>
            </w:tcMar>
          </w:tcPr>
          <w:p w14:paraId="2D5370F3"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Year 5</w:t>
            </w:r>
          </w:p>
        </w:tc>
      </w:tr>
      <w:tr w:rsidR="00F34C49" w14:paraId="77456E96" w14:textId="77777777">
        <w:tc>
          <w:tcPr>
            <w:tcW w:w="1440" w:type="dxa"/>
            <w:shd w:val="clear" w:color="auto" w:fill="auto"/>
            <w:tcMar>
              <w:top w:w="100" w:type="dxa"/>
              <w:left w:w="100" w:type="dxa"/>
              <w:bottom w:w="100" w:type="dxa"/>
              <w:right w:w="100" w:type="dxa"/>
            </w:tcMar>
          </w:tcPr>
          <w:p w14:paraId="0B535F4F"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Initial </w:t>
            </w:r>
            <w:r>
              <w:rPr>
                <w:rFonts w:ascii="Times New Roman" w:eastAsia="Times New Roman" w:hAnsi="Times New Roman" w:cs="Times New Roman"/>
                <w:b/>
                <w:i/>
                <w:sz w:val="24"/>
                <w:szCs w:val="24"/>
              </w:rPr>
              <w:lastRenderedPageBreak/>
              <w:t>Investment</w:t>
            </w:r>
          </w:p>
        </w:tc>
        <w:tc>
          <w:tcPr>
            <w:tcW w:w="1185" w:type="dxa"/>
            <w:shd w:val="clear" w:color="auto" w:fill="auto"/>
            <w:tcMar>
              <w:top w:w="100" w:type="dxa"/>
              <w:left w:w="100" w:type="dxa"/>
              <w:bottom w:w="100" w:type="dxa"/>
              <w:right w:w="100" w:type="dxa"/>
            </w:tcMar>
          </w:tcPr>
          <w:p w14:paraId="187C0995" w14:textId="25573B3D"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Facility </w:t>
            </w:r>
            <w:r>
              <w:rPr>
                <w:rFonts w:ascii="Times New Roman" w:eastAsia="Times New Roman" w:hAnsi="Times New Roman" w:cs="Times New Roman"/>
                <w:sz w:val="24"/>
                <w:szCs w:val="24"/>
              </w:rPr>
              <w:lastRenderedPageBreak/>
              <w:t xml:space="preserve">Construction and </w:t>
            </w:r>
            <w:r w:rsidR="004F39A8">
              <w:rPr>
                <w:rFonts w:ascii="Times New Roman" w:eastAsia="Times New Roman" w:hAnsi="Times New Roman" w:cs="Times New Roman"/>
                <w:sz w:val="24"/>
                <w:szCs w:val="24"/>
              </w:rPr>
              <w:t>Equipment’s</w:t>
            </w:r>
          </w:p>
        </w:tc>
        <w:tc>
          <w:tcPr>
            <w:tcW w:w="1200" w:type="dxa"/>
            <w:shd w:val="clear" w:color="auto" w:fill="auto"/>
            <w:tcMar>
              <w:top w:w="100" w:type="dxa"/>
              <w:left w:w="100" w:type="dxa"/>
              <w:bottom w:w="100" w:type="dxa"/>
              <w:right w:w="100" w:type="dxa"/>
            </w:tcMar>
          </w:tcPr>
          <w:p w14:paraId="69884F3A" w14:textId="77777777" w:rsidR="00F34C49" w:rsidRDefault="00F34C49">
            <w:pPr>
              <w:widowControl w:val="0"/>
              <w:spacing w:line="360" w:lineRule="auto"/>
              <w:jc w:val="both"/>
              <w:rPr>
                <w:rFonts w:ascii="Times New Roman" w:eastAsia="Times New Roman" w:hAnsi="Times New Roman" w:cs="Times New Roman"/>
                <w:sz w:val="24"/>
                <w:szCs w:val="24"/>
              </w:rPr>
            </w:pPr>
          </w:p>
          <w:p w14:paraId="2D544375"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£5,000,000</w:t>
            </w:r>
          </w:p>
          <w:p w14:paraId="14AC9BC0" w14:textId="77777777" w:rsidR="00F34C49" w:rsidRDefault="00F34C49">
            <w:pPr>
              <w:widowControl w:val="0"/>
              <w:spacing w:line="360" w:lineRule="auto"/>
              <w:jc w:val="both"/>
              <w:rPr>
                <w:rFonts w:ascii="Times New Roman" w:eastAsia="Times New Roman" w:hAnsi="Times New Roman" w:cs="Times New Roman"/>
                <w:sz w:val="24"/>
                <w:szCs w:val="24"/>
              </w:rPr>
            </w:pPr>
          </w:p>
          <w:p w14:paraId="3CDFC9BA"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04AA827"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B21DA39"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5CBDB8DD"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7569CF5F"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158E71F0" w14:textId="77777777">
        <w:tc>
          <w:tcPr>
            <w:tcW w:w="1440" w:type="dxa"/>
            <w:shd w:val="clear" w:color="auto" w:fill="auto"/>
            <w:tcMar>
              <w:top w:w="100" w:type="dxa"/>
              <w:left w:w="100" w:type="dxa"/>
              <w:bottom w:w="100" w:type="dxa"/>
              <w:right w:w="100" w:type="dxa"/>
            </w:tcMar>
          </w:tcPr>
          <w:p w14:paraId="3DB07318"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85" w:type="dxa"/>
            <w:shd w:val="clear" w:color="auto" w:fill="auto"/>
            <w:tcMar>
              <w:top w:w="100" w:type="dxa"/>
              <w:left w:w="100" w:type="dxa"/>
              <w:bottom w:w="100" w:type="dxa"/>
              <w:right w:w="100" w:type="dxa"/>
            </w:tcMar>
          </w:tcPr>
          <w:p w14:paraId="353C2A46"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and Development</w:t>
            </w:r>
          </w:p>
        </w:tc>
        <w:tc>
          <w:tcPr>
            <w:tcW w:w="1200" w:type="dxa"/>
            <w:shd w:val="clear" w:color="auto" w:fill="auto"/>
            <w:tcMar>
              <w:top w:w="100" w:type="dxa"/>
              <w:left w:w="100" w:type="dxa"/>
              <w:bottom w:w="100" w:type="dxa"/>
              <w:right w:w="100" w:type="dxa"/>
            </w:tcMar>
          </w:tcPr>
          <w:p w14:paraId="602E8F00"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£500,000</w:t>
            </w:r>
          </w:p>
          <w:p w14:paraId="7530EF74" w14:textId="77777777" w:rsidR="00F34C49" w:rsidRDefault="00F34C49">
            <w:pPr>
              <w:widowControl w:val="0"/>
              <w:spacing w:line="360" w:lineRule="auto"/>
              <w:jc w:val="both"/>
              <w:rPr>
                <w:rFonts w:ascii="Times New Roman" w:eastAsia="Times New Roman" w:hAnsi="Times New Roman" w:cs="Times New Roman"/>
                <w:sz w:val="24"/>
                <w:szCs w:val="24"/>
              </w:rPr>
            </w:pPr>
          </w:p>
          <w:p w14:paraId="715F2A07"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6ADC362B"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£300,000</w:t>
            </w:r>
          </w:p>
          <w:p w14:paraId="1D16F18E"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143D97A6"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£200,000</w:t>
            </w:r>
          </w:p>
          <w:p w14:paraId="19EF8496"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14BE3AB2"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£150,000</w:t>
            </w:r>
          </w:p>
          <w:p w14:paraId="60DE8E16"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54FDD083"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p w14:paraId="2835085C"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50B34AD3" w14:textId="77777777">
        <w:tc>
          <w:tcPr>
            <w:tcW w:w="1440" w:type="dxa"/>
            <w:shd w:val="clear" w:color="auto" w:fill="auto"/>
            <w:tcMar>
              <w:top w:w="100" w:type="dxa"/>
              <w:left w:w="100" w:type="dxa"/>
              <w:bottom w:w="100" w:type="dxa"/>
              <w:right w:w="100" w:type="dxa"/>
            </w:tcMar>
          </w:tcPr>
          <w:p w14:paraId="14B5C6BA"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Operating Costs</w:t>
            </w:r>
          </w:p>
        </w:tc>
        <w:tc>
          <w:tcPr>
            <w:tcW w:w="1185" w:type="dxa"/>
            <w:shd w:val="clear" w:color="auto" w:fill="auto"/>
            <w:tcMar>
              <w:top w:w="100" w:type="dxa"/>
              <w:left w:w="100" w:type="dxa"/>
              <w:bottom w:w="100" w:type="dxa"/>
              <w:right w:w="100" w:type="dxa"/>
            </w:tcMar>
          </w:tcPr>
          <w:p w14:paraId="1C958C70"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Collection and Transportation</w:t>
            </w:r>
          </w:p>
        </w:tc>
        <w:tc>
          <w:tcPr>
            <w:tcW w:w="1200" w:type="dxa"/>
            <w:shd w:val="clear" w:color="auto" w:fill="auto"/>
            <w:tcMar>
              <w:top w:w="100" w:type="dxa"/>
              <w:left w:w="100" w:type="dxa"/>
              <w:bottom w:w="100" w:type="dxa"/>
              <w:right w:w="100" w:type="dxa"/>
            </w:tcMar>
          </w:tcPr>
          <w:p w14:paraId="30396760"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£200,000</w:t>
            </w:r>
          </w:p>
          <w:p w14:paraId="253F9AAE" w14:textId="77777777" w:rsidR="00F34C49" w:rsidRDefault="00F34C49">
            <w:pPr>
              <w:widowControl w:val="0"/>
              <w:spacing w:line="360" w:lineRule="auto"/>
              <w:jc w:val="both"/>
              <w:rPr>
                <w:rFonts w:ascii="Times New Roman" w:eastAsia="Times New Roman" w:hAnsi="Times New Roman" w:cs="Times New Roman"/>
                <w:sz w:val="24"/>
                <w:szCs w:val="24"/>
              </w:rPr>
            </w:pPr>
          </w:p>
          <w:p w14:paraId="141DBFA8"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544E5D95"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£250,000</w:t>
            </w:r>
          </w:p>
          <w:p w14:paraId="5D68F6E4"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1ED479E6"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£300,000</w:t>
            </w:r>
          </w:p>
          <w:p w14:paraId="585523B3"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55477E3D"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£350,000</w:t>
            </w:r>
          </w:p>
          <w:p w14:paraId="32C2DFCC"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791075B0"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£400,000</w:t>
            </w:r>
          </w:p>
          <w:p w14:paraId="077FE650"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15F7B698" w14:textId="77777777">
        <w:tc>
          <w:tcPr>
            <w:tcW w:w="1440" w:type="dxa"/>
            <w:shd w:val="clear" w:color="auto" w:fill="auto"/>
            <w:tcMar>
              <w:top w:w="100" w:type="dxa"/>
              <w:left w:w="100" w:type="dxa"/>
              <w:bottom w:w="100" w:type="dxa"/>
              <w:right w:w="100" w:type="dxa"/>
            </w:tcMar>
          </w:tcPr>
          <w:p w14:paraId="094A7099"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85" w:type="dxa"/>
            <w:shd w:val="clear" w:color="auto" w:fill="auto"/>
            <w:tcMar>
              <w:top w:w="100" w:type="dxa"/>
              <w:left w:w="100" w:type="dxa"/>
              <w:bottom w:w="100" w:type="dxa"/>
              <w:right w:w="100" w:type="dxa"/>
            </w:tcMar>
          </w:tcPr>
          <w:p w14:paraId="07CE5F4C"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w:t>
            </w:r>
            <w:proofErr w:type="spellStart"/>
            <w:r>
              <w:rPr>
                <w:rFonts w:ascii="Times New Roman" w:eastAsia="Times New Roman" w:hAnsi="Times New Roman" w:cs="Times New Roman"/>
                <w:sz w:val="24"/>
                <w:szCs w:val="24"/>
              </w:rPr>
              <w:t>Maintenence</w:t>
            </w:r>
            <w:proofErr w:type="spellEnd"/>
            <w:r>
              <w:rPr>
                <w:rFonts w:ascii="Times New Roman" w:eastAsia="Times New Roman" w:hAnsi="Times New Roman" w:cs="Times New Roman"/>
                <w:sz w:val="24"/>
                <w:szCs w:val="24"/>
              </w:rPr>
              <w:t xml:space="preserve"> and Upgrades</w:t>
            </w:r>
          </w:p>
        </w:tc>
        <w:tc>
          <w:tcPr>
            <w:tcW w:w="1200" w:type="dxa"/>
            <w:shd w:val="clear" w:color="auto" w:fill="auto"/>
            <w:tcMar>
              <w:top w:w="100" w:type="dxa"/>
              <w:left w:w="100" w:type="dxa"/>
              <w:bottom w:w="100" w:type="dxa"/>
              <w:right w:w="100" w:type="dxa"/>
            </w:tcMar>
          </w:tcPr>
          <w:p w14:paraId="132AA58D"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£150,000</w:t>
            </w:r>
          </w:p>
          <w:p w14:paraId="661DDBE0" w14:textId="77777777" w:rsidR="00F34C49" w:rsidRDefault="00F34C49">
            <w:pPr>
              <w:widowControl w:val="0"/>
              <w:spacing w:line="360" w:lineRule="auto"/>
              <w:jc w:val="both"/>
              <w:rPr>
                <w:rFonts w:ascii="Times New Roman" w:eastAsia="Times New Roman" w:hAnsi="Times New Roman" w:cs="Times New Roman"/>
                <w:sz w:val="24"/>
                <w:szCs w:val="24"/>
              </w:rPr>
            </w:pPr>
          </w:p>
          <w:p w14:paraId="22890F6C"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F215D0D"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£175,000</w:t>
            </w:r>
          </w:p>
          <w:p w14:paraId="3DFBAC1E"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B06C00E"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£200,000</w:t>
            </w:r>
          </w:p>
          <w:p w14:paraId="4D02CC07"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F59F497"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£225,000</w:t>
            </w:r>
          </w:p>
          <w:p w14:paraId="39095312"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35C4AA17"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£250,000</w:t>
            </w:r>
          </w:p>
          <w:p w14:paraId="54BDF1F2"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0443ADD2" w14:textId="77777777">
        <w:tc>
          <w:tcPr>
            <w:tcW w:w="1440" w:type="dxa"/>
            <w:shd w:val="clear" w:color="auto" w:fill="auto"/>
            <w:tcMar>
              <w:top w:w="100" w:type="dxa"/>
              <w:left w:w="100" w:type="dxa"/>
              <w:bottom w:w="100" w:type="dxa"/>
              <w:right w:w="100" w:type="dxa"/>
            </w:tcMar>
          </w:tcPr>
          <w:p w14:paraId="5B24AB5A"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85" w:type="dxa"/>
            <w:shd w:val="clear" w:color="auto" w:fill="auto"/>
            <w:tcMar>
              <w:top w:w="100" w:type="dxa"/>
              <w:left w:w="100" w:type="dxa"/>
              <w:bottom w:w="100" w:type="dxa"/>
              <w:right w:w="100" w:type="dxa"/>
            </w:tcMar>
          </w:tcPr>
          <w:p w14:paraId="28CE7623"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Labor and Employee Salaries</w:t>
            </w:r>
          </w:p>
        </w:tc>
        <w:tc>
          <w:tcPr>
            <w:tcW w:w="1200" w:type="dxa"/>
            <w:shd w:val="clear" w:color="auto" w:fill="auto"/>
            <w:tcMar>
              <w:top w:w="100" w:type="dxa"/>
              <w:left w:w="100" w:type="dxa"/>
              <w:bottom w:w="100" w:type="dxa"/>
              <w:right w:w="100" w:type="dxa"/>
            </w:tcMar>
          </w:tcPr>
          <w:p w14:paraId="1396D969"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£300,000</w:t>
            </w:r>
          </w:p>
          <w:p w14:paraId="1D1F4991" w14:textId="77777777" w:rsidR="00F34C49" w:rsidRDefault="00F34C49">
            <w:pPr>
              <w:widowControl w:val="0"/>
              <w:spacing w:line="360" w:lineRule="auto"/>
              <w:jc w:val="both"/>
              <w:rPr>
                <w:rFonts w:ascii="Times New Roman" w:eastAsia="Times New Roman" w:hAnsi="Times New Roman" w:cs="Times New Roman"/>
                <w:sz w:val="24"/>
                <w:szCs w:val="24"/>
              </w:rPr>
            </w:pPr>
          </w:p>
          <w:p w14:paraId="545610E6"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04D31D80"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£350,000</w:t>
            </w:r>
          </w:p>
          <w:p w14:paraId="321F7817"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C4ED3DB"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£400,000</w:t>
            </w:r>
          </w:p>
          <w:p w14:paraId="77228007"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019675F9"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£450,000</w:t>
            </w:r>
          </w:p>
          <w:p w14:paraId="04387474"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04D832F4"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£500,000</w:t>
            </w:r>
          </w:p>
          <w:p w14:paraId="75276B13"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7939EEDC" w14:textId="77777777">
        <w:tc>
          <w:tcPr>
            <w:tcW w:w="1440" w:type="dxa"/>
            <w:shd w:val="clear" w:color="auto" w:fill="auto"/>
            <w:tcMar>
              <w:top w:w="100" w:type="dxa"/>
              <w:left w:w="100" w:type="dxa"/>
              <w:bottom w:w="100" w:type="dxa"/>
              <w:right w:w="100" w:type="dxa"/>
            </w:tcMar>
          </w:tcPr>
          <w:p w14:paraId="33700152"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85" w:type="dxa"/>
            <w:shd w:val="clear" w:color="auto" w:fill="auto"/>
            <w:tcMar>
              <w:top w:w="100" w:type="dxa"/>
              <w:left w:w="100" w:type="dxa"/>
              <w:bottom w:w="100" w:type="dxa"/>
              <w:right w:w="100" w:type="dxa"/>
            </w:tcMar>
          </w:tcPr>
          <w:p w14:paraId="6AEF6AD2"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Compliance and Permitting</w:t>
            </w:r>
          </w:p>
        </w:tc>
        <w:tc>
          <w:tcPr>
            <w:tcW w:w="1200" w:type="dxa"/>
            <w:shd w:val="clear" w:color="auto" w:fill="auto"/>
            <w:tcMar>
              <w:top w:w="100" w:type="dxa"/>
              <w:left w:w="100" w:type="dxa"/>
              <w:bottom w:w="100" w:type="dxa"/>
              <w:right w:w="100" w:type="dxa"/>
            </w:tcMar>
          </w:tcPr>
          <w:p w14:paraId="7DE1F7CA"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p w14:paraId="60EC0A2D" w14:textId="77777777" w:rsidR="00F34C49" w:rsidRDefault="00F34C49">
            <w:pPr>
              <w:widowControl w:val="0"/>
              <w:spacing w:line="360" w:lineRule="auto"/>
              <w:jc w:val="both"/>
              <w:rPr>
                <w:rFonts w:ascii="Times New Roman" w:eastAsia="Times New Roman" w:hAnsi="Times New Roman" w:cs="Times New Roman"/>
                <w:sz w:val="24"/>
                <w:szCs w:val="24"/>
              </w:rPr>
            </w:pPr>
          </w:p>
          <w:p w14:paraId="5A4F3BAF"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2CB19286"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£120,000</w:t>
            </w:r>
          </w:p>
          <w:p w14:paraId="334EF260"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6B52297"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£140,000</w:t>
            </w:r>
          </w:p>
          <w:p w14:paraId="1DFCF345"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0C0D4DA6"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£160,000</w:t>
            </w:r>
          </w:p>
          <w:p w14:paraId="756899E4"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48E4AFB2"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£180,000</w:t>
            </w:r>
          </w:p>
          <w:p w14:paraId="083520DA"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10151B9F" w14:textId="77777777">
        <w:tc>
          <w:tcPr>
            <w:tcW w:w="1440" w:type="dxa"/>
            <w:shd w:val="clear" w:color="auto" w:fill="auto"/>
            <w:tcMar>
              <w:top w:w="100" w:type="dxa"/>
              <w:left w:w="100" w:type="dxa"/>
              <w:bottom w:w="100" w:type="dxa"/>
              <w:right w:w="100" w:type="dxa"/>
            </w:tcMar>
          </w:tcPr>
          <w:p w14:paraId="3E8D5972"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Revenue</w:t>
            </w:r>
          </w:p>
        </w:tc>
        <w:tc>
          <w:tcPr>
            <w:tcW w:w="1185" w:type="dxa"/>
            <w:shd w:val="clear" w:color="auto" w:fill="auto"/>
            <w:tcMar>
              <w:top w:w="100" w:type="dxa"/>
              <w:left w:w="100" w:type="dxa"/>
              <w:bottom w:w="100" w:type="dxa"/>
              <w:right w:w="100" w:type="dxa"/>
            </w:tcMar>
          </w:tcPr>
          <w:p w14:paraId="4FAD3711"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Energy Sales</w:t>
            </w:r>
          </w:p>
        </w:tc>
        <w:tc>
          <w:tcPr>
            <w:tcW w:w="1200" w:type="dxa"/>
            <w:shd w:val="clear" w:color="auto" w:fill="auto"/>
            <w:tcMar>
              <w:top w:w="100" w:type="dxa"/>
              <w:left w:w="100" w:type="dxa"/>
              <w:bottom w:w="100" w:type="dxa"/>
              <w:right w:w="100" w:type="dxa"/>
            </w:tcMar>
          </w:tcPr>
          <w:p w14:paraId="43265A0C"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31595427"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£500,000</w:t>
            </w:r>
          </w:p>
          <w:p w14:paraId="4AFE352F" w14:textId="77777777" w:rsidR="00F34C49" w:rsidRDefault="00F34C49">
            <w:pPr>
              <w:widowControl w:val="0"/>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154B1DD3"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£1,000,000</w:t>
            </w:r>
          </w:p>
          <w:p w14:paraId="7DC3E1A5"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5EB46768"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£1,500,000</w:t>
            </w:r>
          </w:p>
          <w:p w14:paraId="49EFF359"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15576CC2"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£2,000,000</w:t>
            </w:r>
          </w:p>
          <w:p w14:paraId="55F416A2"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6654C85F" w14:textId="77777777">
        <w:tc>
          <w:tcPr>
            <w:tcW w:w="1440" w:type="dxa"/>
            <w:shd w:val="clear" w:color="auto" w:fill="auto"/>
            <w:tcMar>
              <w:top w:w="100" w:type="dxa"/>
              <w:left w:w="100" w:type="dxa"/>
              <w:bottom w:w="100" w:type="dxa"/>
              <w:right w:w="100" w:type="dxa"/>
            </w:tcMar>
          </w:tcPr>
          <w:p w14:paraId="14D16347"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85" w:type="dxa"/>
            <w:shd w:val="clear" w:color="auto" w:fill="auto"/>
            <w:tcMar>
              <w:top w:w="100" w:type="dxa"/>
              <w:left w:w="100" w:type="dxa"/>
              <w:bottom w:w="100" w:type="dxa"/>
              <w:right w:w="100" w:type="dxa"/>
            </w:tcMar>
          </w:tcPr>
          <w:p w14:paraId="3FDA5D54"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Collection Fees</w:t>
            </w:r>
          </w:p>
        </w:tc>
        <w:tc>
          <w:tcPr>
            <w:tcW w:w="1200" w:type="dxa"/>
            <w:shd w:val="clear" w:color="auto" w:fill="auto"/>
            <w:tcMar>
              <w:top w:w="100" w:type="dxa"/>
              <w:left w:w="100" w:type="dxa"/>
              <w:bottom w:w="100" w:type="dxa"/>
              <w:right w:w="100" w:type="dxa"/>
            </w:tcMar>
          </w:tcPr>
          <w:p w14:paraId="373B44BF"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7C91612"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p w14:paraId="7860A3B3" w14:textId="77777777" w:rsidR="00F34C49" w:rsidRDefault="00F34C49">
            <w:pPr>
              <w:widowControl w:val="0"/>
              <w:spacing w:line="360" w:lineRule="auto"/>
              <w:jc w:val="both"/>
              <w:rPr>
                <w:rFonts w:ascii="Times New Roman" w:eastAsia="Times New Roman" w:hAnsi="Times New Roman" w:cs="Times New Roman"/>
                <w:sz w:val="24"/>
                <w:szCs w:val="24"/>
              </w:rPr>
            </w:pPr>
          </w:p>
          <w:p w14:paraId="2E751146"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5C247F06"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£150,000</w:t>
            </w:r>
          </w:p>
          <w:p w14:paraId="7F29E5CA"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056163B5"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£200,000</w:t>
            </w:r>
          </w:p>
          <w:p w14:paraId="043ACAD5"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5E840A12"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£250,000</w:t>
            </w:r>
          </w:p>
          <w:p w14:paraId="0A833354"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6259824D" w14:textId="77777777">
        <w:tc>
          <w:tcPr>
            <w:tcW w:w="1440" w:type="dxa"/>
            <w:shd w:val="clear" w:color="auto" w:fill="auto"/>
            <w:tcMar>
              <w:top w:w="100" w:type="dxa"/>
              <w:left w:w="100" w:type="dxa"/>
              <w:bottom w:w="100" w:type="dxa"/>
              <w:right w:w="100" w:type="dxa"/>
            </w:tcMar>
          </w:tcPr>
          <w:p w14:paraId="5D97E0D1"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85" w:type="dxa"/>
            <w:shd w:val="clear" w:color="auto" w:fill="auto"/>
            <w:tcMar>
              <w:top w:w="100" w:type="dxa"/>
              <w:left w:w="100" w:type="dxa"/>
              <w:bottom w:w="100" w:type="dxa"/>
              <w:right w:w="100" w:type="dxa"/>
            </w:tcMar>
          </w:tcPr>
          <w:p w14:paraId="269898E1"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 of Renewable Energy Credits (RECs)</w:t>
            </w:r>
          </w:p>
        </w:tc>
        <w:tc>
          <w:tcPr>
            <w:tcW w:w="1200" w:type="dxa"/>
            <w:shd w:val="clear" w:color="auto" w:fill="auto"/>
            <w:tcMar>
              <w:top w:w="100" w:type="dxa"/>
              <w:left w:w="100" w:type="dxa"/>
              <w:bottom w:w="100" w:type="dxa"/>
              <w:right w:w="100" w:type="dxa"/>
            </w:tcMar>
          </w:tcPr>
          <w:p w14:paraId="472DB93E"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402860A1"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p w14:paraId="680FE9E9" w14:textId="77777777" w:rsidR="00F34C49" w:rsidRDefault="00F34C49">
            <w:pPr>
              <w:widowControl w:val="0"/>
              <w:spacing w:line="360" w:lineRule="auto"/>
              <w:jc w:val="both"/>
              <w:rPr>
                <w:rFonts w:ascii="Times New Roman" w:eastAsia="Times New Roman" w:hAnsi="Times New Roman" w:cs="Times New Roman"/>
                <w:sz w:val="24"/>
                <w:szCs w:val="24"/>
              </w:rPr>
            </w:pPr>
          </w:p>
          <w:p w14:paraId="458D7F4A"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60590615"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p w14:paraId="524B496A"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2D4C5607"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£150,000</w:t>
            </w:r>
          </w:p>
        </w:tc>
        <w:tc>
          <w:tcPr>
            <w:tcW w:w="1245" w:type="dxa"/>
            <w:shd w:val="clear" w:color="auto" w:fill="auto"/>
            <w:tcMar>
              <w:top w:w="100" w:type="dxa"/>
              <w:left w:w="100" w:type="dxa"/>
              <w:bottom w:w="100" w:type="dxa"/>
              <w:right w:w="100" w:type="dxa"/>
            </w:tcMar>
          </w:tcPr>
          <w:p w14:paraId="648D214F"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£200,000</w:t>
            </w:r>
          </w:p>
          <w:p w14:paraId="1543BA94"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287939E0" w14:textId="77777777">
        <w:tc>
          <w:tcPr>
            <w:tcW w:w="1440" w:type="dxa"/>
            <w:shd w:val="clear" w:color="auto" w:fill="auto"/>
            <w:tcMar>
              <w:top w:w="100" w:type="dxa"/>
              <w:left w:w="100" w:type="dxa"/>
              <w:bottom w:w="100" w:type="dxa"/>
              <w:right w:w="100" w:type="dxa"/>
            </w:tcMar>
          </w:tcPr>
          <w:p w14:paraId="1EE8A934"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Funding Requirements</w:t>
            </w:r>
          </w:p>
        </w:tc>
        <w:tc>
          <w:tcPr>
            <w:tcW w:w="1185" w:type="dxa"/>
            <w:shd w:val="clear" w:color="auto" w:fill="auto"/>
            <w:tcMar>
              <w:top w:w="100" w:type="dxa"/>
              <w:left w:w="100" w:type="dxa"/>
              <w:bottom w:w="100" w:type="dxa"/>
              <w:right w:w="100" w:type="dxa"/>
            </w:tcMar>
          </w:tcPr>
          <w:p w14:paraId="5EAFF293" w14:textId="3896B602"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 Investment</w:t>
            </w:r>
          </w:p>
        </w:tc>
        <w:tc>
          <w:tcPr>
            <w:tcW w:w="1200" w:type="dxa"/>
            <w:shd w:val="clear" w:color="auto" w:fill="auto"/>
            <w:tcMar>
              <w:top w:w="100" w:type="dxa"/>
              <w:left w:w="100" w:type="dxa"/>
              <w:bottom w:w="100" w:type="dxa"/>
              <w:right w:w="100" w:type="dxa"/>
            </w:tcMar>
          </w:tcPr>
          <w:p w14:paraId="1EF9E492"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£5,000,000</w:t>
            </w:r>
          </w:p>
          <w:p w14:paraId="73C26F7B" w14:textId="77777777" w:rsidR="00F34C49" w:rsidRDefault="00F34C49">
            <w:pPr>
              <w:widowControl w:val="0"/>
              <w:spacing w:line="360" w:lineRule="auto"/>
              <w:jc w:val="both"/>
              <w:rPr>
                <w:rFonts w:ascii="Times New Roman" w:eastAsia="Times New Roman" w:hAnsi="Times New Roman" w:cs="Times New Roman"/>
                <w:sz w:val="24"/>
                <w:szCs w:val="24"/>
              </w:rPr>
            </w:pPr>
          </w:p>
          <w:p w14:paraId="053BB59A"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5EB2886B"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022868E9"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634D65AB"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2B4245B7"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F34C49" w14:paraId="60CFE0E2" w14:textId="77777777">
        <w:tc>
          <w:tcPr>
            <w:tcW w:w="1440" w:type="dxa"/>
            <w:shd w:val="clear" w:color="auto" w:fill="auto"/>
            <w:tcMar>
              <w:top w:w="100" w:type="dxa"/>
              <w:left w:w="100" w:type="dxa"/>
              <w:bottom w:w="100" w:type="dxa"/>
              <w:right w:w="100" w:type="dxa"/>
            </w:tcMar>
          </w:tcPr>
          <w:p w14:paraId="4DAE0949"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85" w:type="dxa"/>
            <w:shd w:val="clear" w:color="auto" w:fill="auto"/>
            <w:tcMar>
              <w:top w:w="100" w:type="dxa"/>
              <w:left w:w="100" w:type="dxa"/>
              <w:bottom w:w="100" w:type="dxa"/>
              <w:right w:w="100" w:type="dxa"/>
            </w:tcMar>
          </w:tcPr>
          <w:p w14:paraId="28A7173A" w14:textId="77777777" w:rsidR="00F34C49" w:rsidRDefault="003E57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Capital</w:t>
            </w:r>
          </w:p>
        </w:tc>
        <w:tc>
          <w:tcPr>
            <w:tcW w:w="1200" w:type="dxa"/>
            <w:shd w:val="clear" w:color="auto" w:fill="auto"/>
            <w:tcMar>
              <w:top w:w="100" w:type="dxa"/>
              <w:left w:w="100" w:type="dxa"/>
              <w:bottom w:w="100" w:type="dxa"/>
              <w:right w:w="100" w:type="dxa"/>
            </w:tcMar>
          </w:tcPr>
          <w:p w14:paraId="2D32E084"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£1,000,000</w:t>
            </w:r>
          </w:p>
          <w:p w14:paraId="13DBF6A1" w14:textId="77777777" w:rsidR="00F34C49" w:rsidRDefault="00F34C49">
            <w:pPr>
              <w:widowControl w:val="0"/>
              <w:spacing w:line="360" w:lineRule="auto"/>
              <w:jc w:val="both"/>
              <w:rPr>
                <w:rFonts w:ascii="Times New Roman" w:eastAsia="Times New Roman" w:hAnsi="Times New Roman" w:cs="Times New Roman"/>
                <w:sz w:val="24"/>
                <w:szCs w:val="24"/>
              </w:rPr>
            </w:pPr>
          </w:p>
          <w:p w14:paraId="78914DAF"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795E328C"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£1,500,000</w:t>
            </w:r>
          </w:p>
          <w:p w14:paraId="2DC62E5B"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26ED1886"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£2,000,000</w:t>
            </w:r>
          </w:p>
          <w:p w14:paraId="70D2A0BF"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75" w:type="dxa"/>
            <w:shd w:val="clear" w:color="auto" w:fill="auto"/>
            <w:tcMar>
              <w:top w:w="100" w:type="dxa"/>
              <w:left w:w="100" w:type="dxa"/>
              <w:bottom w:w="100" w:type="dxa"/>
              <w:right w:w="100" w:type="dxa"/>
            </w:tcMar>
          </w:tcPr>
          <w:p w14:paraId="5B6DB7F2"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£2,500,000</w:t>
            </w:r>
          </w:p>
          <w:p w14:paraId="1B36A2CC" w14:textId="77777777" w:rsidR="00F34C49" w:rsidRDefault="00F34C49">
            <w:pPr>
              <w:widowControl w:val="0"/>
              <w:spacing w:line="360" w:lineRule="auto"/>
              <w:jc w:val="both"/>
              <w:rPr>
                <w:rFonts w:ascii="Times New Roman" w:eastAsia="Times New Roman" w:hAnsi="Times New Roman" w:cs="Times New Roman"/>
                <w:sz w:val="24"/>
                <w:szCs w:val="24"/>
              </w:rPr>
            </w:pPr>
          </w:p>
          <w:p w14:paraId="1A102475"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45" w:type="dxa"/>
            <w:shd w:val="clear" w:color="auto" w:fill="auto"/>
            <w:tcMar>
              <w:top w:w="100" w:type="dxa"/>
              <w:left w:w="100" w:type="dxa"/>
              <w:bottom w:w="100" w:type="dxa"/>
              <w:right w:w="100" w:type="dxa"/>
            </w:tcMar>
          </w:tcPr>
          <w:p w14:paraId="785366C1" w14:textId="77777777" w:rsidR="00F34C49" w:rsidRDefault="003E573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£3,000,000</w:t>
            </w:r>
          </w:p>
          <w:p w14:paraId="3299FA8B" w14:textId="77777777" w:rsidR="00F34C49" w:rsidRDefault="00F34C49">
            <w:pPr>
              <w:widowControl w:val="0"/>
              <w:spacing w:line="360" w:lineRule="auto"/>
              <w:jc w:val="both"/>
              <w:rPr>
                <w:rFonts w:ascii="Times New Roman" w:eastAsia="Times New Roman" w:hAnsi="Times New Roman" w:cs="Times New Roman"/>
                <w:sz w:val="24"/>
                <w:szCs w:val="24"/>
              </w:rPr>
            </w:pPr>
          </w:p>
          <w:p w14:paraId="582D66DC" w14:textId="77777777" w:rsidR="00F34C49" w:rsidRDefault="00F34C4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bl>
    <w:p w14:paraId="21F32B93" w14:textId="77777777" w:rsidR="00F34C49" w:rsidRDefault="003E573B">
      <w:pPr>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Financial Plan and Funding Requirements</w:t>
      </w:r>
    </w:p>
    <w:p w14:paraId="08DB6858" w14:textId="77777777" w:rsidR="00F34C49" w:rsidRDefault="003E573B">
      <w:pPr>
        <w:pBdr>
          <w:top w:val="nil"/>
          <w:left w:val="nil"/>
          <w:bottom w:val="nil"/>
          <w:right w:val="nil"/>
          <w:between w:val="nil"/>
        </w:pBd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643EA573" w14:textId="5EEA043A"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plan of Greentech Innovations shows projected costs and income in GBP (£) during a five-year period. Initial investments, ongoing expenses, and expected income from energy trading and waste-related levies are all included. The strategy supports the business's waste-to-energy conversion initiative by outlining its finance requirements and projected financial growth.</w:t>
      </w:r>
    </w:p>
    <w:p w14:paraId="525E106E" w14:textId="77777777" w:rsidR="00F34C49" w:rsidRDefault="003E573B">
      <w:pP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External Sources</w:t>
      </w:r>
    </w:p>
    <w:p w14:paraId="7DA93C20" w14:textId="6C667459"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Government Subsidies:</w:t>
      </w:r>
      <w:r>
        <w:rPr>
          <w:rFonts w:ascii="Times New Roman" w:eastAsia="Times New Roman" w:hAnsi="Times New Roman" w:cs="Times New Roman"/>
          <w:sz w:val="24"/>
          <w:szCs w:val="24"/>
        </w:rPr>
        <w:t xml:space="preserve"> Initiatives pertaining to renewable energy are frequently supported by grants and subsidies from government bodies. Greentech will make use of these assets to encourage environmentally friendly company practices and reduce the cost of early </w:t>
      </w:r>
      <w:r>
        <w:rPr>
          <w:rFonts w:ascii="Times New Roman" w:eastAsia="Times New Roman" w:hAnsi="Times New Roman" w:cs="Times New Roman"/>
          <w:sz w:val="24"/>
          <w:szCs w:val="24"/>
        </w:rPr>
        <w:lastRenderedPageBreak/>
        <w:t>investments. Securing government funding supports the government's renewable energy ambitions and line with larger policies relating to the environment, particularly in light of the growing worldwide push for a sustainable environment.</w:t>
      </w:r>
    </w:p>
    <w:p w14:paraId="6074949B" w14:textId="25051420"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Venture Capital and Private Equity: </w:t>
      </w:r>
      <w:r>
        <w:rPr>
          <w:rFonts w:ascii="Times New Roman" w:eastAsia="Times New Roman" w:hAnsi="Times New Roman" w:cs="Times New Roman"/>
          <w:sz w:val="24"/>
          <w:szCs w:val="24"/>
        </w:rPr>
        <w:t xml:space="preserve">The idea will receive a significant financial boost by looking for a combination of venture capital and investing in private equity. Venture investors also frequently contribute important contacts and industry knowledge, which raises the project's possibility of success (Mukherjee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Greentech’s Waste-to-Energy Conversion presents an intriguing prospect because these organizations are frequently drawn to cutting-edge and environmentally friendly solutions</w:t>
      </w:r>
      <w:proofErr w:type="gramStart"/>
      <w:r>
        <w:rPr>
          <w:rFonts w:ascii="Times New Roman" w:eastAsia="Times New Roman" w:hAnsi="Times New Roman" w:cs="Times New Roman"/>
          <w:sz w:val="24"/>
          <w:szCs w:val="24"/>
        </w:rPr>
        <w:t>. .</w:t>
      </w:r>
      <w:proofErr w:type="gramEnd"/>
    </w:p>
    <w:p w14:paraId="7375D73F" w14:textId="4B33B27F"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Bank Loans and Commercial Financing:</w:t>
      </w:r>
      <w:r>
        <w:rPr>
          <w:rFonts w:ascii="Times New Roman" w:eastAsia="Times New Roman" w:hAnsi="Times New Roman" w:cs="Times New Roman"/>
          <w:sz w:val="24"/>
          <w:szCs w:val="24"/>
        </w:rPr>
        <w:t xml:space="preserve"> A dependable way to obtain funds is through standard financial institutions and business financing choices. Considering the prospect of profitability and social advantages of the waste-to-energy enterprise, several banks will be interested in offering competitively priced loans. This money will be used by Greentech for operational costs, equipment purchases, and building new facilities.</w:t>
      </w:r>
    </w:p>
    <w:p w14:paraId="0ACF7D08" w14:textId="77777777"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Corporate Partnerships and Strategic Alliances:</w:t>
      </w:r>
      <w:r>
        <w:rPr>
          <w:rFonts w:ascii="Times New Roman" w:eastAsia="Times New Roman" w:hAnsi="Times New Roman" w:cs="Times New Roman"/>
          <w:sz w:val="24"/>
          <w:szCs w:val="24"/>
        </w:rPr>
        <w:t xml:space="preserve"> Functioning together with well-known companies in the renewable energy space can provide financial support, industry knowledge, and possibly even access to current clientele. Creating strategic alliances can help projects move more quickly and give access to important networks and resources (Parashar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Additionally, these alliances may provide access to chances for collaboration or co-development.</w:t>
      </w:r>
    </w:p>
    <w:p w14:paraId="54FC5A2C" w14:textId="37DCC896" w:rsidR="00F34C49" w:rsidRDefault="003E573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Simply combining these avenues of funding, Greentech Innovations can obtain the funds required to launch and expand its waste-to-energy conversion company. In addition to reducing the dangers that come with depending too much on one source, diversifying funding sources can help guarantee the project's ongoing viability and effectiveness.</w:t>
      </w:r>
      <w:r>
        <w:br w:type="page"/>
      </w:r>
    </w:p>
    <w:p w14:paraId="701C21A6" w14:textId="77777777" w:rsidR="00F34C49" w:rsidRDefault="003E573B">
      <w:pPr>
        <w:pStyle w:val="Heading1"/>
      </w:pPr>
      <w:bookmarkStart w:id="12" w:name="_5swvyi9ulm6j" w:colFirst="0" w:colLast="0"/>
      <w:bookmarkStart w:id="13" w:name="_Toc149327260"/>
      <w:bookmarkEnd w:id="12"/>
      <w:r>
        <w:lastRenderedPageBreak/>
        <w:t>References</w:t>
      </w:r>
      <w:bookmarkEnd w:id="13"/>
    </w:p>
    <w:p w14:paraId="0E8269F7"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Dastjerdi, B., Strezov, V., Kumar, R. and Behnia, M., (2019). An evaluation of the potential of waste to energy technologies for residual solid waste in New South Wales, Australia. </w:t>
      </w:r>
      <w:r w:rsidRPr="00C87C6C">
        <w:rPr>
          <w:rFonts w:ascii="Times New Roman" w:eastAsia="Times New Roman" w:hAnsi="Times New Roman" w:cs="Times New Roman"/>
          <w:i/>
          <w:iCs/>
          <w:sz w:val="24"/>
          <w:szCs w:val="24"/>
        </w:rPr>
        <w:t>Renewable and Sustainable Energy Reviews, 115</w:t>
      </w:r>
      <w:r>
        <w:rPr>
          <w:rFonts w:ascii="Times New Roman" w:eastAsia="Times New Roman" w:hAnsi="Times New Roman" w:cs="Times New Roman"/>
          <w:sz w:val="24"/>
          <w:szCs w:val="24"/>
        </w:rPr>
        <w:t>, p.109398.</w:t>
      </w:r>
    </w:p>
    <w:p w14:paraId="3C27D769"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Foster, W., Azimov, U., Gauthier-</w:t>
      </w:r>
      <w:proofErr w:type="spellStart"/>
      <w:r>
        <w:rPr>
          <w:rFonts w:ascii="Times New Roman" w:eastAsia="Times New Roman" w:hAnsi="Times New Roman" w:cs="Times New Roman"/>
          <w:sz w:val="24"/>
          <w:szCs w:val="24"/>
        </w:rPr>
        <w:t>Maradei</w:t>
      </w:r>
      <w:proofErr w:type="spellEnd"/>
      <w:r>
        <w:rPr>
          <w:rFonts w:ascii="Times New Roman" w:eastAsia="Times New Roman" w:hAnsi="Times New Roman" w:cs="Times New Roman"/>
          <w:sz w:val="24"/>
          <w:szCs w:val="24"/>
        </w:rPr>
        <w:t xml:space="preserve">, P., Molano, L.C., </w:t>
      </w:r>
      <w:proofErr w:type="spellStart"/>
      <w:r>
        <w:rPr>
          <w:rFonts w:ascii="Times New Roman" w:eastAsia="Times New Roman" w:hAnsi="Times New Roman" w:cs="Times New Roman"/>
          <w:sz w:val="24"/>
          <w:szCs w:val="24"/>
        </w:rPr>
        <w:t>Combrinck</w:t>
      </w:r>
      <w:proofErr w:type="spellEnd"/>
      <w:r>
        <w:rPr>
          <w:rFonts w:ascii="Times New Roman" w:eastAsia="Times New Roman" w:hAnsi="Times New Roman" w:cs="Times New Roman"/>
          <w:sz w:val="24"/>
          <w:szCs w:val="24"/>
        </w:rPr>
        <w:t xml:space="preserve">, M., Munoz, J., Esteves, J.J. and Patino, L., (2021). Waste-to-energy conversion technologies in the UK: Processes and barriers–A review. </w:t>
      </w:r>
      <w:r w:rsidRPr="00C87C6C">
        <w:rPr>
          <w:rFonts w:ascii="Times New Roman" w:eastAsia="Times New Roman" w:hAnsi="Times New Roman" w:cs="Times New Roman"/>
          <w:i/>
          <w:iCs/>
          <w:sz w:val="24"/>
          <w:szCs w:val="24"/>
        </w:rPr>
        <w:t>Renewable and Sustainable Energy Reviews, 135</w:t>
      </w:r>
      <w:r>
        <w:rPr>
          <w:rFonts w:ascii="Times New Roman" w:eastAsia="Times New Roman" w:hAnsi="Times New Roman" w:cs="Times New Roman"/>
          <w:sz w:val="24"/>
          <w:szCs w:val="24"/>
        </w:rPr>
        <w:t>, p.110226.</w:t>
      </w:r>
    </w:p>
    <w:p w14:paraId="5F7FB733"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Hoang, A.T., </w:t>
      </w:r>
      <w:proofErr w:type="spellStart"/>
      <w:r>
        <w:rPr>
          <w:rFonts w:ascii="Times New Roman" w:eastAsia="Times New Roman" w:hAnsi="Times New Roman" w:cs="Times New Roman"/>
          <w:sz w:val="24"/>
          <w:szCs w:val="24"/>
        </w:rPr>
        <w:t>Varbanov</w:t>
      </w:r>
      <w:proofErr w:type="spellEnd"/>
      <w:r>
        <w:rPr>
          <w:rFonts w:ascii="Times New Roman" w:eastAsia="Times New Roman" w:hAnsi="Times New Roman" w:cs="Times New Roman"/>
          <w:sz w:val="24"/>
          <w:szCs w:val="24"/>
        </w:rPr>
        <w:t xml:space="preserve">, P.S., </w:t>
      </w:r>
      <w:proofErr w:type="spellStart"/>
      <w:r>
        <w:rPr>
          <w:rFonts w:ascii="Times New Roman" w:eastAsia="Times New Roman" w:hAnsi="Times New Roman" w:cs="Times New Roman"/>
          <w:sz w:val="24"/>
          <w:szCs w:val="24"/>
        </w:rPr>
        <w:t>Nižetić</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Sirohi</w:t>
      </w:r>
      <w:proofErr w:type="spellEnd"/>
      <w:r>
        <w:rPr>
          <w:rFonts w:ascii="Times New Roman" w:eastAsia="Times New Roman" w:hAnsi="Times New Roman" w:cs="Times New Roman"/>
          <w:sz w:val="24"/>
          <w:szCs w:val="24"/>
        </w:rPr>
        <w:t xml:space="preserve">, R., Pandey, A., Luque, R. and Ng, K.H., (2022). Perspective review on Municipal Solid Waste-to-energy route: Characteristics, management strategy, and role in circular economy. </w:t>
      </w:r>
      <w:r w:rsidRPr="00C87C6C">
        <w:rPr>
          <w:rFonts w:ascii="Times New Roman" w:eastAsia="Times New Roman" w:hAnsi="Times New Roman" w:cs="Times New Roman"/>
          <w:i/>
          <w:iCs/>
          <w:sz w:val="24"/>
          <w:szCs w:val="24"/>
        </w:rPr>
        <w:t>Journal of Cleaner Production, 359</w:t>
      </w:r>
      <w:r>
        <w:rPr>
          <w:rFonts w:ascii="Times New Roman" w:eastAsia="Times New Roman" w:hAnsi="Times New Roman" w:cs="Times New Roman"/>
          <w:sz w:val="24"/>
          <w:szCs w:val="24"/>
        </w:rPr>
        <w:t>, p.131897.</w:t>
      </w:r>
    </w:p>
    <w:p w14:paraId="41A41A7C"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Hussain, Z., Mishra, J. and Vanacore, E., (2020). Waste to energy and circular economy: the case of anaerobic digestion. </w:t>
      </w:r>
      <w:r w:rsidRPr="00C87C6C">
        <w:rPr>
          <w:rFonts w:ascii="Times New Roman" w:eastAsia="Times New Roman" w:hAnsi="Times New Roman" w:cs="Times New Roman"/>
          <w:i/>
          <w:iCs/>
          <w:sz w:val="24"/>
          <w:szCs w:val="24"/>
        </w:rPr>
        <w:t>Journal of Enterprise Information Management, 33(4)</w:t>
      </w:r>
      <w:r>
        <w:rPr>
          <w:rFonts w:ascii="Times New Roman" w:eastAsia="Times New Roman" w:hAnsi="Times New Roman" w:cs="Times New Roman"/>
          <w:sz w:val="24"/>
          <w:szCs w:val="24"/>
        </w:rPr>
        <w:t>, pp.817-838.</w:t>
      </w:r>
    </w:p>
    <w:p w14:paraId="4F98E3A8"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Kalair</w:t>
      </w:r>
      <w:proofErr w:type="spellEnd"/>
      <w:r>
        <w:rPr>
          <w:rFonts w:ascii="Times New Roman" w:eastAsia="Times New Roman" w:hAnsi="Times New Roman" w:cs="Times New Roman"/>
          <w:sz w:val="24"/>
          <w:szCs w:val="24"/>
        </w:rPr>
        <w:t xml:space="preserve">, A.R., </w:t>
      </w:r>
      <w:proofErr w:type="spellStart"/>
      <w:r>
        <w:rPr>
          <w:rFonts w:ascii="Times New Roman" w:eastAsia="Times New Roman" w:hAnsi="Times New Roman" w:cs="Times New Roman"/>
          <w:sz w:val="24"/>
          <w:szCs w:val="24"/>
        </w:rPr>
        <w:t>Seyedmahmoudian</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Stojcevski</w:t>
      </w:r>
      <w:proofErr w:type="spellEnd"/>
      <w:r>
        <w:rPr>
          <w:rFonts w:ascii="Times New Roman" w:eastAsia="Times New Roman" w:hAnsi="Times New Roman" w:cs="Times New Roman"/>
          <w:sz w:val="24"/>
          <w:szCs w:val="24"/>
        </w:rPr>
        <w:t xml:space="preserve">, A., Abas, N. and Khan, N., (2021). Waste to energy conversion for a sustainable future. </w:t>
      </w:r>
      <w:proofErr w:type="spellStart"/>
      <w:r w:rsidRPr="00C87C6C">
        <w:rPr>
          <w:rFonts w:ascii="Times New Roman" w:eastAsia="Times New Roman" w:hAnsi="Times New Roman" w:cs="Times New Roman"/>
          <w:i/>
          <w:iCs/>
          <w:sz w:val="24"/>
          <w:szCs w:val="24"/>
        </w:rPr>
        <w:t>Heliyon</w:t>
      </w:r>
      <w:proofErr w:type="spellEnd"/>
      <w:r>
        <w:rPr>
          <w:rFonts w:ascii="Times New Roman" w:eastAsia="Times New Roman" w:hAnsi="Times New Roman" w:cs="Times New Roman"/>
          <w:sz w:val="24"/>
          <w:szCs w:val="24"/>
        </w:rPr>
        <w:t>, 7(10).</w:t>
      </w:r>
    </w:p>
    <w:p w14:paraId="3762915A"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Mukherjee, C., Denney, J., Mbonimpa, E.G., Slagley, J. and Bhowmik, R., (2020). A review on municipal solid waste-to-energy trends in the USA. </w:t>
      </w:r>
      <w:r w:rsidRPr="00C87C6C">
        <w:rPr>
          <w:rFonts w:ascii="Times New Roman" w:eastAsia="Times New Roman" w:hAnsi="Times New Roman" w:cs="Times New Roman"/>
          <w:i/>
          <w:iCs/>
          <w:sz w:val="24"/>
          <w:szCs w:val="24"/>
        </w:rPr>
        <w:t>Renewable and Sustainable Energy Reviews, 119,</w:t>
      </w:r>
      <w:r>
        <w:rPr>
          <w:rFonts w:ascii="Times New Roman" w:eastAsia="Times New Roman" w:hAnsi="Times New Roman" w:cs="Times New Roman"/>
          <w:sz w:val="24"/>
          <w:szCs w:val="24"/>
        </w:rPr>
        <w:t xml:space="preserve"> p.109512.</w:t>
      </w:r>
    </w:p>
    <w:p w14:paraId="5B6F040F"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Parashar, C.K., Das, P., Samanta, S., Ganguly, A. and Chatterjee, P.K., (2020). Municipal solid wastes—a promising sustainable source of energy: a review on different waste-to-energy conversion technologies. </w:t>
      </w:r>
      <w:r w:rsidRPr="00C87C6C">
        <w:rPr>
          <w:rFonts w:ascii="Times New Roman" w:eastAsia="Times New Roman" w:hAnsi="Times New Roman" w:cs="Times New Roman"/>
          <w:i/>
          <w:iCs/>
          <w:sz w:val="24"/>
          <w:szCs w:val="24"/>
        </w:rPr>
        <w:t>Energy Recovery Processes from Wastes</w:t>
      </w:r>
      <w:r>
        <w:rPr>
          <w:rFonts w:ascii="Times New Roman" w:eastAsia="Times New Roman" w:hAnsi="Times New Roman" w:cs="Times New Roman"/>
          <w:sz w:val="24"/>
          <w:szCs w:val="24"/>
        </w:rPr>
        <w:t>, pp.151-163.</w:t>
      </w:r>
    </w:p>
    <w:p w14:paraId="4CFB8F89"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productmindset.substack.com, 2023 STP Model: Segmentation, Targeting &amp; Positioning [Online] Available at: https://productmindset.substack.com/p/stp-model-segmentation-targeting [Accessed: 27 October 2023]</w:t>
      </w:r>
    </w:p>
    <w:p w14:paraId="69BE5DAC"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Ram, C., Kumar, A. and Rani, P., (2021). Municipal solid waste management: a review of waste to energy (</w:t>
      </w:r>
      <w:proofErr w:type="spellStart"/>
      <w:r>
        <w:rPr>
          <w:rFonts w:ascii="Times New Roman" w:eastAsia="Times New Roman" w:hAnsi="Times New Roman" w:cs="Times New Roman"/>
          <w:sz w:val="24"/>
          <w:szCs w:val="24"/>
        </w:rPr>
        <w:t>WtE</w:t>
      </w:r>
      <w:proofErr w:type="spellEnd"/>
      <w:r>
        <w:rPr>
          <w:rFonts w:ascii="Times New Roman" w:eastAsia="Times New Roman" w:hAnsi="Times New Roman" w:cs="Times New Roman"/>
          <w:sz w:val="24"/>
          <w:szCs w:val="24"/>
        </w:rPr>
        <w:t>) approaches. Bioresources, 16(2), p.4275.</w:t>
      </w:r>
    </w:p>
    <w:p w14:paraId="471C86B2"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statista.com, 2023 Forecast waste-to-energy market value worldwide from 2019 to 2027 [Online] Available at: https://www.statista.com/statistics/480452/market-value-of-waste-to-energy-globally-projection/ [Accessed: 27 October 2023]</w:t>
      </w:r>
    </w:p>
    <w:p w14:paraId="2C683421"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2023 Market share of energy-from-waste (EfW) incinerator operators in the United Kingdom in 2021 [Online] Available at: https://www.statista.com/statistics/936137/waste-to-energy-operator-market-share-united-kingdom-uk/ [Accessed: 27 October 2023]</w:t>
      </w:r>
    </w:p>
    <w:p w14:paraId="34A4AB2F"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Tang, Y., Dong, J., Li, G., Zheng, Y., Chi, Y., </w:t>
      </w:r>
      <w:proofErr w:type="spellStart"/>
      <w:r>
        <w:rPr>
          <w:rFonts w:ascii="Times New Roman" w:eastAsia="Times New Roman" w:hAnsi="Times New Roman" w:cs="Times New Roman"/>
          <w:sz w:val="24"/>
          <w:szCs w:val="24"/>
        </w:rPr>
        <w:t>Nzihou</w:t>
      </w:r>
      <w:proofErr w:type="spellEnd"/>
      <w:r>
        <w:rPr>
          <w:rFonts w:ascii="Times New Roman" w:eastAsia="Times New Roman" w:hAnsi="Times New Roman" w:cs="Times New Roman"/>
          <w:sz w:val="24"/>
          <w:szCs w:val="24"/>
        </w:rPr>
        <w:t>, A., Weiss-</w:t>
      </w:r>
      <w:proofErr w:type="spellStart"/>
      <w:r>
        <w:rPr>
          <w:rFonts w:ascii="Times New Roman" w:eastAsia="Times New Roman" w:hAnsi="Times New Roman" w:cs="Times New Roman"/>
          <w:sz w:val="24"/>
          <w:szCs w:val="24"/>
        </w:rPr>
        <w:t>Hortala</w:t>
      </w:r>
      <w:proofErr w:type="spellEnd"/>
      <w:r>
        <w:rPr>
          <w:rFonts w:ascii="Times New Roman" w:eastAsia="Times New Roman" w:hAnsi="Times New Roman" w:cs="Times New Roman"/>
          <w:sz w:val="24"/>
          <w:szCs w:val="24"/>
        </w:rPr>
        <w:t xml:space="preserve">, E. and Ye, C., (2020). Environmental and </w:t>
      </w:r>
      <w:proofErr w:type="spellStart"/>
      <w:r>
        <w:rPr>
          <w:rFonts w:ascii="Times New Roman" w:eastAsia="Times New Roman" w:hAnsi="Times New Roman" w:cs="Times New Roman"/>
          <w:sz w:val="24"/>
          <w:szCs w:val="24"/>
        </w:rPr>
        <w:t>exergetic</w:t>
      </w:r>
      <w:proofErr w:type="spellEnd"/>
      <w:r>
        <w:rPr>
          <w:rFonts w:ascii="Times New Roman" w:eastAsia="Times New Roman" w:hAnsi="Times New Roman" w:cs="Times New Roman"/>
          <w:sz w:val="24"/>
          <w:szCs w:val="24"/>
        </w:rPr>
        <w:t xml:space="preserve"> life cycle assessment of incineration-and gasification-based waste to energy systems in China. </w:t>
      </w:r>
      <w:r w:rsidRPr="00C87C6C">
        <w:rPr>
          <w:rFonts w:ascii="Times New Roman" w:eastAsia="Times New Roman" w:hAnsi="Times New Roman" w:cs="Times New Roman"/>
          <w:i/>
          <w:iCs/>
          <w:sz w:val="24"/>
          <w:szCs w:val="24"/>
        </w:rPr>
        <w:t>Energy, 205</w:t>
      </w:r>
      <w:r>
        <w:rPr>
          <w:rFonts w:ascii="Times New Roman" w:eastAsia="Times New Roman" w:hAnsi="Times New Roman" w:cs="Times New Roman"/>
          <w:sz w:val="24"/>
          <w:szCs w:val="24"/>
        </w:rPr>
        <w:t>, p.118002.</w:t>
      </w:r>
    </w:p>
    <w:p w14:paraId="2C47F1B5" w14:textId="77777777" w:rsidR="008D2DBE" w:rsidRDefault="008D2DBE">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Vrabie, C., (2021). Converting municipal waste to energy through the biomass chain, a key technology for environmental issues in (Smart) cities. </w:t>
      </w:r>
      <w:r w:rsidRPr="00C87C6C">
        <w:rPr>
          <w:rFonts w:ascii="Times New Roman" w:eastAsia="Times New Roman" w:hAnsi="Times New Roman" w:cs="Times New Roman"/>
          <w:i/>
          <w:iCs/>
          <w:sz w:val="24"/>
          <w:szCs w:val="24"/>
        </w:rPr>
        <w:t>Sustainability, 13(9),</w:t>
      </w:r>
      <w:r>
        <w:rPr>
          <w:rFonts w:ascii="Times New Roman" w:eastAsia="Times New Roman" w:hAnsi="Times New Roman" w:cs="Times New Roman"/>
          <w:sz w:val="24"/>
          <w:szCs w:val="24"/>
        </w:rPr>
        <w:t xml:space="preserve"> p.4633.</w:t>
      </w:r>
    </w:p>
    <w:p w14:paraId="2E471BAE" w14:textId="77777777" w:rsidR="00F34C49" w:rsidRDefault="00F34C49">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p>
    <w:p w14:paraId="78FD9ED3" w14:textId="77777777" w:rsidR="00F34C49" w:rsidRDefault="00F34C49">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p>
    <w:p w14:paraId="34C302D5" w14:textId="77777777" w:rsidR="00F34C49" w:rsidRDefault="00F34C49">
      <w:pPr>
        <w:spacing w:before="200" w:after="200" w:line="360" w:lineRule="auto"/>
        <w:jc w:val="both"/>
        <w:rPr>
          <w:rFonts w:ascii="Times New Roman" w:eastAsia="Times New Roman" w:hAnsi="Times New Roman" w:cs="Times New Roman"/>
          <w:b/>
          <w:sz w:val="24"/>
          <w:szCs w:val="24"/>
        </w:rPr>
      </w:pPr>
    </w:p>
    <w:sectPr w:rsidR="00F34C49" w:rsidSect="00FE656F">
      <w:footerReference w:type="default" r:id="rId12"/>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F069D" w14:textId="77777777" w:rsidR="008A0586" w:rsidRDefault="008A0586" w:rsidP="00FE656F">
      <w:pPr>
        <w:spacing w:line="240" w:lineRule="auto"/>
      </w:pPr>
      <w:r>
        <w:separator/>
      </w:r>
    </w:p>
  </w:endnote>
  <w:endnote w:type="continuationSeparator" w:id="0">
    <w:p w14:paraId="774A6E20" w14:textId="77777777" w:rsidR="008A0586" w:rsidRDefault="008A0586" w:rsidP="00FE65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604087"/>
      <w:docPartObj>
        <w:docPartGallery w:val="Page Numbers (Bottom of Page)"/>
        <w:docPartUnique/>
      </w:docPartObj>
    </w:sdtPr>
    <w:sdtEndPr>
      <w:rPr>
        <w:rFonts w:ascii="Times New Roman" w:hAnsi="Times New Roman" w:cs="Times New Roman"/>
        <w:noProof/>
        <w:sz w:val="20"/>
        <w:szCs w:val="20"/>
      </w:rPr>
    </w:sdtEndPr>
    <w:sdtContent>
      <w:p w14:paraId="72390E4F" w14:textId="4F8DE6AA" w:rsidR="00FE656F" w:rsidRDefault="00FE656F">
        <w:pPr>
          <w:pStyle w:val="Footer"/>
          <w:jc w:val="right"/>
        </w:pPr>
        <w:r w:rsidRPr="00FE656F">
          <w:rPr>
            <w:rFonts w:ascii="Times New Roman" w:hAnsi="Times New Roman" w:cs="Times New Roman"/>
            <w:sz w:val="20"/>
            <w:szCs w:val="20"/>
          </w:rPr>
          <w:fldChar w:fldCharType="begin"/>
        </w:r>
        <w:r w:rsidRPr="00FE656F">
          <w:rPr>
            <w:rFonts w:ascii="Times New Roman" w:hAnsi="Times New Roman" w:cs="Times New Roman"/>
            <w:sz w:val="20"/>
            <w:szCs w:val="20"/>
          </w:rPr>
          <w:instrText xml:space="preserve"> PAGE   \* MERGEFORMAT </w:instrText>
        </w:r>
        <w:r w:rsidRPr="00FE656F">
          <w:rPr>
            <w:rFonts w:ascii="Times New Roman" w:hAnsi="Times New Roman" w:cs="Times New Roman"/>
            <w:sz w:val="20"/>
            <w:szCs w:val="20"/>
          </w:rPr>
          <w:fldChar w:fldCharType="separate"/>
        </w:r>
        <w:r w:rsidRPr="00FE656F">
          <w:rPr>
            <w:rFonts w:ascii="Times New Roman" w:hAnsi="Times New Roman" w:cs="Times New Roman"/>
            <w:noProof/>
            <w:sz w:val="20"/>
            <w:szCs w:val="20"/>
          </w:rPr>
          <w:t>2</w:t>
        </w:r>
        <w:r w:rsidRPr="00FE656F">
          <w:rPr>
            <w:rFonts w:ascii="Times New Roman" w:hAnsi="Times New Roman" w:cs="Times New Roman"/>
            <w:noProof/>
            <w:sz w:val="20"/>
            <w:szCs w:val="20"/>
          </w:rPr>
          <w:fldChar w:fldCharType="end"/>
        </w:r>
      </w:p>
    </w:sdtContent>
  </w:sdt>
  <w:p w14:paraId="7A798451" w14:textId="77777777" w:rsidR="00FE656F" w:rsidRDefault="00FE6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76248" w14:textId="77777777" w:rsidR="008A0586" w:rsidRDefault="008A0586" w:rsidP="00FE656F">
      <w:pPr>
        <w:spacing w:line="240" w:lineRule="auto"/>
      </w:pPr>
      <w:r>
        <w:separator/>
      </w:r>
    </w:p>
  </w:footnote>
  <w:footnote w:type="continuationSeparator" w:id="0">
    <w:p w14:paraId="4D335AA3" w14:textId="77777777" w:rsidR="008A0586" w:rsidRDefault="008A0586" w:rsidP="00FE65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5D05"/>
    <w:multiLevelType w:val="multilevel"/>
    <w:tmpl w:val="84D21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D95682"/>
    <w:multiLevelType w:val="multilevel"/>
    <w:tmpl w:val="E4C84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04C0AD8"/>
    <w:multiLevelType w:val="multilevel"/>
    <w:tmpl w:val="4CEECA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0975C4E"/>
    <w:multiLevelType w:val="multilevel"/>
    <w:tmpl w:val="EB522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961377">
    <w:abstractNumId w:val="0"/>
  </w:num>
  <w:num w:numId="2" w16cid:durableId="70398652">
    <w:abstractNumId w:val="1"/>
  </w:num>
  <w:num w:numId="3" w16cid:durableId="350835891">
    <w:abstractNumId w:val="2"/>
  </w:num>
  <w:num w:numId="4" w16cid:durableId="20054701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C49"/>
    <w:rsid w:val="00026F7A"/>
    <w:rsid w:val="00113AFC"/>
    <w:rsid w:val="001750BA"/>
    <w:rsid w:val="00210AE0"/>
    <w:rsid w:val="002173E6"/>
    <w:rsid w:val="002B4103"/>
    <w:rsid w:val="002B7551"/>
    <w:rsid w:val="003B2A05"/>
    <w:rsid w:val="003E573B"/>
    <w:rsid w:val="004F39A8"/>
    <w:rsid w:val="005331C4"/>
    <w:rsid w:val="00533E49"/>
    <w:rsid w:val="00567A4E"/>
    <w:rsid w:val="00685BBD"/>
    <w:rsid w:val="006A7FAC"/>
    <w:rsid w:val="00742470"/>
    <w:rsid w:val="00830B78"/>
    <w:rsid w:val="008A0586"/>
    <w:rsid w:val="008D2DBE"/>
    <w:rsid w:val="008D5A9E"/>
    <w:rsid w:val="00974767"/>
    <w:rsid w:val="009D5E1C"/>
    <w:rsid w:val="00A55265"/>
    <w:rsid w:val="00A9687A"/>
    <w:rsid w:val="00B36D1D"/>
    <w:rsid w:val="00B76CD3"/>
    <w:rsid w:val="00BE5537"/>
    <w:rsid w:val="00C44395"/>
    <w:rsid w:val="00C87914"/>
    <w:rsid w:val="00C87C6C"/>
    <w:rsid w:val="00CF16C1"/>
    <w:rsid w:val="00D135E2"/>
    <w:rsid w:val="00EE76DB"/>
    <w:rsid w:val="00F34C49"/>
    <w:rsid w:val="00F521B0"/>
    <w:rsid w:val="00FE6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21D00"/>
  <w15:docId w15:val="{4E64EBBF-CCD0-46D2-938B-3174C0E0B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FE656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E656F"/>
    <w:pPr>
      <w:spacing w:after="100"/>
    </w:pPr>
  </w:style>
  <w:style w:type="character" w:styleId="Hyperlink">
    <w:name w:val="Hyperlink"/>
    <w:basedOn w:val="DefaultParagraphFont"/>
    <w:uiPriority w:val="99"/>
    <w:unhideWhenUsed/>
    <w:rsid w:val="00FE656F"/>
    <w:rPr>
      <w:color w:val="0000FF" w:themeColor="hyperlink"/>
      <w:u w:val="single"/>
    </w:rPr>
  </w:style>
  <w:style w:type="paragraph" w:styleId="Header">
    <w:name w:val="header"/>
    <w:basedOn w:val="Normal"/>
    <w:link w:val="HeaderChar"/>
    <w:uiPriority w:val="99"/>
    <w:unhideWhenUsed/>
    <w:rsid w:val="00FE656F"/>
    <w:pPr>
      <w:tabs>
        <w:tab w:val="center" w:pos="4680"/>
        <w:tab w:val="right" w:pos="9360"/>
      </w:tabs>
      <w:spacing w:line="240" w:lineRule="auto"/>
    </w:pPr>
  </w:style>
  <w:style w:type="character" w:customStyle="1" w:styleId="HeaderChar">
    <w:name w:val="Header Char"/>
    <w:basedOn w:val="DefaultParagraphFont"/>
    <w:link w:val="Header"/>
    <w:uiPriority w:val="99"/>
    <w:rsid w:val="00FE656F"/>
  </w:style>
  <w:style w:type="paragraph" w:styleId="Footer">
    <w:name w:val="footer"/>
    <w:basedOn w:val="Normal"/>
    <w:link w:val="FooterChar"/>
    <w:uiPriority w:val="99"/>
    <w:unhideWhenUsed/>
    <w:rsid w:val="00FE656F"/>
    <w:pPr>
      <w:tabs>
        <w:tab w:val="center" w:pos="4680"/>
        <w:tab w:val="right" w:pos="9360"/>
      </w:tabs>
      <w:spacing w:line="240" w:lineRule="auto"/>
    </w:pPr>
  </w:style>
  <w:style w:type="character" w:customStyle="1" w:styleId="FooterChar">
    <w:name w:val="Footer Char"/>
    <w:basedOn w:val="DefaultParagraphFont"/>
    <w:link w:val="Footer"/>
    <w:uiPriority w:val="99"/>
    <w:rsid w:val="00FE6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0631">
      <w:bodyDiv w:val="1"/>
      <w:marLeft w:val="0"/>
      <w:marRight w:val="0"/>
      <w:marTop w:val="0"/>
      <w:marBottom w:val="0"/>
      <w:divBdr>
        <w:top w:val="none" w:sz="0" w:space="0" w:color="auto"/>
        <w:left w:val="none" w:sz="0" w:space="0" w:color="auto"/>
        <w:bottom w:val="none" w:sz="0" w:space="0" w:color="auto"/>
        <w:right w:val="none" w:sz="0" w:space="0" w:color="auto"/>
      </w:divBdr>
    </w:div>
    <w:div w:id="495073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B5B8A-DD40-4708-8EE7-F4142BA9D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3279</Words>
  <Characters>18691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Divya</dc:creator>
  <cp:lastModifiedBy>Divya Solanki</cp:lastModifiedBy>
  <cp:revision>24</cp:revision>
  <dcterms:created xsi:type="dcterms:W3CDTF">2023-11-03T11:46:00Z</dcterms:created>
  <dcterms:modified xsi:type="dcterms:W3CDTF">2023-11-03T12:21:00Z</dcterms:modified>
</cp:coreProperties>
</file>