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8DDDB" w14:textId="77777777" w:rsidR="00560975" w:rsidRDefault="00560975">
      <w:pPr>
        <w:jc w:val="center"/>
        <w:rPr>
          <w:b/>
          <w:bCs/>
        </w:rPr>
      </w:pPr>
    </w:p>
    <w:p w14:paraId="5393FAFE" w14:textId="77777777" w:rsidR="00560975" w:rsidRDefault="00560975">
      <w:pPr>
        <w:jc w:val="center"/>
        <w:rPr>
          <w:b/>
          <w:bCs/>
        </w:rPr>
      </w:pPr>
    </w:p>
    <w:p w14:paraId="6F10B36B" w14:textId="77777777" w:rsidR="00560975" w:rsidRDefault="00560975">
      <w:pPr>
        <w:jc w:val="center"/>
        <w:rPr>
          <w:b/>
          <w:bCs/>
        </w:rPr>
      </w:pPr>
    </w:p>
    <w:p w14:paraId="6EC00535" w14:textId="77777777" w:rsidR="00560975" w:rsidRDefault="00DA0F2B">
      <w:pPr>
        <w:jc w:val="center"/>
        <w:rPr>
          <w:b/>
          <w:bCs/>
        </w:rPr>
      </w:pPr>
      <w:r>
        <w:rPr>
          <w:b/>
          <w:bCs/>
          <w:noProof/>
        </w:rPr>
        <w:drawing>
          <wp:inline distT="114300" distB="114300" distL="114300" distR="114300" wp14:anchorId="20D5EA1C" wp14:editId="498307A4">
            <wp:extent cx="2647950" cy="11430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647950" cy="1143000"/>
                    </a:xfrm>
                    <a:prstGeom prst="rect">
                      <a:avLst/>
                    </a:prstGeom>
                    <a:ln/>
                  </pic:spPr>
                </pic:pic>
              </a:graphicData>
            </a:graphic>
          </wp:inline>
        </w:drawing>
      </w:r>
    </w:p>
    <w:p w14:paraId="5794AD7A" w14:textId="77777777" w:rsidR="00560975" w:rsidRDefault="00560975">
      <w:pPr>
        <w:jc w:val="center"/>
        <w:rPr>
          <w:b/>
          <w:bCs/>
        </w:rPr>
      </w:pPr>
    </w:p>
    <w:p w14:paraId="7DCFF875" w14:textId="77777777" w:rsidR="00560975" w:rsidRDefault="00560975">
      <w:pPr>
        <w:jc w:val="center"/>
        <w:rPr>
          <w:b/>
          <w:bCs/>
        </w:rPr>
      </w:pPr>
    </w:p>
    <w:p w14:paraId="2E7BAA39" w14:textId="77777777" w:rsidR="00560975" w:rsidRDefault="00DA0F2B">
      <w:pPr>
        <w:spacing w:before="240"/>
        <w:jc w:val="center"/>
        <w:rPr>
          <w:b/>
          <w:bCs/>
          <w:sz w:val="32"/>
          <w:szCs w:val="32"/>
        </w:rPr>
      </w:pPr>
      <w:r>
        <w:rPr>
          <w:b/>
          <w:bCs/>
          <w:sz w:val="32"/>
          <w:szCs w:val="32"/>
        </w:rPr>
        <w:t>Programme: Master of Business Administration</w:t>
      </w:r>
    </w:p>
    <w:p w14:paraId="593E2126" w14:textId="77777777" w:rsidR="00560975" w:rsidRDefault="00DA0F2B">
      <w:pPr>
        <w:spacing w:before="240"/>
        <w:jc w:val="center"/>
        <w:rPr>
          <w:b/>
          <w:bCs/>
          <w:sz w:val="32"/>
          <w:szCs w:val="32"/>
        </w:rPr>
      </w:pPr>
      <w:r>
        <w:rPr>
          <w:b/>
          <w:bCs/>
          <w:sz w:val="32"/>
          <w:szCs w:val="32"/>
        </w:rPr>
        <w:t>Module: Marketing Management</w:t>
      </w:r>
    </w:p>
    <w:p w14:paraId="3F8AA3D8" w14:textId="77777777" w:rsidR="00560975" w:rsidRDefault="00DA0F2B">
      <w:pPr>
        <w:spacing w:before="240"/>
        <w:jc w:val="center"/>
        <w:rPr>
          <w:b/>
          <w:bCs/>
          <w:sz w:val="32"/>
          <w:szCs w:val="32"/>
        </w:rPr>
      </w:pPr>
      <w:r>
        <w:rPr>
          <w:b/>
          <w:bCs/>
          <w:sz w:val="32"/>
          <w:szCs w:val="32"/>
        </w:rPr>
        <w:t>Module code: LCMB7024</w:t>
      </w:r>
    </w:p>
    <w:p w14:paraId="44BC64AB" w14:textId="77777777" w:rsidR="00560975" w:rsidRDefault="00DA0F2B">
      <w:pPr>
        <w:spacing w:before="240"/>
        <w:jc w:val="center"/>
        <w:rPr>
          <w:b/>
          <w:bCs/>
          <w:sz w:val="32"/>
          <w:szCs w:val="32"/>
        </w:rPr>
      </w:pPr>
      <w:r>
        <w:rPr>
          <w:b/>
          <w:bCs/>
          <w:sz w:val="32"/>
          <w:szCs w:val="32"/>
        </w:rPr>
        <w:t>Lectures name: Tushara Balendran</w:t>
      </w:r>
    </w:p>
    <w:p w14:paraId="0A6ECDBD" w14:textId="77777777" w:rsidR="00560975" w:rsidRDefault="00DA0F2B">
      <w:pPr>
        <w:spacing w:before="240"/>
        <w:jc w:val="center"/>
        <w:rPr>
          <w:b/>
          <w:bCs/>
          <w:sz w:val="32"/>
          <w:szCs w:val="32"/>
        </w:rPr>
      </w:pPr>
      <w:r>
        <w:rPr>
          <w:b/>
          <w:bCs/>
          <w:sz w:val="32"/>
          <w:szCs w:val="32"/>
        </w:rPr>
        <w:t>Assignment Title: Portfolio:</w:t>
      </w:r>
    </w:p>
    <w:p w14:paraId="57D7886D" w14:textId="77777777" w:rsidR="00560975" w:rsidRDefault="00DA0F2B">
      <w:pPr>
        <w:pBdr>
          <w:top w:val="nil"/>
          <w:left w:val="nil"/>
          <w:bottom w:val="nil"/>
          <w:right w:val="nil"/>
          <w:between w:val="nil"/>
        </w:pBdr>
        <w:jc w:val="center"/>
        <w:rPr>
          <w:b/>
          <w:bCs/>
          <w:i/>
          <w:iCs/>
          <w:color w:val="000000"/>
        </w:rPr>
      </w:pPr>
      <w:r>
        <w:rPr>
          <w:b/>
          <w:bCs/>
          <w:i/>
          <w:iCs/>
          <w:color w:val="000000"/>
        </w:rPr>
        <w:t>Report</w:t>
      </w:r>
    </w:p>
    <w:p w14:paraId="0299A35B" w14:textId="77777777" w:rsidR="00560975" w:rsidRDefault="00DA0F2B">
      <w:pPr>
        <w:pBdr>
          <w:top w:val="nil"/>
          <w:left w:val="nil"/>
          <w:bottom w:val="nil"/>
          <w:right w:val="nil"/>
          <w:between w:val="nil"/>
        </w:pBdr>
        <w:jc w:val="center"/>
        <w:rPr>
          <w:b/>
          <w:bCs/>
          <w:i/>
          <w:iCs/>
          <w:color w:val="000000"/>
        </w:rPr>
      </w:pPr>
      <w:r>
        <w:rPr>
          <w:b/>
          <w:bCs/>
          <w:i/>
          <w:iCs/>
          <w:color w:val="000000"/>
        </w:rPr>
        <w:t>Reflection</w:t>
      </w:r>
    </w:p>
    <w:p w14:paraId="5B1C80CC" w14:textId="77777777" w:rsidR="00560975" w:rsidRDefault="00560975">
      <w:pPr>
        <w:pBdr>
          <w:top w:val="nil"/>
          <w:left w:val="nil"/>
          <w:bottom w:val="nil"/>
          <w:right w:val="nil"/>
          <w:between w:val="nil"/>
        </w:pBdr>
        <w:ind w:left="720"/>
        <w:rPr>
          <w:b/>
          <w:bCs/>
          <w:color w:val="000000"/>
        </w:rPr>
      </w:pPr>
    </w:p>
    <w:p w14:paraId="6F85E86D" w14:textId="77777777" w:rsidR="00560975" w:rsidRDefault="00560975">
      <w:pPr>
        <w:pBdr>
          <w:top w:val="nil"/>
          <w:left w:val="nil"/>
          <w:bottom w:val="nil"/>
          <w:right w:val="nil"/>
          <w:between w:val="nil"/>
        </w:pBdr>
        <w:ind w:left="720"/>
        <w:rPr>
          <w:b/>
          <w:bCs/>
          <w:color w:val="000000"/>
        </w:rPr>
      </w:pPr>
    </w:p>
    <w:p w14:paraId="7F329807" w14:textId="77777777" w:rsidR="00560975" w:rsidRDefault="00DA0F2B">
      <w:pPr>
        <w:pBdr>
          <w:top w:val="nil"/>
          <w:left w:val="nil"/>
          <w:bottom w:val="nil"/>
          <w:right w:val="nil"/>
          <w:between w:val="nil"/>
        </w:pBdr>
        <w:ind w:left="360"/>
        <w:jc w:val="center"/>
        <w:rPr>
          <w:b/>
          <w:bCs/>
          <w:color w:val="000000"/>
        </w:rPr>
      </w:pPr>
      <w:r>
        <w:rPr>
          <w:b/>
          <w:bCs/>
          <w:color w:val="000000"/>
        </w:rPr>
        <w:t>Student name: Dishaben Nirav goyani</w:t>
      </w:r>
    </w:p>
    <w:p w14:paraId="52FF3D40" w14:textId="77777777" w:rsidR="00560975" w:rsidRDefault="00DA0F2B">
      <w:pPr>
        <w:pBdr>
          <w:top w:val="nil"/>
          <w:left w:val="nil"/>
          <w:bottom w:val="nil"/>
          <w:right w:val="nil"/>
          <w:between w:val="nil"/>
        </w:pBdr>
        <w:ind w:left="360"/>
        <w:jc w:val="center"/>
        <w:rPr>
          <w:b/>
          <w:bCs/>
          <w:color w:val="000000"/>
        </w:rPr>
      </w:pPr>
      <w:r>
        <w:rPr>
          <w:b/>
          <w:bCs/>
        </w:rPr>
        <w:t>Student ID number: 2536657</w:t>
      </w:r>
    </w:p>
    <w:p w14:paraId="24DDB211" w14:textId="77777777" w:rsidR="00560975" w:rsidRDefault="00DA0F2B">
      <w:pPr>
        <w:rPr>
          <w:b/>
          <w:bCs/>
        </w:rPr>
      </w:pPr>
      <w:r>
        <w:br w:type="page"/>
      </w:r>
    </w:p>
    <w:p w14:paraId="68050CA4" w14:textId="77777777" w:rsidR="00560975" w:rsidRDefault="00DA0F2B">
      <w:pPr>
        <w:keepNext/>
        <w:keepLines/>
        <w:pBdr>
          <w:top w:val="nil"/>
          <w:left w:val="nil"/>
          <w:bottom w:val="nil"/>
          <w:right w:val="nil"/>
          <w:between w:val="nil"/>
        </w:pBdr>
        <w:spacing w:before="240"/>
        <w:jc w:val="center"/>
        <w:rPr>
          <w:b/>
          <w:bCs/>
          <w:color w:val="000000"/>
        </w:rPr>
      </w:pPr>
      <w:r>
        <w:rPr>
          <w:b/>
          <w:bCs/>
          <w:color w:val="000000"/>
        </w:rPr>
        <w:t>Table of Contents</w:t>
      </w:r>
    </w:p>
    <w:sdt>
      <w:sdtPr>
        <w:id w:val="-659903243"/>
        <w:docPartObj>
          <w:docPartGallery w:val="Table of Contents"/>
          <w:docPartUnique/>
        </w:docPartObj>
      </w:sdtPr>
      <w:sdtEndPr/>
      <w:sdtContent>
        <w:p w14:paraId="30B880B8" w14:textId="2046F5F1" w:rsidR="0046691B" w:rsidRDefault="00DA0F2B">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\h \u \z \t "Heading 1,1,Heading 2,2,Heading 3,3,"</w:instrText>
          </w:r>
          <w:r>
            <w:fldChar w:fldCharType="separate"/>
          </w:r>
          <w:hyperlink w:anchor="_Toc237512584" w:history="1">
            <w:r w:rsidR="0046691B" w:rsidRPr="000C2123">
              <w:rPr>
                <w:rStyle w:val="Hyperlink"/>
                <w:noProof/>
              </w:rPr>
              <w:t>Overview of the report</w:t>
            </w:r>
            <w:r w:rsidR="0046691B">
              <w:rPr>
                <w:noProof/>
                <w:webHidden/>
              </w:rPr>
              <w:tab/>
            </w:r>
            <w:r w:rsidR="0046691B">
              <w:rPr>
                <w:noProof/>
                <w:webHidden/>
              </w:rPr>
              <w:fldChar w:fldCharType="begin"/>
            </w:r>
            <w:r w:rsidR="0046691B">
              <w:rPr>
                <w:noProof/>
                <w:webHidden/>
              </w:rPr>
              <w:instrText xml:space="preserve"> PAGEREF _Toc237512584 \h </w:instrText>
            </w:r>
            <w:r w:rsidR="0046691B">
              <w:rPr>
                <w:noProof/>
                <w:webHidden/>
              </w:rPr>
            </w:r>
            <w:r w:rsidR="0046691B">
              <w:rPr>
                <w:noProof/>
                <w:webHidden/>
              </w:rPr>
              <w:fldChar w:fldCharType="separate"/>
            </w:r>
            <w:r w:rsidR="00484B84">
              <w:rPr>
                <w:noProof/>
                <w:webHidden/>
              </w:rPr>
              <w:t>2</w:t>
            </w:r>
            <w:r w:rsidR="0046691B">
              <w:rPr>
                <w:noProof/>
                <w:webHidden/>
              </w:rPr>
              <w:fldChar w:fldCharType="end"/>
            </w:r>
          </w:hyperlink>
        </w:p>
        <w:p w14:paraId="312ECD37" w14:textId="4F69A7B5" w:rsidR="0046691B" w:rsidRDefault="0046691B">
          <w:pPr>
            <w:pStyle w:val="TOC1"/>
            <w:tabs>
              <w:tab w:val="right" w:leader="dot" w:pos="9350"/>
            </w:tabs>
            <w:rPr>
              <w:rFonts w:asciiTheme="minorHAnsi" w:eastAsiaTheme="minorEastAsia" w:hAnsiTheme="minorHAnsi" w:cstheme="minorBidi"/>
              <w:noProof/>
              <w:sz w:val="22"/>
              <w:szCs w:val="22"/>
              <w:lang w:val="en-IN"/>
            </w:rPr>
          </w:pPr>
          <w:hyperlink w:anchor="_Toc237512585" w:history="1">
            <w:r w:rsidRPr="000C2123">
              <w:rPr>
                <w:rStyle w:val="Hyperlink"/>
                <w:noProof/>
              </w:rPr>
              <w:t>Element 2: Developing a Segmentation, Targeting, Differentiation, and Positioning (STDP) Analysis for the brand extension</w:t>
            </w:r>
            <w:r>
              <w:rPr>
                <w:noProof/>
                <w:webHidden/>
              </w:rPr>
              <w:tab/>
            </w:r>
            <w:r>
              <w:rPr>
                <w:noProof/>
                <w:webHidden/>
              </w:rPr>
              <w:fldChar w:fldCharType="begin"/>
            </w:r>
            <w:r>
              <w:rPr>
                <w:noProof/>
                <w:webHidden/>
              </w:rPr>
              <w:instrText xml:space="preserve"> PAGEREF _Toc237512585 \h </w:instrText>
            </w:r>
            <w:r>
              <w:rPr>
                <w:noProof/>
                <w:webHidden/>
              </w:rPr>
            </w:r>
            <w:r>
              <w:rPr>
                <w:noProof/>
                <w:webHidden/>
              </w:rPr>
              <w:fldChar w:fldCharType="separate"/>
            </w:r>
            <w:r w:rsidR="00484B84">
              <w:rPr>
                <w:noProof/>
                <w:webHidden/>
              </w:rPr>
              <w:t>2</w:t>
            </w:r>
            <w:r>
              <w:rPr>
                <w:noProof/>
                <w:webHidden/>
              </w:rPr>
              <w:fldChar w:fldCharType="end"/>
            </w:r>
          </w:hyperlink>
        </w:p>
        <w:p w14:paraId="6B837D90" w14:textId="5543B444" w:rsidR="0046691B" w:rsidRDefault="0046691B">
          <w:pPr>
            <w:pStyle w:val="TOC1"/>
            <w:tabs>
              <w:tab w:val="right" w:leader="dot" w:pos="9350"/>
            </w:tabs>
            <w:rPr>
              <w:rFonts w:asciiTheme="minorHAnsi" w:eastAsiaTheme="minorEastAsia" w:hAnsiTheme="minorHAnsi" w:cstheme="minorBidi"/>
              <w:noProof/>
              <w:sz w:val="22"/>
              <w:szCs w:val="22"/>
              <w:lang w:val="en-IN"/>
            </w:rPr>
          </w:pPr>
          <w:hyperlink w:anchor="_Toc237512586" w:history="1">
            <w:r w:rsidRPr="000C2123">
              <w:rPr>
                <w:rStyle w:val="Hyperlink"/>
                <w:noProof/>
              </w:rPr>
              <w:t>Element 3: Marketing Mix (4Ps or 7Ps)</w:t>
            </w:r>
            <w:r>
              <w:rPr>
                <w:noProof/>
                <w:webHidden/>
              </w:rPr>
              <w:tab/>
            </w:r>
            <w:r>
              <w:rPr>
                <w:noProof/>
                <w:webHidden/>
              </w:rPr>
              <w:fldChar w:fldCharType="begin"/>
            </w:r>
            <w:r>
              <w:rPr>
                <w:noProof/>
                <w:webHidden/>
              </w:rPr>
              <w:instrText xml:space="preserve"> PAGEREF _Toc237512586 \h </w:instrText>
            </w:r>
            <w:r>
              <w:rPr>
                <w:noProof/>
                <w:webHidden/>
              </w:rPr>
            </w:r>
            <w:r>
              <w:rPr>
                <w:noProof/>
                <w:webHidden/>
              </w:rPr>
              <w:fldChar w:fldCharType="separate"/>
            </w:r>
            <w:r w:rsidR="00484B84">
              <w:rPr>
                <w:noProof/>
                <w:webHidden/>
              </w:rPr>
              <w:t>6</w:t>
            </w:r>
            <w:r>
              <w:rPr>
                <w:noProof/>
                <w:webHidden/>
              </w:rPr>
              <w:fldChar w:fldCharType="end"/>
            </w:r>
          </w:hyperlink>
        </w:p>
        <w:p w14:paraId="2E74DB33" w14:textId="336E70F6" w:rsidR="0046691B" w:rsidRDefault="0046691B">
          <w:pPr>
            <w:pStyle w:val="TOC1"/>
            <w:tabs>
              <w:tab w:val="right" w:leader="dot" w:pos="9350"/>
            </w:tabs>
            <w:rPr>
              <w:rFonts w:asciiTheme="minorHAnsi" w:eastAsiaTheme="minorEastAsia" w:hAnsiTheme="minorHAnsi" w:cstheme="minorBidi"/>
              <w:noProof/>
              <w:sz w:val="22"/>
              <w:szCs w:val="22"/>
              <w:lang w:val="en-IN"/>
            </w:rPr>
          </w:pPr>
          <w:hyperlink w:anchor="_Toc237512587" w:history="1">
            <w:r w:rsidRPr="000C2123">
              <w:rPr>
                <w:rStyle w:val="Hyperlink"/>
                <w:noProof/>
              </w:rPr>
              <w:t>Element 4: Reflection</w:t>
            </w:r>
            <w:r>
              <w:rPr>
                <w:noProof/>
                <w:webHidden/>
              </w:rPr>
              <w:tab/>
            </w:r>
            <w:r>
              <w:rPr>
                <w:noProof/>
                <w:webHidden/>
              </w:rPr>
              <w:fldChar w:fldCharType="begin"/>
            </w:r>
            <w:r>
              <w:rPr>
                <w:noProof/>
                <w:webHidden/>
              </w:rPr>
              <w:instrText xml:space="preserve"> PAGEREF _Toc237512587 \h </w:instrText>
            </w:r>
            <w:r>
              <w:rPr>
                <w:noProof/>
                <w:webHidden/>
              </w:rPr>
            </w:r>
            <w:r>
              <w:rPr>
                <w:noProof/>
                <w:webHidden/>
              </w:rPr>
              <w:fldChar w:fldCharType="separate"/>
            </w:r>
            <w:r w:rsidR="00484B84">
              <w:rPr>
                <w:noProof/>
                <w:webHidden/>
              </w:rPr>
              <w:t>10</w:t>
            </w:r>
            <w:r>
              <w:rPr>
                <w:noProof/>
                <w:webHidden/>
              </w:rPr>
              <w:fldChar w:fldCharType="end"/>
            </w:r>
          </w:hyperlink>
        </w:p>
        <w:p w14:paraId="5409FDEE" w14:textId="1F9B501E" w:rsidR="0046691B" w:rsidRDefault="0046691B">
          <w:pPr>
            <w:pStyle w:val="TOC1"/>
            <w:tabs>
              <w:tab w:val="right" w:leader="dot" w:pos="9350"/>
            </w:tabs>
            <w:rPr>
              <w:rFonts w:asciiTheme="minorHAnsi" w:eastAsiaTheme="minorEastAsia" w:hAnsiTheme="minorHAnsi" w:cstheme="minorBidi"/>
              <w:noProof/>
              <w:sz w:val="22"/>
              <w:szCs w:val="22"/>
              <w:lang w:val="en-IN"/>
            </w:rPr>
          </w:pPr>
          <w:hyperlink w:anchor="_Toc237512588" w:history="1">
            <w:r w:rsidRPr="000C2123">
              <w:rPr>
                <w:rStyle w:val="Hyperlink"/>
                <w:noProof/>
              </w:rPr>
              <w:t>References</w:t>
            </w:r>
            <w:r>
              <w:rPr>
                <w:noProof/>
                <w:webHidden/>
              </w:rPr>
              <w:tab/>
            </w:r>
            <w:r>
              <w:rPr>
                <w:noProof/>
                <w:webHidden/>
              </w:rPr>
              <w:fldChar w:fldCharType="begin"/>
            </w:r>
            <w:r>
              <w:rPr>
                <w:noProof/>
                <w:webHidden/>
              </w:rPr>
              <w:instrText xml:space="preserve"> PAGEREF _Toc237512588 \h </w:instrText>
            </w:r>
            <w:r>
              <w:rPr>
                <w:noProof/>
                <w:webHidden/>
              </w:rPr>
            </w:r>
            <w:r>
              <w:rPr>
                <w:noProof/>
                <w:webHidden/>
              </w:rPr>
              <w:fldChar w:fldCharType="separate"/>
            </w:r>
            <w:r w:rsidR="00484B84">
              <w:rPr>
                <w:noProof/>
                <w:webHidden/>
              </w:rPr>
              <w:t>13</w:t>
            </w:r>
            <w:r>
              <w:rPr>
                <w:noProof/>
                <w:webHidden/>
              </w:rPr>
              <w:fldChar w:fldCharType="end"/>
            </w:r>
          </w:hyperlink>
        </w:p>
        <w:p w14:paraId="1E5F7B77" w14:textId="77E7A4AC" w:rsidR="0046691B" w:rsidRDefault="0046691B">
          <w:pPr>
            <w:pStyle w:val="TOC1"/>
            <w:tabs>
              <w:tab w:val="right" w:leader="dot" w:pos="9350"/>
            </w:tabs>
            <w:rPr>
              <w:rFonts w:asciiTheme="minorHAnsi" w:eastAsiaTheme="minorEastAsia" w:hAnsiTheme="minorHAnsi" w:cstheme="minorBidi"/>
              <w:noProof/>
              <w:sz w:val="22"/>
              <w:szCs w:val="22"/>
              <w:lang w:val="en-IN"/>
            </w:rPr>
          </w:pPr>
          <w:hyperlink w:anchor="_Toc237512589" w:history="1">
            <w:r w:rsidRPr="000C2123">
              <w:rPr>
                <w:rStyle w:val="Hyperlink"/>
                <w:noProof/>
              </w:rPr>
              <w:t>Appendix: Poster Presentation</w:t>
            </w:r>
            <w:r>
              <w:rPr>
                <w:noProof/>
                <w:webHidden/>
              </w:rPr>
              <w:tab/>
            </w:r>
            <w:r>
              <w:rPr>
                <w:noProof/>
                <w:webHidden/>
              </w:rPr>
              <w:fldChar w:fldCharType="begin"/>
            </w:r>
            <w:r>
              <w:rPr>
                <w:noProof/>
                <w:webHidden/>
              </w:rPr>
              <w:instrText xml:space="preserve"> PAGEREF _Toc237512589 \h </w:instrText>
            </w:r>
            <w:r>
              <w:rPr>
                <w:noProof/>
                <w:webHidden/>
              </w:rPr>
            </w:r>
            <w:r>
              <w:rPr>
                <w:noProof/>
                <w:webHidden/>
              </w:rPr>
              <w:fldChar w:fldCharType="separate"/>
            </w:r>
            <w:r w:rsidR="00484B84">
              <w:rPr>
                <w:noProof/>
                <w:webHidden/>
              </w:rPr>
              <w:t>17</w:t>
            </w:r>
            <w:r>
              <w:rPr>
                <w:noProof/>
                <w:webHidden/>
              </w:rPr>
              <w:fldChar w:fldCharType="end"/>
            </w:r>
          </w:hyperlink>
        </w:p>
        <w:p w14:paraId="50C311AF" w14:textId="50103C34" w:rsidR="00560975" w:rsidRDefault="00DA0F2B">
          <w:r>
            <w:fldChar w:fldCharType="end"/>
          </w:r>
        </w:p>
      </w:sdtContent>
    </w:sdt>
    <w:p w14:paraId="668A5431" w14:textId="77777777" w:rsidR="00560975" w:rsidRDefault="00560975">
      <w:pPr>
        <w:spacing w:before="240"/>
        <w:jc w:val="center"/>
        <w:rPr>
          <w:b/>
          <w:bCs/>
        </w:rPr>
      </w:pPr>
    </w:p>
    <w:p w14:paraId="63CCD209" w14:textId="77777777" w:rsidR="00560975" w:rsidRDefault="00560975">
      <w:pPr>
        <w:jc w:val="center"/>
        <w:rPr>
          <w:b/>
          <w:bCs/>
        </w:rPr>
      </w:pPr>
    </w:p>
    <w:p w14:paraId="43A2953C" w14:textId="77777777" w:rsidR="00560975" w:rsidRDefault="00560975">
      <w:pPr>
        <w:jc w:val="center"/>
      </w:pPr>
    </w:p>
    <w:p w14:paraId="4F440333" w14:textId="77777777" w:rsidR="00560975" w:rsidRDefault="00DA0F2B">
      <w:pPr>
        <w:jc w:val="center"/>
        <w:rPr>
          <w:b/>
          <w:bCs/>
        </w:rPr>
      </w:pPr>
      <w:bookmarkStart w:id="0" w:name="_heading=h.usstj11zg8y8" w:colFirst="0" w:colLast="0"/>
      <w:bookmarkEnd w:id="0"/>
      <w:r>
        <w:br w:type="page"/>
      </w:r>
    </w:p>
    <w:p w14:paraId="7F3BA4A6" w14:textId="77777777" w:rsidR="00560975" w:rsidRDefault="00DA0F2B">
      <w:pPr>
        <w:pStyle w:val="Heading1"/>
      </w:pPr>
      <w:bookmarkStart w:id="1" w:name="_heading=h.18iwham8w7ek" w:colFirst="0" w:colLast="0"/>
      <w:bookmarkStart w:id="2" w:name="_Toc237512584"/>
      <w:bookmarkEnd w:id="1"/>
      <w:r>
        <w:t>Overview of the report</w:t>
      </w:r>
      <w:bookmarkEnd w:id="2"/>
      <w:r>
        <w:t xml:space="preserve"> </w:t>
      </w:r>
    </w:p>
    <w:p w14:paraId="2E286E70" w14:textId="77777777" w:rsidR="00560975" w:rsidRPr="006E22DA" w:rsidRDefault="00DA0F2B">
      <w:r w:rsidRPr="006E22DA">
        <w:rPr>
          <w:b/>
          <w:bCs/>
        </w:rPr>
        <w:t>Company Name:</w:t>
      </w:r>
      <w:r w:rsidRPr="006E22DA">
        <w:t xml:space="preserve"> Unilever</w:t>
      </w:r>
    </w:p>
    <w:p w14:paraId="60219B86" w14:textId="7CD3A722" w:rsidR="00560975" w:rsidRPr="006E22DA" w:rsidRDefault="00DA0F2B">
      <w:r w:rsidRPr="006E22DA">
        <w:rPr>
          <w:b/>
          <w:bCs/>
        </w:rPr>
        <w:t xml:space="preserve">Brand Extension: </w:t>
      </w:r>
      <w:r w:rsidRPr="006E22DA">
        <w:t>Dove Purity Conc</w:t>
      </w:r>
      <w:r w:rsidR="00484B84" w:rsidRPr="006E22DA">
        <w:t>.</w:t>
      </w:r>
    </w:p>
    <w:p w14:paraId="04583F8C" w14:textId="77777777" w:rsidR="00560975" w:rsidRPr="006E22DA" w:rsidRDefault="00DA0F2B">
      <w:r w:rsidRPr="006E22DA">
        <w:rPr>
          <w:b/>
          <w:bCs/>
        </w:rPr>
        <w:t xml:space="preserve">Background Information: </w:t>
      </w:r>
      <w:r w:rsidRPr="006E22DA">
        <w:t>Unilever is one of the world's largest consumer goods companies, reaching over 3.4 billion people daily across roughly 190 countries (Unilever, 2026).</w:t>
      </w:r>
    </w:p>
    <w:p w14:paraId="488A857F" w14:textId="77777777" w:rsidR="00560975" w:rsidRPr="006E22DA" w:rsidRDefault="00DA0F2B">
      <w:r w:rsidRPr="006E22DA">
        <w:rPr>
          <w:b/>
          <w:bCs/>
        </w:rPr>
        <w:t>Brief:</w:t>
      </w:r>
      <w:r w:rsidRPr="006E22DA">
        <w:t xml:space="preserve"> A waterless, zero-plastic personal care ecosystem replacing traditional liquids with ultra-concentrated formulas as well as reusable lifetime dispensers to reduce plastic waste and transport emissions.</w:t>
      </w:r>
    </w:p>
    <w:p w14:paraId="0530365A" w14:textId="77777777" w:rsidR="00560975" w:rsidRPr="006E22DA" w:rsidRDefault="00DA0F2B">
      <w:r w:rsidRPr="006E22DA">
        <w:rPr>
          <w:b/>
          <w:bCs/>
        </w:rPr>
        <w:t>Group Company Mission Statement:</w:t>
      </w:r>
      <w:r w:rsidRPr="006E22DA">
        <w:t xml:space="preserve"> To achieve net-zero emissions across the value chain by the end of 2039 while reducing absolute operational GHG emissions by 100% and virgin plastic footprint by 30% by 2026</w:t>
      </w:r>
    </w:p>
    <w:p w14:paraId="25A1CCAD" w14:textId="77777777" w:rsidR="00560975" w:rsidRPr="006E22DA" w:rsidRDefault="00DA0F2B">
      <w:r w:rsidRPr="006E22DA">
        <w:rPr>
          <w:b/>
          <w:bCs/>
        </w:rPr>
        <w:t>Brand Extension Idea:</w:t>
      </w:r>
      <w:r w:rsidRPr="006E22DA">
        <w:t xml:space="preserve"> Waterless, zero-plastic personal care ecosystem using ultra-concentrated formulas</w:t>
      </w:r>
    </w:p>
    <w:p w14:paraId="4B35C23E" w14:textId="77777777" w:rsidR="00560975" w:rsidRDefault="00DA0F2B">
      <w:pPr>
        <w:pStyle w:val="Heading1"/>
      </w:pPr>
      <w:bookmarkStart w:id="3" w:name="_Toc237512585"/>
      <w:r>
        <w:t>Element 2: Developing a Segmentation, Targeting, Differentiation, and Positioning (STDP) Analysis for the brand extension</w:t>
      </w:r>
      <w:bookmarkEnd w:id="3"/>
      <w:r>
        <w:t xml:space="preserve"> </w:t>
      </w:r>
    </w:p>
    <w:p w14:paraId="6869A39B" w14:textId="77777777" w:rsidR="00560975" w:rsidRDefault="00DA0F2B">
      <w:pPr>
        <w:spacing w:after="240"/>
        <w:rPr>
          <w:b/>
          <w:bCs/>
        </w:rPr>
      </w:pPr>
      <w:r>
        <w:rPr>
          <w:b/>
          <w:bCs/>
        </w:rPr>
        <w:t xml:space="preserve">Market segmentation </w:t>
      </w:r>
    </w:p>
    <w:p w14:paraId="37B65E68" w14:textId="77777777" w:rsidR="00560975" w:rsidRDefault="00DA0F2B">
      <w:pPr>
        <w:numPr>
          <w:ilvl w:val="0"/>
          <w:numId w:val="3"/>
        </w:numPr>
        <w:spacing w:after="240"/>
        <w:rPr>
          <w:b/>
          <w:bCs/>
        </w:rPr>
      </w:pPr>
      <w:r>
        <w:rPr>
          <w:b/>
          <w:bCs/>
        </w:rPr>
        <w:t xml:space="preserve">Geographic segmentation </w:t>
      </w:r>
    </w:p>
    <w:p w14:paraId="6A50813D" w14:textId="77777777" w:rsidR="00560975" w:rsidRDefault="00DA0F2B">
      <w:pPr>
        <w:spacing w:after="240"/>
      </w:pPr>
      <w:r>
        <w:t xml:space="preserve">The geographic segmentation for Unilever regarding the new brand extension, Dove Purity Conc, centres on highly developed urban and suburban areas within the UK. This can help the company to move down into Tier 1 and Tier 2 cities globally. It has been recognised that between 64.1% and 75.2% of UK packaging waste overall was recycled in 2024, signifying a strong waste management infrastructure (Gov, 2026). Apart from this, the urban density is considered to be correlated with a higher concentration of specialised retail channels that are required for early-stage distributions. Thus, the above geographical segmentation can be effective for Unilever’s new brand extension as it can address the firm’s sustainable goals. </w:t>
      </w:r>
    </w:p>
    <w:p w14:paraId="2D7AE99D" w14:textId="77777777" w:rsidR="00560975" w:rsidRDefault="00DA0F2B">
      <w:pPr>
        <w:numPr>
          <w:ilvl w:val="0"/>
          <w:numId w:val="3"/>
        </w:numPr>
        <w:spacing w:after="240"/>
        <w:rPr>
          <w:b/>
          <w:bCs/>
        </w:rPr>
      </w:pPr>
      <w:r>
        <w:rPr>
          <w:b/>
          <w:bCs/>
        </w:rPr>
        <w:t xml:space="preserve">Demographic segmentation </w:t>
      </w:r>
    </w:p>
    <w:p w14:paraId="5F60E774" w14:textId="77777777" w:rsidR="00560975" w:rsidRDefault="00DA0F2B">
      <w:pPr>
        <w:spacing w:after="240"/>
      </w:pPr>
      <w:r>
        <w:t xml:space="preserve">The company is required to target Gen Z and Millennials belonging to the age group between 18 and 42 years, as well as Gen X and Boomer Affluents belonging to the age group between 43 and 65 years. It has been recognised that Gen Z and Millennials are highly educated, digitally native and disproportionately affected by eco-anxiety. As per the opinion of Hafez (2023), demographic segmentation ensures a new product reaches the exact right audience rather than alienating current customers or targeting buyers with zero purchasing intent. Apart from this, Gen X possesses higher disposable incomes and is highly brand-loyal to Dove’s heritage of moisturising formulations. Thus, the above segmentation can help the company to develop a strong customer base during the next brand extension.  </w:t>
      </w:r>
    </w:p>
    <w:p w14:paraId="239C288E" w14:textId="77777777" w:rsidR="00560975" w:rsidRDefault="00DA0F2B">
      <w:pPr>
        <w:numPr>
          <w:ilvl w:val="0"/>
          <w:numId w:val="3"/>
        </w:numPr>
        <w:spacing w:after="240"/>
        <w:rPr>
          <w:b/>
          <w:bCs/>
        </w:rPr>
      </w:pPr>
      <w:r>
        <w:rPr>
          <w:b/>
          <w:bCs/>
        </w:rPr>
        <w:t xml:space="preserve">Psychological segmentation </w:t>
      </w:r>
    </w:p>
    <w:p w14:paraId="38CC9A24" w14:textId="77777777" w:rsidR="00560975" w:rsidRDefault="00DA0F2B">
      <w:pPr>
        <w:spacing w:after="240"/>
      </w:pPr>
      <w:r>
        <w:t>The company is required to focus on the population that belongs to the Lifestyles of Health and Sustainability segment. Psychographic segmentation is considered to be a market research method that groups consumers based on psychological attributes such as lifestyle, values, beliefs and personality (Mowar, 2022). The population within this segment seeks out brands where corporate social responsibility (CSR) aligns perfectly with personal wellness. Attracting such customers can help Unilever to gain scope for addressing its sustainability goals in the coming times. Apart from this, the company is also required to target Experiential Minimalists as they are focused on visual clutter reduction, home organisation aesthetics as well as mindful consumption.</w:t>
      </w:r>
    </w:p>
    <w:p w14:paraId="1C4226A8" w14:textId="77777777" w:rsidR="00560975" w:rsidRDefault="00DA0F2B">
      <w:pPr>
        <w:numPr>
          <w:ilvl w:val="0"/>
          <w:numId w:val="3"/>
        </w:numPr>
        <w:spacing w:after="240"/>
        <w:rPr>
          <w:b/>
          <w:bCs/>
        </w:rPr>
      </w:pPr>
      <w:r>
        <w:rPr>
          <w:b/>
          <w:bCs/>
        </w:rPr>
        <w:t xml:space="preserve">Behavioural segmentation </w:t>
      </w:r>
    </w:p>
    <w:p w14:paraId="30D1AAC3" w14:textId="77777777" w:rsidR="00560975" w:rsidRDefault="00DA0F2B">
      <w:pPr>
        <w:spacing w:after="240"/>
      </w:pPr>
      <w:r>
        <w:t xml:space="preserve">The target displays for Unilever regarding the new brand extension is based on high-frequency, daily usage of personal care products, but exhibits low loyalty to traditional FMCG plastic packaging. As per the opinion of Gonen </w:t>
      </w:r>
      <w:r>
        <w:rPr>
          <w:i/>
          <w:iCs/>
        </w:rPr>
        <w:t xml:space="preserve">et al. </w:t>
      </w:r>
      <w:r>
        <w:t>(2024), consumers are considered to be segmented based on usage rate, brand loyalty as well as benefits sought. It has been recognised that the targeting of such customers actively seeks out multi-functional formulations, high ingredient potency as well as Cradle-to-Cradle or plastic-free certifications.</w:t>
      </w:r>
    </w:p>
    <w:p w14:paraId="7690C95D" w14:textId="77777777" w:rsidR="00560975" w:rsidRDefault="00DA0F2B">
      <w:pPr>
        <w:spacing w:after="240"/>
        <w:rPr>
          <w:b/>
          <w:bCs/>
        </w:rPr>
      </w:pPr>
      <w:r>
        <w:rPr>
          <w:b/>
          <w:bCs/>
        </w:rPr>
        <w:t xml:space="preserve">Target strategy  </w:t>
      </w:r>
    </w:p>
    <w:p w14:paraId="2B89DC6A" w14:textId="77777777" w:rsidR="00560975" w:rsidRDefault="00DA0F2B">
      <w:pPr>
        <w:spacing w:after="240"/>
      </w:pPr>
      <w:r>
        <w:t xml:space="preserve">Unilever is required to deploy a differentiated targeting strategy in terms of introducing its new product line extension, Dove Purity Conc. As per the opinion of Jiang </w:t>
      </w:r>
      <w:r>
        <w:rPr>
          <w:i/>
          <w:iCs/>
        </w:rPr>
        <w:t xml:space="preserve">et al. </w:t>
      </w:r>
      <w:r>
        <w:t xml:space="preserve">(2024), a differentiated targeting strategy is considered to be an approach that influences a firm to divide its overall market into two or more distinct segments. It has been recognised that the influence of a differentiated targeting strategy for a new brand extension can allow Unilever to capture diverse market segments, maximise revenue potential and minimise risk. The rationale behind selecting such a segmentation procedure can help Unilever to prioritise circular economies and ingredient purity above absolute price convenience. </w:t>
      </w:r>
    </w:p>
    <w:p w14:paraId="62D98A13" w14:textId="77777777" w:rsidR="00560975" w:rsidRDefault="00DA0F2B">
      <w:pPr>
        <w:spacing w:after="240"/>
        <w:rPr>
          <w:b/>
          <w:bCs/>
        </w:rPr>
      </w:pPr>
      <w:r>
        <w:rPr>
          <w:b/>
          <w:bCs/>
        </w:rPr>
        <w:t xml:space="preserve">Differentiation matrix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75"/>
        <w:gridCol w:w="3000"/>
        <w:gridCol w:w="1620"/>
        <w:gridCol w:w="3165"/>
      </w:tblGrid>
      <w:tr w:rsidR="00560975" w14:paraId="7C9A9532" w14:textId="77777777">
        <w:tc>
          <w:tcPr>
            <w:tcW w:w="1575" w:type="dxa"/>
            <w:tcMar>
              <w:top w:w="100" w:type="dxa"/>
              <w:left w:w="100" w:type="dxa"/>
              <w:bottom w:w="100" w:type="dxa"/>
              <w:right w:w="100" w:type="dxa"/>
            </w:tcMar>
          </w:tcPr>
          <w:p w14:paraId="4E92E440" w14:textId="77777777" w:rsidR="00560975" w:rsidRDefault="00DA0F2B">
            <w:pPr>
              <w:widowControl w:val="0"/>
              <w:pBdr>
                <w:top w:val="nil"/>
                <w:left w:val="nil"/>
                <w:bottom w:val="nil"/>
                <w:right w:val="nil"/>
                <w:between w:val="nil"/>
              </w:pBdr>
              <w:spacing w:after="240"/>
              <w:jc w:val="center"/>
              <w:rPr>
                <w:b/>
                <w:bCs/>
                <w:i/>
                <w:iCs/>
              </w:rPr>
            </w:pPr>
            <w:r>
              <w:rPr>
                <w:b/>
                <w:bCs/>
                <w:i/>
                <w:iCs/>
              </w:rPr>
              <w:t>Differentiation Pillar</w:t>
            </w:r>
          </w:p>
        </w:tc>
        <w:tc>
          <w:tcPr>
            <w:tcW w:w="3000" w:type="dxa"/>
            <w:tcMar>
              <w:top w:w="100" w:type="dxa"/>
              <w:left w:w="100" w:type="dxa"/>
              <w:bottom w:w="100" w:type="dxa"/>
              <w:right w:w="100" w:type="dxa"/>
            </w:tcMar>
          </w:tcPr>
          <w:p w14:paraId="744B53EC" w14:textId="77777777" w:rsidR="00560975" w:rsidRDefault="00DA0F2B">
            <w:pPr>
              <w:widowControl w:val="0"/>
              <w:pBdr>
                <w:top w:val="nil"/>
                <w:left w:val="nil"/>
                <w:bottom w:val="nil"/>
                <w:right w:val="nil"/>
                <w:between w:val="nil"/>
              </w:pBdr>
              <w:spacing w:after="240"/>
              <w:jc w:val="center"/>
              <w:rPr>
                <w:b/>
                <w:bCs/>
                <w:i/>
                <w:iCs/>
              </w:rPr>
            </w:pPr>
            <w:r>
              <w:rPr>
                <w:b/>
                <w:bCs/>
                <w:i/>
                <w:iCs/>
              </w:rPr>
              <w:t>Traditional Competitors</w:t>
            </w:r>
          </w:p>
        </w:tc>
        <w:tc>
          <w:tcPr>
            <w:tcW w:w="1620" w:type="dxa"/>
            <w:tcMar>
              <w:top w:w="100" w:type="dxa"/>
              <w:left w:w="100" w:type="dxa"/>
              <w:bottom w:w="100" w:type="dxa"/>
              <w:right w:w="100" w:type="dxa"/>
            </w:tcMar>
          </w:tcPr>
          <w:p w14:paraId="08DF7B6D" w14:textId="77777777" w:rsidR="00560975" w:rsidRDefault="00DA0F2B">
            <w:pPr>
              <w:widowControl w:val="0"/>
              <w:pBdr>
                <w:top w:val="nil"/>
                <w:left w:val="nil"/>
                <w:bottom w:val="nil"/>
                <w:right w:val="nil"/>
                <w:between w:val="nil"/>
              </w:pBdr>
              <w:spacing w:after="240"/>
              <w:jc w:val="center"/>
              <w:rPr>
                <w:b/>
                <w:bCs/>
                <w:i/>
                <w:iCs/>
              </w:rPr>
            </w:pPr>
            <w:r>
              <w:rPr>
                <w:b/>
                <w:bCs/>
                <w:i/>
                <w:iCs/>
              </w:rPr>
              <w:t>Niche Eco-Start-ups</w:t>
            </w:r>
          </w:p>
        </w:tc>
        <w:tc>
          <w:tcPr>
            <w:tcW w:w="3165" w:type="dxa"/>
            <w:tcMar>
              <w:top w:w="100" w:type="dxa"/>
              <w:left w:w="100" w:type="dxa"/>
              <w:bottom w:w="100" w:type="dxa"/>
              <w:right w:w="100" w:type="dxa"/>
            </w:tcMar>
          </w:tcPr>
          <w:p w14:paraId="008EAD4A" w14:textId="77777777" w:rsidR="00560975" w:rsidRDefault="00DA0F2B">
            <w:pPr>
              <w:widowControl w:val="0"/>
              <w:pBdr>
                <w:top w:val="nil"/>
                <w:left w:val="nil"/>
                <w:bottom w:val="nil"/>
                <w:right w:val="nil"/>
                <w:between w:val="nil"/>
              </w:pBdr>
              <w:spacing w:after="240"/>
              <w:jc w:val="center"/>
              <w:rPr>
                <w:b/>
                <w:bCs/>
                <w:i/>
                <w:iCs/>
              </w:rPr>
            </w:pPr>
            <w:r>
              <w:rPr>
                <w:b/>
                <w:bCs/>
                <w:i/>
                <w:iCs/>
              </w:rPr>
              <w:t>Dove Purity Conc Ecosystem</w:t>
            </w:r>
          </w:p>
        </w:tc>
      </w:tr>
      <w:tr w:rsidR="00560975" w14:paraId="38B9EB4A" w14:textId="77777777">
        <w:trPr>
          <w:trHeight w:val="1598"/>
        </w:trPr>
        <w:tc>
          <w:tcPr>
            <w:tcW w:w="1575" w:type="dxa"/>
            <w:tcMar>
              <w:top w:w="100" w:type="dxa"/>
              <w:left w:w="100" w:type="dxa"/>
              <w:bottom w:w="100" w:type="dxa"/>
              <w:right w:w="100" w:type="dxa"/>
            </w:tcMar>
          </w:tcPr>
          <w:p w14:paraId="515A8A89" w14:textId="77777777" w:rsidR="00560975" w:rsidRDefault="00DA0F2B">
            <w:pPr>
              <w:widowControl w:val="0"/>
              <w:pBdr>
                <w:top w:val="nil"/>
                <w:left w:val="nil"/>
                <w:bottom w:val="nil"/>
                <w:right w:val="nil"/>
                <w:between w:val="nil"/>
              </w:pBdr>
              <w:spacing w:after="240"/>
            </w:pPr>
            <w:r>
              <w:t>Packaging</w:t>
            </w:r>
          </w:p>
        </w:tc>
        <w:tc>
          <w:tcPr>
            <w:tcW w:w="3000" w:type="dxa"/>
            <w:tcMar>
              <w:top w:w="100" w:type="dxa"/>
              <w:left w:w="100" w:type="dxa"/>
              <w:bottom w:w="100" w:type="dxa"/>
              <w:right w:w="100" w:type="dxa"/>
            </w:tcMar>
          </w:tcPr>
          <w:p w14:paraId="19819A64" w14:textId="77777777" w:rsidR="00560975" w:rsidRDefault="00DA0F2B">
            <w:pPr>
              <w:widowControl w:val="0"/>
              <w:pBdr>
                <w:top w:val="nil"/>
                <w:left w:val="nil"/>
                <w:bottom w:val="nil"/>
                <w:right w:val="nil"/>
                <w:between w:val="nil"/>
              </w:pBdr>
              <w:spacing w:after="240"/>
            </w:pPr>
            <w:r>
              <w:t>Single-use Virgin HDPE or PET plastics</w:t>
            </w:r>
          </w:p>
        </w:tc>
        <w:tc>
          <w:tcPr>
            <w:tcW w:w="1620" w:type="dxa"/>
            <w:tcMar>
              <w:top w:w="100" w:type="dxa"/>
              <w:left w:w="100" w:type="dxa"/>
              <w:bottom w:w="100" w:type="dxa"/>
              <w:right w:w="100" w:type="dxa"/>
            </w:tcMar>
          </w:tcPr>
          <w:p w14:paraId="1C0CA208" w14:textId="77777777" w:rsidR="00560975" w:rsidRDefault="00DA0F2B">
            <w:pPr>
              <w:widowControl w:val="0"/>
              <w:pBdr>
                <w:top w:val="nil"/>
                <w:left w:val="nil"/>
                <w:bottom w:val="nil"/>
                <w:right w:val="nil"/>
                <w:between w:val="nil"/>
              </w:pBdr>
              <w:spacing w:after="240"/>
            </w:pPr>
            <w:r>
              <w:t>Compostable paper or cardboard</w:t>
            </w:r>
          </w:p>
        </w:tc>
        <w:tc>
          <w:tcPr>
            <w:tcW w:w="3165" w:type="dxa"/>
            <w:tcMar>
              <w:top w:w="100" w:type="dxa"/>
              <w:left w:w="100" w:type="dxa"/>
              <w:bottom w:w="100" w:type="dxa"/>
              <w:right w:w="100" w:type="dxa"/>
            </w:tcMar>
          </w:tcPr>
          <w:p w14:paraId="2BB0CD1F" w14:textId="77777777" w:rsidR="00560975" w:rsidRDefault="00DA0F2B">
            <w:pPr>
              <w:widowControl w:val="0"/>
              <w:pBdr>
                <w:top w:val="nil"/>
                <w:left w:val="nil"/>
                <w:bottom w:val="nil"/>
                <w:right w:val="nil"/>
                <w:between w:val="nil"/>
              </w:pBdr>
              <w:spacing w:after="240"/>
            </w:pPr>
            <w:r>
              <w:t>Zero-plastic architectural metal dispensers with bio-compostable dry refills.</w:t>
            </w:r>
          </w:p>
        </w:tc>
      </w:tr>
      <w:tr w:rsidR="00560975" w14:paraId="53170C13" w14:textId="77777777">
        <w:trPr>
          <w:trHeight w:val="1320"/>
        </w:trPr>
        <w:tc>
          <w:tcPr>
            <w:tcW w:w="1575" w:type="dxa"/>
            <w:tcMar>
              <w:top w:w="100" w:type="dxa"/>
              <w:left w:w="100" w:type="dxa"/>
              <w:bottom w:w="100" w:type="dxa"/>
              <w:right w:w="100" w:type="dxa"/>
            </w:tcMar>
          </w:tcPr>
          <w:p w14:paraId="4F84453B" w14:textId="77777777" w:rsidR="00560975" w:rsidRDefault="00DA0F2B">
            <w:pPr>
              <w:widowControl w:val="0"/>
              <w:pBdr>
                <w:top w:val="nil"/>
                <w:left w:val="nil"/>
                <w:bottom w:val="nil"/>
                <w:right w:val="nil"/>
                <w:between w:val="nil"/>
              </w:pBdr>
              <w:spacing w:after="240"/>
            </w:pPr>
            <w:r>
              <w:t>Formulation Efficacy</w:t>
            </w:r>
          </w:p>
        </w:tc>
        <w:tc>
          <w:tcPr>
            <w:tcW w:w="3000" w:type="dxa"/>
            <w:tcMar>
              <w:top w:w="100" w:type="dxa"/>
              <w:left w:w="100" w:type="dxa"/>
              <w:bottom w:w="100" w:type="dxa"/>
              <w:right w:w="100" w:type="dxa"/>
            </w:tcMar>
          </w:tcPr>
          <w:p w14:paraId="2060CFFD" w14:textId="77777777" w:rsidR="00560975" w:rsidRDefault="00DA0F2B">
            <w:pPr>
              <w:widowControl w:val="0"/>
              <w:pBdr>
                <w:top w:val="nil"/>
                <w:left w:val="nil"/>
                <w:bottom w:val="nil"/>
                <w:right w:val="nil"/>
                <w:between w:val="nil"/>
              </w:pBdr>
              <w:spacing w:after="240"/>
            </w:pPr>
            <w:r>
              <w:t>Water-heavy and low active</w:t>
            </w:r>
          </w:p>
        </w:tc>
        <w:tc>
          <w:tcPr>
            <w:tcW w:w="1620" w:type="dxa"/>
            <w:tcMar>
              <w:top w:w="100" w:type="dxa"/>
              <w:left w:w="100" w:type="dxa"/>
              <w:bottom w:w="100" w:type="dxa"/>
              <w:right w:w="100" w:type="dxa"/>
            </w:tcMar>
          </w:tcPr>
          <w:p w14:paraId="3D17D16F" w14:textId="77777777" w:rsidR="00560975" w:rsidRDefault="00DA0F2B">
            <w:pPr>
              <w:widowControl w:val="0"/>
              <w:pBdr>
                <w:top w:val="nil"/>
                <w:left w:val="nil"/>
                <w:bottom w:val="nil"/>
                <w:right w:val="nil"/>
                <w:between w:val="nil"/>
              </w:pBdr>
              <w:spacing w:after="240"/>
            </w:pPr>
            <w:r>
              <w:t>Anhydrous bars or powders</w:t>
            </w:r>
          </w:p>
        </w:tc>
        <w:tc>
          <w:tcPr>
            <w:tcW w:w="3165" w:type="dxa"/>
            <w:tcMar>
              <w:top w:w="100" w:type="dxa"/>
              <w:left w:w="100" w:type="dxa"/>
              <w:bottom w:w="100" w:type="dxa"/>
              <w:right w:w="100" w:type="dxa"/>
            </w:tcMar>
          </w:tcPr>
          <w:p w14:paraId="55CA75D3" w14:textId="77777777" w:rsidR="00560975" w:rsidRDefault="00DA0F2B">
            <w:pPr>
              <w:widowControl w:val="0"/>
              <w:pBdr>
                <w:top w:val="nil"/>
                <w:left w:val="nil"/>
                <w:bottom w:val="nil"/>
                <w:right w:val="nil"/>
                <w:between w:val="nil"/>
              </w:pBdr>
              <w:spacing w:after="240"/>
            </w:pPr>
            <w:r>
              <w:t>Anhydrous formulas infused with Dove’s 1/4 moisturising cream</w:t>
            </w:r>
          </w:p>
        </w:tc>
      </w:tr>
      <w:tr w:rsidR="00560975" w14:paraId="5D8E4773" w14:textId="77777777">
        <w:trPr>
          <w:trHeight w:val="1320"/>
        </w:trPr>
        <w:tc>
          <w:tcPr>
            <w:tcW w:w="1575" w:type="dxa"/>
            <w:tcMar>
              <w:top w:w="100" w:type="dxa"/>
              <w:left w:w="100" w:type="dxa"/>
              <w:bottom w:w="100" w:type="dxa"/>
              <w:right w:w="100" w:type="dxa"/>
            </w:tcMar>
          </w:tcPr>
          <w:p w14:paraId="36370860" w14:textId="77777777" w:rsidR="00560975" w:rsidRDefault="00DA0F2B">
            <w:pPr>
              <w:widowControl w:val="0"/>
              <w:pBdr>
                <w:top w:val="nil"/>
                <w:left w:val="nil"/>
                <w:bottom w:val="nil"/>
                <w:right w:val="nil"/>
                <w:between w:val="nil"/>
              </w:pBdr>
              <w:spacing w:after="240"/>
            </w:pPr>
            <w:r>
              <w:t>Supply Chain</w:t>
            </w:r>
          </w:p>
        </w:tc>
        <w:tc>
          <w:tcPr>
            <w:tcW w:w="3000" w:type="dxa"/>
            <w:tcMar>
              <w:top w:w="100" w:type="dxa"/>
              <w:left w:w="100" w:type="dxa"/>
              <w:bottom w:w="100" w:type="dxa"/>
              <w:right w:w="100" w:type="dxa"/>
            </w:tcMar>
          </w:tcPr>
          <w:p w14:paraId="78490BAF" w14:textId="77777777" w:rsidR="00560975" w:rsidRDefault="00DA0F2B">
            <w:pPr>
              <w:widowControl w:val="0"/>
              <w:pBdr>
                <w:top w:val="nil"/>
                <w:left w:val="nil"/>
                <w:bottom w:val="nil"/>
                <w:right w:val="nil"/>
                <w:between w:val="nil"/>
              </w:pBdr>
              <w:spacing w:after="240"/>
            </w:pPr>
            <w:r>
              <w:t>Heavy carbon footprint from shipping heavy water globally.</w:t>
            </w:r>
          </w:p>
        </w:tc>
        <w:tc>
          <w:tcPr>
            <w:tcW w:w="1620" w:type="dxa"/>
            <w:tcMar>
              <w:top w:w="100" w:type="dxa"/>
              <w:left w:w="100" w:type="dxa"/>
              <w:bottom w:w="100" w:type="dxa"/>
              <w:right w:w="100" w:type="dxa"/>
            </w:tcMar>
          </w:tcPr>
          <w:p w14:paraId="25523D59" w14:textId="77777777" w:rsidR="00560975" w:rsidRDefault="00DA0F2B">
            <w:pPr>
              <w:widowControl w:val="0"/>
              <w:pBdr>
                <w:top w:val="nil"/>
                <w:left w:val="nil"/>
                <w:bottom w:val="nil"/>
                <w:right w:val="nil"/>
                <w:between w:val="nil"/>
              </w:pBdr>
              <w:spacing w:after="240"/>
            </w:pPr>
            <w:r>
              <w:t>Limited retail footprint</w:t>
            </w:r>
          </w:p>
        </w:tc>
        <w:tc>
          <w:tcPr>
            <w:tcW w:w="3165" w:type="dxa"/>
            <w:tcMar>
              <w:top w:w="100" w:type="dxa"/>
              <w:left w:w="100" w:type="dxa"/>
              <w:bottom w:w="100" w:type="dxa"/>
              <w:right w:w="100" w:type="dxa"/>
            </w:tcMar>
          </w:tcPr>
          <w:p w14:paraId="5F085413" w14:textId="77777777" w:rsidR="00560975" w:rsidRDefault="00DA0F2B">
            <w:pPr>
              <w:widowControl w:val="0"/>
              <w:pBdr>
                <w:top w:val="nil"/>
                <w:left w:val="nil"/>
                <w:bottom w:val="nil"/>
                <w:right w:val="nil"/>
                <w:between w:val="nil"/>
              </w:pBdr>
              <w:spacing w:after="240"/>
            </w:pPr>
            <w:r>
              <w:t>Unilever’s global scale ensures cost efficiencies</w:t>
            </w:r>
          </w:p>
        </w:tc>
      </w:tr>
    </w:tbl>
    <w:p w14:paraId="3657EBDB" w14:textId="77777777" w:rsidR="00560975" w:rsidRDefault="00DA0F2B">
      <w:pPr>
        <w:spacing w:after="240"/>
        <w:jc w:val="center"/>
        <w:rPr>
          <w:b/>
          <w:bCs/>
        </w:rPr>
      </w:pPr>
      <w:r>
        <w:rPr>
          <w:b/>
          <w:bCs/>
        </w:rPr>
        <w:t xml:space="preserve">Table 1: Differentiation Matrix </w:t>
      </w:r>
    </w:p>
    <w:p w14:paraId="66000BAB" w14:textId="77777777" w:rsidR="00560975" w:rsidRDefault="00DA0F2B">
      <w:pPr>
        <w:spacing w:after="240"/>
        <w:jc w:val="center"/>
      </w:pPr>
      <w:r>
        <w:t>(Source: Self-developed)</w:t>
      </w:r>
    </w:p>
    <w:p w14:paraId="2ACC9A88" w14:textId="77777777" w:rsidR="00560975" w:rsidRDefault="00DA0F2B">
      <w:pPr>
        <w:spacing w:after="240"/>
        <w:rPr>
          <w:b/>
          <w:bCs/>
        </w:rPr>
      </w:pPr>
      <w:r>
        <w:rPr>
          <w:b/>
          <w:bCs/>
        </w:rPr>
        <w:t xml:space="preserve">Brand positioning </w:t>
      </w:r>
    </w:p>
    <w:p w14:paraId="06510D1B" w14:textId="77777777" w:rsidR="00560975" w:rsidRDefault="00DA0F2B">
      <w:pPr>
        <w:spacing w:after="240"/>
        <w:jc w:val="center"/>
        <w:rPr>
          <w:b/>
          <w:bCs/>
        </w:rPr>
      </w:pPr>
      <w:r>
        <w:rPr>
          <w:b/>
          <w:bCs/>
          <w:noProof/>
        </w:rPr>
        <w:drawing>
          <wp:inline distT="114300" distB="114300" distL="114300" distR="114300" wp14:anchorId="42C905C1" wp14:editId="34EE9B86">
            <wp:extent cx="5943600" cy="4178300"/>
            <wp:effectExtent l="12700" t="12700" r="12700" b="127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4178300"/>
                    </a:xfrm>
                    <a:prstGeom prst="rect">
                      <a:avLst/>
                    </a:prstGeom>
                    <a:ln w="12700">
                      <a:solidFill>
                        <a:srgbClr val="000000"/>
                      </a:solidFill>
                      <a:prstDash val="solid"/>
                    </a:ln>
                  </pic:spPr>
                </pic:pic>
              </a:graphicData>
            </a:graphic>
          </wp:inline>
        </w:drawing>
      </w:r>
    </w:p>
    <w:p w14:paraId="6E707309" w14:textId="77777777" w:rsidR="00560975" w:rsidRDefault="00DA0F2B">
      <w:pPr>
        <w:spacing w:after="240"/>
        <w:jc w:val="center"/>
        <w:rPr>
          <w:b/>
          <w:bCs/>
        </w:rPr>
      </w:pPr>
      <w:r>
        <w:rPr>
          <w:b/>
          <w:bCs/>
        </w:rPr>
        <w:t xml:space="preserve">Figure 2: Positioning map </w:t>
      </w:r>
    </w:p>
    <w:p w14:paraId="6AFA233E" w14:textId="77777777" w:rsidR="00560975" w:rsidRDefault="00DA0F2B">
      <w:pPr>
        <w:spacing w:after="240"/>
        <w:jc w:val="center"/>
      </w:pPr>
      <w:r>
        <w:t>(Source: Self-developed)</w:t>
      </w:r>
    </w:p>
    <w:p w14:paraId="1926EED9" w14:textId="77777777" w:rsidR="00560975" w:rsidRDefault="00DA0F2B">
      <w:pPr>
        <w:spacing w:after="240"/>
      </w:pPr>
      <w:r>
        <w:t xml:space="preserve">According to the above-mentioned figure, the potential competitors of Unilever are L’Oréal, P&amp;G and Cussons. It has been recognised that Dove Purity Conc will offer a luxurious as well as zero-plastic personal care ecosystem. As per the opinion of Mady </w:t>
      </w:r>
      <w:r>
        <w:rPr>
          <w:i/>
          <w:iCs/>
        </w:rPr>
        <w:t xml:space="preserve">et al. </w:t>
      </w:r>
      <w:r>
        <w:t>(2026), introducing eco-friendly and sustainable product lines helps a business to gain a competitive advantage. It has been recognised that, unlike traditional brands that ship water within disposable plastic or abrasive sustainable alternatives, the new brand extension of Unilever combines iconic 1/4 moisturising cream with elegant. This can help the company to gain a competitive advantage as well as develop a strong customer base within the sector in the initial stage. Apart from this, the company is required to integrate strong marketing strategies in terms of adapting to the intense market competition in the initial stage.</w:t>
      </w:r>
    </w:p>
    <w:p w14:paraId="05A5AEE9" w14:textId="77777777" w:rsidR="00560975" w:rsidRDefault="00DA0F2B">
      <w:pPr>
        <w:pStyle w:val="Heading1"/>
        <w:spacing w:after="240"/>
      </w:pPr>
      <w:bookmarkStart w:id="4" w:name="_Toc237512586"/>
      <w:r>
        <w:t>Element 3: Marketing Mix (4Ps or 7Ps)</w:t>
      </w:r>
      <w:bookmarkEnd w:id="4"/>
      <w:r>
        <w:t xml:space="preserve"> </w:t>
      </w:r>
    </w:p>
    <w:p w14:paraId="4033DD56" w14:textId="77777777" w:rsidR="00560975" w:rsidRDefault="00DA0F2B">
      <w:pPr>
        <w:numPr>
          <w:ilvl w:val="0"/>
          <w:numId w:val="2"/>
        </w:numPr>
        <w:spacing w:after="240"/>
        <w:rPr>
          <w:b/>
          <w:bCs/>
        </w:rPr>
      </w:pPr>
      <w:r>
        <w:rPr>
          <w:b/>
          <w:bCs/>
        </w:rPr>
        <w:t xml:space="preserve">Product strategy </w:t>
      </w:r>
    </w:p>
    <w:p w14:paraId="20BF0B07" w14:textId="77777777" w:rsidR="00560975" w:rsidRDefault="00DA0F2B">
      <w:pPr>
        <w:spacing w:after="240"/>
      </w:pPr>
      <w:r>
        <w:t xml:space="preserve">It has been recognised that the core value proposition of Dove Purity Conc moves away from traditional single-use liquid formulations toward a circular product architecture. In essence, Unilever will be required to separate the functional formula from the water instead of selling a product that is mostly water packaged in high-density polyethene. Based on this aspect, the company is suggested to integrate a system design that uses product lines that are highly concentrated for body wash, shampoo, and hand hygiene. As per the opinion of Rihayana </w:t>
      </w:r>
      <w:r>
        <w:rPr>
          <w:i/>
          <w:iCs/>
        </w:rPr>
        <w:t xml:space="preserve">et al. </w:t>
      </w:r>
      <w:r>
        <w:t xml:space="preserve">(2022), a product strategy defines the features, design, branding as well as quality required to satisfy the target market's needs and stand out from competitors. The integration of such a design will help Unilever to build on consumer trends toward minimalist routines as well as gain potential for addressing water scarcity concerns. This can also help the company to meet its sustainable goals in the coming times. </w:t>
      </w:r>
    </w:p>
    <w:p w14:paraId="5C16DCC4" w14:textId="77777777" w:rsidR="00560975" w:rsidRDefault="00DA0F2B">
      <w:pPr>
        <w:spacing w:after="240"/>
      </w:pPr>
      <w:r>
        <w:t xml:space="preserve">Unilever is required to focus on introducing compressed active bars or powder packets packaged in 100% home-compostable packaging in terms of maintaining an eco-friendly practice. The UK FSC-certified products are sourced from responsibly managed forests, audited against the Forest Stewardship Council UK guidelines (Fsc, 2026). In essence, Unilever is suggested to follow the FSC-certified packaging system in terms of integrating sustainable practice. The influence of such a strategy applies to the Eco-Design Framework, which embeds environmental considerations into the earliest stages of product development. Schulte and Knuts (2022) have highlighted that maintaining sustainable practices during new product extensions significantly reduces environmental impact, lowers carbon footprints, and mitigates regulatory risks. Thus, integrating such a strategy can enable Unilever to meet evolving consumer demands, foster brand loyalty and drive long-term cost savings through improved resource efficiency. </w:t>
      </w:r>
    </w:p>
    <w:p w14:paraId="74202125" w14:textId="77777777" w:rsidR="00560975" w:rsidRDefault="00DA0F2B">
      <w:pPr>
        <w:numPr>
          <w:ilvl w:val="0"/>
          <w:numId w:val="2"/>
        </w:numPr>
        <w:spacing w:after="240"/>
        <w:rPr>
          <w:b/>
          <w:bCs/>
        </w:rPr>
      </w:pPr>
      <w:r>
        <w:rPr>
          <w:b/>
          <w:bCs/>
        </w:rPr>
        <w:t xml:space="preserve">Price strategy </w:t>
      </w:r>
    </w:p>
    <w:p w14:paraId="0FA46F65" w14:textId="77777777" w:rsidR="00560975" w:rsidRDefault="00DA0F2B">
      <w:pPr>
        <w:spacing w:after="240"/>
      </w:pPr>
      <w:r>
        <w:t xml:space="preserve">The company is suggested to integrate a Value-Based pricing strategy while introducing the new product extension within the UK SMCG market. As per the opinion of Hoffmann </w:t>
      </w:r>
      <w:r>
        <w:rPr>
          <w:i/>
          <w:iCs/>
        </w:rPr>
        <w:t xml:space="preserve">et al. </w:t>
      </w:r>
      <w:r>
        <w:t>(2023), a value-based pricing strategy sets prices based on what customers are willing to pay rather than production costs or historical margins. It has been recognised that pricing an eco-friendly innovation within a mass-market category needs a balance between covering initial R&amp;D costs as well as ensuring broad market adoption. This signifies that balancing initial R&amp;D costs and broad market adoption can help Unilever to establish a greenium while preventing the product from remaining a niche luxury.</w:t>
      </w:r>
    </w:p>
    <w:p w14:paraId="32523F59" w14:textId="77777777" w:rsidR="00560975" w:rsidRDefault="00DA0F2B">
      <w:pPr>
        <w:spacing w:after="240"/>
      </w:pPr>
      <w:r>
        <w:t xml:space="preserve">The strategy signifies that the durable aluminium vessel and an initial set of three concentrate refills will be priced at a premium tier. This is considered to be a starter kit for Unilever and the higher initial price will be justified by the design, durability as well as material value of the permanent bottle. However, Unilever will need to evaluate its competitor offerings and substitute products in terms of understanding the baseline market standard. The influence of such a pricing strategy can help the company to lower the barrier to long-term adoption. As per the opinion of Arku </w:t>
      </w:r>
      <w:r>
        <w:rPr>
          <w:i/>
          <w:iCs/>
        </w:rPr>
        <w:t xml:space="preserve">et al. </w:t>
      </w:r>
      <w:r>
        <w:t xml:space="preserve">(2024), a value-based pricing strategy is considered to be highly effective for luxury goods, unique or highly differentiated products and outcome-based B2B services. Adopting the concept of the Triple Bottom Line framework demonstrates that sustainable choices can become cost-effective over time (Nogueira </w:t>
      </w:r>
      <w:r>
        <w:rPr>
          <w:i/>
          <w:iCs/>
        </w:rPr>
        <w:t xml:space="preserve">et al. </w:t>
      </w:r>
      <w:r>
        <w:t xml:space="preserve">2023). This signifies that Unilever's consumers buy the starter kit, and the cost of staying in the ecosystem is competitive with traditional options. </w:t>
      </w:r>
    </w:p>
    <w:p w14:paraId="18550204" w14:textId="77777777" w:rsidR="00560975" w:rsidRDefault="00DA0F2B">
      <w:pPr>
        <w:numPr>
          <w:ilvl w:val="0"/>
          <w:numId w:val="2"/>
        </w:numPr>
        <w:spacing w:after="240"/>
        <w:rPr>
          <w:b/>
          <w:bCs/>
        </w:rPr>
      </w:pPr>
      <w:r>
        <w:rPr>
          <w:b/>
          <w:bCs/>
        </w:rPr>
        <w:t xml:space="preserve">Place strategy </w:t>
      </w:r>
    </w:p>
    <w:p w14:paraId="103B0E46" w14:textId="77777777" w:rsidR="00560975" w:rsidRDefault="00DA0F2B">
      <w:pPr>
        <w:spacing w:after="240"/>
      </w:pPr>
      <w:r>
        <w:t xml:space="preserve">Unilever is required to leverage an Omnichannel Closed-Loop Distribution Network as a distribution strategy for Dove Purity Conc, in terms of minimising carbon emissions during transport while making refilling highly accessible. According to the analysis of De Giovanni (2022), an Omnichannel Closed-Loop Distribution Network merges seamless, multi-touchpoint shopping with a reverse supply chain that collects, repairs, or recycles used products. In essence, the company is required to design channels such as Direct-to-Consumer (DTC) Subscription and Mass-Market Retail Channels. Based on this aspect, Unilever needs to focus on collaborating with local postal networks as concentrates are flat, lightweight and dry, enabling delivery in standard paper. This can help the company to reduce single-trip shipping emissions as the digital subscription model automates recurring deliveries. </w:t>
      </w:r>
    </w:p>
    <w:p w14:paraId="449F5D75" w14:textId="77777777" w:rsidR="00560975" w:rsidRDefault="00DA0F2B">
      <w:pPr>
        <w:spacing w:after="240"/>
      </w:pPr>
      <w:r>
        <w:t xml:space="preserve">Omnichannel distribution integrates physical and digital channels that can help Unilever with a unified logistics ecosystem. As per the analysis of Salvietti </w:t>
      </w:r>
      <w:r>
        <w:rPr>
          <w:i/>
          <w:iCs/>
        </w:rPr>
        <w:t xml:space="preserve">et al. </w:t>
      </w:r>
      <w:r>
        <w:t xml:space="preserve">(2025), an omnichannel distribution strategy allows customers to browse, purchase, receive, and return products seamlessly across any combination of touchpoints without operational friction. The influence of such a strategy can reduce Unilever’s required shelf and warehouse space by nearly 70% compared to bottled liquids. Apart from this, the strategy can also help the company to allow retailers to maximise their inventory efficiency. Thus, the influence of such a strategy can help in introducing Unilever’s new product extension as well as maintain competitive advantage in initial situations. </w:t>
      </w:r>
    </w:p>
    <w:p w14:paraId="30D13D07" w14:textId="77777777" w:rsidR="00560975" w:rsidRDefault="00DA0F2B">
      <w:pPr>
        <w:numPr>
          <w:ilvl w:val="0"/>
          <w:numId w:val="2"/>
        </w:numPr>
        <w:spacing w:after="240"/>
        <w:rPr>
          <w:b/>
          <w:bCs/>
        </w:rPr>
      </w:pPr>
      <w:r>
        <w:rPr>
          <w:b/>
          <w:bCs/>
        </w:rPr>
        <w:t xml:space="preserve">Promotional strategy </w:t>
      </w:r>
    </w:p>
    <w:p w14:paraId="661F021E" w14:textId="77777777" w:rsidR="00560975" w:rsidRDefault="00DA0F2B">
      <w:pPr>
        <w:spacing w:after="240"/>
      </w:pPr>
      <w:r>
        <w:t xml:space="preserve">It has been recognised that Unilever has introduced various marketing campaigns such as “Dove's Campaign for Real Beauty”, in terms of developing a wider customer base (Unilever, 2026). Based on this aspect, the company is suggested to integrate a Purpose-Driven Authentic Marketing strategy in terms of promoting its new brand extension within the UK’s FMCG market. As per the opinion of Fernandes </w:t>
      </w:r>
      <w:r>
        <w:rPr>
          <w:i/>
          <w:iCs/>
        </w:rPr>
        <w:t xml:space="preserve">et al. </w:t>
      </w:r>
      <w:r>
        <w:t xml:space="preserve">(2024), a purpose-driven, authentic marketing strategy aligns a firm’s core business values with social or environmental missions. Apart from this, the company is also suggested to integrate Eco-labelling within its packaging system in terms of enhancing its promotion strategy. </w:t>
      </w:r>
    </w:p>
    <w:p w14:paraId="4EA12B2A" w14:textId="77777777" w:rsidR="00560975" w:rsidRDefault="00DA0F2B">
      <w:pPr>
        <w:spacing w:after="240"/>
      </w:pPr>
      <w:r>
        <w:t xml:space="preserve">The introduction of a promotional campaign can help Unilever to bridge personal care with planetary care as well as promote its organisational sustainable goals and mission. This can help in spreading awareness among Unilever’s potential consumer base. As per the opinion of Simbolon </w:t>
      </w:r>
      <w:r>
        <w:rPr>
          <w:i/>
          <w:iCs/>
        </w:rPr>
        <w:t xml:space="preserve">et al. </w:t>
      </w:r>
      <w:r>
        <w:t xml:space="preserve">(2022), the influence of a strong promotional strategy helps to build brand awareness, generate immediate leads and drive long-term sales by directly connecting a brand's value proposition with its target audience. Thus, the influence of such a strategy can help Unilever to promote its new product extension among a wider customer base. </w:t>
      </w:r>
      <w:r>
        <w:br w:type="page"/>
      </w:r>
    </w:p>
    <w:p w14:paraId="1801C42D" w14:textId="77777777" w:rsidR="00560975" w:rsidRDefault="00DA0F2B">
      <w:pPr>
        <w:pStyle w:val="Heading1"/>
        <w:spacing w:after="240"/>
      </w:pPr>
      <w:bookmarkStart w:id="5" w:name="_Toc237512587"/>
      <w:r>
        <w:t>Element 4: Reflection</w:t>
      </w:r>
      <w:bookmarkEnd w:id="5"/>
    </w:p>
    <w:p w14:paraId="16CFA4A1" w14:textId="77777777" w:rsidR="00560975" w:rsidRDefault="00DA0F2B">
      <w:pPr>
        <w:spacing w:after="240"/>
        <w:rPr>
          <w:b/>
          <w:bCs/>
        </w:rPr>
      </w:pPr>
      <w:r>
        <w:rPr>
          <w:b/>
          <w:bCs/>
        </w:rPr>
        <w:t xml:space="preserve">Introduction to Gibbs reflective cycle </w:t>
      </w:r>
    </w:p>
    <w:p w14:paraId="36EB6365" w14:textId="77777777" w:rsidR="00560975" w:rsidRDefault="00DA0F2B">
      <w:pPr>
        <w:spacing w:after="240"/>
      </w:pPr>
      <w:r>
        <w:t xml:space="preserve">Reflective practice is considered to be an essential component of personal and professional development. This helps marketers to evaluate past experiences, identify skill gaps and continuously adapt to evolving industry demands. In essence, the reflection critically examines my experience during the development of a marketing strategy and digital poster presentation for Dove Purity Conc, a proposed sustainable brand extension for Unilever using Gibbs reflective cycle. Gibbs' Reflective Cycle is a structured six-stage framework used to learn from experience that comprises event description, exploring emotions, evaluating results, analysing causes, drawing conclusions, and planning future actions (Beldar, 2025). This can help me to improve personal and professional practice. </w:t>
      </w:r>
    </w:p>
    <w:p w14:paraId="7F50E84A" w14:textId="77777777" w:rsidR="00560975" w:rsidRDefault="00DA0F2B">
      <w:pPr>
        <w:spacing w:after="240"/>
        <w:jc w:val="center"/>
      </w:pPr>
      <w:r>
        <w:rPr>
          <w:noProof/>
        </w:rPr>
        <w:drawing>
          <wp:inline distT="114300" distB="114300" distL="114300" distR="114300" wp14:anchorId="40D1386D" wp14:editId="356E71C9">
            <wp:extent cx="3576638" cy="3576638"/>
            <wp:effectExtent l="12700" t="12700" r="12700" b="127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576638" cy="3576638"/>
                    </a:xfrm>
                    <a:prstGeom prst="rect">
                      <a:avLst/>
                    </a:prstGeom>
                    <a:ln w="12700">
                      <a:solidFill>
                        <a:srgbClr val="000000"/>
                      </a:solidFill>
                      <a:prstDash val="solid"/>
                    </a:ln>
                  </pic:spPr>
                </pic:pic>
              </a:graphicData>
            </a:graphic>
          </wp:inline>
        </w:drawing>
      </w:r>
    </w:p>
    <w:p w14:paraId="5DEC4D7A" w14:textId="77777777" w:rsidR="00560975" w:rsidRDefault="00DA0F2B">
      <w:pPr>
        <w:spacing w:after="240"/>
        <w:jc w:val="center"/>
        <w:rPr>
          <w:b/>
          <w:bCs/>
        </w:rPr>
      </w:pPr>
      <w:r>
        <w:rPr>
          <w:b/>
          <w:bCs/>
        </w:rPr>
        <w:t xml:space="preserve">Figure 3: Gibbs reflective cycle </w:t>
      </w:r>
    </w:p>
    <w:p w14:paraId="4D651F0E" w14:textId="77777777" w:rsidR="00560975" w:rsidRDefault="00DA0F2B">
      <w:pPr>
        <w:spacing w:after="240"/>
        <w:jc w:val="center"/>
      </w:pPr>
      <w:r>
        <w:t>(Source: Self-developed)</w:t>
      </w:r>
    </w:p>
    <w:p w14:paraId="3B653ED8" w14:textId="77777777" w:rsidR="00560975" w:rsidRDefault="00DA0F2B">
      <w:pPr>
        <w:spacing w:after="240"/>
        <w:rPr>
          <w:b/>
          <w:bCs/>
          <w:i/>
          <w:iCs/>
        </w:rPr>
      </w:pPr>
      <w:r>
        <w:rPr>
          <w:b/>
          <w:bCs/>
          <w:i/>
          <w:iCs/>
        </w:rPr>
        <w:t xml:space="preserve">Description </w:t>
      </w:r>
    </w:p>
    <w:p w14:paraId="3628A761" w14:textId="77777777" w:rsidR="00560975" w:rsidRDefault="00DA0F2B">
      <w:pPr>
        <w:spacing w:after="240"/>
      </w:pPr>
      <w:r>
        <w:t xml:space="preserve">The development of the marketing strategy as well as the poster presentation for Unilever’s Dove Purity Conc has provided me with significant insights into the balance between corporate commercial objectives as well as various environmental limits. I have learned that a sustainable brand extension integrates eco-friendly practices or products into a new category while leveraging parent brand equity. I believe that reflecting on my potential skills and experience that I have gained throughout this assessment can help me to change my understanding of sustainable brand management, while also sharpening practical skills critical for my ongoing professional and personal development. </w:t>
      </w:r>
    </w:p>
    <w:p w14:paraId="50AA15F2" w14:textId="77777777" w:rsidR="00560975" w:rsidRDefault="00DA0F2B">
      <w:pPr>
        <w:spacing w:after="240"/>
        <w:rPr>
          <w:b/>
          <w:bCs/>
          <w:i/>
          <w:iCs/>
        </w:rPr>
      </w:pPr>
      <w:r>
        <w:rPr>
          <w:b/>
          <w:bCs/>
          <w:i/>
          <w:iCs/>
        </w:rPr>
        <w:t xml:space="preserve">Feelings </w:t>
      </w:r>
    </w:p>
    <w:p w14:paraId="2818B95C" w14:textId="77777777" w:rsidR="00560975" w:rsidRDefault="00DA0F2B">
      <w:pPr>
        <w:spacing w:after="240"/>
      </w:pPr>
      <w:r>
        <w:t>My understanding of green marketing was largely limited before this project. I felt anxious while acknowledging that I have limited knowledge of using recycled packaging or purchasing carbon offsets. However, the development of this brand extension has forced me to shift toward an eco-design framework. I have realised that my personal capability lacks critical thinking ability, which has hindered my ability while I was developing the marketing strategies for Unilever’s Dove Purity Conc. As per the analysis of Özbay (2026), lack of critical thinking ability is often tied to educational systems such as prioritising rote memorisation, information overload as well as heavy reliance on technology. Apart from this, the primary challenge that I have faced was to maintain Dove’s core brand promise while completely altering the delivery system from a liquid to a waterless concentrate.</w:t>
      </w:r>
    </w:p>
    <w:p w14:paraId="578BCD18" w14:textId="77777777" w:rsidR="00560975" w:rsidRDefault="00DA0F2B">
      <w:pPr>
        <w:spacing w:after="240"/>
        <w:rPr>
          <w:b/>
          <w:bCs/>
          <w:i/>
          <w:iCs/>
        </w:rPr>
      </w:pPr>
      <w:r>
        <w:rPr>
          <w:b/>
          <w:bCs/>
          <w:i/>
          <w:iCs/>
        </w:rPr>
        <w:t xml:space="preserve">Evaluation </w:t>
      </w:r>
    </w:p>
    <w:p w14:paraId="29480748" w14:textId="77777777" w:rsidR="00560975" w:rsidRDefault="00DA0F2B">
      <w:pPr>
        <w:spacing w:after="240"/>
      </w:pPr>
      <w:r>
        <w:t xml:space="preserve">The development of the marketing strategies has deepened my understanding of the Triple Bottom Line framework. I have evaluated that true sustainable innovation requires alignment between supply chain logistics as well as authentic consumer value. On the other hand, I have realised that a lack of digital skills within my personal abilities has hindered the design of the digital poster in Element 1 of this assessment. Rodríguez </w:t>
      </w:r>
      <w:r>
        <w:rPr>
          <w:i/>
          <w:iCs/>
        </w:rPr>
        <w:t xml:space="preserve">et al. </w:t>
      </w:r>
      <w:r>
        <w:t xml:space="preserve">(2024) have highlighted that a lack of digital skills reduces academic performance and further affects professional career goals. </w:t>
      </w:r>
    </w:p>
    <w:p w14:paraId="4B4C2EC5" w14:textId="77777777" w:rsidR="00560975" w:rsidRDefault="00DA0F2B">
      <w:pPr>
        <w:spacing w:after="240"/>
        <w:rPr>
          <w:b/>
          <w:bCs/>
          <w:i/>
          <w:iCs/>
        </w:rPr>
      </w:pPr>
      <w:r>
        <w:rPr>
          <w:b/>
          <w:bCs/>
          <w:i/>
          <w:iCs/>
        </w:rPr>
        <w:t xml:space="preserve">Analysis </w:t>
      </w:r>
    </w:p>
    <w:p w14:paraId="44AB1EB2" w14:textId="77777777" w:rsidR="00560975" w:rsidRDefault="00DA0F2B">
      <w:pPr>
        <w:spacing w:after="240"/>
      </w:pPr>
      <w:r>
        <w:t xml:space="preserve">I have analysed that cultivating intellectual curiosity by deconstructing arguments and checking information against reliable sources can help to improve my critical thinking ability. Additionally, improving my critical thinking skills can help me to develop better, sustainable marketing strategies. Apart from this, I also believe that the project bridges the gap between traditional marketing as well as the growing demands of a circular economy. However, the development of the sustainable marketing mix has made me a more analytical marketer. This can help in expanding the scope for achieving higher grades in my academic performance. </w:t>
      </w:r>
    </w:p>
    <w:p w14:paraId="73C5786A" w14:textId="77777777" w:rsidR="00560975" w:rsidRDefault="00DA0F2B">
      <w:pPr>
        <w:spacing w:after="240"/>
        <w:rPr>
          <w:b/>
          <w:bCs/>
          <w:i/>
          <w:iCs/>
        </w:rPr>
      </w:pPr>
      <w:r>
        <w:rPr>
          <w:b/>
          <w:bCs/>
          <w:i/>
          <w:iCs/>
        </w:rPr>
        <w:t xml:space="preserve">Conclusion </w:t>
      </w:r>
    </w:p>
    <w:p w14:paraId="79A96DF8" w14:textId="77777777" w:rsidR="00560975" w:rsidRDefault="00DA0F2B">
      <w:pPr>
        <w:spacing w:after="240"/>
      </w:pPr>
      <w:r>
        <w:t xml:space="preserve">In conclusion, I need to collaborate with technical experts within the university in terms of gaining more knowledge in MS PowerPoint. Moreover, I believe that I need to dive deeper into consumer neuroscience and behavioural economics in terms of understanding how to nudge consumers past the green attitude-behaviour gap. Thus, improving such skills can help me to enhance my academic performance in recent items as well as widen my career growth scope in the coming times. </w:t>
      </w:r>
    </w:p>
    <w:p w14:paraId="73ECBFD9" w14:textId="77777777" w:rsidR="00560975" w:rsidRDefault="00DA0F2B">
      <w:pPr>
        <w:spacing w:after="240"/>
        <w:rPr>
          <w:i/>
          <w:iCs/>
        </w:rPr>
      </w:pPr>
      <w:r>
        <w:rPr>
          <w:b/>
          <w:bCs/>
          <w:i/>
          <w:iCs/>
        </w:rPr>
        <w:t>Action Plan</w:t>
      </w:r>
      <w:r>
        <w:rPr>
          <w:i/>
          <w:iCs/>
        </w:rPr>
        <w:t xml:space="preserve"> </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1425"/>
        <w:gridCol w:w="3795"/>
        <w:gridCol w:w="1380"/>
      </w:tblGrid>
      <w:tr w:rsidR="00560975" w14:paraId="202DB451" w14:textId="77777777">
        <w:tc>
          <w:tcPr>
            <w:tcW w:w="2760" w:type="dxa"/>
            <w:tcMar>
              <w:top w:w="100" w:type="dxa"/>
              <w:left w:w="100" w:type="dxa"/>
              <w:bottom w:w="100" w:type="dxa"/>
              <w:right w:w="100" w:type="dxa"/>
            </w:tcMar>
          </w:tcPr>
          <w:p w14:paraId="5C88D24E" w14:textId="77777777" w:rsidR="00560975" w:rsidRDefault="00DA0F2B">
            <w:pPr>
              <w:widowControl w:val="0"/>
              <w:pBdr>
                <w:top w:val="nil"/>
                <w:left w:val="nil"/>
                <w:bottom w:val="nil"/>
                <w:right w:val="nil"/>
                <w:between w:val="nil"/>
              </w:pBdr>
              <w:spacing w:line="240" w:lineRule="auto"/>
              <w:jc w:val="center"/>
              <w:rPr>
                <w:b/>
                <w:bCs/>
              </w:rPr>
            </w:pPr>
            <w:r>
              <w:rPr>
                <w:b/>
                <w:bCs/>
              </w:rPr>
              <w:t>Specific Goal</w:t>
            </w:r>
          </w:p>
        </w:tc>
        <w:tc>
          <w:tcPr>
            <w:tcW w:w="1425" w:type="dxa"/>
            <w:tcMar>
              <w:top w:w="100" w:type="dxa"/>
              <w:left w:w="100" w:type="dxa"/>
              <w:bottom w:w="100" w:type="dxa"/>
              <w:right w:w="100" w:type="dxa"/>
            </w:tcMar>
          </w:tcPr>
          <w:p w14:paraId="07F8D886" w14:textId="77777777" w:rsidR="00560975" w:rsidRDefault="00DA0F2B">
            <w:pPr>
              <w:widowControl w:val="0"/>
              <w:pBdr>
                <w:top w:val="nil"/>
                <w:left w:val="nil"/>
                <w:bottom w:val="nil"/>
                <w:right w:val="nil"/>
                <w:between w:val="nil"/>
              </w:pBdr>
              <w:spacing w:line="240" w:lineRule="auto"/>
              <w:jc w:val="center"/>
              <w:rPr>
                <w:b/>
                <w:bCs/>
              </w:rPr>
            </w:pPr>
            <w:r>
              <w:rPr>
                <w:b/>
                <w:bCs/>
              </w:rPr>
              <w:t>Key Area</w:t>
            </w:r>
          </w:p>
        </w:tc>
        <w:tc>
          <w:tcPr>
            <w:tcW w:w="3795" w:type="dxa"/>
            <w:tcMar>
              <w:top w:w="100" w:type="dxa"/>
              <w:left w:w="100" w:type="dxa"/>
              <w:bottom w:w="100" w:type="dxa"/>
              <w:right w:w="100" w:type="dxa"/>
            </w:tcMar>
          </w:tcPr>
          <w:p w14:paraId="70974C84" w14:textId="77777777" w:rsidR="00560975" w:rsidRDefault="00DA0F2B">
            <w:pPr>
              <w:widowControl w:val="0"/>
              <w:pBdr>
                <w:top w:val="nil"/>
                <w:left w:val="nil"/>
                <w:bottom w:val="nil"/>
                <w:right w:val="nil"/>
                <w:between w:val="nil"/>
              </w:pBdr>
              <w:spacing w:line="240" w:lineRule="auto"/>
              <w:jc w:val="center"/>
              <w:rPr>
                <w:b/>
                <w:bCs/>
              </w:rPr>
            </w:pPr>
            <w:r>
              <w:rPr>
                <w:b/>
                <w:bCs/>
              </w:rPr>
              <w:t>Action Steps</w:t>
            </w:r>
          </w:p>
        </w:tc>
        <w:tc>
          <w:tcPr>
            <w:tcW w:w="1380" w:type="dxa"/>
            <w:tcMar>
              <w:top w:w="100" w:type="dxa"/>
              <w:left w:w="100" w:type="dxa"/>
              <w:bottom w:w="100" w:type="dxa"/>
              <w:right w:w="100" w:type="dxa"/>
            </w:tcMar>
          </w:tcPr>
          <w:p w14:paraId="775F5ADC" w14:textId="77777777" w:rsidR="00560975" w:rsidRDefault="00DA0F2B">
            <w:pPr>
              <w:widowControl w:val="0"/>
              <w:pBdr>
                <w:top w:val="nil"/>
                <w:left w:val="nil"/>
                <w:bottom w:val="nil"/>
                <w:right w:val="nil"/>
                <w:between w:val="nil"/>
              </w:pBdr>
              <w:spacing w:line="240" w:lineRule="auto"/>
              <w:jc w:val="center"/>
              <w:rPr>
                <w:b/>
                <w:bCs/>
              </w:rPr>
            </w:pPr>
            <w:r>
              <w:rPr>
                <w:b/>
                <w:bCs/>
              </w:rPr>
              <w:t>Timeline</w:t>
            </w:r>
          </w:p>
        </w:tc>
      </w:tr>
      <w:tr w:rsidR="00560975" w14:paraId="23E3F002" w14:textId="77777777">
        <w:tc>
          <w:tcPr>
            <w:tcW w:w="2760" w:type="dxa"/>
            <w:tcMar>
              <w:top w:w="100" w:type="dxa"/>
              <w:left w:w="100" w:type="dxa"/>
              <w:bottom w:w="100" w:type="dxa"/>
              <w:right w:w="100" w:type="dxa"/>
            </w:tcMar>
          </w:tcPr>
          <w:p w14:paraId="146B4DC9" w14:textId="77777777" w:rsidR="00560975" w:rsidRDefault="00DA0F2B">
            <w:pPr>
              <w:widowControl w:val="0"/>
              <w:pBdr>
                <w:top w:val="nil"/>
                <w:left w:val="nil"/>
                <w:bottom w:val="nil"/>
                <w:right w:val="nil"/>
                <w:between w:val="nil"/>
              </w:pBdr>
            </w:pPr>
            <w:r>
              <w:t>To sharpen strategic analysis and avoid information overload and rote learning</w:t>
            </w:r>
          </w:p>
        </w:tc>
        <w:tc>
          <w:tcPr>
            <w:tcW w:w="1425" w:type="dxa"/>
            <w:tcMar>
              <w:top w:w="100" w:type="dxa"/>
              <w:left w:w="100" w:type="dxa"/>
              <w:bottom w:w="100" w:type="dxa"/>
              <w:right w:w="100" w:type="dxa"/>
            </w:tcMar>
          </w:tcPr>
          <w:p w14:paraId="7393E0FF" w14:textId="77777777" w:rsidR="00560975" w:rsidRDefault="00DA0F2B">
            <w:pPr>
              <w:widowControl w:val="0"/>
              <w:pBdr>
                <w:top w:val="nil"/>
                <w:left w:val="nil"/>
                <w:bottom w:val="nil"/>
                <w:right w:val="nil"/>
                <w:between w:val="nil"/>
              </w:pBdr>
            </w:pPr>
            <w:r>
              <w:t>Critical Thinking and Analysis</w:t>
            </w:r>
          </w:p>
        </w:tc>
        <w:tc>
          <w:tcPr>
            <w:tcW w:w="3795" w:type="dxa"/>
            <w:tcMar>
              <w:top w:w="100" w:type="dxa"/>
              <w:left w:w="100" w:type="dxa"/>
              <w:bottom w:w="100" w:type="dxa"/>
              <w:right w:w="100" w:type="dxa"/>
            </w:tcMar>
          </w:tcPr>
          <w:p w14:paraId="0B2B93B2" w14:textId="77777777" w:rsidR="00560975" w:rsidRDefault="00DA0F2B">
            <w:pPr>
              <w:widowControl w:val="0"/>
              <w:numPr>
                <w:ilvl w:val="0"/>
                <w:numId w:val="1"/>
              </w:numPr>
              <w:pBdr>
                <w:top w:val="nil"/>
                <w:left w:val="nil"/>
                <w:bottom w:val="nil"/>
                <w:right w:val="nil"/>
                <w:between w:val="nil"/>
              </w:pBdr>
            </w:pPr>
            <w:r>
              <w:t>Applying structured framework to marketing case studies</w:t>
            </w:r>
          </w:p>
          <w:p w14:paraId="21CDCD49" w14:textId="77777777" w:rsidR="00560975" w:rsidRDefault="00DA0F2B">
            <w:pPr>
              <w:widowControl w:val="0"/>
              <w:numPr>
                <w:ilvl w:val="0"/>
                <w:numId w:val="1"/>
              </w:numPr>
              <w:pBdr>
                <w:top w:val="nil"/>
                <w:left w:val="nil"/>
                <w:bottom w:val="nil"/>
                <w:right w:val="nil"/>
                <w:between w:val="nil"/>
              </w:pBdr>
            </w:pPr>
            <w:r>
              <w:t>Maintaining a weekly reflection journal to question assumptions.</w:t>
            </w:r>
          </w:p>
        </w:tc>
        <w:tc>
          <w:tcPr>
            <w:tcW w:w="1380" w:type="dxa"/>
            <w:tcMar>
              <w:top w:w="100" w:type="dxa"/>
              <w:left w:w="100" w:type="dxa"/>
              <w:bottom w:w="100" w:type="dxa"/>
              <w:right w:w="100" w:type="dxa"/>
            </w:tcMar>
          </w:tcPr>
          <w:p w14:paraId="6F493725" w14:textId="77777777" w:rsidR="00560975" w:rsidRDefault="00DA0F2B">
            <w:pPr>
              <w:widowControl w:val="0"/>
              <w:pBdr>
                <w:top w:val="nil"/>
                <w:left w:val="nil"/>
                <w:bottom w:val="nil"/>
                <w:right w:val="nil"/>
                <w:between w:val="nil"/>
              </w:pBdr>
            </w:pPr>
            <w:r>
              <w:t xml:space="preserve">2 to 4 weeks </w:t>
            </w:r>
          </w:p>
          <w:p w14:paraId="66D5672C" w14:textId="77777777" w:rsidR="00560975" w:rsidRDefault="00560975">
            <w:pPr>
              <w:widowControl w:val="0"/>
              <w:pBdr>
                <w:top w:val="nil"/>
                <w:left w:val="nil"/>
                <w:bottom w:val="nil"/>
                <w:right w:val="nil"/>
                <w:between w:val="nil"/>
              </w:pBdr>
            </w:pPr>
          </w:p>
        </w:tc>
      </w:tr>
    </w:tbl>
    <w:p w14:paraId="7A7B3B37" w14:textId="77777777" w:rsidR="00560975" w:rsidRDefault="00DA0F2B">
      <w:pPr>
        <w:spacing w:after="240"/>
        <w:jc w:val="center"/>
        <w:rPr>
          <w:b/>
          <w:bCs/>
        </w:rPr>
      </w:pPr>
      <w:r>
        <w:rPr>
          <w:b/>
          <w:bCs/>
        </w:rPr>
        <w:t>Table 2: Action Plan</w:t>
      </w:r>
    </w:p>
    <w:p w14:paraId="649B998D" w14:textId="77777777" w:rsidR="00560975" w:rsidRDefault="00DA0F2B">
      <w:pPr>
        <w:spacing w:after="240"/>
        <w:jc w:val="center"/>
      </w:pPr>
      <w:r>
        <w:t>(Source: Self-developed)</w:t>
      </w:r>
      <w:r>
        <w:br w:type="page"/>
      </w:r>
    </w:p>
    <w:p w14:paraId="405E97B4" w14:textId="77777777" w:rsidR="00560975" w:rsidRDefault="00DA0F2B">
      <w:pPr>
        <w:pStyle w:val="Heading1"/>
      </w:pPr>
      <w:bookmarkStart w:id="6" w:name="_Toc237512588"/>
      <w:r>
        <w:t>References</w:t>
      </w:r>
      <w:bookmarkEnd w:id="6"/>
      <w:r>
        <w:t xml:space="preserve"> </w:t>
      </w:r>
    </w:p>
    <w:p w14:paraId="07EEBA4C" w14:textId="77777777" w:rsidR="00560975" w:rsidRDefault="00DA0F2B">
      <w:pPr>
        <w:spacing w:before="240"/>
        <w:rPr>
          <w:color w:val="1155CC"/>
          <w:u w:val="single"/>
        </w:rPr>
      </w:pPr>
      <w:r>
        <w:t xml:space="preserve">Arku, J.K., Shao, Y. and Ankrah, S.T., (2024). ‘Building a hierarchical enablers framework for service business model innovation for sustainable performance: Evidence from Ghana’s electricity sector’. </w:t>
      </w:r>
      <w:r>
        <w:rPr>
          <w:i/>
          <w:iCs/>
        </w:rPr>
        <w:t>Sustainability</w:t>
      </w:r>
      <w:r>
        <w:t xml:space="preserve">, </w:t>
      </w:r>
      <w:r>
        <w:rPr>
          <w:i/>
          <w:iCs/>
        </w:rPr>
        <w:t>16</w:t>
      </w:r>
      <w:r>
        <w:t>(8), p.3191.</w:t>
      </w:r>
      <w:hyperlink r:id="rId11">
        <w:r>
          <w:t xml:space="preserve"> </w:t>
        </w:r>
      </w:hyperlink>
      <w:r>
        <w:rPr>
          <w:color w:val="000000"/>
        </w:rPr>
        <w:t xml:space="preserve">Available at: </w:t>
      </w:r>
      <w:hyperlink r:id="rId12">
        <w:r>
          <w:rPr>
            <w:color w:val="0000FF"/>
            <w:u w:val="single"/>
          </w:rPr>
          <w:t>https://doi.org/10.3390/su16083191</w:t>
        </w:r>
      </w:hyperlink>
      <w:r>
        <w:rPr>
          <w:color w:val="1155CC"/>
          <w:u w:val="single"/>
        </w:rPr>
        <w:t xml:space="preserve"> </w:t>
      </w:r>
      <w:r>
        <w:t>(Accessed: 8 July 2026).</w:t>
      </w:r>
    </w:p>
    <w:p w14:paraId="6C6DAA48" w14:textId="77777777" w:rsidR="00560975" w:rsidRDefault="00DA0F2B">
      <w:pPr>
        <w:spacing w:before="240"/>
      </w:pPr>
      <w:r>
        <w:t xml:space="preserve">Beldar, P.R., (2025). ‘Case Study: Enhancing Learning in C Programming Through Gibbs Reflective Cycle’. </w:t>
      </w:r>
      <w:r>
        <w:rPr>
          <w:i/>
          <w:iCs/>
        </w:rPr>
        <w:t>Journal of Engineering Education Transformations</w:t>
      </w:r>
      <w:r>
        <w:t xml:space="preserve">, pp.61-68. Available at: </w:t>
      </w:r>
      <w:hyperlink r:id="rId13">
        <w:r>
          <w:rPr>
            <w:color w:val="0000FF"/>
            <w:u w:val="single"/>
          </w:rPr>
          <w:t>https://doi.org/10.16920/jeet/2024/v38i4/25096</w:t>
        </w:r>
      </w:hyperlink>
      <w:r>
        <w:t xml:space="preserve"> (Accessed: 6 August 2026).  </w:t>
      </w:r>
    </w:p>
    <w:p w14:paraId="462A8098" w14:textId="77777777" w:rsidR="00560975" w:rsidRDefault="00DA0F2B">
      <w:pPr>
        <w:spacing w:before="240"/>
        <w:rPr>
          <w:color w:val="1155CC"/>
          <w:u w:val="single"/>
        </w:rPr>
      </w:pPr>
      <w:r>
        <w:t xml:space="preserve">De Giovanni, P., (2022). ‘Leveraging the circular economy with a closed-loop supply chain and a reverse omnichannel using blockchain technology and incentives’. </w:t>
      </w:r>
      <w:r>
        <w:rPr>
          <w:i/>
          <w:iCs/>
        </w:rPr>
        <w:t>International Journal of Operations &amp; Production Management</w:t>
      </w:r>
      <w:r>
        <w:t xml:space="preserve">, </w:t>
      </w:r>
      <w:r>
        <w:rPr>
          <w:i/>
          <w:iCs/>
        </w:rPr>
        <w:t>42</w:t>
      </w:r>
      <w:r>
        <w:t>(7), pp.959-994.</w:t>
      </w:r>
      <w:hyperlink r:id="rId14">
        <w:r>
          <w:t xml:space="preserve"> </w:t>
        </w:r>
      </w:hyperlink>
      <w:r>
        <w:rPr>
          <w:color w:val="000000"/>
          <w:highlight w:val="white"/>
        </w:rPr>
        <w:t xml:space="preserve"> </w:t>
      </w:r>
      <w:r>
        <w:rPr>
          <w:color w:val="000000"/>
        </w:rPr>
        <w:t xml:space="preserve">Available at: </w:t>
      </w:r>
      <w:hyperlink r:id="rId15">
        <w:r>
          <w:rPr>
            <w:color w:val="1155CC"/>
            <w:u w:val="single"/>
          </w:rPr>
          <w:t>https://doi.org/10.1108/IJOPM-07-2021-0445</w:t>
        </w:r>
      </w:hyperlink>
      <w:r>
        <w:rPr>
          <w:color w:val="1155CC"/>
          <w:u w:val="single"/>
        </w:rPr>
        <w:t xml:space="preserve"> </w:t>
      </w:r>
      <w:r>
        <w:t>(Accessed: 8 July 2026).</w:t>
      </w:r>
    </w:p>
    <w:p w14:paraId="67942B8C" w14:textId="77777777" w:rsidR="00560975" w:rsidRDefault="00DA0F2B">
      <w:pPr>
        <w:spacing w:before="240"/>
        <w:rPr>
          <w:color w:val="1155CC"/>
          <w:u w:val="single"/>
        </w:rPr>
      </w:pPr>
      <w:r>
        <w:t xml:space="preserve">Fernandes, T., Guzman, F. and Mota, M., (2024). ‘Purpose is the new branding: understanding conscientious purpose-driven marketing and its impact on brand outcomes’. </w:t>
      </w:r>
      <w:r>
        <w:rPr>
          <w:i/>
          <w:iCs/>
        </w:rPr>
        <w:t>Journal of Product &amp; Brand Management</w:t>
      </w:r>
      <w:r>
        <w:t xml:space="preserve">, </w:t>
      </w:r>
      <w:r>
        <w:rPr>
          <w:i/>
          <w:iCs/>
        </w:rPr>
        <w:t>33</w:t>
      </w:r>
      <w:r>
        <w:t>(6), pp.761-782.</w:t>
      </w:r>
      <w:hyperlink r:id="rId16">
        <w:r>
          <w:t xml:space="preserve"> </w:t>
        </w:r>
      </w:hyperlink>
      <w:r>
        <w:rPr>
          <w:color w:val="000000"/>
        </w:rPr>
        <w:t xml:space="preserve"> Available at: </w:t>
      </w:r>
      <w:hyperlink r:id="rId17">
        <w:r>
          <w:rPr>
            <w:color w:val="1155CC"/>
            <w:u w:val="single"/>
          </w:rPr>
          <w:t>http://dx.doi.org/10.1108/JPBM-08-2023-4667</w:t>
        </w:r>
      </w:hyperlink>
      <w:r>
        <w:t xml:space="preserve"> (Accessed: 8 July 2026).</w:t>
      </w:r>
    </w:p>
    <w:p w14:paraId="3A577C04" w14:textId="77777777" w:rsidR="00560975" w:rsidRDefault="00DA0F2B">
      <w:pPr>
        <w:spacing w:before="240"/>
        <w:rPr>
          <w:color w:val="1155CC"/>
          <w:u w:val="single"/>
        </w:rPr>
      </w:pPr>
      <w:r>
        <w:t xml:space="preserve">Fsc, (2026) </w:t>
      </w:r>
      <w:r>
        <w:rPr>
          <w:i/>
          <w:iCs/>
        </w:rPr>
        <w:t xml:space="preserve">Forest products that support responsible forestry. </w:t>
      </w:r>
      <w:r>
        <w:t>Available at:</w:t>
      </w:r>
      <w:hyperlink r:id="rId18">
        <w:r>
          <w:t xml:space="preserve"> </w:t>
        </w:r>
      </w:hyperlink>
      <w:hyperlink r:id="rId19">
        <w:r>
          <w:rPr>
            <w:color w:val="1155CC"/>
            <w:u w:val="single"/>
          </w:rPr>
          <w:t>https://uk.fsc.org/</w:t>
        </w:r>
      </w:hyperlink>
      <w:r>
        <w:rPr>
          <w:color w:val="1155CC"/>
          <w:u w:val="single"/>
        </w:rPr>
        <w:t xml:space="preserve"> </w:t>
      </w:r>
      <w:r>
        <w:t>(Accessed: 8 July 2026).</w:t>
      </w:r>
    </w:p>
    <w:p w14:paraId="493D7D58" w14:textId="77777777" w:rsidR="00560975" w:rsidRDefault="00DA0F2B">
      <w:pPr>
        <w:spacing w:before="240"/>
        <w:rPr>
          <w:color w:val="1155CC"/>
          <w:u w:val="single"/>
        </w:rPr>
      </w:pPr>
      <w:r>
        <w:t xml:space="preserve">Gonen, L.D., Tavor, T. and Spiegel, U., (2024). ‘Unlocking market potential: strategic consumer segmentation and dynamic pricing for balancing loyalty and deal seeking’. </w:t>
      </w:r>
      <w:r>
        <w:rPr>
          <w:i/>
          <w:iCs/>
        </w:rPr>
        <w:t>Mathematics</w:t>
      </w:r>
      <w:r>
        <w:t xml:space="preserve">, </w:t>
      </w:r>
      <w:r>
        <w:rPr>
          <w:i/>
          <w:iCs/>
        </w:rPr>
        <w:t>12</w:t>
      </w:r>
      <w:r>
        <w:t>(21), p.3364.</w:t>
      </w:r>
      <w:hyperlink r:id="rId20">
        <w:r>
          <w:t xml:space="preserve"> </w:t>
        </w:r>
      </w:hyperlink>
      <w:r>
        <w:rPr>
          <w:color w:val="000000"/>
        </w:rPr>
        <w:t xml:space="preserve"> Available at: </w:t>
      </w:r>
      <w:hyperlink r:id="rId21">
        <w:r>
          <w:rPr>
            <w:color w:val="1155CC"/>
            <w:u w:val="single"/>
          </w:rPr>
          <w:t>https://doi.org/10.3390/math12213364</w:t>
        </w:r>
      </w:hyperlink>
      <w:r>
        <w:rPr>
          <w:color w:val="1155CC"/>
          <w:u w:val="single"/>
        </w:rPr>
        <w:t xml:space="preserve"> </w:t>
      </w:r>
      <w:r>
        <w:t>(Accessed: 8 July 2026).</w:t>
      </w:r>
    </w:p>
    <w:p w14:paraId="56FE7548" w14:textId="77777777" w:rsidR="00560975" w:rsidRDefault="00DA0F2B">
      <w:pPr>
        <w:spacing w:before="240"/>
        <w:rPr>
          <w:color w:val="1155CC"/>
          <w:u w:val="single"/>
        </w:rPr>
      </w:pPr>
      <w:r>
        <w:t xml:space="preserve">Gov, (2026) </w:t>
      </w:r>
      <w:r>
        <w:rPr>
          <w:i/>
          <w:iCs/>
        </w:rPr>
        <w:t xml:space="preserve">UK statistics on waste. </w:t>
      </w:r>
      <w:r>
        <w:t>Available at:</w:t>
      </w:r>
      <w:hyperlink r:id="rId22">
        <w:r>
          <w:t xml:space="preserve"> </w:t>
        </w:r>
      </w:hyperlink>
      <w:hyperlink r:id="rId23">
        <w:r>
          <w:rPr>
            <w:color w:val="1155CC"/>
            <w:u w:val="single"/>
          </w:rPr>
          <w:t>https://www.gov.uk/government/statistics/uk-waste-data/uk-statistics-on-waste</w:t>
        </w:r>
      </w:hyperlink>
      <w:r>
        <w:rPr>
          <w:color w:val="1155CC"/>
          <w:u w:val="single"/>
        </w:rPr>
        <w:t xml:space="preserve">  </w:t>
      </w:r>
      <w:r>
        <w:t>(Accessed: 8 July 2026).</w:t>
      </w:r>
    </w:p>
    <w:p w14:paraId="7AE61C9A" w14:textId="77777777" w:rsidR="00560975" w:rsidRDefault="00DA0F2B">
      <w:pPr>
        <w:spacing w:before="240"/>
        <w:rPr>
          <w:color w:val="1155CC"/>
          <w:u w:val="single"/>
        </w:rPr>
      </w:pPr>
      <w:r>
        <w:t xml:space="preserve">Hafez, M., (2023). ‘Pioneering Perspectives: Strategies and Considerations in Market Segmentation and Targeting. </w:t>
      </w:r>
      <w:r>
        <w:rPr>
          <w:i/>
          <w:iCs/>
        </w:rPr>
        <w:t>Available at SSRN 4802226</w:t>
      </w:r>
      <w:r>
        <w:t>. Available at:</w:t>
      </w:r>
      <w:hyperlink r:id="rId24">
        <w:r>
          <w:t xml:space="preserve"> </w:t>
        </w:r>
      </w:hyperlink>
      <w:hyperlink r:id="rId25">
        <w:r>
          <w:rPr>
            <w:color w:val="1155CC"/>
            <w:u w:val="single"/>
          </w:rPr>
          <w:t>https://dx.doi.org/10.2139/ssrn.4802226</w:t>
        </w:r>
      </w:hyperlink>
      <w:r>
        <w:rPr>
          <w:color w:val="1155CC"/>
          <w:u w:val="single"/>
        </w:rPr>
        <w:t xml:space="preserve"> </w:t>
      </w:r>
      <w:r>
        <w:t>(Accessed: 8 July 2026).</w:t>
      </w:r>
    </w:p>
    <w:p w14:paraId="68E42ACA" w14:textId="77777777" w:rsidR="00560975" w:rsidRDefault="00DA0F2B">
      <w:pPr>
        <w:spacing w:before="240"/>
        <w:rPr>
          <w:color w:val="1155CC"/>
          <w:u w:val="single"/>
        </w:rPr>
      </w:pPr>
      <w:r>
        <w:t xml:space="preserve">Hoffmann, F., Lang, E. and Metternich, J., (2023). ‘Seizing the value of data: Selecting appropriate pricing strategies for data-based services in manufacturing’. </w:t>
      </w:r>
      <w:r>
        <w:rPr>
          <w:i/>
          <w:iCs/>
        </w:rPr>
        <w:t>Procedia CIRP</w:t>
      </w:r>
      <w:r>
        <w:t xml:space="preserve">, </w:t>
      </w:r>
      <w:r>
        <w:rPr>
          <w:i/>
          <w:iCs/>
        </w:rPr>
        <w:t>120</w:t>
      </w:r>
      <w:r>
        <w:t>, pp.159-164.</w:t>
      </w:r>
      <w:hyperlink r:id="rId26">
        <w:r>
          <w:t xml:space="preserve"> </w:t>
        </w:r>
      </w:hyperlink>
      <w:r>
        <w:rPr>
          <w:color w:val="000000"/>
        </w:rPr>
        <w:t xml:space="preserve"> Available at: </w:t>
      </w:r>
      <w:hyperlink r:id="rId27">
        <w:r>
          <w:rPr>
            <w:color w:val="1155CC"/>
            <w:u w:val="single"/>
          </w:rPr>
          <w:t>https://doi.org/10.1016/j.procir.2023.08.029</w:t>
        </w:r>
      </w:hyperlink>
      <w:r>
        <w:rPr>
          <w:color w:val="1155CC"/>
          <w:u w:val="single"/>
        </w:rPr>
        <w:t xml:space="preserve"> </w:t>
      </w:r>
      <w:r>
        <w:t>(Accessed: 8 July 2026).</w:t>
      </w:r>
    </w:p>
    <w:p w14:paraId="144A887D" w14:textId="77777777" w:rsidR="00560975" w:rsidRDefault="00DA0F2B">
      <w:pPr>
        <w:spacing w:before="240"/>
        <w:rPr>
          <w:color w:val="1155CC"/>
          <w:u w:val="single"/>
        </w:rPr>
      </w:pPr>
      <w:r>
        <w:t xml:space="preserve">Jiang, Z., Dan, W. and Huini, Z., (2024). ‘Direct Channel or Distribution Channel? The Role of Internet-Based Targeted Advertising With Vertical Differentiation in Distinct Channels’. </w:t>
      </w:r>
      <w:r>
        <w:rPr>
          <w:i/>
          <w:iCs/>
        </w:rPr>
        <w:t>Sage Open</w:t>
      </w:r>
      <w:r>
        <w:t xml:space="preserve">, </w:t>
      </w:r>
      <w:r>
        <w:rPr>
          <w:i/>
          <w:iCs/>
        </w:rPr>
        <w:t>14</w:t>
      </w:r>
      <w:r>
        <w:t>(4), p.21582440241286727.</w:t>
      </w:r>
      <w:hyperlink r:id="rId28">
        <w:r>
          <w:t xml:space="preserve"> </w:t>
        </w:r>
      </w:hyperlink>
      <w:r>
        <w:rPr>
          <w:color w:val="000000"/>
        </w:rPr>
        <w:t xml:space="preserve"> Available at: </w:t>
      </w:r>
      <w:hyperlink r:id="rId29">
        <w:r>
          <w:rPr>
            <w:color w:val="1155CC"/>
            <w:u w:val="single"/>
          </w:rPr>
          <w:t>https://doi.org/10.1177/21582440241286727</w:t>
        </w:r>
      </w:hyperlink>
      <w:r>
        <w:rPr>
          <w:color w:val="1155CC"/>
          <w:u w:val="single"/>
        </w:rPr>
        <w:t xml:space="preserve"> </w:t>
      </w:r>
      <w:r>
        <w:t>(Accessed: 8 July 2026).</w:t>
      </w:r>
    </w:p>
    <w:p w14:paraId="0A62D59E" w14:textId="77777777" w:rsidR="00560975" w:rsidRDefault="00DA0F2B">
      <w:pPr>
        <w:spacing w:before="240"/>
        <w:rPr>
          <w:color w:val="1155CC"/>
          <w:u w:val="single"/>
        </w:rPr>
      </w:pPr>
      <w:r>
        <w:t xml:space="preserve">Mady, K., Anwar, I. and Abdelkareem, R.S., (2026). ‘Nexus between regulatory pressure, eco-friendly product demand and sustainable competitive advantage of manufacturing small and medium-sized enterprises: The mediating role of eco-innovation’. </w:t>
      </w:r>
      <w:r>
        <w:rPr>
          <w:i/>
          <w:iCs/>
        </w:rPr>
        <w:t>Environment, Development and Sustainability</w:t>
      </w:r>
      <w:r>
        <w:t xml:space="preserve">, </w:t>
      </w:r>
      <w:r>
        <w:rPr>
          <w:i/>
          <w:iCs/>
        </w:rPr>
        <w:t>28</w:t>
      </w:r>
      <w:r>
        <w:t>(2), pp.3399-3421.</w:t>
      </w:r>
      <w:hyperlink r:id="rId30">
        <w:r>
          <w:t xml:space="preserve"> </w:t>
        </w:r>
      </w:hyperlink>
      <w:r>
        <w:rPr>
          <w:color w:val="000000"/>
        </w:rPr>
        <w:t xml:space="preserve"> Available at: </w:t>
      </w:r>
      <w:hyperlink r:id="rId31">
        <w:r>
          <w:rPr>
            <w:color w:val="1155CC"/>
            <w:u w:val="single"/>
          </w:rPr>
          <w:t>https://doi.org/10.1007/s10668-024-05096-1</w:t>
        </w:r>
      </w:hyperlink>
      <w:r>
        <w:rPr>
          <w:color w:val="1155CC"/>
          <w:u w:val="single"/>
        </w:rPr>
        <w:t xml:space="preserve"> </w:t>
      </w:r>
      <w:r>
        <w:t>(Accessed: 8 July 2026).</w:t>
      </w:r>
    </w:p>
    <w:p w14:paraId="0CA9B657" w14:textId="77777777" w:rsidR="00560975" w:rsidRDefault="00DA0F2B">
      <w:pPr>
        <w:spacing w:before="240"/>
      </w:pPr>
      <w:r>
        <w:t>Mowar, A., (2022). ‘</w:t>
      </w:r>
      <w:r>
        <w:rPr>
          <w:i/>
          <w:iCs/>
        </w:rPr>
        <w:t>Marketing management’</w:t>
      </w:r>
      <w:r>
        <w:t>. Blue Rose Publishers.</w:t>
      </w:r>
    </w:p>
    <w:p w14:paraId="65C4D3F6" w14:textId="77777777" w:rsidR="00560975" w:rsidRDefault="00DA0F2B">
      <w:pPr>
        <w:spacing w:before="240"/>
        <w:rPr>
          <w:color w:val="1155CC"/>
          <w:u w:val="single"/>
        </w:rPr>
      </w:pPr>
      <w:r>
        <w:t xml:space="preserve">Nogueira, E., Gomes, S. and Lopes, J.M., (2023). ‘Triple bottom line, sustainability, and economic development: What binds them together? A bibliometric approach’. </w:t>
      </w:r>
      <w:r>
        <w:rPr>
          <w:i/>
          <w:iCs/>
        </w:rPr>
        <w:t>Sustainability</w:t>
      </w:r>
      <w:r>
        <w:t xml:space="preserve">, </w:t>
      </w:r>
      <w:r>
        <w:rPr>
          <w:i/>
          <w:iCs/>
        </w:rPr>
        <w:t>15</w:t>
      </w:r>
      <w:r>
        <w:t>(8), p.6706.</w:t>
      </w:r>
      <w:hyperlink r:id="rId32">
        <w:r>
          <w:t xml:space="preserve"> </w:t>
        </w:r>
      </w:hyperlink>
      <w:r>
        <w:rPr>
          <w:color w:val="000000"/>
        </w:rPr>
        <w:t xml:space="preserve"> Available at: </w:t>
      </w:r>
      <w:hyperlink r:id="rId33">
        <w:r>
          <w:rPr>
            <w:color w:val="1155CC"/>
            <w:u w:val="single"/>
          </w:rPr>
          <w:t>https://doi.org/10.3390/su15086706</w:t>
        </w:r>
      </w:hyperlink>
      <w:r>
        <w:rPr>
          <w:color w:val="1155CC"/>
          <w:u w:val="single"/>
        </w:rPr>
        <w:t xml:space="preserve"> </w:t>
      </w:r>
      <w:r>
        <w:t>(Accessed: 8 July 2026).</w:t>
      </w:r>
    </w:p>
    <w:p w14:paraId="4B047296" w14:textId="77777777" w:rsidR="00560975" w:rsidRDefault="00DA0F2B">
      <w:pPr>
        <w:spacing w:before="240"/>
        <w:rPr>
          <w:color w:val="1155CC"/>
          <w:u w:val="single"/>
        </w:rPr>
      </w:pPr>
      <w:r>
        <w:t xml:space="preserve">Özbay, Ö., (2026). ‘Brain Rot’Among University Students in the Digital Age: A Phenomenological Study. </w:t>
      </w:r>
      <w:r>
        <w:rPr>
          <w:i/>
          <w:iCs/>
        </w:rPr>
        <w:t>Current Psychiatry Reports</w:t>
      </w:r>
      <w:r>
        <w:t xml:space="preserve">, </w:t>
      </w:r>
      <w:r>
        <w:rPr>
          <w:i/>
          <w:iCs/>
        </w:rPr>
        <w:t>28</w:t>
      </w:r>
      <w:r>
        <w:t>(1), p.11.</w:t>
      </w:r>
      <w:hyperlink r:id="rId34">
        <w:r>
          <w:t xml:space="preserve"> </w:t>
        </w:r>
      </w:hyperlink>
      <w:r>
        <w:rPr>
          <w:color w:val="000000"/>
        </w:rPr>
        <w:t xml:space="preserve"> Available at: </w:t>
      </w:r>
      <w:hyperlink r:id="rId35">
        <w:r>
          <w:rPr>
            <w:color w:val="1155CC"/>
            <w:u w:val="single"/>
          </w:rPr>
          <w:t>https://doi.org/10.1007/s11920-025-01658-w</w:t>
        </w:r>
      </w:hyperlink>
      <w:r>
        <w:rPr>
          <w:color w:val="1155CC"/>
          <w:u w:val="single"/>
        </w:rPr>
        <w:t xml:space="preserve"> </w:t>
      </w:r>
      <w:r>
        <w:t>(Accessed: 8 July 2026).</w:t>
      </w:r>
    </w:p>
    <w:p w14:paraId="04ACC5C1" w14:textId="77777777" w:rsidR="00560975" w:rsidRDefault="00DA0F2B">
      <w:pPr>
        <w:spacing w:before="240"/>
        <w:rPr>
          <w:color w:val="1155CC"/>
          <w:u w:val="single"/>
        </w:rPr>
      </w:pPr>
      <w:r>
        <w:t xml:space="preserve">Rihayana, I.G., Salain, P.P., Rismawan, P.E. and Antari, N.M., (2022). ‘The influence of brand image, and product quality on purchase decision’. </w:t>
      </w:r>
      <w:r>
        <w:rPr>
          <w:i/>
          <w:iCs/>
        </w:rPr>
        <w:t>International Journal of Business Management and Economic Review</w:t>
      </w:r>
      <w:r>
        <w:t xml:space="preserve">, </w:t>
      </w:r>
      <w:r>
        <w:rPr>
          <w:i/>
          <w:iCs/>
        </w:rPr>
        <w:t>4</w:t>
      </w:r>
      <w:r>
        <w:t>(06), pp.342-350.</w:t>
      </w:r>
      <w:hyperlink r:id="rId36">
        <w:r>
          <w:t xml:space="preserve"> </w:t>
        </w:r>
      </w:hyperlink>
      <w:r>
        <w:rPr>
          <w:color w:val="000000"/>
        </w:rPr>
        <w:t xml:space="preserve"> Available at: </w:t>
      </w:r>
      <w:hyperlink r:id="rId37">
        <w:r>
          <w:rPr>
            <w:color w:val="1155CC"/>
            <w:u w:val="single"/>
          </w:rPr>
          <w:t>http://doi.org/10.35409/IJBMER.2021.3345</w:t>
        </w:r>
      </w:hyperlink>
      <w:r>
        <w:rPr>
          <w:color w:val="1155CC"/>
          <w:u w:val="single"/>
        </w:rPr>
        <w:t xml:space="preserve"> </w:t>
      </w:r>
      <w:r>
        <w:t>(Accessed: 8 July 2026).</w:t>
      </w:r>
    </w:p>
    <w:p w14:paraId="732B27BF" w14:textId="77777777" w:rsidR="00560975" w:rsidRDefault="00DA0F2B">
      <w:pPr>
        <w:spacing w:before="240"/>
        <w:rPr>
          <w:color w:val="1155CC"/>
          <w:u w:val="single"/>
        </w:rPr>
      </w:pPr>
      <w:r>
        <w:t xml:space="preserve">Rodríguez, R.F., Horna, R.F.C., Placido, J.M.M. and Barbuda, J.J.M., (2024). ‘Influence of digital skills on the academic performance of university students: A socioeconomic approach’. </w:t>
      </w:r>
      <w:r>
        <w:rPr>
          <w:i/>
          <w:iCs/>
        </w:rPr>
        <w:t>Revista de Gestão Social e Ambiental</w:t>
      </w:r>
      <w:r>
        <w:t xml:space="preserve">, </w:t>
      </w:r>
      <w:r>
        <w:rPr>
          <w:i/>
          <w:iCs/>
        </w:rPr>
        <w:t>18</w:t>
      </w:r>
      <w:r>
        <w:t>(2), pp.1-14.</w:t>
      </w:r>
      <w:hyperlink r:id="rId38">
        <w:r>
          <w:t xml:space="preserve"> </w:t>
        </w:r>
      </w:hyperlink>
      <w:r>
        <w:rPr>
          <w:color w:val="000000"/>
        </w:rPr>
        <w:t xml:space="preserve"> Available at: </w:t>
      </w:r>
      <w:hyperlink r:id="rId39">
        <w:r>
          <w:rPr>
            <w:color w:val="1155CC"/>
            <w:u w:val="single"/>
          </w:rPr>
          <w:t>https://doi.org/10.24857/rgsa.v18n2-055</w:t>
        </w:r>
      </w:hyperlink>
      <w:r>
        <w:rPr>
          <w:color w:val="1155CC"/>
          <w:u w:val="single"/>
        </w:rPr>
        <w:t xml:space="preserve"> </w:t>
      </w:r>
      <w:r>
        <w:t>(Accessed: 8 July 2026).</w:t>
      </w:r>
    </w:p>
    <w:p w14:paraId="59A0B1C9" w14:textId="77777777" w:rsidR="00560975" w:rsidRDefault="00DA0F2B">
      <w:pPr>
        <w:spacing w:before="240"/>
        <w:rPr>
          <w:color w:val="1155CC"/>
          <w:u w:val="single"/>
        </w:rPr>
      </w:pPr>
      <w:r>
        <w:t xml:space="preserve">Salvietti, G., Ieva, M. and Ziliani, C., (2025). ‘Driving channel integration perception in omnichannel environments: the role of touchpoints’. </w:t>
      </w:r>
      <w:r>
        <w:rPr>
          <w:i/>
          <w:iCs/>
        </w:rPr>
        <w:t>Journal of Product &amp; Brand Management</w:t>
      </w:r>
      <w:r>
        <w:t xml:space="preserve">, </w:t>
      </w:r>
      <w:r>
        <w:rPr>
          <w:i/>
          <w:iCs/>
        </w:rPr>
        <w:t>34</w:t>
      </w:r>
      <w:r>
        <w:t>(1), pp.6-20.</w:t>
      </w:r>
      <w:r>
        <w:rPr>
          <w:color w:val="000000"/>
        </w:rPr>
        <w:t xml:space="preserve"> Available at: Available at:</w:t>
      </w:r>
      <w:hyperlink r:id="rId40">
        <w:r>
          <w:rPr>
            <w:color w:val="0000FF"/>
            <w:u w:val="single"/>
          </w:rPr>
          <w:t xml:space="preserve"> </w:t>
        </w:r>
      </w:hyperlink>
      <w:hyperlink r:id="rId41">
        <w:r>
          <w:rPr>
            <w:color w:val="1155CC"/>
            <w:u w:val="single"/>
          </w:rPr>
          <w:t>http://dx.doi.org/10.1108/JPBM-12-2023-4873</w:t>
        </w:r>
      </w:hyperlink>
      <w:r>
        <w:rPr>
          <w:color w:val="1155CC"/>
          <w:u w:val="single"/>
        </w:rPr>
        <w:t xml:space="preserve"> </w:t>
      </w:r>
      <w:r>
        <w:t>(Accessed: 8 July 2026).</w:t>
      </w:r>
    </w:p>
    <w:p w14:paraId="04D15F57" w14:textId="77777777" w:rsidR="00560975" w:rsidRDefault="00DA0F2B">
      <w:pPr>
        <w:spacing w:before="240"/>
        <w:rPr>
          <w:color w:val="1155CC"/>
          <w:u w:val="single"/>
        </w:rPr>
      </w:pPr>
      <w:r>
        <w:t xml:space="preserve">Schulte, J. and Knuts, S., (2022). ‘Sustainability impact and effects analysis-A risk management tool for sustainable product development’. </w:t>
      </w:r>
      <w:r>
        <w:rPr>
          <w:i/>
          <w:iCs/>
        </w:rPr>
        <w:t>Sustainable Production and Consumption</w:t>
      </w:r>
      <w:r>
        <w:t xml:space="preserve">, </w:t>
      </w:r>
      <w:r>
        <w:rPr>
          <w:i/>
          <w:iCs/>
        </w:rPr>
        <w:t>30</w:t>
      </w:r>
      <w:r>
        <w:t>, pp.737-751.</w:t>
      </w:r>
      <w:hyperlink r:id="rId42">
        <w:r>
          <w:t xml:space="preserve"> </w:t>
        </w:r>
      </w:hyperlink>
      <w:r>
        <w:rPr>
          <w:color w:val="000000"/>
        </w:rPr>
        <w:t xml:space="preserve"> Available at: </w:t>
      </w:r>
      <w:hyperlink r:id="rId43">
        <w:r>
          <w:rPr>
            <w:color w:val="1155CC"/>
            <w:u w:val="single"/>
          </w:rPr>
          <w:t>https://doi.org/10.1016/j.spc.2022.01.004</w:t>
        </w:r>
      </w:hyperlink>
      <w:r>
        <w:rPr>
          <w:color w:val="1155CC"/>
          <w:u w:val="single"/>
        </w:rPr>
        <w:t xml:space="preserve"> </w:t>
      </w:r>
      <w:r>
        <w:t>(Accessed: 8 July 2026).</w:t>
      </w:r>
    </w:p>
    <w:p w14:paraId="6F432E9F" w14:textId="77777777" w:rsidR="00560975" w:rsidRDefault="00DA0F2B">
      <w:pPr>
        <w:spacing w:before="240"/>
        <w:rPr>
          <w:color w:val="1155CC"/>
          <w:u w:val="single"/>
        </w:rPr>
      </w:pPr>
      <w:r>
        <w:t xml:space="preserve">Simbolon, F.P., Nurcholifa, R.A. and Safarina, M., (2022). ‘The influence of using Instagram as a promotional media in building brand awareness and its impact on purchase decision of Bulog products in Shopee’. </w:t>
      </w:r>
      <w:r>
        <w:rPr>
          <w:i/>
          <w:iCs/>
        </w:rPr>
        <w:t>Binus Business Review</w:t>
      </w:r>
      <w:r>
        <w:t xml:space="preserve">, </w:t>
      </w:r>
      <w:r>
        <w:rPr>
          <w:i/>
          <w:iCs/>
        </w:rPr>
        <w:t>13</w:t>
      </w:r>
      <w:r>
        <w:t>(1), pp.57-66.</w:t>
      </w:r>
      <w:hyperlink r:id="rId44">
        <w:r>
          <w:t xml:space="preserve"> </w:t>
        </w:r>
      </w:hyperlink>
      <w:r>
        <w:rPr>
          <w:color w:val="000000"/>
        </w:rPr>
        <w:t xml:space="preserve"> Available at: </w:t>
      </w:r>
      <w:hyperlink r:id="rId45">
        <w:r>
          <w:rPr>
            <w:color w:val="1155CC"/>
            <w:u w:val="single"/>
          </w:rPr>
          <w:t>https://doi.org/10.21512/bbr.v13i1.7917</w:t>
        </w:r>
      </w:hyperlink>
      <w:r>
        <w:rPr>
          <w:color w:val="1155CC"/>
          <w:u w:val="single"/>
        </w:rPr>
        <w:t xml:space="preserve"> </w:t>
      </w:r>
      <w:r>
        <w:t>(Accessed: 8 July 2026).</w:t>
      </w:r>
    </w:p>
    <w:p w14:paraId="7F60756E" w14:textId="77777777" w:rsidR="00560975" w:rsidRDefault="00DA0F2B">
      <w:pPr>
        <w:spacing w:before="240"/>
      </w:pPr>
      <w:r>
        <w:t xml:space="preserve">Theguardian, (2023) </w:t>
      </w:r>
      <w:r>
        <w:rPr>
          <w:i/>
          <w:iCs/>
        </w:rPr>
        <w:t xml:space="preserve">Unilever's Sustainable Living Plan helps cut costs and drive growth. </w:t>
      </w:r>
      <w:r>
        <w:t>Available at:</w:t>
      </w:r>
      <w:hyperlink r:id="rId46">
        <w:r>
          <w:t xml:space="preserve"> </w:t>
        </w:r>
      </w:hyperlink>
      <w:hyperlink r:id="rId47">
        <w:r>
          <w:rPr>
            <w:color w:val="1155CC"/>
            <w:u w:val="single"/>
          </w:rPr>
          <w:t>https://www.theguardian.com/sustainable-business/unilever-sustainable-living-plan-growth</w:t>
        </w:r>
      </w:hyperlink>
      <w:r>
        <w:t xml:space="preserve"> (Accessed: 8 July 2026).</w:t>
      </w:r>
    </w:p>
    <w:p w14:paraId="3285FDEA" w14:textId="77777777" w:rsidR="00560975" w:rsidRDefault="00DA0F2B">
      <w:pPr>
        <w:spacing w:before="240"/>
      </w:pPr>
      <w:r>
        <w:t xml:space="preserve">Unilever, (2026) </w:t>
      </w:r>
      <w:r>
        <w:rPr>
          <w:i/>
          <w:iCs/>
        </w:rPr>
        <w:t>Our sustainability goals</w:t>
      </w:r>
      <w:r>
        <w:t>. Available at:</w:t>
      </w:r>
      <w:hyperlink r:id="rId48">
        <w:r>
          <w:t xml:space="preserve"> </w:t>
        </w:r>
      </w:hyperlink>
      <w:hyperlink r:id="rId49">
        <w:r>
          <w:rPr>
            <w:color w:val="1155CC"/>
            <w:u w:val="single"/>
          </w:rPr>
          <w:t>https://www.unilever.com/files/our-sustainability-goals.pdf</w:t>
        </w:r>
      </w:hyperlink>
      <w:r>
        <w:t xml:space="preserve"> (Accessed: 8 July 2026).</w:t>
      </w:r>
    </w:p>
    <w:p w14:paraId="596AC4B6" w14:textId="77777777" w:rsidR="00560975" w:rsidRDefault="00DA0F2B">
      <w:pPr>
        <w:spacing w:before="240"/>
      </w:pPr>
      <w:r>
        <w:t xml:space="preserve">Unilever, (2026) </w:t>
      </w:r>
      <w:r>
        <w:rPr>
          <w:i/>
          <w:iCs/>
        </w:rPr>
        <w:t xml:space="preserve">Unilever International celebrates decade of consistent growth serving the underserved. </w:t>
      </w:r>
      <w:r>
        <w:t>Available at:</w:t>
      </w:r>
      <w:hyperlink r:id="rId50">
        <w:r>
          <w:t xml:space="preserve"> </w:t>
        </w:r>
      </w:hyperlink>
      <w:hyperlink r:id="rId51">
        <w:r>
          <w:rPr>
            <w:color w:val="1155CC"/>
            <w:u w:val="single"/>
          </w:rPr>
          <w:t>https://www.unilever.com/news/news-search/2022/unilever-international-celebrates-decade-of-consistent-growth-serving-the-underserved/</w:t>
        </w:r>
      </w:hyperlink>
      <w:r>
        <w:t xml:space="preserve"> (Accessed: 8 July 2026).</w:t>
      </w:r>
    </w:p>
    <w:p w14:paraId="700957A0" w14:textId="77777777" w:rsidR="00560975" w:rsidRDefault="00DA0F2B">
      <w:pPr>
        <w:spacing w:before="240"/>
      </w:pPr>
      <w:r>
        <w:t xml:space="preserve">Unilever, (2026) </w:t>
      </w:r>
      <w:r>
        <w:rPr>
          <w:i/>
          <w:iCs/>
        </w:rPr>
        <w:t xml:space="preserve">Unilever sees early signs of progress on sustainability goals. </w:t>
      </w:r>
      <w:r>
        <w:t>Available at:</w:t>
      </w:r>
      <w:hyperlink r:id="rId52">
        <w:r>
          <w:t xml:space="preserve"> </w:t>
        </w:r>
      </w:hyperlink>
      <w:hyperlink r:id="rId53">
        <w:r>
          <w:rPr>
            <w:color w:val="1155CC"/>
            <w:u w:val="single"/>
          </w:rPr>
          <w:t>https://www.unilever.com/news/news-search/2025/unilever-sees-early-signs-of-progress-on-sustainability-goals/</w:t>
        </w:r>
      </w:hyperlink>
      <w:r>
        <w:t xml:space="preserve"> (Accessed: 8 July 2026).</w:t>
      </w:r>
    </w:p>
    <w:p w14:paraId="31738957" w14:textId="77777777" w:rsidR="00560975" w:rsidRDefault="00DA0F2B">
      <w:pPr>
        <w:spacing w:before="240"/>
      </w:pPr>
      <w:r>
        <w:t>Unilever, (2026). ‘</w:t>
      </w:r>
      <w:r>
        <w:rPr>
          <w:i/>
          <w:iCs/>
        </w:rPr>
        <w:t xml:space="preserve">20 years on: Dove and the future of Real Beauty’. </w:t>
      </w:r>
      <w:r>
        <w:t>Available at:</w:t>
      </w:r>
      <w:hyperlink r:id="rId54">
        <w:r>
          <w:t xml:space="preserve"> </w:t>
        </w:r>
      </w:hyperlink>
      <w:hyperlink r:id="rId55">
        <w:r>
          <w:rPr>
            <w:color w:val="1155CC"/>
            <w:u w:val="single"/>
          </w:rPr>
          <w:t>https://www.unilever.com/news/news-search/2024/20-years-on-dove-and-the-future-of-real-beauty/</w:t>
        </w:r>
      </w:hyperlink>
      <w:r>
        <w:rPr>
          <w:color w:val="1155CC"/>
          <w:u w:val="single"/>
        </w:rPr>
        <w:t xml:space="preserve"> </w:t>
      </w:r>
      <w:r>
        <w:t>(Accessed: 8 July 2026).</w:t>
      </w:r>
    </w:p>
    <w:p w14:paraId="38689DF5" w14:textId="77777777" w:rsidR="00560975" w:rsidRDefault="00DA0F2B">
      <w:pPr>
        <w:rPr>
          <w:b/>
          <w:bCs/>
        </w:rPr>
      </w:pPr>
      <w:bookmarkStart w:id="7" w:name="_heading=h.wynlxmbmwe61" w:colFirst="0" w:colLast="0"/>
      <w:bookmarkEnd w:id="7"/>
      <w:r>
        <w:br w:type="page"/>
      </w:r>
    </w:p>
    <w:p w14:paraId="20808132" w14:textId="77777777" w:rsidR="00560975" w:rsidRDefault="00DA0F2B">
      <w:pPr>
        <w:pStyle w:val="Heading1"/>
        <w:spacing w:before="240"/>
      </w:pPr>
      <w:bookmarkStart w:id="8" w:name="_Toc237512589"/>
      <w:r>
        <w:t>Appendix: Poster Presentation</w:t>
      </w:r>
      <w:bookmarkEnd w:id="8"/>
      <w:r>
        <w:t xml:space="preserve">  </w:t>
      </w:r>
    </w:p>
    <w:p w14:paraId="7CE90FAF" w14:textId="77777777" w:rsidR="00560975" w:rsidRDefault="00DA0F2B">
      <w:pPr>
        <w:spacing w:before="240"/>
        <w:jc w:val="center"/>
      </w:pPr>
      <w:r>
        <w:rPr>
          <w:noProof/>
        </w:rPr>
        <w:drawing>
          <wp:inline distT="0" distB="0" distL="0" distR="0" wp14:anchorId="690FEABB" wp14:editId="22AD0969">
            <wp:extent cx="6448891" cy="4559697"/>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6"/>
                    <a:srcRect/>
                    <a:stretch>
                      <a:fillRect/>
                    </a:stretch>
                  </pic:blipFill>
                  <pic:spPr>
                    <a:xfrm>
                      <a:off x="0" y="0"/>
                      <a:ext cx="6448891" cy="4559697"/>
                    </a:xfrm>
                    <a:prstGeom prst="rect">
                      <a:avLst/>
                    </a:prstGeom>
                    <a:ln/>
                  </pic:spPr>
                </pic:pic>
              </a:graphicData>
            </a:graphic>
          </wp:inline>
        </w:drawing>
      </w:r>
    </w:p>
    <w:p w14:paraId="140BB971" w14:textId="77777777" w:rsidR="00560975" w:rsidRDefault="00560975"/>
    <w:sectPr w:rsidR="00560975">
      <w:footerReference w:type="default" r:id="rId57"/>
      <w:footerReference w:type="first" r:id="rId5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FED39" w14:textId="77777777" w:rsidR="003237FC" w:rsidRDefault="003237FC">
      <w:pPr>
        <w:spacing w:line="240" w:lineRule="auto"/>
      </w:pPr>
      <w:r>
        <w:separator/>
      </w:r>
    </w:p>
  </w:endnote>
  <w:endnote w:type="continuationSeparator" w:id="0">
    <w:p w14:paraId="431103A5" w14:textId="77777777" w:rsidR="003237FC" w:rsidRDefault="003237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23ABAD2E-A3D4-4D22-BCC5-C96B08C9CF9C}"/>
  </w:font>
  <w:font w:name="Cambria">
    <w:panose1 w:val="02040503050406030204"/>
    <w:charset w:val="00"/>
    <w:family w:val="roman"/>
    <w:pitch w:val="variable"/>
    <w:sig w:usb0="E00006FF" w:usb1="420024FF" w:usb2="02000000" w:usb3="00000000" w:csb0="0000019F" w:csb1="00000000"/>
    <w:embedRegular r:id="rId2" w:fontKey="{054B69D8-1E31-934C-BC0F-08FAD77AD1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C89B7" w14:textId="77777777" w:rsidR="00560975" w:rsidRDefault="00DA0F2B">
    <w:r>
      <w:t>`</w:t>
    </w:r>
  </w:p>
  <w:p w14:paraId="36CC2D30" w14:textId="77777777" w:rsidR="00560975" w:rsidRDefault="00DA0F2B">
    <w:pPr>
      <w:jc w:val="right"/>
      <w:rPr>
        <w:sz w:val="20"/>
        <w:szCs w:val="20"/>
      </w:rPr>
    </w:pPr>
    <w:r>
      <w:rPr>
        <w:sz w:val="20"/>
        <w:szCs w:val="20"/>
      </w:rPr>
      <w:fldChar w:fldCharType="begin"/>
    </w:r>
    <w:r>
      <w:rPr>
        <w:sz w:val="20"/>
        <w:szCs w:val="20"/>
      </w:rPr>
      <w:instrText>PAGE</w:instrText>
    </w:r>
    <w:r>
      <w:rPr>
        <w:sz w:val="20"/>
        <w:szCs w:val="20"/>
      </w:rPr>
      <w:fldChar w:fldCharType="separate"/>
    </w:r>
    <w:r w:rsidR="0046691B">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8D0B5" w14:textId="77777777" w:rsidR="00560975" w:rsidRDefault="005609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F86B5" w14:textId="77777777" w:rsidR="003237FC" w:rsidRDefault="003237FC">
      <w:pPr>
        <w:spacing w:line="240" w:lineRule="auto"/>
      </w:pPr>
      <w:r>
        <w:separator/>
      </w:r>
    </w:p>
  </w:footnote>
  <w:footnote w:type="continuationSeparator" w:id="0">
    <w:p w14:paraId="5BF179B0" w14:textId="77777777" w:rsidR="003237FC" w:rsidRDefault="003237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C764F3"/>
    <w:multiLevelType w:val="multilevel"/>
    <w:tmpl w:val="32788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1426A9"/>
    <w:multiLevelType w:val="multilevel"/>
    <w:tmpl w:val="C15A54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70C5F34"/>
    <w:multiLevelType w:val="multilevel"/>
    <w:tmpl w:val="1ACEC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16382600">
    <w:abstractNumId w:val="1"/>
  </w:num>
  <w:num w:numId="2" w16cid:durableId="1619145438">
    <w:abstractNumId w:val="0"/>
  </w:num>
  <w:num w:numId="3" w16cid:durableId="21372858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975"/>
    <w:rsid w:val="003237FC"/>
    <w:rsid w:val="0046691B"/>
    <w:rsid w:val="00484B84"/>
    <w:rsid w:val="00560975"/>
    <w:rsid w:val="006E22DA"/>
    <w:rsid w:val="00BB443D"/>
    <w:rsid w:val="00C17BD8"/>
    <w:rsid w:val="00DA0F2B"/>
    <w:rsid w:val="00DB46C5"/>
    <w:rsid w:val="00ED01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64C0D"/>
  <w15:docId w15:val="{2EBC0D6F-30F8-467A-9830-3BE122469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paragraph" w:styleId="TOCHeading">
    <w:name w:val="TOC Heading"/>
    <w:basedOn w:val="Heading1"/>
    <w:next w:val="Normal"/>
    <w:uiPriority w:val="39"/>
    <w:unhideWhenUsed/>
    <w:qFormat/>
    <w:rsid w:val="00B3692E"/>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B3692E"/>
    <w:pPr>
      <w:spacing w:after="100"/>
    </w:pPr>
  </w:style>
  <w:style w:type="character" w:styleId="Hyperlink">
    <w:name w:val="Hyperlink"/>
    <w:basedOn w:val="DefaultParagraphFont"/>
    <w:uiPriority w:val="99"/>
    <w:unhideWhenUsed/>
    <w:rsid w:val="00B3692E"/>
    <w:rPr>
      <w:color w:val="0000FF" w:themeColor="hyperlink"/>
      <w:u w:val="single"/>
    </w:rPr>
  </w:style>
  <w:style w:type="paragraph" w:styleId="ListParagraph">
    <w:name w:val="List Paragraph"/>
    <w:basedOn w:val="Normal"/>
    <w:uiPriority w:val="34"/>
    <w:qFormat/>
    <w:rsid w:val="00997102"/>
    <w:pPr>
      <w:ind w:left="720"/>
      <w:contextualSpacing/>
    </w:pPr>
  </w:style>
  <w:style w:type="character" w:styleId="UnresolvedMention">
    <w:name w:val="Unresolved Mention"/>
    <w:basedOn w:val="DefaultParagraphFont"/>
    <w:uiPriority w:val="99"/>
    <w:semiHidden/>
    <w:unhideWhenUsed/>
    <w:rsid w:val="00297116"/>
    <w:rPr>
      <w:color w:val="605E5C"/>
      <w:shd w:val="clear" w:color="auto" w:fill="E1DFDD"/>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6920/jeet/2024/v38i4/25096" TargetMode="External" /><Relationship Id="rId18" Type="http://schemas.openxmlformats.org/officeDocument/2006/relationships/hyperlink" Target="https://uk.fsc.org/" TargetMode="External" /><Relationship Id="rId26" Type="http://schemas.openxmlformats.org/officeDocument/2006/relationships/hyperlink" Target="https://doi.org/10.1016/j.procir.2023.08.029" TargetMode="External" /><Relationship Id="rId39" Type="http://schemas.openxmlformats.org/officeDocument/2006/relationships/hyperlink" Target="https://doi.org/10.24857/rgsa.v18n2-055" TargetMode="External" /><Relationship Id="rId21" Type="http://schemas.openxmlformats.org/officeDocument/2006/relationships/hyperlink" Target="https://doi.org/10.3390/math12213364" TargetMode="External" /><Relationship Id="rId34" Type="http://schemas.openxmlformats.org/officeDocument/2006/relationships/hyperlink" Target="https://doi.org/10.1007/s11920-025-01658-w" TargetMode="External" /><Relationship Id="rId42" Type="http://schemas.openxmlformats.org/officeDocument/2006/relationships/hyperlink" Target="https://doi.org/10.1016/j.spc.2022.01.004" TargetMode="External" /><Relationship Id="rId47" Type="http://schemas.openxmlformats.org/officeDocument/2006/relationships/hyperlink" Target="https://www.theguardian.com/sustainable-business/unilever-sustainable-living-plan-growth" TargetMode="External" /><Relationship Id="rId50" Type="http://schemas.openxmlformats.org/officeDocument/2006/relationships/hyperlink" Target="https://www.unilever.com/news/news-search/2022/unilever-international-celebrates-decade-of-consistent-growth-serving-the-underserved/" TargetMode="External" /><Relationship Id="rId55" Type="http://schemas.openxmlformats.org/officeDocument/2006/relationships/hyperlink" Target="https://www.unilever.com/news/news-search/2024/20-years-on-dove-and-the-future-of-real-beauty/" TargetMode="External" /><Relationship Id="rId7" Type="http://schemas.openxmlformats.org/officeDocument/2006/relationships/endnotes" Target="endnotes.xml" /><Relationship Id="rId12" Type="http://schemas.openxmlformats.org/officeDocument/2006/relationships/hyperlink" Target="https://doi.org/10.3390/su16083191" TargetMode="External" /><Relationship Id="rId17" Type="http://schemas.openxmlformats.org/officeDocument/2006/relationships/hyperlink" Target="http://dx.doi.org/10.1108/JPBM-08-2023-4667" TargetMode="External" /><Relationship Id="rId25" Type="http://schemas.openxmlformats.org/officeDocument/2006/relationships/hyperlink" Target="https://dx.doi.org/10.2139/ssrn.4802226" TargetMode="External" /><Relationship Id="rId33" Type="http://schemas.openxmlformats.org/officeDocument/2006/relationships/hyperlink" Target="https://doi.org/10.3390/su15086706" TargetMode="External" /><Relationship Id="rId38" Type="http://schemas.openxmlformats.org/officeDocument/2006/relationships/hyperlink" Target="https://doi.org/10.24857/rgsa.v18n2-055" TargetMode="External" /><Relationship Id="rId46" Type="http://schemas.openxmlformats.org/officeDocument/2006/relationships/hyperlink" Target="https://www.theguardian.com/sustainable-business/unilever-sustainable-living-plan-growth" TargetMode="External" /><Relationship Id="rId59"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dx.doi.org/10.1108/JPBM-08-2023-4667" TargetMode="External" /><Relationship Id="rId20" Type="http://schemas.openxmlformats.org/officeDocument/2006/relationships/hyperlink" Target="https://doi.org/10.3390/math12213364" TargetMode="External" /><Relationship Id="rId29" Type="http://schemas.openxmlformats.org/officeDocument/2006/relationships/hyperlink" Target="https://doi.org/10.1177/21582440241286727" TargetMode="External" /><Relationship Id="rId41" Type="http://schemas.openxmlformats.org/officeDocument/2006/relationships/hyperlink" Target="http://dx.doi.org/10.1108/JPBM-12-2023-4873" TargetMode="External" /><Relationship Id="rId54" Type="http://schemas.openxmlformats.org/officeDocument/2006/relationships/hyperlink" Target="https://www.unilever.com/news/news-search/2024/20-years-on-dove-and-the-future-of-real-beauty/"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3390/su16083191" TargetMode="External" /><Relationship Id="rId24" Type="http://schemas.openxmlformats.org/officeDocument/2006/relationships/hyperlink" Target="https://dx.doi.org/10.2139/ssrn.4802226" TargetMode="External" /><Relationship Id="rId32" Type="http://schemas.openxmlformats.org/officeDocument/2006/relationships/hyperlink" Target="https://doi.org/10.3390/su15086706" TargetMode="External" /><Relationship Id="rId37" Type="http://schemas.openxmlformats.org/officeDocument/2006/relationships/hyperlink" Target="http://doi.org/10.35409/IJBMER.2021.3345" TargetMode="External" /><Relationship Id="rId40" Type="http://schemas.openxmlformats.org/officeDocument/2006/relationships/hyperlink" Target="about:blank" TargetMode="External" /><Relationship Id="rId45" Type="http://schemas.openxmlformats.org/officeDocument/2006/relationships/hyperlink" Target="https://doi.org/10.21512/bbr.v13i1.7917" TargetMode="External" /><Relationship Id="rId53" Type="http://schemas.openxmlformats.org/officeDocument/2006/relationships/hyperlink" Target="https://www.unilever.com/news/news-search/2025/unilever-sees-early-signs-of-progress-on-sustainability-goals/" TargetMode="External" /><Relationship Id="rId58"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hyperlink" Target="https://doi.org/10.1108/IJOPM-07-2021-0445" TargetMode="External" /><Relationship Id="rId23" Type="http://schemas.openxmlformats.org/officeDocument/2006/relationships/hyperlink" Target="https://www.gov.uk/government/statistics/uk-waste-data/uk-statistics-on-waste" TargetMode="External" /><Relationship Id="rId28" Type="http://schemas.openxmlformats.org/officeDocument/2006/relationships/hyperlink" Target="https://doi.org/10.1177/21582440241286727" TargetMode="External" /><Relationship Id="rId36" Type="http://schemas.openxmlformats.org/officeDocument/2006/relationships/hyperlink" Target="http://doi.org/10.35409/IJBMER.2021.3345" TargetMode="External" /><Relationship Id="rId49" Type="http://schemas.openxmlformats.org/officeDocument/2006/relationships/hyperlink" Target="https://www.unilever.com/files/our-sustainability-goals.pdf" TargetMode="External" /><Relationship Id="rId57"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hyperlink" Target="https://uk.fsc.org/" TargetMode="External" /><Relationship Id="rId31" Type="http://schemas.openxmlformats.org/officeDocument/2006/relationships/hyperlink" Target="https://doi.org/10.1007/s10668-024-05096-1" TargetMode="External" /><Relationship Id="rId44" Type="http://schemas.openxmlformats.org/officeDocument/2006/relationships/hyperlink" Target="https://doi.org/10.21512/bbr.v13i1.7917" TargetMode="External" /><Relationship Id="rId52" Type="http://schemas.openxmlformats.org/officeDocument/2006/relationships/hyperlink" Target="https://www.unilever.com/news/news-search/2025/unilever-sees-early-signs-of-progress-on-sustainability-goals/" TargetMode="External" /><Relationship Id="rId6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108/IJOPM-07-2021-0445" TargetMode="External" /><Relationship Id="rId22" Type="http://schemas.openxmlformats.org/officeDocument/2006/relationships/hyperlink" Target="https://www.gov.uk/government/statistics/uk-waste-data/uk-statistics-on-waste" TargetMode="External" /><Relationship Id="rId27" Type="http://schemas.openxmlformats.org/officeDocument/2006/relationships/hyperlink" Target="https://doi.org/10.1016/j.procir.2023.08.029" TargetMode="External" /><Relationship Id="rId30" Type="http://schemas.openxmlformats.org/officeDocument/2006/relationships/hyperlink" Target="https://doi.org/10.1007/s10668-024-05096-1" TargetMode="External" /><Relationship Id="rId35" Type="http://schemas.openxmlformats.org/officeDocument/2006/relationships/hyperlink" Target="https://doi.org/10.1007/s11920-025-01658-w" TargetMode="External" /><Relationship Id="rId43" Type="http://schemas.openxmlformats.org/officeDocument/2006/relationships/hyperlink" Target="https://doi.org/10.1016/j.spc.2022.01.004" TargetMode="External" /><Relationship Id="rId48" Type="http://schemas.openxmlformats.org/officeDocument/2006/relationships/hyperlink" Target="https://www.unilever.com/files/our-sustainability-goals.pdf" TargetMode="External" /><Relationship Id="rId56" Type="http://schemas.openxmlformats.org/officeDocument/2006/relationships/image" Target="media/image4.png" /><Relationship Id="rId8" Type="http://schemas.openxmlformats.org/officeDocument/2006/relationships/image" Target="media/image1.png" /><Relationship Id="rId51" Type="http://schemas.openxmlformats.org/officeDocument/2006/relationships/hyperlink" Target="https://www.unilever.com/news/news-search/2022/unilever-international-celebrates-decade-of-consistent-growth-serving-the-underserved/" TargetMode="External" /><Relationship Id="rId3" Type="http://schemas.openxmlformats.org/officeDocument/2006/relationships/styles" Target="styles.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jx0Rwg5evi5Hc/dkhFoxJjOu+Q==">CgMxLjAyDmgudXNzdGoxMXpnOHk4Mg5oLjE4aXdoYW04dzdlazIOaC4xNzgyb3JtM2s1YjUyDmgucWlzdzN0N29pa2dmMg5oLmVkcGt2bnR0MHYyZjIOaC5ta2VhanY5bXlmMmoyDmgud3lubHhtYm13ZTYxMg1oLncxbjI3b3UzZjRrOAByITFaRGwteXhiQ0QxTVpxMGlJbWl5RU5IQXBqaUZudWJwZg==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4167</Words>
  <Characters>23758</Characters>
  <Application>Microsoft Office Word</Application>
  <DocSecurity>0</DocSecurity>
  <Lines>197</Lines>
  <Paragraphs>55</Paragraphs>
  <ScaleCrop>false</ScaleCrop>
  <Company/>
  <LinksUpToDate>false</LinksUpToDate>
  <CharactersWithSpaces>27870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Dishaben Nirav Goyani (2536657)</cp:lastModifiedBy>
  <cp:revision>2</cp:revision>
  <dcterms:created xsi:type="dcterms:W3CDTF">2026-08-14T15:49:00Z</dcterms:created>
  <dcterms:modified xsi:type="dcterms:W3CDTF">2026-08-14T15:49:00Z</dcterms:modified>
</cp:coreProperties>
</file>