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57A1D" w14:textId="6B99B5F6" w:rsidR="00B53168" w:rsidRDefault="00B53168" w:rsidP="00B53168">
      <w:r>
        <w:t xml:space="preserve">  </w:t>
      </w:r>
      <w:r>
        <w:rPr>
          <w:noProof/>
          <w14:ligatures w14:val="standardContextual"/>
        </w:rPr>
        <w:drawing>
          <wp:inline distT="0" distB="0" distL="0" distR="0" wp14:anchorId="3F91257E" wp14:editId="3E5839F3">
            <wp:extent cx="2886075" cy="1133475"/>
            <wp:effectExtent l="0" t="0" r="9525" b="9525"/>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pic:cNvPicPr>
                  </pic:nvPicPr>
                  <pic:blipFill>
                    <a:blip r:embed="rId7" cstate="print"/>
                    <a:srcRect/>
                    <a:stretch>
                      <a:fillRect/>
                    </a:stretch>
                  </pic:blipFill>
                  <pic:spPr bwMode="auto">
                    <a:xfrm>
                      <a:off x="0" y="0"/>
                      <a:ext cx="2886075" cy="1133475"/>
                    </a:xfrm>
                    <a:prstGeom prst="rect">
                      <a:avLst/>
                    </a:prstGeom>
                    <a:noFill/>
                    <a:ln w="9525">
                      <a:noFill/>
                      <a:miter lim="800000"/>
                      <a:headEnd/>
                      <a:tailEnd/>
                    </a:ln>
                  </pic:spPr>
                </pic:pic>
              </a:graphicData>
            </a:graphic>
          </wp:inline>
        </w:drawing>
      </w:r>
    </w:p>
    <w:p w14:paraId="561A66DA" w14:textId="77777777" w:rsidR="00B53168" w:rsidRDefault="00B53168" w:rsidP="00B53168"/>
    <w:p w14:paraId="4DE89B80" w14:textId="77777777" w:rsidR="00B53168" w:rsidRPr="00285A21" w:rsidRDefault="00B53168" w:rsidP="00B53168">
      <w:pPr>
        <w:jc w:val="center"/>
        <w:rPr>
          <w:b/>
          <w:bCs/>
          <w:sz w:val="40"/>
          <w:szCs w:val="36"/>
          <w:lang w:eastAsia="en-GB"/>
        </w:rPr>
      </w:pPr>
      <w:r w:rsidRPr="00285A21">
        <w:rPr>
          <w:b/>
          <w:bCs/>
          <w:sz w:val="40"/>
          <w:szCs w:val="36"/>
          <w:lang w:eastAsia="en-GB"/>
        </w:rPr>
        <w:t>Corporate Governance</w:t>
      </w:r>
    </w:p>
    <w:p w14:paraId="6FA26353" w14:textId="77777777" w:rsidR="00B53168" w:rsidRPr="00285A21" w:rsidRDefault="00B53168" w:rsidP="00B53168">
      <w:pPr>
        <w:jc w:val="center"/>
        <w:rPr>
          <w:b/>
          <w:bCs/>
          <w:sz w:val="40"/>
          <w:szCs w:val="36"/>
          <w:lang w:eastAsia="en-GB"/>
        </w:rPr>
      </w:pPr>
      <w:r w:rsidRPr="00285A21">
        <w:rPr>
          <w:b/>
          <w:bCs/>
          <w:sz w:val="40"/>
          <w:szCs w:val="36"/>
          <w:lang w:eastAsia="en-GB"/>
        </w:rPr>
        <w:t>BMMB7018</w:t>
      </w:r>
    </w:p>
    <w:p w14:paraId="43C96196" w14:textId="77777777" w:rsidR="00B53168" w:rsidRPr="00285A21" w:rsidRDefault="00B53168" w:rsidP="00B53168">
      <w:pPr>
        <w:jc w:val="center"/>
        <w:rPr>
          <w:bCs/>
          <w:sz w:val="28"/>
          <w:szCs w:val="14"/>
          <w:lang w:eastAsia="en-GB"/>
        </w:rPr>
      </w:pPr>
      <w:r w:rsidRPr="00285A21">
        <w:rPr>
          <w:bCs/>
          <w:sz w:val="28"/>
          <w:szCs w:val="14"/>
          <w:lang w:eastAsia="en-GB"/>
        </w:rPr>
        <w:t>SCHOOL OF BUSINESS</w:t>
      </w:r>
    </w:p>
    <w:p w14:paraId="1FB189D7" w14:textId="77777777" w:rsidR="00B53168" w:rsidRDefault="00B53168" w:rsidP="00B53168">
      <w:pPr>
        <w:jc w:val="center"/>
        <w:rPr>
          <w:bCs/>
          <w:sz w:val="28"/>
          <w:szCs w:val="14"/>
          <w:lang w:eastAsia="en-GB"/>
        </w:rPr>
      </w:pPr>
      <w:r w:rsidRPr="00285A21">
        <w:rPr>
          <w:bCs/>
          <w:sz w:val="28"/>
          <w:szCs w:val="14"/>
          <w:lang w:eastAsia="en-GB"/>
        </w:rPr>
        <w:t>INSTITUTE OF MANAGEMENT AND HEALTH</w:t>
      </w:r>
    </w:p>
    <w:p w14:paraId="7901C87B" w14:textId="77777777" w:rsidR="00B53168" w:rsidRDefault="00B53168" w:rsidP="00B53168">
      <w:pPr>
        <w:ind w:right="-957"/>
        <w:rPr>
          <w:rFonts w:ascii="Arial" w:hAnsi="Arial" w:cs="Arial"/>
          <w:bCs/>
          <w:sz w:val="28"/>
          <w:szCs w:val="14"/>
          <w:lang w:eastAsia="en-GB"/>
        </w:rPr>
      </w:pPr>
    </w:p>
    <w:p w14:paraId="54750C8B" w14:textId="77777777" w:rsidR="00B53168" w:rsidRDefault="00B53168" w:rsidP="00B53168">
      <w:pPr>
        <w:ind w:right="-957"/>
        <w:rPr>
          <w:rFonts w:ascii="Arial" w:hAnsi="Arial" w:cs="Arial"/>
          <w:bCs/>
          <w:sz w:val="28"/>
          <w:szCs w:val="14"/>
          <w:lang w:eastAsia="en-GB"/>
        </w:rPr>
      </w:pPr>
    </w:p>
    <w:p w14:paraId="296F260F" w14:textId="77777777" w:rsidR="00B53168" w:rsidRDefault="00B53168" w:rsidP="00B53168">
      <w:pPr>
        <w:ind w:right="-957"/>
        <w:rPr>
          <w:rFonts w:ascii="Arial" w:hAnsi="Arial" w:cs="Arial"/>
          <w:bCs/>
          <w:sz w:val="28"/>
          <w:szCs w:val="14"/>
          <w:lang w:eastAsia="en-GB"/>
        </w:rPr>
      </w:pPr>
    </w:p>
    <w:p w14:paraId="2813E711" w14:textId="77777777" w:rsidR="00B53168" w:rsidRDefault="00B53168" w:rsidP="00B53168">
      <w:pPr>
        <w:ind w:right="-957"/>
        <w:rPr>
          <w:rFonts w:ascii="Arial" w:hAnsi="Arial" w:cs="Arial"/>
          <w:bCs/>
          <w:sz w:val="28"/>
          <w:szCs w:val="14"/>
          <w:lang w:eastAsia="en-GB"/>
        </w:rPr>
      </w:pPr>
    </w:p>
    <w:p w14:paraId="1E9433F2" w14:textId="77777777" w:rsidR="00B53168" w:rsidRDefault="00B53168" w:rsidP="00B53168">
      <w:pPr>
        <w:ind w:right="-957"/>
        <w:rPr>
          <w:rFonts w:ascii="Arial" w:hAnsi="Arial" w:cs="Arial"/>
          <w:bCs/>
          <w:sz w:val="28"/>
          <w:szCs w:val="14"/>
          <w:lang w:eastAsia="en-GB"/>
        </w:rPr>
      </w:pPr>
    </w:p>
    <w:p w14:paraId="36998A4E" w14:textId="77777777" w:rsidR="00B53168" w:rsidRDefault="00B53168" w:rsidP="00B53168">
      <w:pPr>
        <w:ind w:right="-957"/>
        <w:rPr>
          <w:rFonts w:ascii="Arial" w:hAnsi="Arial" w:cs="Arial"/>
          <w:bCs/>
          <w:sz w:val="28"/>
          <w:szCs w:val="14"/>
          <w:lang w:eastAsia="en-GB"/>
        </w:rPr>
      </w:pPr>
    </w:p>
    <w:p w14:paraId="3B5B9F70" w14:textId="2BED6A2E" w:rsidR="00B53168" w:rsidRDefault="00B53168" w:rsidP="00B53168">
      <w:pPr>
        <w:rPr>
          <w:lang w:eastAsia="en-GB"/>
        </w:rPr>
      </w:pPr>
      <w:r>
        <w:rPr>
          <w:lang w:eastAsia="en-GB"/>
        </w:rPr>
        <w:t>Student Name:</w:t>
      </w:r>
      <w:r w:rsidR="001C19A8">
        <w:rPr>
          <w:lang w:eastAsia="en-GB"/>
        </w:rPr>
        <w:t xml:space="preserve"> </w:t>
      </w:r>
      <w:r w:rsidR="0036794F">
        <w:rPr>
          <w:lang w:eastAsia="en-GB"/>
        </w:rPr>
        <w:t>Md Josim Uddin</w:t>
      </w:r>
    </w:p>
    <w:p w14:paraId="45006201" w14:textId="7A9DA241" w:rsidR="00B53168" w:rsidRPr="00285A21" w:rsidRDefault="00B53168" w:rsidP="00B53168">
      <w:pPr>
        <w:rPr>
          <w:lang w:eastAsia="en-GB"/>
        </w:rPr>
      </w:pPr>
      <w:r>
        <w:rPr>
          <w:lang w:eastAsia="en-GB"/>
        </w:rPr>
        <w:t>Student ID:</w:t>
      </w:r>
      <w:r w:rsidR="001C19A8">
        <w:rPr>
          <w:lang w:eastAsia="en-GB"/>
        </w:rPr>
        <w:t xml:space="preserve"> </w:t>
      </w:r>
      <w:r w:rsidR="0036794F">
        <w:rPr>
          <w:lang w:eastAsia="en-GB"/>
        </w:rPr>
        <w:t>2516714</w:t>
      </w:r>
    </w:p>
    <w:p w14:paraId="3ABCA3CB" w14:textId="77777777" w:rsidR="00B53168" w:rsidRDefault="00B53168" w:rsidP="00B53168">
      <w:r>
        <w:br w:type="page"/>
      </w:r>
    </w:p>
    <w:sdt>
      <w:sdtPr>
        <w:rPr>
          <w:rFonts w:ascii="Times New Roman" w:eastAsiaTheme="minorHAnsi" w:hAnsi="Times New Roman" w:cstheme="minorBidi"/>
          <w:color w:val="auto"/>
          <w:sz w:val="24"/>
          <w:szCs w:val="22"/>
          <w:lang w:val="en-GB"/>
        </w:rPr>
        <w:id w:val="-1928720554"/>
        <w:docPartObj>
          <w:docPartGallery w:val="Table of Contents"/>
          <w:docPartUnique/>
        </w:docPartObj>
      </w:sdtPr>
      <w:sdtEndPr>
        <w:rPr>
          <w:b/>
          <w:bCs/>
          <w:noProof/>
        </w:rPr>
      </w:sdtEndPr>
      <w:sdtContent>
        <w:p w14:paraId="71E47E02" w14:textId="6FE0B65F" w:rsidR="00B53168" w:rsidRPr="00B53168" w:rsidRDefault="00B53168" w:rsidP="00B53168">
          <w:pPr>
            <w:pStyle w:val="TOCHeading"/>
            <w:rPr>
              <w:rFonts w:ascii="Times New Roman" w:hAnsi="Times New Roman" w:cs="Times New Roman"/>
              <w:b/>
              <w:bCs/>
              <w:color w:val="auto"/>
            </w:rPr>
          </w:pPr>
          <w:r>
            <w:rPr>
              <w:rFonts w:ascii="Times New Roman" w:eastAsiaTheme="minorHAnsi" w:hAnsi="Times New Roman" w:cstheme="minorBidi"/>
              <w:color w:val="auto"/>
              <w:sz w:val="24"/>
              <w:szCs w:val="22"/>
              <w:lang w:val="en-GB"/>
            </w:rPr>
            <w:t xml:space="preserve">                                                       </w:t>
          </w:r>
          <w:r w:rsidRPr="00B53168">
            <w:rPr>
              <w:rFonts w:ascii="Times New Roman" w:hAnsi="Times New Roman" w:cs="Times New Roman"/>
              <w:b/>
              <w:bCs/>
              <w:color w:val="auto"/>
            </w:rPr>
            <w:t>Table of Contents</w:t>
          </w:r>
        </w:p>
        <w:p w14:paraId="65C2F5B4" w14:textId="77777777" w:rsidR="00B53168" w:rsidRPr="00B53168" w:rsidRDefault="00B53168" w:rsidP="00B53168">
          <w:pPr>
            <w:pStyle w:val="TOC1"/>
            <w:tabs>
              <w:tab w:val="right" w:leader="dot" w:pos="9016"/>
            </w:tabs>
            <w:rPr>
              <w:rFonts w:eastAsiaTheme="minorEastAsia" w:cs="Times New Roman"/>
              <w:noProof/>
              <w:kern w:val="2"/>
              <w:szCs w:val="24"/>
              <w:lang w:val="en-SG" w:eastAsia="en-SG"/>
              <w14:ligatures w14:val="standardContextual"/>
            </w:rPr>
          </w:pPr>
          <w:r>
            <w:fldChar w:fldCharType="begin"/>
          </w:r>
          <w:r>
            <w:instrText xml:space="preserve"> TOC \o "1-3" \h \z \u </w:instrText>
          </w:r>
          <w:r>
            <w:fldChar w:fldCharType="separate"/>
          </w:r>
          <w:hyperlink w:anchor="_Toc225455487" w:history="1">
            <w:r w:rsidRPr="00B53168">
              <w:rPr>
                <w:rStyle w:val="Hyperlink"/>
                <w:rFonts w:cs="Times New Roman"/>
                <w:noProof/>
                <w:lang w:val="en-SG"/>
              </w:rPr>
              <w:t>Company Background: John Wood Group plc</w:t>
            </w:r>
            <w:r w:rsidRPr="00B53168">
              <w:rPr>
                <w:rFonts w:cs="Times New Roman"/>
                <w:noProof/>
                <w:webHidden/>
              </w:rPr>
              <w:tab/>
            </w:r>
            <w:r w:rsidRPr="00B53168">
              <w:rPr>
                <w:rFonts w:cs="Times New Roman"/>
                <w:noProof/>
                <w:webHidden/>
              </w:rPr>
              <w:fldChar w:fldCharType="begin"/>
            </w:r>
            <w:r w:rsidRPr="00B53168">
              <w:rPr>
                <w:rFonts w:cs="Times New Roman"/>
                <w:noProof/>
                <w:webHidden/>
              </w:rPr>
              <w:instrText xml:space="preserve"> PAGEREF _Toc225455487 \h </w:instrText>
            </w:r>
            <w:r w:rsidRPr="00B53168">
              <w:rPr>
                <w:rFonts w:cs="Times New Roman"/>
                <w:noProof/>
                <w:webHidden/>
              </w:rPr>
            </w:r>
            <w:r w:rsidRPr="00B53168">
              <w:rPr>
                <w:rFonts w:cs="Times New Roman"/>
                <w:noProof/>
                <w:webHidden/>
              </w:rPr>
              <w:fldChar w:fldCharType="separate"/>
            </w:r>
            <w:r w:rsidRPr="00B53168">
              <w:rPr>
                <w:rFonts w:cs="Times New Roman"/>
                <w:noProof/>
                <w:webHidden/>
              </w:rPr>
              <w:t>4</w:t>
            </w:r>
            <w:r w:rsidRPr="00B53168">
              <w:rPr>
                <w:rFonts w:cs="Times New Roman"/>
                <w:noProof/>
                <w:webHidden/>
              </w:rPr>
              <w:fldChar w:fldCharType="end"/>
            </w:r>
          </w:hyperlink>
        </w:p>
        <w:p w14:paraId="0358F8A6"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488" w:history="1">
            <w:r w:rsidRPr="00B53168">
              <w:rPr>
                <w:rStyle w:val="Hyperlink"/>
                <w:rFonts w:ascii="Times New Roman" w:hAnsi="Times New Roman" w:cs="Times New Roman"/>
              </w:rPr>
              <w:t>Company Overview</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_Toc225455488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4</w:t>
            </w:r>
            <w:r w:rsidRPr="00B53168">
              <w:rPr>
                <w:rFonts w:ascii="Times New Roman" w:hAnsi="Times New Roman" w:cs="Times New Roman"/>
                <w:webHidden/>
              </w:rPr>
              <w:fldChar w:fldCharType="end"/>
            </w:r>
          </w:hyperlink>
        </w:p>
        <w:p w14:paraId="0747AE42"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489" w:history="1">
            <w:r w:rsidRPr="00B53168">
              <w:rPr>
                <w:rStyle w:val="Hyperlink"/>
                <w:rFonts w:ascii="Times New Roman" w:hAnsi="Times New Roman" w:cs="Times New Roman"/>
              </w:rPr>
              <w:t>Business Model and Operations</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_Toc225455489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5</w:t>
            </w:r>
            <w:r w:rsidRPr="00B53168">
              <w:rPr>
                <w:rFonts w:ascii="Times New Roman" w:hAnsi="Times New Roman" w:cs="Times New Roman"/>
                <w:webHidden/>
              </w:rPr>
              <w:fldChar w:fldCharType="end"/>
            </w:r>
          </w:hyperlink>
        </w:p>
        <w:p w14:paraId="63F4C50F"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490" w:history="1">
            <w:r w:rsidRPr="00B53168">
              <w:rPr>
                <w:rStyle w:val="Hyperlink"/>
                <w:rFonts w:ascii="Times New Roman" w:hAnsi="Times New Roman" w:cs="Times New Roman"/>
              </w:rPr>
              <w:t>Corporate Governance Structure</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_Toc225455490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5</w:t>
            </w:r>
            <w:r w:rsidRPr="00B53168">
              <w:rPr>
                <w:rFonts w:ascii="Times New Roman" w:hAnsi="Times New Roman" w:cs="Times New Roman"/>
                <w:webHidden/>
              </w:rPr>
              <w:fldChar w:fldCharType="end"/>
            </w:r>
          </w:hyperlink>
        </w:p>
        <w:p w14:paraId="4038BB4C"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491" w:history="1">
            <w:r w:rsidRPr="00B53168">
              <w:rPr>
                <w:rStyle w:val="Hyperlink"/>
                <w:rFonts w:ascii="Times New Roman" w:hAnsi="Times New Roman" w:cs="Times New Roman"/>
              </w:rPr>
              <w:t>Recent Financial Reporting Developments</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_Toc225455491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5</w:t>
            </w:r>
            <w:r w:rsidRPr="00B53168">
              <w:rPr>
                <w:rFonts w:ascii="Times New Roman" w:hAnsi="Times New Roman" w:cs="Times New Roman"/>
                <w:webHidden/>
              </w:rPr>
              <w:fldChar w:fldCharType="end"/>
            </w:r>
          </w:hyperlink>
        </w:p>
        <w:p w14:paraId="5B762D32" w14:textId="77777777" w:rsidR="00B53168" w:rsidRPr="00B53168" w:rsidRDefault="00B53168" w:rsidP="00B53168">
          <w:pPr>
            <w:pStyle w:val="TOC1"/>
            <w:tabs>
              <w:tab w:val="right" w:leader="dot" w:pos="9016"/>
            </w:tabs>
            <w:rPr>
              <w:rFonts w:eastAsiaTheme="minorEastAsia" w:cs="Times New Roman"/>
              <w:noProof/>
              <w:kern w:val="2"/>
              <w:szCs w:val="24"/>
              <w:lang w:val="en-SG" w:eastAsia="en-SG"/>
              <w14:ligatures w14:val="standardContextual"/>
            </w:rPr>
          </w:pPr>
          <w:hyperlink w:anchor="_Toc225455492" w:history="1">
            <w:r w:rsidRPr="00B53168">
              <w:rPr>
                <w:rStyle w:val="Hyperlink"/>
                <w:rFonts w:cs="Times New Roman"/>
                <w:noProof/>
                <w:lang w:val="en-SG"/>
              </w:rPr>
              <w:t>Introduction</w:t>
            </w:r>
            <w:r w:rsidRPr="00B53168">
              <w:rPr>
                <w:rFonts w:cs="Times New Roman"/>
                <w:noProof/>
                <w:webHidden/>
              </w:rPr>
              <w:tab/>
            </w:r>
            <w:r w:rsidRPr="00B53168">
              <w:rPr>
                <w:rFonts w:cs="Times New Roman"/>
                <w:noProof/>
                <w:webHidden/>
              </w:rPr>
              <w:fldChar w:fldCharType="begin"/>
            </w:r>
            <w:r w:rsidRPr="00B53168">
              <w:rPr>
                <w:rFonts w:cs="Times New Roman"/>
                <w:noProof/>
                <w:webHidden/>
              </w:rPr>
              <w:instrText xml:space="preserve"> PAGEREF _Toc225455492 \h </w:instrText>
            </w:r>
            <w:r w:rsidRPr="00B53168">
              <w:rPr>
                <w:rFonts w:cs="Times New Roman"/>
                <w:noProof/>
                <w:webHidden/>
              </w:rPr>
            </w:r>
            <w:r w:rsidRPr="00B53168">
              <w:rPr>
                <w:rFonts w:cs="Times New Roman"/>
                <w:noProof/>
                <w:webHidden/>
              </w:rPr>
              <w:fldChar w:fldCharType="separate"/>
            </w:r>
            <w:r w:rsidRPr="00B53168">
              <w:rPr>
                <w:rFonts w:cs="Times New Roman"/>
                <w:noProof/>
                <w:webHidden/>
              </w:rPr>
              <w:t>6</w:t>
            </w:r>
            <w:r w:rsidRPr="00B53168">
              <w:rPr>
                <w:rFonts w:cs="Times New Roman"/>
                <w:noProof/>
                <w:webHidden/>
              </w:rPr>
              <w:fldChar w:fldCharType="end"/>
            </w:r>
          </w:hyperlink>
        </w:p>
        <w:p w14:paraId="5FB0C828" w14:textId="77777777" w:rsidR="00B53168" w:rsidRPr="00B53168" w:rsidRDefault="00B53168" w:rsidP="00B53168">
          <w:pPr>
            <w:pStyle w:val="TOC1"/>
            <w:tabs>
              <w:tab w:val="right" w:leader="dot" w:pos="9016"/>
            </w:tabs>
            <w:rPr>
              <w:rFonts w:eastAsiaTheme="minorEastAsia" w:cs="Times New Roman"/>
              <w:noProof/>
              <w:kern w:val="2"/>
              <w:szCs w:val="24"/>
              <w:lang w:val="en-SG" w:eastAsia="en-SG"/>
              <w14:ligatures w14:val="standardContextual"/>
            </w:rPr>
          </w:pPr>
          <w:hyperlink w:anchor="_Toc225455493" w:history="1">
            <w:r w:rsidRPr="00B53168">
              <w:rPr>
                <w:rStyle w:val="Hyperlink"/>
                <w:rFonts w:cs="Times New Roman"/>
                <w:noProof/>
                <w:lang w:val="en-SG"/>
              </w:rPr>
              <w:t>Conceptual Background: Earnings Management and Corporate Governance</w:t>
            </w:r>
            <w:r w:rsidRPr="00B53168">
              <w:rPr>
                <w:rFonts w:cs="Times New Roman"/>
                <w:noProof/>
                <w:webHidden/>
              </w:rPr>
              <w:tab/>
            </w:r>
            <w:r w:rsidRPr="00B53168">
              <w:rPr>
                <w:rFonts w:cs="Times New Roman"/>
                <w:noProof/>
                <w:webHidden/>
              </w:rPr>
              <w:fldChar w:fldCharType="begin"/>
            </w:r>
            <w:r w:rsidRPr="00B53168">
              <w:rPr>
                <w:rFonts w:cs="Times New Roman"/>
                <w:noProof/>
                <w:webHidden/>
              </w:rPr>
              <w:instrText xml:space="preserve"> PAGEREF _Toc225455493 \h </w:instrText>
            </w:r>
            <w:r w:rsidRPr="00B53168">
              <w:rPr>
                <w:rFonts w:cs="Times New Roman"/>
                <w:noProof/>
                <w:webHidden/>
              </w:rPr>
            </w:r>
            <w:r w:rsidRPr="00B53168">
              <w:rPr>
                <w:rFonts w:cs="Times New Roman"/>
                <w:noProof/>
                <w:webHidden/>
              </w:rPr>
              <w:fldChar w:fldCharType="separate"/>
            </w:r>
            <w:r w:rsidRPr="00B53168">
              <w:rPr>
                <w:rFonts w:cs="Times New Roman"/>
                <w:noProof/>
                <w:webHidden/>
              </w:rPr>
              <w:t>7</w:t>
            </w:r>
            <w:r w:rsidRPr="00B53168">
              <w:rPr>
                <w:rFonts w:cs="Times New Roman"/>
                <w:noProof/>
                <w:webHidden/>
              </w:rPr>
              <w:fldChar w:fldCharType="end"/>
            </w:r>
          </w:hyperlink>
        </w:p>
        <w:p w14:paraId="1BFB7D13"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494" w:history="1">
            <w:r w:rsidRPr="00B53168">
              <w:rPr>
                <w:rStyle w:val="Hyperlink"/>
                <w:rFonts w:ascii="Times New Roman" w:hAnsi="Times New Roman" w:cs="Times New Roman"/>
              </w:rPr>
              <w:t>Earnings Management</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_Toc225455494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7</w:t>
            </w:r>
            <w:r w:rsidRPr="00B53168">
              <w:rPr>
                <w:rFonts w:ascii="Times New Roman" w:hAnsi="Times New Roman" w:cs="Times New Roman"/>
                <w:webHidden/>
              </w:rPr>
              <w:fldChar w:fldCharType="end"/>
            </w:r>
          </w:hyperlink>
        </w:p>
        <w:p w14:paraId="19FA13E0"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495" w:history="1">
            <w:r w:rsidRPr="00B53168">
              <w:rPr>
                <w:rStyle w:val="Hyperlink"/>
                <w:rFonts w:ascii="Times New Roman" w:hAnsi="Times New Roman" w:cs="Times New Roman"/>
              </w:rPr>
              <w:t>Corporate Governance and Financial Reporting</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_Toc225455495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8</w:t>
            </w:r>
            <w:r w:rsidRPr="00B53168">
              <w:rPr>
                <w:rFonts w:ascii="Times New Roman" w:hAnsi="Times New Roman" w:cs="Times New Roman"/>
                <w:webHidden/>
              </w:rPr>
              <w:fldChar w:fldCharType="end"/>
            </w:r>
          </w:hyperlink>
        </w:p>
        <w:p w14:paraId="29D94747"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496" w:history="1">
            <w:r w:rsidRPr="00B53168">
              <w:rPr>
                <w:rStyle w:val="Hyperlink"/>
                <w:rFonts w:ascii="Times New Roman" w:hAnsi="Times New Roman" w:cs="Times New Roman"/>
              </w:rPr>
              <w:t>Agency Theory and Governance Failure</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_Toc225455496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9</w:t>
            </w:r>
            <w:r w:rsidRPr="00B53168">
              <w:rPr>
                <w:rFonts w:ascii="Times New Roman" w:hAnsi="Times New Roman" w:cs="Times New Roman"/>
                <w:webHidden/>
              </w:rPr>
              <w:fldChar w:fldCharType="end"/>
            </w:r>
          </w:hyperlink>
        </w:p>
        <w:p w14:paraId="0F902C8A" w14:textId="77777777" w:rsidR="00B53168" w:rsidRPr="00B53168" w:rsidRDefault="00B53168" w:rsidP="00B53168">
          <w:pPr>
            <w:pStyle w:val="TOC1"/>
            <w:tabs>
              <w:tab w:val="right" w:leader="dot" w:pos="9016"/>
            </w:tabs>
            <w:rPr>
              <w:rFonts w:eastAsiaTheme="minorEastAsia" w:cs="Times New Roman"/>
              <w:noProof/>
              <w:kern w:val="2"/>
              <w:szCs w:val="24"/>
              <w:lang w:val="en-SG" w:eastAsia="en-SG"/>
              <w14:ligatures w14:val="standardContextual"/>
            </w:rPr>
          </w:pPr>
          <w:hyperlink w:anchor="_Toc225455497" w:history="1">
            <w:r w:rsidRPr="00B53168">
              <w:rPr>
                <w:rStyle w:val="Hyperlink"/>
                <w:rFonts w:cs="Times New Roman"/>
                <w:noProof/>
                <w:lang w:val="en-SG"/>
              </w:rPr>
              <w:t>Analysis of the Earnings Management and Governance Issue</w:t>
            </w:r>
            <w:r w:rsidRPr="00B53168">
              <w:rPr>
                <w:rFonts w:cs="Times New Roman"/>
                <w:noProof/>
                <w:webHidden/>
              </w:rPr>
              <w:tab/>
            </w:r>
            <w:r w:rsidRPr="00B53168">
              <w:rPr>
                <w:rFonts w:cs="Times New Roman"/>
                <w:noProof/>
                <w:webHidden/>
              </w:rPr>
              <w:fldChar w:fldCharType="begin"/>
            </w:r>
            <w:r w:rsidRPr="00B53168">
              <w:rPr>
                <w:rFonts w:cs="Times New Roman"/>
                <w:noProof/>
                <w:webHidden/>
              </w:rPr>
              <w:instrText xml:space="preserve"> PAGEREF _Toc225455497 \h </w:instrText>
            </w:r>
            <w:r w:rsidRPr="00B53168">
              <w:rPr>
                <w:rFonts w:cs="Times New Roman"/>
                <w:noProof/>
                <w:webHidden/>
              </w:rPr>
            </w:r>
            <w:r w:rsidRPr="00B53168">
              <w:rPr>
                <w:rFonts w:cs="Times New Roman"/>
                <w:noProof/>
                <w:webHidden/>
              </w:rPr>
              <w:fldChar w:fldCharType="separate"/>
            </w:r>
            <w:r w:rsidRPr="00B53168">
              <w:rPr>
                <w:rFonts w:cs="Times New Roman"/>
                <w:noProof/>
                <w:webHidden/>
              </w:rPr>
              <w:t>9</w:t>
            </w:r>
            <w:r w:rsidRPr="00B53168">
              <w:rPr>
                <w:rFonts w:cs="Times New Roman"/>
                <w:noProof/>
                <w:webHidden/>
              </w:rPr>
              <w:fldChar w:fldCharType="end"/>
            </w:r>
          </w:hyperlink>
        </w:p>
        <w:p w14:paraId="29095106"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498" w:history="1">
            <w:r w:rsidRPr="00B53168">
              <w:rPr>
                <w:rStyle w:val="Hyperlink"/>
                <w:rFonts w:ascii="Times New Roman" w:hAnsi="Times New Roman" w:cs="Times New Roman"/>
              </w:rPr>
              <w:t>Description of the Accounting Misreporting Issue</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_Toc225455498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9</w:t>
            </w:r>
            <w:r w:rsidRPr="00B53168">
              <w:rPr>
                <w:rFonts w:ascii="Times New Roman" w:hAnsi="Times New Roman" w:cs="Times New Roman"/>
                <w:webHidden/>
              </w:rPr>
              <w:fldChar w:fldCharType="end"/>
            </w:r>
          </w:hyperlink>
        </w:p>
        <w:p w14:paraId="65761112"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499" w:history="1">
            <w:r w:rsidRPr="00B53168">
              <w:rPr>
                <w:rStyle w:val="Hyperlink"/>
                <w:rFonts w:ascii="Times New Roman" w:hAnsi="Times New Roman" w:cs="Times New Roman"/>
              </w:rPr>
              <w:t>Governance Failures Behind the Problem</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_Toc225455499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11</w:t>
            </w:r>
            <w:r w:rsidRPr="00B53168">
              <w:rPr>
                <w:rFonts w:ascii="Times New Roman" w:hAnsi="Times New Roman" w:cs="Times New Roman"/>
                <w:webHidden/>
              </w:rPr>
              <w:fldChar w:fldCharType="end"/>
            </w:r>
          </w:hyperlink>
        </w:p>
        <w:p w14:paraId="7D79BAB9" w14:textId="77777777" w:rsidR="00B53168" w:rsidRPr="00B53168" w:rsidRDefault="00B53168" w:rsidP="00B53168">
          <w:pPr>
            <w:pStyle w:val="TOC1"/>
            <w:tabs>
              <w:tab w:val="right" w:leader="dot" w:pos="9016"/>
            </w:tabs>
            <w:rPr>
              <w:rFonts w:eastAsiaTheme="minorEastAsia" w:cs="Times New Roman"/>
              <w:noProof/>
              <w:kern w:val="2"/>
              <w:szCs w:val="24"/>
              <w:lang w:val="en-SG" w:eastAsia="en-SG"/>
              <w14:ligatures w14:val="standardContextual"/>
            </w:rPr>
          </w:pPr>
          <w:hyperlink w:anchor="_Toc225455500" w:history="1">
            <w:r w:rsidRPr="00B53168">
              <w:rPr>
                <w:rStyle w:val="Hyperlink"/>
                <w:rFonts w:cs="Times New Roman"/>
                <w:noProof/>
                <w:lang w:val="en-SG"/>
              </w:rPr>
              <w:t>Ethical Evaluation Using Stakeholder Theory</w:t>
            </w:r>
            <w:r w:rsidRPr="00B53168">
              <w:rPr>
                <w:rFonts w:cs="Times New Roman"/>
                <w:noProof/>
                <w:webHidden/>
              </w:rPr>
              <w:tab/>
            </w:r>
            <w:r w:rsidRPr="00B53168">
              <w:rPr>
                <w:rFonts w:cs="Times New Roman"/>
                <w:noProof/>
                <w:webHidden/>
              </w:rPr>
              <w:fldChar w:fldCharType="begin"/>
            </w:r>
            <w:r w:rsidRPr="00B53168">
              <w:rPr>
                <w:rFonts w:cs="Times New Roman"/>
                <w:noProof/>
                <w:webHidden/>
              </w:rPr>
              <w:instrText xml:space="preserve"> PAGEREF _Toc225455500 \h </w:instrText>
            </w:r>
            <w:r w:rsidRPr="00B53168">
              <w:rPr>
                <w:rFonts w:cs="Times New Roman"/>
                <w:noProof/>
                <w:webHidden/>
              </w:rPr>
            </w:r>
            <w:r w:rsidRPr="00B53168">
              <w:rPr>
                <w:rFonts w:cs="Times New Roman"/>
                <w:noProof/>
                <w:webHidden/>
              </w:rPr>
              <w:fldChar w:fldCharType="separate"/>
            </w:r>
            <w:r w:rsidRPr="00B53168">
              <w:rPr>
                <w:rFonts w:cs="Times New Roman"/>
                <w:noProof/>
                <w:webHidden/>
              </w:rPr>
              <w:t>12</w:t>
            </w:r>
            <w:r w:rsidRPr="00B53168">
              <w:rPr>
                <w:rFonts w:cs="Times New Roman"/>
                <w:noProof/>
                <w:webHidden/>
              </w:rPr>
              <w:fldChar w:fldCharType="end"/>
            </w:r>
          </w:hyperlink>
        </w:p>
        <w:p w14:paraId="41FD4D95"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501" w:history="1">
            <w:r w:rsidRPr="00B53168">
              <w:rPr>
                <w:rStyle w:val="Hyperlink"/>
                <w:rFonts w:ascii="Times New Roman" w:hAnsi="Times New Roman" w:cs="Times New Roman"/>
              </w:rPr>
              <w:t>Stakeholder Theory Overview</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_Toc225455501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12</w:t>
            </w:r>
            <w:r w:rsidRPr="00B53168">
              <w:rPr>
                <w:rFonts w:ascii="Times New Roman" w:hAnsi="Times New Roman" w:cs="Times New Roman"/>
                <w:webHidden/>
              </w:rPr>
              <w:fldChar w:fldCharType="end"/>
            </w:r>
          </w:hyperlink>
        </w:p>
        <w:p w14:paraId="2D962911"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502" w:history="1">
            <w:r w:rsidRPr="00B53168">
              <w:rPr>
                <w:rStyle w:val="Hyperlink"/>
                <w:rFonts w:ascii="Times New Roman" w:hAnsi="Times New Roman" w:cs="Times New Roman"/>
              </w:rPr>
              <w:t>Ethical Issues in the Wood Group Case</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_Toc225455502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13</w:t>
            </w:r>
            <w:r w:rsidRPr="00B53168">
              <w:rPr>
                <w:rFonts w:ascii="Times New Roman" w:hAnsi="Times New Roman" w:cs="Times New Roman"/>
                <w:webHidden/>
              </w:rPr>
              <w:fldChar w:fldCharType="end"/>
            </w:r>
          </w:hyperlink>
        </w:p>
        <w:p w14:paraId="74B24624"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503" w:history="1">
            <w:r w:rsidRPr="00B53168">
              <w:rPr>
                <w:rStyle w:val="Hyperlink"/>
                <w:rFonts w:ascii="Times New Roman" w:hAnsi="Times New Roman" w:cs="Times New Roman"/>
              </w:rPr>
              <w:t>Ethical Decision-Making Failures</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_Toc225455503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14</w:t>
            </w:r>
            <w:r w:rsidRPr="00B53168">
              <w:rPr>
                <w:rFonts w:ascii="Times New Roman" w:hAnsi="Times New Roman" w:cs="Times New Roman"/>
                <w:webHidden/>
              </w:rPr>
              <w:fldChar w:fldCharType="end"/>
            </w:r>
          </w:hyperlink>
        </w:p>
        <w:p w14:paraId="7639D287"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504" w:history="1">
            <w:r w:rsidRPr="00B53168">
              <w:rPr>
                <w:rStyle w:val="Hyperlink"/>
                <w:rFonts w:ascii="Times New Roman" w:hAnsi="Times New Roman" w:cs="Times New Roman"/>
              </w:rPr>
              <w:t>Ethical Governance Could Have Prevented the Problem</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_Toc225455504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14</w:t>
            </w:r>
            <w:r w:rsidRPr="00B53168">
              <w:rPr>
                <w:rFonts w:ascii="Times New Roman" w:hAnsi="Times New Roman" w:cs="Times New Roman"/>
                <w:webHidden/>
              </w:rPr>
              <w:fldChar w:fldCharType="end"/>
            </w:r>
          </w:hyperlink>
        </w:p>
        <w:p w14:paraId="234E8433" w14:textId="77777777" w:rsidR="00B53168" w:rsidRPr="00B53168" w:rsidRDefault="00B53168" w:rsidP="00B53168">
          <w:pPr>
            <w:pStyle w:val="TOC1"/>
            <w:tabs>
              <w:tab w:val="right" w:leader="dot" w:pos="9016"/>
            </w:tabs>
            <w:rPr>
              <w:rFonts w:eastAsiaTheme="minorEastAsia" w:cs="Times New Roman"/>
              <w:noProof/>
              <w:kern w:val="2"/>
              <w:szCs w:val="24"/>
              <w:lang w:val="en-SG" w:eastAsia="en-SG"/>
              <w14:ligatures w14:val="standardContextual"/>
            </w:rPr>
          </w:pPr>
          <w:hyperlink w:anchor="_Toc225455505" w:history="1">
            <w:r w:rsidRPr="00B53168">
              <w:rPr>
                <w:rStyle w:val="Hyperlink"/>
                <w:rFonts w:cs="Times New Roman"/>
                <w:noProof/>
                <w:lang w:val="en-SG"/>
              </w:rPr>
              <w:t>Impact on Stakeholders and the Market</w:t>
            </w:r>
            <w:r w:rsidRPr="00B53168">
              <w:rPr>
                <w:rFonts w:cs="Times New Roman"/>
                <w:noProof/>
                <w:webHidden/>
              </w:rPr>
              <w:tab/>
            </w:r>
            <w:r w:rsidRPr="00B53168">
              <w:rPr>
                <w:rFonts w:cs="Times New Roman"/>
                <w:noProof/>
                <w:webHidden/>
              </w:rPr>
              <w:fldChar w:fldCharType="begin"/>
            </w:r>
            <w:r w:rsidRPr="00B53168">
              <w:rPr>
                <w:rFonts w:cs="Times New Roman"/>
                <w:noProof/>
                <w:webHidden/>
              </w:rPr>
              <w:instrText xml:space="preserve"> PAGEREF _Toc225455505 \h </w:instrText>
            </w:r>
            <w:r w:rsidRPr="00B53168">
              <w:rPr>
                <w:rFonts w:cs="Times New Roman"/>
                <w:noProof/>
                <w:webHidden/>
              </w:rPr>
            </w:r>
            <w:r w:rsidRPr="00B53168">
              <w:rPr>
                <w:rFonts w:cs="Times New Roman"/>
                <w:noProof/>
                <w:webHidden/>
              </w:rPr>
              <w:fldChar w:fldCharType="separate"/>
            </w:r>
            <w:r w:rsidRPr="00B53168">
              <w:rPr>
                <w:rFonts w:cs="Times New Roman"/>
                <w:noProof/>
                <w:webHidden/>
              </w:rPr>
              <w:t>15</w:t>
            </w:r>
            <w:r w:rsidRPr="00B53168">
              <w:rPr>
                <w:rFonts w:cs="Times New Roman"/>
                <w:noProof/>
                <w:webHidden/>
              </w:rPr>
              <w:fldChar w:fldCharType="end"/>
            </w:r>
          </w:hyperlink>
        </w:p>
        <w:p w14:paraId="16325572"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506" w:history="1">
            <w:r w:rsidRPr="00B53168">
              <w:rPr>
                <w:rStyle w:val="Hyperlink"/>
                <w:rFonts w:ascii="Times New Roman" w:hAnsi="Times New Roman" w:cs="Times New Roman"/>
              </w:rPr>
              <w:t>Shareholders</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_Toc225455506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15</w:t>
            </w:r>
            <w:r w:rsidRPr="00B53168">
              <w:rPr>
                <w:rFonts w:ascii="Times New Roman" w:hAnsi="Times New Roman" w:cs="Times New Roman"/>
                <w:webHidden/>
              </w:rPr>
              <w:fldChar w:fldCharType="end"/>
            </w:r>
          </w:hyperlink>
        </w:p>
        <w:p w14:paraId="2404C3BE"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507" w:history="1">
            <w:r w:rsidRPr="00B53168">
              <w:rPr>
                <w:rStyle w:val="Hyperlink"/>
                <w:rFonts w:ascii="Times New Roman" w:hAnsi="Times New Roman" w:cs="Times New Roman"/>
              </w:rPr>
              <w:t>Employees</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_Toc225455507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15</w:t>
            </w:r>
            <w:r w:rsidRPr="00B53168">
              <w:rPr>
                <w:rFonts w:ascii="Times New Roman" w:hAnsi="Times New Roman" w:cs="Times New Roman"/>
                <w:webHidden/>
              </w:rPr>
              <w:fldChar w:fldCharType="end"/>
            </w:r>
          </w:hyperlink>
        </w:p>
        <w:p w14:paraId="65D614E1"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508" w:history="1">
            <w:r w:rsidRPr="00B53168">
              <w:rPr>
                <w:rStyle w:val="Hyperlink"/>
                <w:rFonts w:ascii="Times New Roman" w:hAnsi="Times New Roman" w:cs="Times New Roman"/>
              </w:rPr>
              <w:t>Customers and Business Partners</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_Toc225455508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16</w:t>
            </w:r>
            <w:r w:rsidRPr="00B53168">
              <w:rPr>
                <w:rFonts w:ascii="Times New Roman" w:hAnsi="Times New Roman" w:cs="Times New Roman"/>
                <w:webHidden/>
              </w:rPr>
              <w:fldChar w:fldCharType="end"/>
            </w:r>
          </w:hyperlink>
        </w:p>
        <w:p w14:paraId="60EBF92B"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509" w:history="1">
            <w:r w:rsidRPr="00B53168">
              <w:rPr>
                <w:rStyle w:val="Hyperlink"/>
                <w:rFonts w:ascii="Times New Roman" w:hAnsi="Times New Roman" w:cs="Times New Roman"/>
              </w:rPr>
              <w:t>Regulators and Financial Markets</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_Toc225455509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16</w:t>
            </w:r>
            <w:r w:rsidRPr="00B53168">
              <w:rPr>
                <w:rFonts w:ascii="Times New Roman" w:hAnsi="Times New Roman" w:cs="Times New Roman"/>
                <w:webHidden/>
              </w:rPr>
              <w:fldChar w:fldCharType="end"/>
            </w:r>
          </w:hyperlink>
        </w:p>
        <w:p w14:paraId="57C2C302" w14:textId="77777777" w:rsidR="00B53168" w:rsidRPr="00B53168" w:rsidRDefault="00B53168" w:rsidP="00B53168">
          <w:pPr>
            <w:pStyle w:val="TOC2"/>
            <w:rPr>
              <w:rFonts w:ascii="Times New Roman" w:eastAsiaTheme="minorEastAsia" w:hAnsi="Times New Roman" w:cs="Times New Roman"/>
              <w:kern w:val="2"/>
              <w:szCs w:val="24"/>
              <w:lang w:eastAsia="en-SG"/>
              <w14:ligatures w14:val="standardContextual"/>
            </w:rPr>
          </w:pPr>
          <w:hyperlink w:anchor="_Toc225455510" w:history="1">
            <w:r w:rsidRPr="00B53168">
              <w:rPr>
                <w:rStyle w:val="Hyperlink"/>
                <w:rFonts w:ascii="Times New Roman" w:hAnsi="Times New Roman" w:cs="Times New Roman"/>
              </w:rPr>
              <w:t>Long-Term Performance</w:t>
            </w:r>
            <w:r w:rsidRPr="00B53168">
              <w:rPr>
                <w:rFonts w:ascii="Times New Roman" w:hAnsi="Times New Roman" w:cs="Times New Roman"/>
                <w:webHidden/>
              </w:rPr>
              <w:tab/>
            </w:r>
            <w:r w:rsidRPr="00B53168">
              <w:rPr>
                <w:rFonts w:ascii="Times New Roman" w:hAnsi="Times New Roman" w:cs="Times New Roman"/>
                <w:webHidden/>
              </w:rPr>
              <w:fldChar w:fldCharType="begin"/>
            </w:r>
            <w:r w:rsidRPr="00B53168">
              <w:rPr>
                <w:rFonts w:ascii="Times New Roman" w:hAnsi="Times New Roman" w:cs="Times New Roman"/>
                <w:webHidden/>
              </w:rPr>
              <w:instrText xml:space="preserve"> PAGEREF _Toc225455510 \h </w:instrText>
            </w:r>
            <w:r w:rsidRPr="00B53168">
              <w:rPr>
                <w:rFonts w:ascii="Times New Roman" w:hAnsi="Times New Roman" w:cs="Times New Roman"/>
                <w:webHidden/>
              </w:rPr>
            </w:r>
            <w:r w:rsidRPr="00B53168">
              <w:rPr>
                <w:rFonts w:ascii="Times New Roman" w:hAnsi="Times New Roman" w:cs="Times New Roman"/>
                <w:webHidden/>
              </w:rPr>
              <w:fldChar w:fldCharType="separate"/>
            </w:r>
            <w:r w:rsidRPr="00B53168">
              <w:rPr>
                <w:rFonts w:ascii="Times New Roman" w:hAnsi="Times New Roman" w:cs="Times New Roman"/>
                <w:webHidden/>
              </w:rPr>
              <w:t>16</w:t>
            </w:r>
            <w:r w:rsidRPr="00B53168">
              <w:rPr>
                <w:rFonts w:ascii="Times New Roman" w:hAnsi="Times New Roman" w:cs="Times New Roman"/>
                <w:webHidden/>
              </w:rPr>
              <w:fldChar w:fldCharType="end"/>
            </w:r>
          </w:hyperlink>
        </w:p>
        <w:p w14:paraId="65BFFC24" w14:textId="77777777" w:rsidR="00B53168" w:rsidRPr="00B53168" w:rsidRDefault="00B53168" w:rsidP="00B53168">
          <w:pPr>
            <w:pStyle w:val="TOC1"/>
            <w:tabs>
              <w:tab w:val="right" w:leader="dot" w:pos="9016"/>
            </w:tabs>
            <w:rPr>
              <w:rFonts w:eastAsiaTheme="minorEastAsia" w:cs="Times New Roman"/>
              <w:noProof/>
              <w:kern w:val="2"/>
              <w:szCs w:val="24"/>
              <w:lang w:val="en-SG" w:eastAsia="en-SG"/>
              <w14:ligatures w14:val="standardContextual"/>
            </w:rPr>
          </w:pPr>
          <w:hyperlink w:anchor="_Toc225455511" w:history="1">
            <w:r w:rsidRPr="00B53168">
              <w:rPr>
                <w:rStyle w:val="Hyperlink"/>
                <w:rFonts w:cs="Times New Roman"/>
                <w:noProof/>
                <w:lang w:val="en-SG"/>
              </w:rPr>
              <w:t>Actions Taken by the Company and Regulators and Recommendations</w:t>
            </w:r>
            <w:r w:rsidRPr="00B53168">
              <w:rPr>
                <w:rFonts w:cs="Times New Roman"/>
                <w:noProof/>
                <w:webHidden/>
              </w:rPr>
              <w:tab/>
            </w:r>
            <w:r w:rsidRPr="00B53168">
              <w:rPr>
                <w:rFonts w:cs="Times New Roman"/>
                <w:noProof/>
                <w:webHidden/>
              </w:rPr>
              <w:fldChar w:fldCharType="begin"/>
            </w:r>
            <w:r w:rsidRPr="00B53168">
              <w:rPr>
                <w:rFonts w:cs="Times New Roman"/>
                <w:noProof/>
                <w:webHidden/>
              </w:rPr>
              <w:instrText xml:space="preserve"> PAGEREF _Toc225455511 \h </w:instrText>
            </w:r>
            <w:r w:rsidRPr="00B53168">
              <w:rPr>
                <w:rFonts w:cs="Times New Roman"/>
                <w:noProof/>
                <w:webHidden/>
              </w:rPr>
            </w:r>
            <w:r w:rsidRPr="00B53168">
              <w:rPr>
                <w:rFonts w:cs="Times New Roman"/>
                <w:noProof/>
                <w:webHidden/>
              </w:rPr>
              <w:fldChar w:fldCharType="separate"/>
            </w:r>
            <w:r w:rsidRPr="00B53168">
              <w:rPr>
                <w:rFonts w:cs="Times New Roman"/>
                <w:noProof/>
                <w:webHidden/>
              </w:rPr>
              <w:t>17</w:t>
            </w:r>
            <w:r w:rsidRPr="00B53168">
              <w:rPr>
                <w:rFonts w:cs="Times New Roman"/>
                <w:noProof/>
                <w:webHidden/>
              </w:rPr>
              <w:fldChar w:fldCharType="end"/>
            </w:r>
          </w:hyperlink>
        </w:p>
        <w:p w14:paraId="1138D7CF" w14:textId="77777777" w:rsidR="00B53168" w:rsidRDefault="00B53168" w:rsidP="00B53168">
          <w:pPr>
            <w:pStyle w:val="TOC2"/>
            <w:rPr>
              <w:rFonts w:eastAsiaTheme="minorEastAsia"/>
              <w:kern w:val="2"/>
              <w:szCs w:val="24"/>
              <w:lang w:eastAsia="en-SG"/>
              <w14:ligatures w14:val="standardContextual"/>
            </w:rPr>
          </w:pPr>
          <w:hyperlink w:anchor="_Toc225455512" w:history="1">
            <w:r w:rsidRPr="0016515B">
              <w:rPr>
                <w:rStyle w:val="Hyperlink"/>
              </w:rPr>
              <w:t>Actions Taken by the Company and Regulators</w:t>
            </w:r>
            <w:r>
              <w:rPr>
                <w:webHidden/>
              </w:rPr>
              <w:tab/>
            </w:r>
            <w:r>
              <w:rPr>
                <w:webHidden/>
              </w:rPr>
              <w:fldChar w:fldCharType="begin"/>
            </w:r>
            <w:r>
              <w:rPr>
                <w:webHidden/>
              </w:rPr>
              <w:instrText xml:space="preserve"> PAGEREF _Toc225455512 \h </w:instrText>
            </w:r>
            <w:r>
              <w:rPr>
                <w:webHidden/>
              </w:rPr>
            </w:r>
            <w:r>
              <w:rPr>
                <w:webHidden/>
              </w:rPr>
              <w:fldChar w:fldCharType="separate"/>
            </w:r>
            <w:r>
              <w:rPr>
                <w:webHidden/>
              </w:rPr>
              <w:t>17</w:t>
            </w:r>
            <w:r>
              <w:rPr>
                <w:webHidden/>
              </w:rPr>
              <w:fldChar w:fldCharType="end"/>
            </w:r>
          </w:hyperlink>
        </w:p>
        <w:p w14:paraId="4CBBD4CC" w14:textId="77777777" w:rsidR="00B53168" w:rsidRDefault="00B53168" w:rsidP="00B53168">
          <w:pPr>
            <w:pStyle w:val="TOC3"/>
            <w:tabs>
              <w:tab w:val="right" w:leader="dot" w:pos="9016"/>
            </w:tabs>
            <w:rPr>
              <w:rFonts w:asciiTheme="minorHAnsi" w:eastAsiaTheme="minorEastAsia" w:hAnsiTheme="minorHAnsi"/>
              <w:noProof/>
              <w:kern w:val="2"/>
              <w:szCs w:val="24"/>
              <w:lang w:val="en-SG" w:eastAsia="en-SG"/>
              <w14:ligatures w14:val="standardContextual"/>
            </w:rPr>
          </w:pPr>
          <w:hyperlink w:anchor="_Toc225455513" w:history="1">
            <w:r w:rsidRPr="0016515B">
              <w:rPr>
                <w:rStyle w:val="Hyperlink"/>
                <w:noProof/>
                <w:lang w:val="en-SG"/>
              </w:rPr>
              <w:t>Company Actions</w:t>
            </w:r>
            <w:r>
              <w:rPr>
                <w:noProof/>
                <w:webHidden/>
              </w:rPr>
              <w:tab/>
            </w:r>
            <w:r>
              <w:rPr>
                <w:noProof/>
                <w:webHidden/>
              </w:rPr>
              <w:fldChar w:fldCharType="begin"/>
            </w:r>
            <w:r>
              <w:rPr>
                <w:noProof/>
                <w:webHidden/>
              </w:rPr>
              <w:instrText xml:space="preserve"> PAGEREF _Toc225455513 \h </w:instrText>
            </w:r>
            <w:r>
              <w:rPr>
                <w:noProof/>
                <w:webHidden/>
              </w:rPr>
            </w:r>
            <w:r>
              <w:rPr>
                <w:noProof/>
                <w:webHidden/>
              </w:rPr>
              <w:fldChar w:fldCharType="separate"/>
            </w:r>
            <w:r>
              <w:rPr>
                <w:noProof/>
                <w:webHidden/>
              </w:rPr>
              <w:t>17</w:t>
            </w:r>
            <w:r>
              <w:rPr>
                <w:noProof/>
                <w:webHidden/>
              </w:rPr>
              <w:fldChar w:fldCharType="end"/>
            </w:r>
          </w:hyperlink>
        </w:p>
        <w:p w14:paraId="5CDF8394" w14:textId="77777777" w:rsidR="00B53168" w:rsidRDefault="00B53168" w:rsidP="00B53168">
          <w:pPr>
            <w:pStyle w:val="TOC3"/>
            <w:tabs>
              <w:tab w:val="right" w:leader="dot" w:pos="9016"/>
            </w:tabs>
            <w:rPr>
              <w:rFonts w:asciiTheme="minorHAnsi" w:eastAsiaTheme="minorEastAsia" w:hAnsiTheme="minorHAnsi"/>
              <w:noProof/>
              <w:kern w:val="2"/>
              <w:szCs w:val="24"/>
              <w:lang w:val="en-SG" w:eastAsia="en-SG"/>
              <w14:ligatures w14:val="standardContextual"/>
            </w:rPr>
          </w:pPr>
          <w:hyperlink w:anchor="_Toc225455514" w:history="1">
            <w:r w:rsidRPr="0016515B">
              <w:rPr>
                <w:rStyle w:val="Hyperlink"/>
                <w:noProof/>
                <w:lang w:val="en-SG"/>
              </w:rPr>
              <w:t>Regulatory Actions</w:t>
            </w:r>
            <w:r>
              <w:rPr>
                <w:noProof/>
                <w:webHidden/>
              </w:rPr>
              <w:tab/>
            </w:r>
            <w:r>
              <w:rPr>
                <w:noProof/>
                <w:webHidden/>
              </w:rPr>
              <w:fldChar w:fldCharType="begin"/>
            </w:r>
            <w:r>
              <w:rPr>
                <w:noProof/>
                <w:webHidden/>
              </w:rPr>
              <w:instrText xml:space="preserve"> PAGEREF _Toc225455514 \h </w:instrText>
            </w:r>
            <w:r>
              <w:rPr>
                <w:noProof/>
                <w:webHidden/>
              </w:rPr>
            </w:r>
            <w:r>
              <w:rPr>
                <w:noProof/>
                <w:webHidden/>
              </w:rPr>
              <w:fldChar w:fldCharType="separate"/>
            </w:r>
            <w:r>
              <w:rPr>
                <w:noProof/>
                <w:webHidden/>
              </w:rPr>
              <w:t>17</w:t>
            </w:r>
            <w:r>
              <w:rPr>
                <w:noProof/>
                <w:webHidden/>
              </w:rPr>
              <w:fldChar w:fldCharType="end"/>
            </w:r>
          </w:hyperlink>
        </w:p>
        <w:p w14:paraId="05C7AD12" w14:textId="77777777" w:rsidR="00B53168" w:rsidRDefault="00B53168" w:rsidP="00B53168">
          <w:pPr>
            <w:pStyle w:val="TOC2"/>
            <w:rPr>
              <w:rFonts w:eastAsiaTheme="minorEastAsia"/>
              <w:kern w:val="2"/>
              <w:szCs w:val="24"/>
              <w:lang w:eastAsia="en-SG"/>
              <w14:ligatures w14:val="standardContextual"/>
            </w:rPr>
          </w:pPr>
          <w:hyperlink w:anchor="_Toc225455515" w:history="1">
            <w:r w:rsidRPr="0016515B">
              <w:rPr>
                <w:rStyle w:val="Hyperlink"/>
              </w:rPr>
              <w:t>Recommendations for Improving Corporate Governance</w:t>
            </w:r>
            <w:r>
              <w:rPr>
                <w:webHidden/>
              </w:rPr>
              <w:tab/>
            </w:r>
            <w:r>
              <w:rPr>
                <w:webHidden/>
              </w:rPr>
              <w:fldChar w:fldCharType="begin"/>
            </w:r>
            <w:r>
              <w:rPr>
                <w:webHidden/>
              </w:rPr>
              <w:instrText xml:space="preserve"> PAGEREF _Toc225455515 \h </w:instrText>
            </w:r>
            <w:r>
              <w:rPr>
                <w:webHidden/>
              </w:rPr>
            </w:r>
            <w:r>
              <w:rPr>
                <w:webHidden/>
              </w:rPr>
              <w:fldChar w:fldCharType="separate"/>
            </w:r>
            <w:r>
              <w:rPr>
                <w:webHidden/>
              </w:rPr>
              <w:t>18</w:t>
            </w:r>
            <w:r>
              <w:rPr>
                <w:webHidden/>
              </w:rPr>
              <w:fldChar w:fldCharType="end"/>
            </w:r>
          </w:hyperlink>
        </w:p>
        <w:p w14:paraId="58473905" w14:textId="77777777" w:rsidR="00B53168" w:rsidRDefault="00B53168" w:rsidP="00B53168">
          <w:pPr>
            <w:pStyle w:val="TOC3"/>
            <w:tabs>
              <w:tab w:val="right" w:leader="dot" w:pos="9016"/>
            </w:tabs>
            <w:rPr>
              <w:rFonts w:asciiTheme="minorHAnsi" w:eastAsiaTheme="minorEastAsia" w:hAnsiTheme="minorHAnsi"/>
              <w:noProof/>
              <w:kern w:val="2"/>
              <w:szCs w:val="24"/>
              <w:lang w:val="en-SG" w:eastAsia="en-SG"/>
              <w14:ligatures w14:val="standardContextual"/>
            </w:rPr>
          </w:pPr>
          <w:hyperlink w:anchor="_Toc225455516" w:history="1">
            <w:r w:rsidRPr="0016515B">
              <w:rPr>
                <w:rStyle w:val="Hyperlink"/>
                <w:noProof/>
                <w:lang w:val="en-SG"/>
              </w:rPr>
              <w:t>Enhancing Board Oversight</w:t>
            </w:r>
            <w:r>
              <w:rPr>
                <w:noProof/>
                <w:webHidden/>
              </w:rPr>
              <w:tab/>
            </w:r>
            <w:r>
              <w:rPr>
                <w:noProof/>
                <w:webHidden/>
              </w:rPr>
              <w:fldChar w:fldCharType="begin"/>
            </w:r>
            <w:r>
              <w:rPr>
                <w:noProof/>
                <w:webHidden/>
              </w:rPr>
              <w:instrText xml:space="preserve"> PAGEREF _Toc225455516 \h </w:instrText>
            </w:r>
            <w:r>
              <w:rPr>
                <w:noProof/>
                <w:webHidden/>
              </w:rPr>
            </w:r>
            <w:r>
              <w:rPr>
                <w:noProof/>
                <w:webHidden/>
              </w:rPr>
              <w:fldChar w:fldCharType="separate"/>
            </w:r>
            <w:r>
              <w:rPr>
                <w:noProof/>
                <w:webHidden/>
              </w:rPr>
              <w:t>18</w:t>
            </w:r>
            <w:r>
              <w:rPr>
                <w:noProof/>
                <w:webHidden/>
              </w:rPr>
              <w:fldChar w:fldCharType="end"/>
            </w:r>
          </w:hyperlink>
        </w:p>
        <w:p w14:paraId="3F635879" w14:textId="77777777" w:rsidR="00B53168" w:rsidRDefault="00B53168" w:rsidP="00B53168">
          <w:pPr>
            <w:pStyle w:val="TOC3"/>
            <w:tabs>
              <w:tab w:val="right" w:leader="dot" w:pos="9016"/>
            </w:tabs>
            <w:rPr>
              <w:rFonts w:asciiTheme="minorHAnsi" w:eastAsiaTheme="minorEastAsia" w:hAnsiTheme="minorHAnsi"/>
              <w:noProof/>
              <w:kern w:val="2"/>
              <w:szCs w:val="24"/>
              <w:lang w:val="en-SG" w:eastAsia="en-SG"/>
              <w14:ligatures w14:val="standardContextual"/>
            </w:rPr>
          </w:pPr>
          <w:hyperlink w:anchor="_Toc225455517" w:history="1">
            <w:r w:rsidRPr="0016515B">
              <w:rPr>
                <w:rStyle w:val="Hyperlink"/>
                <w:noProof/>
                <w:lang w:val="en-SG"/>
              </w:rPr>
              <w:t>Enhancing Financial Transparency</w:t>
            </w:r>
            <w:r>
              <w:rPr>
                <w:noProof/>
                <w:webHidden/>
              </w:rPr>
              <w:tab/>
            </w:r>
            <w:r>
              <w:rPr>
                <w:noProof/>
                <w:webHidden/>
              </w:rPr>
              <w:fldChar w:fldCharType="begin"/>
            </w:r>
            <w:r>
              <w:rPr>
                <w:noProof/>
                <w:webHidden/>
              </w:rPr>
              <w:instrText xml:space="preserve"> PAGEREF _Toc225455517 \h </w:instrText>
            </w:r>
            <w:r>
              <w:rPr>
                <w:noProof/>
                <w:webHidden/>
              </w:rPr>
            </w:r>
            <w:r>
              <w:rPr>
                <w:noProof/>
                <w:webHidden/>
              </w:rPr>
              <w:fldChar w:fldCharType="separate"/>
            </w:r>
            <w:r>
              <w:rPr>
                <w:noProof/>
                <w:webHidden/>
              </w:rPr>
              <w:t>18</w:t>
            </w:r>
            <w:r>
              <w:rPr>
                <w:noProof/>
                <w:webHidden/>
              </w:rPr>
              <w:fldChar w:fldCharType="end"/>
            </w:r>
          </w:hyperlink>
        </w:p>
        <w:p w14:paraId="6145E3C2" w14:textId="77777777" w:rsidR="00B53168" w:rsidRDefault="00B53168" w:rsidP="00B53168">
          <w:pPr>
            <w:pStyle w:val="TOC3"/>
            <w:tabs>
              <w:tab w:val="right" w:leader="dot" w:pos="9016"/>
            </w:tabs>
            <w:rPr>
              <w:rFonts w:asciiTheme="minorHAnsi" w:eastAsiaTheme="minorEastAsia" w:hAnsiTheme="minorHAnsi"/>
              <w:noProof/>
              <w:kern w:val="2"/>
              <w:szCs w:val="24"/>
              <w:lang w:val="en-SG" w:eastAsia="en-SG"/>
              <w14:ligatures w14:val="standardContextual"/>
            </w:rPr>
          </w:pPr>
          <w:hyperlink w:anchor="_Toc225455518" w:history="1">
            <w:r w:rsidRPr="0016515B">
              <w:rPr>
                <w:rStyle w:val="Hyperlink"/>
                <w:noProof/>
                <w:lang w:val="en-SG"/>
              </w:rPr>
              <w:t>Improving Internal Control Systems</w:t>
            </w:r>
            <w:r>
              <w:rPr>
                <w:noProof/>
                <w:webHidden/>
              </w:rPr>
              <w:tab/>
            </w:r>
            <w:r>
              <w:rPr>
                <w:noProof/>
                <w:webHidden/>
              </w:rPr>
              <w:fldChar w:fldCharType="begin"/>
            </w:r>
            <w:r>
              <w:rPr>
                <w:noProof/>
                <w:webHidden/>
              </w:rPr>
              <w:instrText xml:space="preserve"> PAGEREF _Toc225455518 \h </w:instrText>
            </w:r>
            <w:r>
              <w:rPr>
                <w:noProof/>
                <w:webHidden/>
              </w:rPr>
            </w:r>
            <w:r>
              <w:rPr>
                <w:noProof/>
                <w:webHidden/>
              </w:rPr>
              <w:fldChar w:fldCharType="separate"/>
            </w:r>
            <w:r>
              <w:rPr>
                <w:noProof/>
                <w:webHidden/>
              </w:rPr>
              <w:t>18</w:t>
            </w:r>
            <w:r>
              <w:rPr>
                <w:noProof/>
                <w:webHidden/>
              </w:rPr>
              <w:fldChar w:fldCharType="end"/>
            </w:r>
          </w:hyperlink>
        </w:p>
        <w:p w14:paraId="513F8675" w14:textId="77777777" w:rsidR="00B53168" w:rsidRDefault="00B53168" w:rsidP="00B53168">
          <w:pPr>
            <w:pStyle w:val="TOC3"/>
            <w:tabs>
              <w:tab w:val="right" w:leader="dot" w:pos="9016"/>
            </w:tabs>
            <w:rPr>
              <w:rFonts w:asciiTheme="minorHAnsi" w:eastAsiaTheme="minorEastAsia" w:hAnsiTheme="minorHAnsi"/>
              <w:noProof/>
              <w:kern w:val="2"/>
              <w:szCs w:val="24"/>
              <w:lang w:val="en-SG" w:eastAsia="en-SG"/>
              <w14:ligatures w14:val="standardContextual"/>
            </w:rPr>
          </w:pPr>
          <w:hyperlink w:anchor="_Toc225455519" w:history="1">
            <w:r w:rsidRPr="0016515B">
              <w:rPr>
                <w:rStyle w:val="Hyperlink"/>
                <w:noProof/>
                <w:lang w:val="en-SG"/>
              </w:rPr>
              <w:t>Stakeholder Engagement</w:t>
            </w:r>
            <w:r>
              <w:rPr>
                <w:noProof/>
                <w:webHidden/>
              </w:rPr>
              <w:tab/>
            </w:r>
            <w:r>
              <w:rPr>
                <w:noProof/>
                <w:webHidden/>
              </w:rPr>
              <w:fldChar w:fldCharType="begin"/>
            </w:r>
            <w:r>
              <w:rPr>
                <w:noProof/>
                <w:webHidden/>
              </w:rPr>
              <w:instrText xml:space="preserve"> PAGEREF _Toc225455519 \h </w:instrText>
            </w:r>
            <w:r>
              <w:rPr>
                <w:noProof/>
                <w:webHidden/>
              </w:rPr>
            </w:r>
            <w:r>
              <w:rPr>
                <w:noProof/>
                <w:webHidden/>
              </w:rPr>
              <w:fldChar w:fldCharType="separate"/>
            </w:r>
            <w:r>
              <w:rPr>
                <w:noProof/>
                <w:webHidden/>
              </w:rPr>
              <w:t>18</w:t>
            </w:r>
            <w:r>
              <w:rPr>
                <w:noProof/>
                <w:webHidden/>
              </w:rPr>
              <w:fldChar w:fldCharType="end"/>
            </w:r>
          </w:hyperlink>
        </w:p>
        <w:p w14:paraId="0D160F72" w14:textId="77777777" w:rsidR="00B53168" w:rsidRDefault="00B53168" w:rsidP="00B53168">
          <w:pPr>
            <w:pStyle w:val="TOC3"/>
            <w:tabs>
              <w:tab w:val="right" w:leader="dot" w:pos="9016"/>
            </w:tabs>
            <w:rPr>
              <w:rFonts w:asciiTheme="minorHAnsi" w:eastAsiaTheme="minorEastAsia" w:hAnsiTheme="minorHAnsi"/>
              <w:noProof/>
              <w:kern w:val="2"/>
              <w:szCs w:val="24"/>
              <w:lang w:val="en-SG" w:eastAsia="en-SG"/>
              <w14:ligatures w14:val="standardContextual"/>
            </w:rPr>
          </w:pPr>
          <w:hyperlink w:anchor="_Toc225455520" w:history="1">
            <w:r w:rsidRPr="0016515B">
              <w:rPr>
                <w:rStyle w:val="Hyperlink"/>
                <w:noProof/>
                <w:lang w:val="en-SG"/>
              </w:rPr>
              <w:t>Ethical Corporate Culture</w:t>
            </w:r>
            <w:r>
              <w:rPr>
                <w:noProof/>
                <w:webHidden/>
              </w:rPr>
              <w:tab/>
            </w:r>
            <w:r>
              <w:rPr>
                <w:noProof/>
                <w:webHidden/>
              </w:rPr>
              <w:fldChar w:fldCharType="begin"/>
            </w:r>
            <w:r>
              <w:rPr>
                <w:noProof/>
                <w:webHidden/>
              </w:rPr>
              <w:instrText xml:space="preserve"> PAGEREF _Toc225455520 \h </w:instrText>
            </w:r>
            <w:r>
              <w:rPr>
                <w:noProof/>
                <w:webHidden/>
              </w:rPr>
            </w:r>
            <w:r>
              <w:rPr>
                <w:noProof/>
                <w:webHidden/>
              </w:rPr>
              <w:fldChar w:fldCharType="separate"/>
            </w:r>
            <w:r>
              <w:rPr>
                <w:noProof/>
                <w:webHidden/>
              </w:rPr>
              <w:t>18</w:t>
            </w:r>
            <w:r>
              <w:rPr>
                <w:noProof/>
                <w:webHidden/>
              </w:rPr>
              <w:fldChar w:fldCharType="end"/>
            </w:r>
          </w:hyperlink>
        </w:p>
        <w:p w14:paraId="225B5332" w14:textId="77777777" w:rsidR="00B53168" w:rsidRDefault="00B53168" w:rsidP="00B53168">
          <w:pPr>
            <w:pStyle w:val="TOC1"/>
            <w:tabs>
              <w:tab w:val="right" w:leader="dot" w:pos="9016"/>
            </w:tabs>
            <w:rPr>
              <w:rFonts w:asciiTheme="minorHAnsi" w:eastAsiaTheme="minorEastAsia" w:hAnsiTheme="minorHAnsi"/>
              <w:noProof/>
              <w:kern w:val="2"/>
              <w:szCs w:val="24"/>
              <w:lang w:val="en-SG" w:eastAsia="en-SG"/>
              <w14:ligatures w14:val="standardContextual"/>
            </w:rPr>
          </w:pPr>
          <w:hyperlink w:anchor="_Toc225455521" w:history="1">
            <w:r w:rsidRPr="0016515B">
              <w:rPr>
                <w:rStyle w:val="Hyperlink"/>
                <w:noProof/>
                <w:lang w:val="en-SG"/>
              </w:rPr>
              <w:t>Conclusion</w:t>
            </w:r>
            <w:r>
              <w:rPr>
                <w:noProof/>
                <w:webHidden/>
              </w:rPr>
              <w:tab/>
            </w:r>
            <w:r>
              <w:rPr>
                <w:noProof/>
                <w:webHidden/>
              </w:rPr>
              <w:fldChar w:fldCharType="begin"/>
            </w:r>
            <w:r>
              <w:rPr>
                <w:noProof/>
                <w:webHidden/>
              </w:rPr>
              <w:instrText xml:space="preserve"> PAGEREF _Toc225455521 \h </w:instrText>
            </w:r>
            <w:r>
              <w:rPr>
                <w:noProof/>
                <w:webHidden/>
              </w:rPr>
            </w:r>
            <w:r>
              <w:rPr>
                <w:noProof/>
                <w:webHidden/>
              </w:rPr>
              <w:fldChar w:fldCharType="separate"/>
            </w:r>
            <w:r>
              <w:rPr>
                <w:noProof/>
                <w:webHidden/>
              </w:rPr>
              <w:t>19</w:t>
            </w:r>
            <w:r>
              <w:rPr>
                <w:noProof/>
                <w:webHidden/>
              </w:rPr>
              <w:fldChar w:fldCharType="end"/>
            </w:r>
          </w:hyperlink>
        </w:p>
        <w:p w14:paraId="24936348" w14:textId="77777777" w:rsidR="00B53168" w:rsidRDefault="00B53168" w:rsidP="00B53168">
          <w:pPr>
            <w:pStyle w:val="TOC1"/>
            <w:tabs>
              <w:tab w:val="right" w:leader="dot" w:pos="9016"/>
            </w:tabs>
            <w:rPr>
              <w:rFonts w:asciiTheme="minorHAnsi" w:eastAsiaTheme="minorEastAsia" w:hAnsiTheme="minorHAnsi"/>
              <w:noProof/>
              <w:kern w:val="2"/>
              <w:szCs w:val="24"/>
              <w:lang w:val="en-SG" w:eastAsia="en-SG"/>
              <w14:ligatures w14:val="standardContextual"/>
            </w:rPr>
          </w:pPr>
          <w:hyperlink w:anchor="_Toc225455522" w:history="1">
            <w:r w:rsidRPr="0016515B">
              <w:rPr>
                <w:rStyle w:val="Hyperlink"/>
                <w:noProof/>
                <w:lang w:val="en-SG"/>
              </w:rPr>
              <w:t>References</w:t>
            </w:r>
            <w:r>
              <w:rPr>
                <w:noProof/>
                <w:webHidden/>
              </w:rPr>
              <w:tab/>
            </w:r>
            <w:r>
              <w:rPr>
                <w:noProof/>
                <w:webHidden/>
              </w:rPr>
              <w:fldChar w:fldCharType="begin"/>
            </w:r>
            <w:r>
              <w:rPr>
                <w:noProof/>
                <w:webHidden/>
              </w:rPr>
              <w:instrText xml:space="preserve"> PAGEREF _Toc225455522 \h </w:instrText>
            </w:r>
            <w:r>
              <w:rPr>
                <w:noProof/>
                <w:webHidden/>
              </w:rPr>
            </w:r>
            <w:r>
              <w:rPr>
                <w:noProof/>
                <w:webHidden/>
              </w:rPr>
              <w:fldChar w:fldCharType="separate"/>
            </w:r>
            <w:r>
              <w:rPr>
                <w:noProof/>
                <w:webHidden/>
              </w:rPr>
              <w:t>20</w:t>
            </w:r>
            <w:r>
              <w:rPr>
                <w:noProof/>
                <w:webHidden/>
              </w:rPr>
              <w:fldChar w:fldCharType="end"/>
            </w:r>
          </w:hyperlink>
        </w:p>
        <w:p w14:paraId="45548AE3" w14:textId="77777777" w:rsidR="00B53168" w:rsidRDefault="00B53168" w:rsidP="00B53168">
          <w:r>
            <w:rPr>
              <w:b/>
              <w:bCs/>
              <w:noProof/>
            </w:rPr>
            <w:fldChar w:fldCharType="end"/>
          </w:r>
        </w:p>
      </w:sdtContent>
    </w:sdt>
    <w:p w14:paraId="5760F61D" w14:textId="77777777" w:rsidR="00B53168" w:rsidRDefault="00B53168" w:rsidP="00B53168">
      <w:r>
        <w:br w:type="page"/>
      </w:r>
    </w:p>
    <w:p w14:paraId="3DCE9399" w14:textId="77777777" w:rsidR="00B53168" w:rsidRPr="00C45020" w:rsidRDefault="00B53168" w:rsidP="00B53168">
      <w:pPr>
        <w:pStyle w:val="Heading1"/>
        <w:rPr>
          <w:rFonts w:ascii="Times New Roman" w:hAnsi="Times New Roman" w:cs="Times New Roman"/>
          <w:b/>
          <w:bCs/>
          <w:color w:val="auto"/>
          <w:sz w:val="32"/>
          <w:szCs w:val="32"/>
          <w:lang w:val="en-SG"/>
        </w:rPr>
      </w:pPr>
      <w:bookmarkStart w:id="0" w:name="_Toc225455487"/>
      <w:r w:rsidRPr="00C45020">
        <w:rPr>
          <w:rFonts w:ascii="Times New Roman" w:hAnsi="Times New Roman" w:cs="Times New Roman"/>
          <w:b/>
          <w:bCs/>
          <w:color w:val="auto"/>
          <w:sz w:val="32"/>
          <w:szCs w:val="32"/>
          <w:lang w:val="en-SG"/>
        </w:rPr>
        <w:lastRenderedPageBreak/>
        <w:t>Company Background: John Wood Group plc</w:t>
      </w:r>
      <w:bookmarkEnd w:id="0"/>
    </w:p>
    <w:p w14:paraId="39011EFD"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1" w:name="_Toc225455488"/>
      <w:r w:rsidRPr="00C45020">
        <w:rPr>
          <w:rFonts w:ascii="Times New Roman" w:hAnsi="Times New Roman" w:cs="Times New Roman"/>
          <w:b/>
          <w:bCs/>
          <w:color w:val="auto"/>
          <w:sz w:val="28"/>
          <w:szCs w:val="28"/>
          <w:lang w:val="en-SG"/>
        </w:rPr>
        <w:t>Company Overview</w:t>
      </w:r>
      <w:bookmarkEnd w:id="1"/>
    </w:p>
    <w:p w14:paraId="7B0E918B" w14:textId="77777777" w:rsidR="00B53168" w:rsidRDefault="00B53168" w:rsidP="00B53168">
      <w:pPr>
        <w:rPr>
          <w:lang w:val="en-SG"/>
        </w:rPr>
      </w:pPr>
      <w:r w:rsidRPr="004E254C">
        <w:rPr>
          <w:lang w:val="en-SG"/>
        </w:rPr>
        <w:t xml:space="preserve">Wood </w:t>
      </w:r>
      <w:r>
        <w:rPr>
          <w:lang w:val="en-SG"/>
        </w:rPr>
        <w:t>G</w:t>
      </w:r>
      <w:r w:rsidRPr="004E254C">
        <w:rPr>
          <w:lang w:val="en-SG"/>
        </w:rPr>
        <w:t>roup (also known as John Wood Group plc) is a multinational engineering and consulting firm based in Aberdeen, Scotland</w:t>
      </w:r>
      <w:r>
        <w:rPr>
          <w:lang w:val="en-SG"/>
        </w:rPr>
        <w:t xml:space="preserve"> </w:t>
      </w:r>
      <w:r w:rsidRPr="004E254C">
        <w:rPr>
          <w:lang w:val="en-SG"/>
        </w:rPr>
        <w:t xml:space="preserve">(Wood, 2019). </w:t>
      </w:r>
      <w:r w:rsidRPr="002264C8">
        <w:rPr>
          <w:lang w:val="en-SG"/>
        </w:rPr>
        <w:t xml:space="preserve">The company offers project services, consulting and engineering in the energy and materials sector (Wood, 2019). It operates in such fields as oil and gas, renewable energy, chemicals, and infrastructure (Wood, 2019). Wood Group is publicly traded on the London Stock Exchange and adheres to the UK rules of governance and reporting to maintain transparency and accountability (Wood, 2019). The company has an income statement, as depicted in Figure </w:t>
      </w:r>
      <w:r>
        <w:rPr>
          <w:lang w:val="en-SG"/>
        </w:rPr>
        <w:t>1</w:t>
      </w:r>
      <w:r w:rsidRPr="002264C8">
        <w:rPr>
          <w:lang w:val="en-SG"/>
        </w:rPr>
        <w:t xml:space="preserve"> indicating that its income and profit and changes in sales have some financial reporting issues (</w:t>
      </w:r>
      <w:proofErr w:type="spellStart"/>
      <w:r w:rsidRPr="002264C8">
        <w:rPr>
          <w:lang w:val="en-SG"/>
        </w:rPr>
        <w:t>MarketScreener</w:t>
      </w:r>
      <w:proofErr w:type="spellEnd"/>
      <w:r w:rsidRPr="002264C8">
        <w:rPr>
          <w:lang w:val="en-SG"/>
        </w:rPr>
        <w:t>, 2025).</w:t>
      </w:r>
    </w:p>
    <w:p w14:paraId="78F28631" w14:textId="77777777" w:rsidR="00B53168" w:rsidRDefault="00B53168" w:rsidP="00B53168">
      <w:pPr>
        <w:rPr>
          <w:lang w:val="en-SG"/>
        </w:rPr>
      </w:pPr>
      <w:r>
        <w:rPr>
          <w:noProof/>
          <w:lang w:val="en-SG"/>
        </w:rPr>
        <w:drawing>
          <wp:inline distT="0" distB="0" distL="0" distR="0" wp14:anchorId="59B3FDB0" wp14:editId="69181DAE">
            <wp:extent cx="5648325" cy="3571875"/>
            <wp:effectExtent l="0" t="0" r="9525" b="9525"/>
            <wp:docPr id="20158927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8325" cy="3571875"/>
                    </a:xfrm>
                    <a:prstGeom prst="rect">
                      <a:avLst/>
                    </a:prstGeom>
                    <a:noFill/>
                  </pic:spPr>
                </pic:pic>
              </a:graphicData>
            </a:graphic>
          </wp:inline>
        </w:drawing>
      </w:r>
    </w:p>
    <w:p w14:paraId="0B12FA05" w14:textId="77777777" w:rsidR="00B53168" w:rsidRPr="006B28F9" w:rsidRDefault="00B53168" w:rsidP="00B53168">
      <w:pPr>
        <w:pStyle w:val="Caption"/>
        <w:rPr>
          <w:lang w:val="en-SG"/>
        </w:rPr>
      </w:pPr>
      <w:r>
        <w:t xml:space="preserve">Figure 1: </w:t>
      </w:r>
      <w:r w:rsidRPr="000D2414">
        <w:t>Projected Income Statement: John Wood Group PLC (</w:t>
      </w:r>
      <w:proofErr w:type="spellStart"/>
      <w:r w:rsidRPr="000D2414">
        <w:t>MarketScreener</w:t>
      </w:r>
      <w:proofErr w:type="spellEnd"/>
      <w:r w:rsidRPr="000D2414">
        <w:t>, 2025).</w:t>
      </w:r>
    </w:p>
    <w:p w14:paraId="720E3ACD" w14:textId="77777777" w:rsidR="00B53168" w:rsidRDefault="00B53168" w:rsidP="00B53168">
      <w:pPr>
        <w:rPr>
          <w:lang w:val="en-SG"/>
        </w:rPr>
      </w:pPr>
      <w:r w:rsidRPr="004E254C">
        <w:rPr>
          <w:lang w:val="en-SG"/>
        </w:rPr>
        <w:t xml:space="preserve">The company has grown to </w:t>
      </w:r>
      <w:r>
        <w:rPr>
          <w:lang w:val="en-SG"/>
        </w:rPr>
        <w:t>an</w:t>
      </w:r>
      <w:r w:rsidRPr="004E254C">
        <w:rPr>
          <w:lang w:val="en-SG"/>
        </w:rPr>
        <w:t xml:space="preserve"> international level since its inception and now </w:t>
      </w:r>
      <w:r>
        <w:rPr>
          <w:lang w:val="en-SG"/>
        </w:rPr>
        <w:t>operates</w:t>
      </w:r>
      <w:r w:rsidRPr="004E254C">
        <w:rPr>
          <w:lang w:val="en-SG"/>
        </w:rPr>
        <w:t xml:space="preserve"> in many countries and has thousands of workers all over the world. </w:t>
      </w:r>
      <w:r w:rsidRPr="002264C8">
        <w:rPr>
          <w:lang w:val="en-SG"/>
        </w:rPr>
        <w:t>The engineering services leader supports large industrial and energy infrastructure projects worldwide (Daniel, 2026). Due to its size and international business, the organisation needs good governance and financial reporting to manage complexity and make reliable financial disclosures (Larker and Tayan, 2020).</w:t>
      </w:r>
    </w:p>
    <w:p w14:paraId="26F2B207"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2" w:name="_Toc225455489"/>
      <w:r w:rsidRPr="00C45020">
        <w:rPr>
          <w:rFonts w:ascii="Times New Roman" w:hAnsi="Times New Roman" w:cs="Times New Roman"/>
          <w:b/>
          <w:bCs/>
          <w:color w:val="auto"/>
          <w:sz w:val="28"/>
          <w:szCs w:val="28"/>
          <w:lang w:val="en-SG"/>
        </w:rPr>
        <w:lastRenderedPageBreak/>
        <w:t>Business Model and Operations</w:t>
      </w:r>
      <w:bookmarkEnd w:id="2"/>
    </w:p>
    <w:p w14:paraId="47A46B38" w14:textId="77777777" w:rsidR="00B53168" w:rsidRPr="006B28F9" w:rsidRDefault="00B53168" w:rsidP="00B53168">
      <w:pPr>
        <w:rPr>
          <w:lang w:val="en-SG"/>
        </w:rPr>
      </w:pPr>
      <w:r w:rsidRPr="00934E48">
        <w:rPr>
          <w:lang w:val="en-SG"/>
        </w:rPr>
        <w:t xml:space="preserve">The business model of Wood Group consists of offering consulting, project, and engineering services of energy and industrial projects (Wood, 2019). The company will assist its clients in the initial design phase up to construction, operation, and maintenance (Wood, 2019). This strategy assists the company to develop long-term associations with major customers. The energy industry is evolving, and in recent years, </w:t>
      </w:r>
      <w:proofErr w:type="gramStart"/>
      <w:r w:rsidRPr="00934E48">
        <w:rPr>
          <w:lang w:val="en-SG"/>
        </w:rPr>
        <w:t>although,</w:t>
      </w:r>
      <w:proofErr w:type="gramEnd"/>
      <w:r w:rsidRPr="00934E48">
        <w:rPr>
          <w:lang w:val="en-SG"/>
        </w:rPr>
        <w:t xml:space="preserve"> Wood has been working more in renewable energy and sustainability (Larcker and Tayan, 2020).</w:t>
      </w:r>
      <w:r>
        <w:rPr>
          <w:lang w:val="en-SG"/>
        </w:rPr>
        <w:t xml:space="preserve"> </w:t>
      </w:r>
      <w:r w:rsidRPr="00934E48">
        <w:rPr>
          <w:lang w:val="en-SG"/>
        </w:rPr>
        <w:t>The company predominantly makes revenue out of the service contracts with the clients of the energy and materials industry (Wood, 2019). Such projects can be big and time consuming, hence project performance and project contract should be well displayed in the financial reports. Revenue and costs should be properly reported to prevent errors in financial reports and keep investors trustful (Wood, 2019)</w:t>
      </w:r>
      <w:r w:rsidRPr="004E254C">
        <w:rPr>
          <w:lang w:val="en-SG"/>
        </w:rPr>
        <w:t>.</w:t>
      </w:r>
    </w:p>
    <w:p w14:paraId="09B2116C"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3" w:name="_Toc225455490"/>
      <w:r w:rsidRPr="00C45020">
        <w:rPr>
          <w:rFonts w:ascii="Times New Roman" w:hAnsi="Times New Roman" w:cs="Times New Roman"/>
          <w:b/>
          <w:bCs/>
          <w:color w:val="auto"/>
          <w:sz w:val="28"/>
          <w:szCs w:val="28"/>
          <w:lang w:val="en-SG"/>
        </w:rPr>
        <w:t>Corporate Governance Structure</w:t>
      </w:r>
      <w:bookmarkEnd w:id="3"/>
    </w:p>
    <w:p w14:paraId="0F531A0E" w14:textId="77777777" w:rsidR="00B53168" w:rsidRPr="006B28F9" w:rsidRDefault="00B53168" w:rsidP="00B53168">
      <w:pPr>
        <w:rPr>
          <w:lang w:val="en-SG"/>
        </w:rPr>
      </w:pPr>
      <w:r w:rsidRPr="00484769">
        <w:rPr>
          <w:lang w:val="en-SG"/>
        </w:rPr>
        <w:t xml:space="preserve">Wood Group is a publicly traded corporation </w:t>
      </w:r>
      <w:r>
        <w:rPr>
          <w:lang w:val="en-SG"/>
        </w:rPr>
        <w:t>governing by</w:t>
      </w:r>
      <w:r w:rsidRPr="00484769">
        <w:rPr>
          <w:lang w:val="en-SG"/>
        </w:rPr>
        <w:t xml:space="preserve"> a board of directors and the executive</w:t>
      </w:r>
      <w:r>
        <w:rPr>
          <w:lang w:val="en-SG"/>
        </w:rPr>
        <w:t xml:space="preserve"> </w:t>
      </w:r>
      <w:r w:rsidRPr="00934E48">
        <w:rPr>
          <w:lang w:val="en-SG"/>
        </w:rPr>
        <w:t>(Wood, 2019)</w:t>
      </w:r>
      <w:r w:rsidRPr="00484769">
        <w:rPr>
          <w:lang w:val="en-SG"/>
        </w:rPr>
        <w:t>. Strategy and oversight are dealt with by the board and daily operations by the management. The board also controls the performance of the management, audits financial reporting as well as making sure that the company adheres to regulations. The role plays a key role in big organizations where the chances of reporting errors are high due to the complexity of operations involved (Mallin, 2019).</w:t>
      </w:r>
      <w:r>
        <w:rPr>
          <w:lang w:val="en-SG"/>
        </w:rPr>
        <w:t xml:space="preserve"> </w:t>
      </w:r>
      <w:r w:rsidRPr="00484769">
        <w:rPr>
          <w:lang w:val="en-SG"/>
        </w:rPr>
        <w:t xml:space="preserve">Independent directors and audit committees, as well as internal control systems, assist in corporate governance to ensure that the financial report is precise and correct (Collins, 2025). Such systems decrease the conflict between shareholders and managers and enhance the process of decision-making transparency (Larcker and Tayan, 2020). Effective governance practices are thus required </w:t>
      </w:r>
      <w:proofErr w:type="gramStart"/>
      <w:r w:rsidRPr="00484769">
        <w:rPr>
          <w:lang w:val="en-SG"/>
        </w:rPr>
        <w:t>in order to</w:t>
      </w:r>
      <w:proofErr w:type="gramEnd"/>
      <w:r w:rsidRPr="00484769">
        <w:rPr>
          <w:lang w:val="en-SG"/>
        </w:rPr>
        <w:t xml:space="preserve"> have accountability and guard the stakeholder interests</w:t>
      </w:r>
      <w:r w:rsidRPr="006B28F9">
        <w:rPr>
          <w:lang w:val="en-SG"/>
        </w:rPr>
        <w:t>.</w:t>
      </w:r>
    </w:p>
    <w:p w14:paraId="021B38F2"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4" w:name="_Toc225455491"/>
      <w:r w:rsidRPr="00C45020">
        <w:rPr>
          <w:rFonts w:ascii="Times New Roman" w:hAnsi="Times New Roman" w:cs="Times New Roman"/>
          <w:b/>
          <w:bCs/>
          <w:color w:val="auto"/>
          <w:sz w:val="28"/>
          <w:szCs w:val="28"/>
          <w:lang w:val="en-SG"/>
        </w:rPr>
        <w:t>Recent Financial Reporting Developments</w:t>
      </w:r>
      <w:bookmarkEnd w:id="4"/>
    </w:p>
    <w:p w14:paraId="696455AE" w14:textId="77777777" w:rsidR="00B53168" w:rsidRDefault="00B53168" w:rsidP="00B53168">
      <w:pPr>
        <w:rPr>
          <w:lang w:val="en-SG"/>
        </w:rPr>
      </w:pPr>
      <w:r w:rsidRPr="004E254C">
        <w:rPr>
          <w:lang w:val="en-SG"/>
        </w:rPr>
        <w:t xml:space="preserve">During the last </w:t>
      </w:r>
      <w:r>
        <w:rPr>
          <w:lang w:val="en-SG"/>
        </w:rPr>
        <w:t xml:space="preserve">few </w:t>
      </w:r>
      <w:r w:rsidRPr="004E254C">
        <w:rPr>
          <w:lang w:val="en-SG"/>
        </w:rPr>
        <w:t>years</w:t>
      </w:r>
      <w:r>
        <w:rPr>
          <w:lang w:val="en-SG"/>
        </w:rPr>
        <w:t>,</w:t>
      </w:r>
      <w:r w:rsidRPr="004E254C">
        <w:rPr>
          <w:lang w:val="en-SG"/>
        </w:rPr>
        <w:t xml:space="preserve"> Wood Group has been exposed to serious financial and governance issues concerning its financial reporting practices. In 2026, the Financial Conduct Authority (FCA) fined the company about </w:t>
      </w:r>
      <w:r w:rsidRPr="00A66ACB">
        <w:rPr>
          <w:lang w:val="en-SG"/>
        </w:rPr>
        <w:t>£</w:t>
      </w:r>
      <w:r w:rsidRPr="004E254C">
        <w:rPr>
          <w:lang w:val="en-SG"/>
        </w:rPr>
        <w:t>13 million by imposing a financial penalty on the company because of the publication of inaccurate financial statements repeatedly during many reporting periods (FCA, 2026). Research revealed that the company had provided false financial reports</w:t>
      </w:r>
      <w:r>
        <w:rPr>
          <w:lang w:val="en-SG"/>
        </w:rPr>
        <w:t>,</w:t>
      </w:r>
      <w:r w:rsidRPr="004E254C">
        <w:rPr>
          <w:lang w:val="en-SG"/>
        </w:rPr>
        <w:t xml:space="preserve"> which questioned the efficacy of its internal controls and the quality of its governance controls (Daniel, 2026). </w:t>
      </w:r>
      <w:r w:rsidRPr="0064484B">
        <w:rPr>
          <w:lang w:val="en-SG"/>
        </w:rPr>
        <w:t xml:space="preserve">News and regulatory reports showed that inaccurate financial reporting had </w:t>
      </w:r>
      <w:r w:rsidRPr="0064484B">
        <w:rPr>
          <w:lang w:val="en-SG"/>
        </w:rPr>
        <w:lastRenderedPageBreak/>
        <w:t>damaged investor trust and the company's reputation (Reuters, 2026).</w:t>
      </w:r>
      <w:r>
        <w:rPr>
          <w:lang w:val="en-SG"/>
        </w:rPr>
        <w:t xml:space="preserve"> </w:t>
      </w:r>
      <w:r w:rsidRPr="004E254C">
        <w:rPr>
          <w:lang w:val="en-SG"/>
        </w:rPr>
        <w:t xml:space="preserve">Figure </w:t>
      </w:r>
      <w:r>
        <w:rPr>
          <w:lang w:val="en-SG"/>
        </w:rPr>
        <w:t>2</w:t>
      </w:r>
      <w:r w:rsidRPr="004E254C">
        <w:rPr>
          <w:lang w:val="en-SG"/>
        </w:rPr>
        <w:t xml:space="preserve"> can be used to monitor the movement of the current share price of the company and the key events related to its financial reporting.</w:t>
      </w:r>
    </w:p>
    <w:p w14:paraId="4937F624" w14:textId="77777777" w:rsidR="00B53168" w:rsidRDefault="00B53168" w:rsidP="00B53168">
      <w:pPr>
        <w:rPr>
          <w:lang w:val="en-SG"/>
        </w:rPr>
      </w:pPr>
      <w:r w:rsidRPr="004B674C">
        <w:rPr>
          <w:noProof/>
          <w:lang w:val="en-SG"/>
        </w:rPr>
        <w:drawing>
          <wp:inline distT="0" distB="0" distL="0" distR="0" wp14:anchorId="5D3786C2" wp14:editId="3639A58E">
            <wp:extent cx="5731510" cy="3922395"/>
            <wp:effectExtent l="0" t="0" r="2540" b="1905"/>
            <wp:docPr id="910633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33201" name=""/>
                    <pic:cNvPicPr/>
                  </pic:nvPicPr>
                  <pic:blipFill>
                    <a:blip r:embed="rId9"/>
                    <a:stretch>
                      <a:fillRect/>
                    </a:stretch>
                  </pic:blipFill>
                  <pic:spPr>
                    <a:xfrm>
                      <a:off x="0" y="0"/>
                      <a:ext cx="5731510" cy="3922395"/>
                    </a:xfrm>
                    <a:prstGeom prst="rect">
                      <a:avLst/>
                    </a:prstGeom>
                  </pic:spPr>
                </pic:pic>
              </a:graphicData>
            </a:graphic>
          </wp:inline>
        </w:drawing>
      </w:r>
    </w:p>
    <w:p w14:paraId="02EA8C36" w14:textId="77777777" w:rsidR="00B53168" w:rsidRPr="006B28F9" w:rsidRDefault="00B53168" w:rsidP="00B53168">
      <w:pPr>
        <w:pStyle w:val="Caption"/>
        <w:rPr>
          <w:lang w:val="en-SG"/>
        </w:rPr>
      </w:pPr>
      <w:r>
        <w:t xml:space="preserve">Figure 2: </w:t>
      </w:r>
      <w:r w:rsidRPr="00AA2CC7">
        <w:t>Chart calendar John Wood Group PLC</w:t>
      </w:r>
      <w:r>
        <w:t xml:space="preserve"> </w:t>
      </w:r>
      <w:r w:rsidRPr="004B674C">
        <w:t>(</w:t>
      </w:r>
      <w:proofErr w:type="spellStart"/>
      <w:r w:rsidRPr="004B674C">
        <w:t>MarketScreener</w:t>
      </w:r>
      <w:proofErr w:type="spellEnd"/>
      <w:r w:rsidRPr="004B674C">
        <w:t>, 2025).</w:t>
      </w:r>
    </w:p>
    <w:p w14:paraId="7B11B1E1" w14:textId="77777777" w:rsidR="00B53168" w:rsidRDefault="00B53168" w:rsidP="00B53168">
      <w:pPr>
        <w:rPr>
          <w:lang w:val="en-SG"/>
        </w:rPr>
      </w:pPr>
      <w:r w:rsidRPr="006A1351">
        <w:rPr>
          <w:lang w:val="en-SG"/>
        </w:rPr>
        <w:t>In response to these issues, the company began internal audits, changed its financial reporting procedures</w:t>
      </w:r>
      <w:r>
        <w:rPr>
          <w:lang w:val="en-SG"/>
        </w:rPr>
        <w:t>. Moreover, it</w:t>
      </w:r>
      <w:r w:rsidRPr="006A1351">
        <w:rPr>
          <w:lang w:val="en-SG"/>
        </w:rPr>
        <w:t xml:space="preserve"> discussed its financial performance and strategies with stakeholders (Wood, 2025). These changes demonstrate that good governance systems protect investors and other stakeholders and ensure financial reporting.</w:t>
      </w:r>
    </w:p>
    <w:p w14:paraId="70E202C4" w14:textId="77777777" w:rsidR="00B53168" w:rsidRPr="00C45020" w:rsidRDefault="00B53168" w:rsidP="00B53168">
      <w:pPr>
        <w:pStyle w:val="Heading1"/>
        <w:rPr>
          <w:rFonts w:ascii="Times New Roman" w:hAnsi="Times New Roman" w:cs="Times New Roman"/>
          <w:b/>
          <w:bCs/>
          <w:color w:val="auto"/>
          <w:sz w:val="32"/>
          <w:szCs w:val="32"/>
          <w:lang w:val="en-SG"/>
        </w:rPr>
      </w:pPr>
      <w:bookmarkStart w:id="5" w:name="_Toc225455492"/>
      <w:r w:rsidRPr="00C45020">
        <w:rPr>
          <w:rFonts w:ascii="Times New Roman" w:hAnsi="Times New Roman" w:cs="Times New Roman"/>
          <w:b/>
          <w:bCs/>
          <w:color w:val="auto"/>
          <w:sz w:val="32"/>
          <w:szCs w:val="32"/>
          <w:lang w:val="en-SG"/>
        </w:rPr>
        <w:t>Introduction</w:t>
      </w:r>
      <w:bookmarkEnd w:id="5"/>
    </w:p>
    <w:p w14:paraId="29911E0D" w14:textId="04ECA3BB" w:rsidR="00B53168" w:rsidRDefault="00B53168" w:rsidP="00B53168">
      <w:pPr>
        <w:rPr>
          <w:lang w:val="en-SG"/>
        </w:rPr>
      </w:pPr>
      <w:r w:rsidRPr="00E16B51">
        <w:rPr>
          <w:lang w:val="en-SG"/>
        </w:rPr>
        <w:t>Corporate governance is crucial to make stock-listed corporations open, accountable, and ethical in financial reporting</w:t>
      </w:r>
      <w:r>
        <w:rPr>
          <w:lang w:val="en-SG"/>
        </w:rPr>
        <w:t xml:space="preserve"> </w:t>
      </w:r>
      <w:r w:rsidRPr="00E16B51">
        <w:rPr>
          <w:lang w:val="en-SG"/>
        </w:rPr>
        <w:t>(Mallin, 2019). It governs organisations and fosters relationships between shareholders, management, and the board of directors (Mallin, 2019). Good governance mechanisms help managers make decisions that benefit shareholders and other stakeholders and maintain financial disclosure credibility. However, governance framework flaws will allow earnings management and financial misreporting</w:t>
      </w:r>
      <w:r>
        <w:rPr>
          <w:lang w:val="en-SG"/>
        </w:rPr>
        <w:t xml:space="preserve"> </w:t>
      </w:r>
      <w:r w:rsidRPr="00E16B51">
        <w:rPr>
          <w:lang w:val="en-SG"/>
        </w:rPr>
        <w:t xml:space="preserve">(Turner, 2024). Accounting transactions are used to manipulate financial accounts to satisfy managerial goals in </w:t>
      </w:r>
      <w:r w:rsidR="006E5126" w:rsidRPr="00E16B51">
        <w:rPr>
          <w:lang w:val="en-SG"/>
        </w:rPr>
        <w:t>earnings</w:t>
      </w:r>
      <w:r w:rsidR="006E5126">
        <w:rPr>
          <w:lang w:val="en-SG"/>
        </w:rPr>
        <w:t xml:space="preserve"> </w:t>
      </w:r>
      <w:r w:rsidR="006E5126" w:rsidRPr="00E16B51">
        <w:rPr>
          <w:lang w:val="en-SG"/>
        </w:rPr>
        <w:lastRenderedPageBreak/>
        <w:t>management</w:t>
      </w:r>
      <w:r w:rsidRPr="00E16B51">
        <w:rPr>
          <w:lang w:val="en-SG"/>
        </w:rPr>
        <w:t xml:space="preserve"> (Larcker and Tayan, 2020). These practises might mislead stakeholders about a company's financial success.</w:t>
      </w:r>
      <w:r>
        <w:rPr>
          <w:lang w:val="en-SG"/>
        </w:rPr>
        <w:t xml:space="preserve"> </w:t>
      </w:r>
      <w:r w:rsidRPr="00E16B51">
        <w:rPr>
          <w:lang w:val="en-SG"/>
        </w:rPr>
        <w:t>The issue of financial reporting accuracy has grown in recent years, especially in publicly listed companies where managers are incentivised to declare strong financial results. The regulatory bodies are focusing more on financial reporting transparency and accountability to protect investors and stabilise markets (Hamzah, Sulaiman and Ismail, 2026). UK corporate governance has evolved to promote responsible corporate behaviour and reduce financial misreporting (Turner, 2024). Governance fails despite these regulatory safeguards.</w:t>
      </w:r>
      <w:r>
        <w:rPr>
          <w:lang w:val="en-SG"/>
        </w:rPr>
        <w:t xml:space="preserve"> </w:t>
      </w:r>
      <w:r w:rsidRPr="00E16B51">
        <w:rPr>
          <w:lang w:val="en-SG"/>
        </w:rPr>
        <w:t>The London Stock Exchange-listed international energy services company John Wood Group plc is a recent example. The UK Financial Conduct Authority fined the corporation 13 million pounds in 2026 for publishing misleading financial statements and inaccurate financial performance</w:t>
      </w:r>
      <w:r>
        <w:rPr>
          <w:lang w:val="en-SG"/>
        </w:rPr>
        <w:t xml:space="preserve"> (</w:t>
      </w:r>
      <w:r w:rsidRPr="00F7779E">
        <w:rPr>
          <w:lang w:val="en-SG"/>
        </w:rPr>
        <w:t>Accountancy Daily</w:t>
      </w:r>
      <w:r>
        <w:rPr>
          <w:lang w:val="en-SG"/>
        </w:rPr>
        <w:t>, 2026)</w:t>
      </w:r>
      <w:r w:rsidRPr="00E16B51">
        <w:rPr>
          <w:lang w:val="en-SG"/>
        </w:rPr>
        <w:t>. Weak internal financial controls and governance oversight cast doubt on firm governance (Daniel, 2026). This paper examines Wood Group's earnings management and governance failure and its effects on stakeholders and corporate governance.</w:t>
      </w:r>
    </w:p>
    <w:p w14:paraId="3F3AB483" w14:textId="77777777" w:rsidR="00B53168" w:rsidRPr="00C45020" w:rsidRDefault="00B53168" w:rsidP="00B53168">
      <w:pPr>
        <w:pStyle w:val="Heading1"/>
        <w:rPr>
          <w:rFonts w:ascii="Times New Roman" w:hAnsi="Times New Roman" w:cs="Times New Roman"/>
          <w:b/>
          <w:bCs/>
          <w:color w:val="auto"/>
          <w:sz w:val="32"/>
          <w:szCs w:val="32"/>
          <w:lang w:val="en-SG"/>
        </w:rPr>
      </w:pPr>
      <w:bookmarkStart w:id="6" w:name="_Toc225455493"/>
      <w:r w:rsidRPr="00C45020">
        <w:rPr>
          <w:rFonts w:ascii="Times New Roman" w:hAnsi="Times New Roman" w:cs="Times New Roman"/>
          <w:b/>
          <w:bCs/>
          <w:color w:val="auto"/>
          <w:sz w:val="32"/>
          <w:szCs w:val="32"/>
          <w:lang w:val="en-SG"/>
        </w:rPr>
        <w:t>Conceptual Background: Earnings Management and Corporate Governance</w:t>
      </w:r>
      <w:bookmarkEnd w:id="6"/>
      <w:r w:rsidRPr="00C45020">
        <w:rPr>
          <w:rFonts w:ascii="Times New Roman" w:hAnsi="Times New Roman" w:cs="Times New Roman"/>
          <w:b/>
          <w:bCs/>
          <w:color w:val="auto"/>
          <w:sz w:val="32"/>
          <w:szCs w:val="32"/>
          <w:lang w:val="en-SG"/>
        </w:rPr>
        <w:t xml:space="preserve"> </w:t>
      </w:r>
    </w:p>
    <w:p w14:paraId="4A2BCC9F" w14:textId="77777777" w:rsidR="00B53168" w:rsidRPr="006B28F9" w:rsidRDefault="00B53168" w:rsidP="00B53168">
      <w:pPr>
        <w:rPr>
          <w:lang w:val="en-SG"/>
        </w:rPr>
      </w:pPr>
      <w:r w:rsidRPr="00A40E4F">
        <w:rPr>
          <w:lang w:val="en-SG"/>
        </w:rPr>
        <w:t>To conceptually understand the governance failure of the case of John Wood Group plc, earnings management and corporate governance mechanisms</w:t>
      </w:r>
      <w:r>
        <w:rPr>
          <w:lang w:val="en-SG"/>
        </w:rPr>
        <w:t>, a</w:t>
      </w:r>
      <w:r w:rsidRPr="00A40E4F">
        <w:rPr>
          <w:lang w:val="en-SG"/>
        </w:rPr>
        <w:t xml:space="preserve"> conceptual analysis is necessary. These ideas form the theoretical basis of examining the manner of occurrence of financial misreporting and the need </w:t>
      </w:r>
      <w:r>
        <w:rPr>
          <w:lang w:val="en-SG"/>
        </w:rPr>
        <w:t>for</w:t>
      </w:r>
      <w:r w:rsidRPr="00A40E4F">
        <w:rPr>
          <w:lang w:val="en-SG"/>
        </w:rPr>
        <w:t xml:space="preserve"> governance systems to fail in some cases</w:t>
      </w:r>
      <w:r w:rsidRPr="006B28F9">
        <w:rPr>
          <w:lang w:val="en-SG"/>
        </w:rPr>
        <w:t>.</w:t>
      </w:r>
    </w:p>
    <w:p w14:paraId="0D55D119"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7" w:name="_Toc225455494"/>
      <w:r w:rsidRPr="00C45020">
        <w:rPr>
          <w:rFonts w:ascii="Times New Roman" w:hAnsi="Times New Roman" w:cs="Times New Roman"/>
          <w:b/>
          <w:bCs/>
          <w:color w:val="auto"/>
          <w:sz w:val="28"/>
          <w:szCs w:val="28"/>
          <w:lang w:val="en-SG"/>
        </w:rPr>
        <w:t>Earnings Management</w:t>
      </w:r>
      <w:bookmarkEnd w:id="7"/>
    </w:p>
    <w:p w14:paraId="30435DB0" w14:textId="77777777" w:rsidR="00B53168" w:rsidRDefault="00B53168" w:rsidP="00B53168">
      <w:pPr>
        <w:rPr>
          <w:lang w:val="en-SG"/>
        </w:rPr>
      </w:pPr>
      <w:r w:rsidRPr="005C26B5">
        <w:rPr>
          <w:lang w:val="en-SG"/>
        </w:rPr>
        <w:t>Earnings management refers to the ability of managers to present financial statements to alter financial outcomes in a certain manner they want. Accounting allows some flexibility, and issues arise when managers do it to deceive investors or conceal bad performance (Larcker and Tayan, 2020). It may involve recognizing income promptly, deferring costs or revising projections to present consistent revenues. These activities may provide an erroneous image of the financial state of the company and influence the decision of the stakeholders (Collins, 2025)</w:t>
      </w:r>
      <w:r w:rsidRPr="00A40E4F">
        <w:rPr>
          <w:lang w:val="en-SG"/>
        </w:rPr>
        <w:t>.</w:t>
      </w:r>
    </w:p>
    <w:p w14:paraId="53F1FFAB" w14:textId="77777777" w:rsidR="00C45020" w:rsidRDefault="00C45020" w:rsidP="00B53168">
      <w:pPr>
        <w:rPr>
          <w:lang w:val="en-SG"/>
        </w:rPr>
      </w:pPr>
    </w:p>
    <w:p w14:paraId="055F6D43" w14:textId="77777777" w:rsidR="00C45020" w:rsidRDefault="00C45020" w:rsidP="00B53168">
      <w:pPr>
        <w:rPr>
          <w:lang w:val="en-SG"/>
        </w:rPr>
      </w:pPr>
    </w:p>
    <w:p w14:paraId="50A8E42F" w14:textId="77777777" w:rsidR="00C45020" w:rsidRDefault="00C45020" w:rsidP="00B53168">
      <w:pPr>
        <w:rPr>
          <w:lang w:val="en-SG"/>
        </w:rPr>
      </w:pPr>
    </w:p>
    <w:p w14:paraId="236DE5DB" w14:textId="354CAA09" w:rsidR="00B53168" w:rsidRPr="00EE745F" w:rsidRDefault="00C45020" w:rsidP="00B53168">
      <w:pPr>
        <w:rPr>
          <w:sz w:val="48"/>
          <w:lang w:val="en-SG"/>
        </w:rPr>
      </w:pPr>
      <w:r w:rsidRPr="007D23A0">
        <w:rPr>
          <w:b/>
          <w:bCs/>
          <w:i/>
          <w:iCs/>
        </w:rPr>
        <w:lastRenderedPageBreak/>
        <w:t>Table 1:</w:t>
      </w:r>
      <w:r>
        <w:t xml:space="preserve"> Types of Earnings Management and Financial Reporting Risks</w:t>
      </w:r>
    </w:p>
    <w:tbl>
      <w:tblPr>
        <w:tblStyle w:val="TableGrid"/>
        <w:tblW w:w="0" w:type="auto"/>
        <w:tblLook w:val="04A0" w:firstRow="1" w:lastRow="0" w:firstColumn="1" w:lastColumn="0" w:noHBand="0" w:noVBand="1"/>
      </w:tblPr>
      <w:tblGrid>
        <w:gridCol w:w="1709"/>
        <w:gridCol w:w="1838"/>
        <w:gridCol w:w="2051"/>
        <w:gridCol w:w="1563"/>
        <w:gridCol w:w="1855"/>
      </w:tblGrid>
      <w:tr w:rsidR="00B53168" w14:paraId="73EC420E" w14:textId="77777777" w:rsidTr="00A244F4">
        <w:tc>
          <w:tcPr>
            <w:tcW w:w="0" w:type="auto"/>
            <w:hideMark/>
          </w:tcPr>
          <w:p w14:paraId="4A17CFE2" w14:textId="77777777" w:rsidR="00B53168" w:rsidRDefault="00B53168" w:rsidP="00A244F4">
            <w:pPr>
              <w:jc w:val="center"/>
              <w:rPr>
                <w:b/>
                <w:bCs/>
              </w:rPr>
            </w:pPr>
            <w:r>
              <w:t>Type of Earnings Management</w:t>
            </w:r>
          </w:p>
        </w:tc>
        <w:tc>
          <w:tcPr>
            <w:tcW w:w="0" w:type="auto"/>
            <w:hideMark/>
          </w:tcPr>
          <w:p w14:paraId="0E8EFC54" w14:textId="77777777" w:rsidR="00B53168" w:rsidRDefault="00B53168" w:rsidP="00A244F4">
            <w:pPr>
              <w:jc w:val="center"/>
              <w:rPr>
                <w:b/>
                <w:bCs/>
              </w:rPr>
            </w:pPr>
            <w:r>
              <w:t>Description</w:t>
            </w:r>
          </w:p>
        </w:tc>
        <w:tc>
          <w:tcPr>
            <w:tcW w:w="0" w:type="auto"/>
            <w:hideMark/>
          </w:tcPr>
          <w:p w14:paraId="1E72D339" w14:textId="77777777" w:rsidR="00B53168" w:rsidRDefault="00B53168" w:rsidP="00A244F4">
            <w:pPr>
              <w:jc w:val="center"/>
              <w:rPr>
                <w:b/>
                <w:bCs/>
              </w:rPr>
            </w:pPr>
            <w:r>
              <w:t>Common Techniques</w:t>
            </w:r>
          </w:p>
        </w:tc>
        <w:tc>
          <w:tcPr>
            <w:tcW w:w="0" w:type="auto"/>
            <w:hideMark/>
          </w:tcPr>
          <w:p w14:paraId="361DE7BB" w14:textId="77777777" w:rsidR="00B53168" w:rsidRDefault="00B53168" w:rsidP="00A244F4">
            <w:pPr>
              <w:jc w:val="center"/>
              <w:rPr>
                <w:b/>
                <w:bCs/>
              </w:rPr>
            </w:pPr>
            <w:r>
              <w:t>Governance Risk</w:t>
            </w:r>
          </w:p>
        </w:tc>
        <w:tc>
          <w:tcPr>
            <w:tcW w:w="0" w:type="auto"/>
            <w:hideMark/>
          </w:tcPr>
          <w:p w14:paraId="344FC95A" w14:textId="77777777" w:rsidR="00B53168" w:rsidRDefault="00B53168" w:rsidP="00A244F4">
            <w:pPr>
              <w:jc w:val="center"/>
              <w:rPr>
                <w:b/>
                <w:bCs/>
              </w:rPr>
            </w:pPr>
            <w:r>
              <w:t>Implication for Financial Reporting</w:t>
            </w:r>
          </w:p>
        </w:tc>
      </w:tr>
      <w:tr w:rsidR="00B53168" w14:paraId="5826C2D9" w14:textId="77777777" w:rsidTr="00A244F4">
        <w:tc>
          <w:tcPr>
            <w:tcW w:w="0" w:type="auto"/>
            <w:hideMark/>
          </w:tcPr>
          <w:p w14:paraId="49AF1469" w14:textId="77777777" w:rsidR="00B53168" w:rsidRDefault="00B53168" w:rsidP="00A244F4">
            <w:pPr>
              <w:jc w:val="left"/>
            </w:pPr>
            <w:r>
              <w:t>Accrual-based earnings management</w:t>
            </w:r>
          </w:p>
        </w:tc>
        <w:tc>
          <w:tcPr>
            <w:tcW w:w="0" w:type="auto"/>
            <w:hideMark/>
          </w:tcPr>
          <w:p w14:paraId="5CAEEDC3" w14:textId="77777777" w:rsidR="00B53168" w:rsidRDefault="00B53168" w:rsidP="00A244F4">
            <w:r>
              <w:t>Manipulation through accounting estimates</w:t>
            </w:r>
          </w:p>
        </w:tc>
        <w:tc>
          <w:tcPr>
            <w:tcW w:w="0" w:type="auto"/>
            <w:hideMark/>
          </w:tcPr>
          <w:p w14:paraId="3DE44814" w14:textId="77777777" w:rsidR="00B53168" w:rsidRDefault="00B53168" w:rsidP="00A244F4">
            <w:r>
              <w:t>Depreciation changes, provisions</w:t>
            </w:r>
          </w:p>
        </w:tc>
        <w:tc>
          <w:tcPr>
            <w:tcW w:w="0" w:type="auto"/>
            <w:hideMark/>
          </w:tcPr>
          <w:p w14:paraId="79ADF2DD" w14:textId="77777777" w:rsidR="00B53168" w:rsidRDefault="00B53168" w:rsidP="00A244F4">
            <w:r>
              <w:t>Weak oversight</w:t>
            </w:r>
          </w:p>
        </w:tc>
        <w:tc>
          <w:tcPr>
            <w:tcW w:w="0" w:type="auto"/>
            <w:hideMark/>
          </w:tcPr>
          <w:p w14:paraId="214B130E" w14:textId="77777777" w:rsidR="00B53168" w:rsidRDefault="00B53168" w:rsidP="00A244F4">
            <w:r>
              <w:t>Distorted profits</w:t>
            </w:r>
          </w:p>
        </w:tc>
      </w:tr>
      <w:tr w:rsidR="00B53168" w14:paraId="57D8B0D1" w14:textId="77777777" w:rsidTr="00A244F4">
        <w:tc>
          <w:tcPr>
            <w:tcW w:w="0" w:type="auto"/>
            <w:hideMark/>
          </w:tcPr>
          <w:p w14:paraId="620DD29A" w14:textId="77777777" w:rsidR="00B53168" w:rsidRDefault="00B53168" w:rsidP="00A244F4">
            <w:r>
              <w:t>Real earnings management</w:t>
            </w:r>
          </w:p>
        </w:tc>
        <w:tc>
          <w:tcPr>
            <w:tcW w:w="0" w:type="auto"/>
            <w:hideMark/>
          </w:tcPr>
          <w:p w14:paraId="47553AA2" w14:textId="77777777" w:rsidR="00B53168" w:rsidRDefault="00B53168" w:rsidP="00A244F4">
            <w:r>
              <w:t>Manipulation through operational decisions</w:t>
            </w:r>
          </w:p>
        </w:tc>
        <w:tc>
          <w:tcPr>
            <w:tcW w:w="0" w:type="auto"/>
            <w:hideMark/>
          </w:tcPr>
          <w:p w14:paraId="2BB726C7" w14:textId="77777777" w:rsidR="00B53168" w:rsidRDefault="00B53168" w:rsidP="00A244F4">
            <w:r>
              <w:t>Cost reductions, timing of sales</w:t>
            </w:r>
          </w:p>
        </w:tc>
        <w:tc>
          <w:tcPr>
            <w:tcW w:w="0" w:type="auto"/>
            <w:hideMark/>
          </w:tcPr>
          <w:p w14:paraId="2C577689" w14:textId="77777777" w:rsidR="00B53168" w:rsidRDefault="00B53168" w:rsidP="00A244F4">
            <w:r>
              <w:t>Managerial opportunism</w:t>
            </w:r>
          </w:p>
        </w:tc>
        <w:tc>
          <w:tcPr>
            <w:tcW w:w="0" w:type="auto"/>
            <w:hideMark/>
          </w:tcPr>
          <w:p w14:paraId="326B423B" w14:textId="77777777" w:rsidR="00B53168" w:rsidRDefault="00B53168" w:rsidP="00A244F4">
            <w:r>
              <w:t>Short-term earnings boost</w:t>
            </w:r>
          </w:p>
        </w:tc>
      </w:tr>
      <w:tr w:rsidR="00B53168" w14:paraId="22822D83" w14:textId="77777777" w:rsidTr="00A244F4">
        <w:tc>
          <w:tcPr>
            <w:tcW w:w="0" w:type="auto"/>
            <w:hideMark/>
          </w:tcPr>
          <w:p w14:paraId="2F042488" w14:textId="77777777" w:rsidR="00B53168" w:rsidRDefault="00B53168" w:rsidP="00A244F4">
            <w:r>
              <w:t>Disclosure manipulation</w:t>
            </w:r>
          </w:p>
        </w:tc>
        <w:tc>
          <w:tcPr>
            <w:tcW w:w="0" w:type="auto"/>
            <w:hideMark/>
          </w:tcPr>
          <w:p w14:paraId="4CFA50BE" w14:textId="77777777" w:rsidR="00B53168" w:rsidRDefault="00B53168" w:rsidP="00A244F4">
            <w:r>
              <w:t>Selective or misleading disclosure</w:t>
            </w:r>
          </w:p>
        </w:tc>
        <w:tc>
          <w:tcPr>
            <w:tcW w:w="0" w:type="auto"/>
            <w:hideMark/>
          </w:tcPr>
          <w:p w14:paraId="39F872F9" w14:textId="77777777" w:rsidR="00B53168" w:rsidRDefault="00B53168" w:rsidP="00A244F4">
            <w:r>
              <w:t>Incomplete reporting</w:t>
            </w:r>
          </w:p>
        </w:tc>
        <w:tc>
          <w:tcPr>
            <w:tcW w:w="0" w:type="auto"/>
            <w:hideMark/>
          </w:tcPr>
          <w:p w14:paraId="0B5F8E28" w14:textId="77777777" w:rsidR="00B53168" w:rsidRDefault="00B53168" w:rsidP="00A244F4">
            <w:r>
              <w:t>Poor transparency</w:t>
            </w:r>
          </w:p>
        </w:tc>
        <w:tc>
          <w:tcPr>
            <w:tcW w:w="0" w:type="auto"/>
            <w:hideMark/>
          </w:tcPr>
          <w:p w14:paraId="6BDD43E2" w14:textId="77777777" w:rsidR="00B53168" w:rsidRDefault="00B53168" w:rsidP="00A244F4">
            <w:r>
              <w:t>Stakeholder misinformation</w:t>
            </w:r>
          </w:p>
        </w:tc>
      </w:tr>
      <w:tr w:rsidR="00B53168" w14:paraId="7DF62FD9" w14:textId="77777777" w:rsidTr="00A244F4">
        <w:tc>
          <w:tcPr>
            <w:tcW w:w="0" w:type="auto"/>
            <w:hideMark/>
          </w:tcPr>
          <w:p w14:paraId="7718D088" w14:textId="77777777" w:rsidR="00B53168" w:rsidRDefault="00B53168" w:rsidP="00A244F4">
            <w:r>
              <w:t>Financial restatement</w:t>
            </w:r>
          </w:p>
        </w:tc>
        <w:tc>
          <w:tcPr>
            <w:tcW w:w="0" w:type="auto"/>
            <w:hideMark/>
          </w:tcPr>
          <w:p w14:paraId="0E04D85C" w14:textId="77777777" w:rsidR="00B53168" w:rsidRDefault="00B53168" w:rsidP="00A244F4">
            <w:r>
              <w:t>Correction of previously reported statements</w:t>
            </w:r>
          </w:p>
        </w:tc>
        <w:tc>
          <w:tcPr>
            <w:tcW w:w="0" w:type="auto"/>
            <w:hideMark/>
          </w:tcPr>
          <w:p w14:paraId="6AED0B13" w14:textId="77777777" w:rsidR="00B53168" w:rsidRDefault="00B53168" w:rsidP="00A244F4">
            <w:r>
              <w:t>Error or misrepresentation correction</w:t>
            </w:r>
          </w:p>
        </w:tc>
        <w:tc>
          <w:tcPr>
            <w:tcW w:w="0" w:type="auto"/>
            <w:hideMark/>
          </w:tcPr>
          <w:p w14:paraId="22CEC6F3" w14:textId="77777777" w:rsidR="00B53168" w:rsidRDefault="00B53168" w:rsidP="00A244F4">
            <w:r>
              <w:t>Governance failure indicator</w:t>
            </w:r>
          </w:p>
        </w:tc>
        <w:tc>
          <w:tcPr>
            <w:tcW w:w="0" w:type="auto"/>
            <w:hideMark/>
          </w:tcPr>
          <w:p w14:paraId="71B3133E" w14:textId="77777777" w:rsidR="00B53168" w:rsidRDefault="00B53168" w:rsidP="00A244F4">
            <w:r>
              <w:t>Loss of investor trust</w:t>
            </w:r>
          </w:p>
        </w:tc>
      </w:tr>
    </w:tbl>
    <w:p w14:paraId="6896A19F" w14:textId="77777777" w:rsidR="00B53168" w:rsidRPr="00A40E4F" w:rsidRDefault="00B53168" w:rsidP="00B53168">
      <w:pPr>
        <w:pStyle w:val="NormalWeb"/>
      </w:pPr>
      <w:r>
        <w:rPr>
          <w:rStyle w:val="Strong"/>
        </w:rPr>
        <w:t>Source:</w:t>
      </w:r>
      <w:r>
        <w:t xml:space="preserve"> Abraham and Kumar (2025); Bansal (2023); Ahmad et al. (2023).</w:t>
      </w:r>
    </w:p>
    <w:p w14:paraId="75C35276" w14:textId="77777777" w:rsidR="00B53168" w:rsidRPr="006B28F9" w:rsidRDefault="00B53168" w:rsidP="00B53168">
      <w:pPr>
        <w:rPr>
          <w:lang w:val="en-SG"/>
        </w:rPr>
      </w:pPr>
      <w:r w:rsidRPr="00A40E4F">
        <w:rPr>
          <w:lang w:val="en-SG"/>
        </w:rPr>
        <w:t xml:space="preserve">The performance of organisations, the compensation of executives, or market demands frequently cause managers to indulge in earnings management. </w:t>
      </w:r>
      <w:r w:rsidRPr="00194DE3">
        <w:rPr>
          <w:lang w:val="en-SG"/>
        </w:rPr>
        <w:t>Senior management may inflate profits to retain investors or managerial roles when performance or finances decline (Collins, 2025). Earnings management is allowed by accounting rules</w:t>
      </w:r>
      <w:r>
        <w:rPr>
          <w:lang w:val="en-SG"/>
        </w:rPr>
        <w:t>.</w:t>
      </w:r>
      <w:r w:rsidRPr="00194DE3">
        <w:rPr>
          <w:lang w:val="en-SG"/>
        </w:rPr>
        <w:t xml:space="preserve"> </w:t>
      </w:r>
      <w:r>
        <w:rPr>
          <w:lang w:val="en-SG"/>
        </w:rPr>
        <w:t>B</w:t>
      </w:r>
      <w:r w:rsidRPr="00194DE3">
        <w:rPr>
          <w:lang w:val="en-SG"/>
        </w:rPr>
        <w:t>ut financial statement manipulation can harm transparency and lead to regulation</w:t>
      </w:r>
      <w:r w:rsidRPr="00A40E4F">
        <w:rPr>
          <w:lang w:val="en-SG"/>
        </w:rPr>
        <w:t>. It is also indicated in research that the possibility of opportunistic financial reporting behaviour is lower under stronger governance structures as well as regulatory oversight (</w:t>
      </w:r>
      <w:proofErr w:type="spellStart"/>
      <w:r w:rsidRPr="00A40E4F">
        <w:rPr>
          <w:lang w:val="en-SG"/>
        </w:rPr>
        <w:t>Constantatos</w:t>
      </w:r>
      <w:proofErr w:type="spellEnd"/>
      <w:r w:rsidRPr="00A40E4F">
        <w:rPr>
          <w:lang w:val="en-SG"/>
        </w:rPr>
        <w:t>, Merika and Merika, 2025)</w:t>
      </w:r>
      <w:r w:rsidRPr="006B28F9">
        <w:rPr>
          <w:lang w:val="en-SG"/>
        </w:rPr>
        <w:t>.</w:t>
      </w:r>
    </w:p>
    <w:p w14:paraId="613F62D0"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8" w:name="_Toc225455495"/>
      <w:r w:rsidRPr="00C45020">
        <w:rPr>
          <w:rFonts w:ascii="Times New Roman" w:hAnsi="Times New Roman" w:cs="Times New Roman"/>
          <w:b/>
          <w:bCs/>
          <w:color w:val="auto"/>
          <w:sz w:val="28"/>
          <w:szCs w:val="28"/>
          <w:lang w:val="en-SG"/>
        </w:rPr>
        <w:t>Corporate Governance and Financial Reporting</w:t>
      </w:r>
      <w:bookmarkEnd w:id="8"/>
    </w:p>
    <w:p w14:paraId="57BEBFC5" w14:textId="77777777" w:rsidR="00B53168" w:rsidRPr="000C690F" w:rsidRDefault="00B53168" w:rsidP="00B53168">
      <w:pPr>
        <w:rPr>
          <w:rFonts w:eastAsia="Times New Roman" w:cs="Times New Roman"/>
          <w:szCs w:val="24"/>
          <w:lang w:val="en-SG" w:eastAsia="en-SG"/>
        </w:rPr>
      </w:pPr>
      <w:r w:rsidRPr="00A40E4F">
        <w:rPr>
          <w:lang w:val="en-SG"/>
        </w:rPr>
        <w:t>Corporate governance is a set of rules, practice</w:t>
      </w:r>
      <w:r>
        <w:rPr>
          <w:lang w:val="en-SG"/>
        </w:rPr>
        <w:t>s,</w:t>
      </w:r>
      <w:r w:rsidRPr="00A40E4F">
        <w:rPr>
          <w:lang w:val="en-SG"/>
        </w:rPr>
        <w:t xml:space="preserve"> and institutional frameworks that give direction and control over companies</w:t>
      </w:r>
      <w:r>
        <w:rPr>
          <w:lang w:val="en-SG"/>
        </w:rPr>
        <w:t xml:space="preserve"> </w:t>
      </w:r>
      <w:r w:rsidRPr="00A40E4F">
        <w:rPr>
          <w:lang w:val="en-SG"/>
        </w:rPr>
        <w:t>(Mallin, 2019). It sets up accountability systems that make managers act in the best interest of the shareholders and other stakeholders (Hamzah, Sulaiman and Ismail, 2026). Good governance systems should seek to establish transparency, fairness, and responsible decision-making in organisations</w:t>
      </w:r>
      <w:r>
        <w:rPr>
          <w:lang w:val="en-SG"/>
        </w:rPr>
        <w:t xml:space="preserve"> </w:t>
      </w:r>
      <w:r w:rsidRPr="000C690F">
        <w:rPr>
          <w:rFonts w:eastAsia="Times New Roman" w:cs="Times New Roman"/>
          <w:szCs w:val="24"/>
          <w:lang w:val="en-SG" w:eastAsia="en-SG"/>
        </w:rPr>
        <w:t>(</w:t>
      </w:r>
      <w:proofErr w:type="spellStart"/>
      <w:r w:rsidRPr="000C690F">
        <w:rPr>
          <w:rFonts w:eastAsia="Times New Roman" w:cs="Times New Roman"/>
          <w:szCs w:val="24"/>
          <w:lang w:val="en-SG" w:eastAsia="en-SG"/>
        </w:rPr>
        <w:t>Bukari</w:t>
      </w:r>
      <w:proofErr w:type="spellEnd"/>
      <w:r w:rsidRPr="000C690F">
        <w:rPr>
          <w:rFonts w:eastAsia="Times New Roman" w:cs="Times New Roman"/>
          <w:szCs w:val="24"/>
          <w:lang w:val="en-SG" w:eastAsia="en-SG"/>
        </w:rPr>
        <w:t xml:space="preserve">, Agyemang and </w:t>
      </w:r>
      <w:proofErr w:type="spellStart"/>
      <w:r w:rsidRPr="000C690F">
        <w:rPr>
          <w:rFonts w:eastAsia="Times New Roman" w:cs="Times New Roman"/>
          <w:szCs w:val="24"/>
          <w:lang w:val="en-SG" w:eastAsia="en-SG"/>
        </w:rPr>
        <w:t>Bawuah</w:t>
      </w:r>
      <w:proofErr w:type="spellEnd"/>
      <w:r w:rsidRPr="000C690F">
        <w:rPr>
          <w:rFonts w:eastAsia="Times New Roman" w:cs="Times New Roman"/>
          <w:szCs w:val="24"/>
          <w:lang w:val="en-SG" w:eastAsia="en-SG"/>
        </w:rPr>
        <w:t xml:space="preserve">, </w:t>
      </w:r>
      <w:r w:rsidRPr="000C690F">
        <w:rPr>
          <w:rFonts w:eastAsia="Times New Roman" w:cs="Times New Roman"/>
          <w:szCs w:val="24"/>
          <w:lang w:val="en-SG" w:eastAsia="en-SG"/>
        </w:rPr>
        <w:lastRenderedPageBreak/>
        <w:t>2024)</w:t>
      </w:r>
      <w:r w:rsidRPr="00A40E4F">
        <w:rPr>
          <w:lang w:val="en-SG"/>
        </w:rPr>
        <w:t>. Corporate governance practices have a long history in the United Kingdom that is endorsed by the regulatory frameworks and governance codes meant to safeguard the investors and market integrity (Turner, 2024). The board of directors is</w:t>
      </w:r>
      <w:r>
        <w:rPr>
          <w:lang w:val="en-SG"/>
        </w:rPr>
        <w:t xml:space="preserve"> considered</w:t>
      </w:r>
      <w:r w:rsidRPr="00A40E4F">
        <w:rPr>
          <w:lang w:val="en-SG"/>
        </w:rPr>
        <w:t xml:space="preserve"> one of the key elements of corporate governance</w:t>
      </w:r>
      <w:r>
        <w:rPr>
          <w:lang w:val="en-SG"/>
        </w:rPr>
        <w:t xml:space="preserve">. </w:t>
      </w:r>
      <w:r w:rsidRPr="00A40E4F">
        <w:rPr>
          <w:lang w:val="en-SG"/>
        </w:rPr>
        <w:t xml:space="preserve"> </w:t>
      </w:r>
      <w:r>
        <w:rPr>
          <w:lang w:val="en-SG"/>
        </w:rPr>
        <w:t>I</w:t>
      </w:r>
      <w:r w:rsidRPr="00A40E4F">
        <w:rPr>
          <w:lang w:val="en-SG"/>
        </w:rPr>
        <w:t xml:space="preserve">t </w:t>
      </w:r>
      <w:proofErr w:type="gramStart"/>
      <w:r w:rsidRPr="00A40E4F">
        <w:rPr>
          <w:lang w:val="en-SG"/>
        </w:rPr>
        <w:t>is in charge of</w:t>
      </w:r>
      <w:proofErr w:type="gramEnd"/>
      <w:r w:rsidRPr="00A40E4F">
        <w:rPr>
          <w:lang w:val="en-SG"/>
        </w:rPr>
        <w:t xml:space="preserve"> controlling the managerial actions and making sure that the financial reporting is correct. The role of independent directors and audit committees is especially significant in their monitoring of the financial disclosures and </w:t>
      </w:r>
      <w:r>
        <w:rPr>
          <w:lang w:val="en-SG"/>
        </w:rPr>
        <w:t>in analys</w:t>
      </w:r>
      <w:r w:rsidRPr="00A40E4F">
        <w:rPr>
          <w:lang w:val="en-SG"/>
        </w:rPr>
        <w:t>ing the internal control systems</w:t>
      </w:r>
      <w:r>
        <w:rPr>
          <w:lang w:val="en-SG"/>
        </w:rPr>
        <w:t xml:space="preserve"> </w:t>
      </w:r>
      <w:r w:rsidRPr="000C690F">
        <w:rPr>
          <w:rFonts w:eastAsia="Times New Roman" w:cs="Times New Roman"/>
          <w:szCs w:val="24"/>
          <w:lang w:val="en-SG" w:eastAsia="en-SG"/>
        </w:rPr>
        <w:t>(</w:t>
      </w:r>
      <w:proofErr w:type="spellStart"/>
      <w:r w:rsidRPr="000C690F">
        <w:rPr>
          <w:rFonts w:eastAsia="Times New Roman" w:cs="Times New Roman"/>
          <w:szCs w:val="24"/>
          <w:lang w:val="en-SG" w:eastAsia="en-SG"/>
        </w:rPr>
        <w:t>Bukari</w:t>
      </w:r>
      <w:proofErr w:type="spellEnd"/>
      <w:r w:rsidRPr="000C690F">
        <w:rPr>
          <w:rFonts w:eastAsia="Times New Roman" w:cs="Times New Roman"/>
          <w:szCs w:val="24"/>
          <w:lang w:val="en-SG" w:eastAsia="en-SG"/>
        </w:rPr>
        <w:t xml:space="preserve">, Agyemang and </w:t>
      </w:r>
      <w:proofErr w:type="spellStart"/>
      <w:r w:rsidRPr="000C690F">
        <w:rPr>
          <w:rFonts w:eastAsia="Times New Roman" w:cs="Times New Roman"/>
          <w:szCs w:val="24"/>
          <w:lang w:val="en-SG" w:eastAsia="en-SG"/>
        </w:rPr>
        <w:t>Bawuah</w:t>
      </w:r>
      <w:proofErr w:type="spellEnd"/>
      <w:r w:rsidRPr="000C690F">
        <w:rPr>
          <w:rFonts w:eastAsia="Times New Roman" w:cs="Times New Roman"/>
          <w:szCs w:val="24"/>
          <w:lang w:val="en-SG" w:eastAsia="en-SG"/>
        </w:rPr>
        <w:t>, 2024)</w:t>
      </w:r>
      <w:r w:rsidRPr="00A40E4F">
        <w:rPr>
          <w:lang w:val="en-SG"/>
        </w:rPr>
        <w:t>. Such effective forms of governance minimi</w:t>
      </w:r>
      <w:r>
        <w:rPr>
          <w:lang w:val="en-SG"/>
        </w:rPr>
        <w:t>s</w:t>
      </w:r>
      <w:r w:rsidRPr="00A40E4F">
        <w:rPr>
          <w:lang w:val="en-SG"/>
        </w:rPr>
        <w:t xml:space="preserve">e the risk of financial manipulation and enhance accountability of the organisation (Mallin, 2019). Nevertheless, there may be an opportunity </w:t>
      </w:r>
      <w:r>
        <w:rPr>
          <w:lang w:val="en-SG"/>
        </w:rPr>
        <w:t>for</w:t>
      </w:r>
      <w:r w:rsidRPr="00A40E4F">
        <w:rPr>
          <w:lang w:val="en-SG"/>
        </w:rPr>
        <w:t xml:space="preserve"> earnings management and misreporting of financial status given weak board oversight, lack of independence, or inefficient internal controls</w:t>
      </w:r>
      <w:r>
        <w:rPr>
          <w:lang w:val="en-SG"/>
        </w:rPr>
        <w:t xml:space="preserve"> </w:t>
      </w:r>
      <w:r w:rsidRPr="00A754EE">
        <w:t>(Hamzah, Sulaiman and Ismail, 2026)</w:t>
      </w:r>
      <w:r w:rsidRPr="006B28F9">
        <w:rPr>
          <w:lang w:val="en-SG"/>
        </w:rPr>
        <w:t>.</w:t>
      </w:r>
    </w:p>
    <w:p w14:paraId="4BCFCC38"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9" w:name="_Toc225455496"/>
      <w:r w:rsidRPr="00C45020">
        <w:rPr>
          <w:rFonts w:ascii="Times New Roman" w:hAnsi="Times New Roman" w:cs="Times New Roman"/>
          <w:b/>
          <w:bCs/>
          <w:color w:val="auto"/>
          <w:sz w:val="28"/>
          <w:szCs w:val="28"/>
          <w:lang w:val="en-SG"/>
        </w:rPr>
        <w:t>Agency Theory and Governance Failure</w:t>
      </w:r>
      <w:bookmarkEnd w:id="9"/>
    </w:p>
    <w:p w14:paraId="7DDA7082" w14:textId="77777777" w:rsidR="00B53168" w:rsidRPr="004E254C" w:rsidRDefault="00B53168" w:rsidP="00B53168">
      <w:pPr>
        <w:rPr>
          <w:lang w:val="en-SG"/>
        </w:rPr>
      </w:pPr>
      <w:r w:rsidRPr="00710441">
        <w:rPr>
          <w:lang w:val="en-SG"/>
        </w:rPr>
        <w:t>Agency theory provides the reason as to why earnings management occurs</w:t>
      </w:r>
      <w:r>
        <w:rPr>
          <w:lang w:val="en-SG"/>
        </w:rPr>
        <w:t xml:space="preserve"> </w:t>
      </w:r>
      <w:r w:rsidRPr="00710441">
        <w:rPr>
          <w:lang w:val="en-SG"/>
        </w:rPr>
        <w:t>(Larcker and Tayan, 2020). It depicts a disharmony between managers and shareholders. Managers are called agents. Principals are referred to as shareholders. Not in the best interest of shareholders, managers can proceed in their benefit (Larcker and Tayan, 2020).</w:t>
      </w:r>
      <w:r>
        <w:rPr>
          <w:lang w:val="en-SG"/>
        </w:rPr>
        <w:t xml:space="preserve"> </w:t>
      </w:r>
      <w:r w:rsidRPr="00710441">
        <w:rPr>
          <w:lang w:val="en-SG"/>
        </w:rPr>
        <w:t>Managers control daily work</w:t>
      </w:r>
      <w:r>
        <w:rPr>
          <w:lang w:val="en-SG"/>
        </w:rPr>
        <w:t xml:space="preserve"> and</w:t>
      </w:r>
      <w:r w:rsidRPr="00710441">
        <w:rPr>
          <w:lang w:val="en-SG"/>
        </w:rPr>
        <w:t xml:space="preserve"> </w:t>
      </w:r>
      <w:r>
        <w:rPr>
          <w:lang w:val="en-SG"/>
        </w:rPr>
        <w:t>t</w:t>
      </w:r>
      <w:r w:rsidRPr="00710441">
        <w:rPr>
          <w:lang w:val="en-SG"/>
        </w:rPr>
        <w:t>hey are also the ones who control financial reports. They possess more details than shareholders. This brings about information asymmetry</w:t>
      </w:r>
      <w:r w:rsidRPr="00A40E4F">
        <w:rPr>
          <w:lang w:val="en-SG"/>
        </w:rPr>
        <w:t xml:space="preserve">. Such </w:t>
      </w:r>
      <w:r>
        <w:rPr>
          <w:lang w:val="en-SG"/>
        </w:rPr>
        <w:t xml:space="preserve">an </w:t>
      </w:r>
      <w:r w:rsidRPr="00A40E4F">
        <w:rPr>
          <w:lang w:val="en-SG"/>
        </w:rPr>
        <w:t>imbalance gives managers the ability to control financial statements to portray a more favourable view of organisational performance Larcker and Tayan, 2020).</w:t>
      </w:r>
      <w:r>
        <w:rPr>
          <w:lang w:val="en-SG"/>
        </w:rPr>
        <w:t xml:space="preserve"> </w:t>
      </w:r>
      <w:r w:rsidRPr="004E254C">
        <w:rPr>
          <w:lang w:val="en-SG"/>
        </w:rPr>
        <w:t>Corporate governance systems are established to alleviate these agency issues by checking the behaviour of managers</w:t>
      </w:r>
      <w:r>
        <w:rPr>
          <w:lang w:val="en-SG"/>
        </w:rPr>
        <w:t xml:space="preserve">. Besides, it </w:t>
      </w:r>
      <w:r w:rsidRPr="004E254C">
        <w:rPr>
          <w:lang w:val="en-SG"/>
        </w:rPr>
        <w:t>harmoni</w:t>
      </w:r>
      <w:r>
        <w:rPr>
          <w:lang w:val="en-SG"/>
        </w:rPr>
        <w:t>ses</w:t>
      </w:r>
      <w:r w:rsidRPr="004E254C">
        <w:rPr>
          <w:lang w:val="en-SG"/>
        </w:rPr>
        <w:t xml:space="preserve"> the managerial incentives and the interests of the shareholders. This may be the performance-based remuneration, board oversight, and regulatory disclosure requirements (</w:t>
      </w:r>
      <w:proofErr w:type="spellStart"/>
      <w:r w:rsidRPr="004E254C">
        <w:rPr>
          <w:lang w:val="en-SG"/>
        </w:rPr>
        <w:t>Gerged</w:t>
      </w:r>
      <w:proofErr w:type="spellEnd"/>
      <w:r w:rsidRPr="004E254C">
        <w:rPr>
          <w:lang w:val="en-SG"/>
        </w:rPr>
        <w:t xml:space="preserve"> and </w:t>
      </w:r>
      <w:proofErr w:type="spellStart"/>
      <w:r w:rsidRPr="004E254C">
        <w:rPr>
          <w:lang w:val="en-SG"/>
        </w:rPr>
        <w:t>Masli</w:t>
      </w:r>
      <w:proofErr w:type="spellEnd"/>
      <w:r w:rsidRPr="004E254C">
        <w:rPr>
          <w:lang w:val="en-SG"/>
        </w:rPr>
        <w:t>, 2025). However, failure to govern can still prevail where the monitoring mechanisms are weak</w:t>
      </w:r>
      <w:r>
        <w:rPr>
          <w:lang w:val="en-SG"/>
        </w:rPr>
        <w:t>.</w:t>
      </w:r>
      <w:r w:rsidRPr="004E254C">
        <w:rPr>
          <w:lang w:val="en-SG"/>
        </w:rPr>
        <w:t xml:space="preserve"> </w:t>
      </w:r>
      <w:r>
        <w:rPr>
          <w:lang w:val="en-SG"/>
        </w:rPr>
        <w:t>On the other hand,</w:t>
      </w:r>
      <w:r w:rsidRPr="004E254C">
        <w:rPr>
          <w:lang w:val="en-SG"/>
        </w:rPr>
        <w:t xml:space="preserve"> the organisational culture favours short</w:t>
      </w:r>
      <w:r>
        <w:rPr>
          <w:lang w:val="en-SG"/>
        </w:rPr>
        <w:t>-</w:t>
      </w:r>
      <w:r w:rsidRPr="004E254C">
        <w:rPr>
          <w:lang w:val="en-SG"/>
        </w:rPr>
        <w:t>term financial success over ethical decision</w:t>
      </w:r>
      <w:r>
        <w:rPr>
          <w:lang w:val="en-SG"/>
        </w:rPr>
        <w:t>-</w:t>
      </w:r>
      <w:r w:rsidRPr="004E254C">
        <w:rPr>
          <w:lang w:val="en-SG"/>
        </w:rPr>
        <w:t>making</w:t>
      </w:r>
      <w:r>
        <w:rPr>
          <w:lang w:val="en-SG"/>
        </w:rPr>
        <w:t xml:space="preserve"> </w:t>
      </w:r>
      <w:r w:rsidRPr="000C690F">
        <w:rPr>
          <w:rFonts w:eastAsia="Times New Roman" w:cs="Times New Roman"/>
          <w:szCs w:val="24"/>
          <w:lang w:val="en-SG" w:eastAsia="en-SG"/>
        </w:rPr>
        <w:t>(</w:t>
      </w:r>
      <w:proofErr w:type="spellStart"/>
      <w:r w:rsidRPr="000C690F">
        <w:rPr>
          <w:rFonts w:eastAsia="Times New Roman" w:cs="Times New Roman"/>
          <w:szCs w:val="24"/>
          <w:lang w:val="en-SG" w:eastAsia="en-SG"/>
        </w:rPr>
        <w:t>Bukari</w:t>
      </w:r>
      <w:proofErr w:type="spellEnd"/>
      <w:r w:rsidRPr="000C690F">
        <w:rPr>
          <w:rFonts w:eastAsia="Times New Roman" w:cs="Times New Roman"/>
          <w:szCs w:val="24"/>
          <w:lang w:val="en-SG" w:eastAsia="en-SG"/>
        </w:rPr>
        <w:t xml:space="preserve">, Agyemang and </w:t>
      </w:r>
      <w:proofErr w:type="spellStart"/>
      <w:r w:rsidRPr="000C690F">
        <w:rPr>
          <w:rFonts w:eastAsia="Times New Roman" w:cs="Times New Roman"/>
          <w:szCs w:val="24"/>
          <w:lang w:val="en-SG" w:eastAsia="en-SG"/>
        </w:rPr>
        <w:t>Bawuah</w:t>
      </w:r>
      <w:proofErr w:type="spellEnd"/>
      <w:r w:rsidRPr="000C690F">
        <w:rPr>
          <w:rFonts w:eastAsia="Times New Roman" w:cs="Times New Roman"/>
          <w:szCs w:val="24"/>
          <w:lang w:val="en-SG" w:eastAsia="en-SG"/>
        </w:rPr>
        <w:t>, 2024)</w:t>
      </w:r>
      <w:r w:rsidRPr="004E254C">
        <w:rPr>
          <w:lang w:val="en-SG"/>
        </w:rPr>
        <w:t>.</w:t>
      </w:r>
    </w:p>
    <w:p w14:paraId="401B2835" w14:textId="77777777" w:rsidR="00B53168" w:rsidRPr="00C20544" w:rsidRDefault="00B53168" w:rsidP="00B53168">
      <w:pPr>
        <w:rPr>
          <w:rFonts w:eastAsia="Times New Roman" w:cs="Times New Roman"/>
          <w:szCs w:val="24"/>
          <w:lang w:val="en-SG" w:eastAsia="en-SG"/>
        </w:rPr>
      </w:pPr>
      <w:r w:rsidRPr="004E254C">
        <w:rPr>
          <w:lang w:val="en-SG"/>
        </w:rPr>
        <w:t>At John Wood Group plc, the weaknesses in the governance were coupled with the lack of sufficient internal control systems, which enabled the publication of misleading financial statements in a series of reporting periods</w:t>
      </w:r>
      <w:r>
        <w:rPr>
          <w:lang w:val="en-SG"/>
        </w:rPr>
        <w:t xml:space="preserve"> </w:t>
      </w:r>
      <w:r w:rsidRPr="000C690F">
        <w:rPr>
          <w:rFonts w:eastAsia="Times New Roman" w:cs="Times New Roman"/>
          <w:szCs w:val="24"/>
          <w:lang w:val="en-SG" w:eastAsia="en-SG"/>
        </w:rPr>
        <w:t>(</w:t>
      </w:r>
      <w:proofErr w:type="spellStart"/>
      <w:r w:rsidRPr="000C690F">
        <w:rPr>
          <w:rFonts w:eastAsia="Times New Roman" w:cs="Times New Roman"/>
          <w:szCs w:val="24"/>
          <w:lang w:val="en-SG" w:eastAsia="en-SG"/>
        </w:rPr>
        <w:t>Bukari</w:t>
      </w:r>
      <w:proofErr w:type="spellEnd"/>
      <w:r w:rsidRPr="000C690F">
        <w:rPr>
          <w:rFonts w:eastAsia="Times New Roman" w:cs="Times New Roman"/>
          <w:szCs w:val="24"/>
          <w:lang w:val="en-SG" w:eastAsia="en-SG"/>
        </w:rPr>
        <w:t xml:space="preserve">, Agyemang and </w:t>
      </w:r>
      <w:proofErr w:type="spellStart"/>
      <w:r w:rsidRPr="000C690F">
        <w:rPr>
          <w:rFonts w:eastAsia="Times New Roman" w:cs="Times New Roman"/>
          <w:szCs w:val="24"/>
          <w:lang w:val="en-SG" w:eastAsia="en-SG"/>
        </w:rPr>
        <w:t>Bawuah</w:t>
      </w:r>
      <w:proofErr w:type="spellEnd"/>
      <w:r w:rsidRPr="000C690F">
        <w:rPr>
          <w:rFonts w:eastAsia="Times New Roman" w:cs="Times New Roman"/>
          <w:szCs w:val="24"/>
          <w:lang w:val="en-SG" w:eastAsia="en-SG"/>
        </w:rPr>
        <w:t>, 2024)</w:t>
      </w:r>
      <w:r w:rsidRPr="004E254C">
        <w:rPr>
          <w:lang w:val="en-SG"/>
        </w:rPr>
        <w:t>. Later, the Financial Conduct Authority (FCA) found out that the company had on multiple occasions provided the market with inaccurate financial data, which resulted in regulatory fines and loss of reputation (FCA, 2026). The case illustrates that agency problems</w:t>
      </w:r>
      <w:r>
        <w:rPr>
          <w:lang w:val="en-SG"/>
        </w:rPr>
        <w:t>,</w:t>
      </w:r>
      <w:r w:rsidRPr="004E254C">
        <w:rPr>
          <w:lang w:val="en-SG"/>
        </w:rPr>
        <w:t xml:space="preserve"> in addition to the low </w:t>
      </w:r>
      <w:r w:rsidRPr="004E254C">
        <w:rPr>
          <w:lang w:val="en-SG"/>
        </w:rPr>
        <w:lastRenderedPageBreak/>
        <w:t>levels of governance controls</w:t>
      </w:r>
      <w:r>
        <w:rPr>
          <w:lang w:val="en-SG"/>
        </w:rPr>
        <w:t>,</w:t>
      </w:r>
      <w:r w:rsidRPr="004E254C">
        <w:rPr>
          <w:lang w:val="en-SG"/>
        </w:rPr>
        <w:t xml:space="preserve"> can be the drivers of misreporting of earnings by publicly listed companie</w:t>
      </w:r>
      <w:r w:rsidRPr="006B28F9">
        <w:rPr>
          <w:lang w:val="en-SG"/>
        </w:rPr>
        <w:t>s.</w:t>
      </w:r>
    </w:p>
    <w:p w14:paraId="6CE25231" w14:textId="77777777" w:rsidR="00B53168" w:rsidRPr="00C45020" w:rsidRDefault="00B53168" w:rsidP="00B53168">
      <w:pPr>
        <w:pStyle w:val="Heading1"/>
        <w:rPr>
          <w:rFonts w:ascii="Times New Roman" w:hAnsi="Times New Roman" w:cs="Times New Roman"/>
          <w:b/>
          <w:bCs/>
          <w:color w:val="auto"/>
          <w:sz w:val="32"/>
          <w:szCs w:val="32"/>
          <w:lang w:val="en-SG"/>
        </w:rPr>
      </w:pPr>
      <w:bookmarkStart w:id="10" w:name="_Toc225455497"/>
      <w:r w:rsidRPr="00C45020">
        <w:rPr>
          <w:rFonts w:ascii="Times New Roman" w:hAnsi="Times New Roman" w:cs="Times New Roman"/>
          <w:b/>
          <w:bCs/>
          <w:color w:val="auto"/>
          <w:sz w:val="32"/>
          <w:szCs w:val="32"/>
          <w:lang w:val="en-SG"/>
        </w:rPr>
        <w:t>Analysis of the Earnings Management and Governance Issue</w:t>
      </w:r>
      <w:bookmarkEnd w:id="10"/>
    </w:p>
    <w:p w14:paraId="417812F1"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11" w:name="_Toc225455498"/>
      <w:r w:rsidRPr="00C45020">
        <w:rPr>
          <w:rFonts w:ascii="Times New Roman" w:hAnsi="Times New Roman" w:cs="Times New Roman"/>
          <w:b/>
          <w:bCs/>
          <w:color w:val="auto"/>
          <w:sz w:val="28"/>
          <w:szCs w:val="28"/>
          <w:lang w:val="en-SG"/>
        </w:rPr>
        <w:t>Description of the Accounting Misreporting Issue</w:t>
      </w:r>
      <w:bookmarkEnd w:id="11"/>
    </w:p>
    <w:p w14:paraId="367B8C2E" w14:textId="77777777" w:rsidR="00B53168" w:rsidRDefault="00B53168" w:rsidP="00B53168">
      <w:pPr>
        <w:rPr>
          <w:lang w:val="en-SG"/>
        </w:rPr>
      </w:pPr>
      <w:r w:rsidRPr="00B306BF">
        <w:rPr>
          <w:lang w:val="en-SG"/>
        </w:rPr>
        <w:t>Financial performance in a big company with many shareholders is quite significant to investors and market value</w:t>
      </w:r>
      <w:r>
        <w:rPr>
          <w:lang w:val="en-SG"/>
        </w:rPr>
        <w:t xml:space="preserve"> </w:t>
      </w:r>
      <w:r w:rsidRPr="00644910">
        <w:rPr>
          <w:lang w:val="en-SG"/>
        </w:rPr>
        <w:t>(Al Astal et al., 2024)</w:t>
      </w:r>
      <w:r w:rsidRPr="00B306BF">
        <w:rPr>
          <w:lang w:val="en-SG"/>
        </w:rPr>
        <w:t>. It is due to this that financial misreporting and earnings management are issues that bring issues to corporate governance.</w:t>
      </w:r>
      <w:r>
        <w:rPr>
          <w:lang w:val="en-SG"/>
        </w:rPr>
        <w:t xml:space="preserve"> </w:t>
      </w:r>
      <w:r w:rsidRPr="00B306BF">
        <w:rPr>
          <w:lang w:val="en-SG"/>
        </w:rPr>
        <w:t>Earnings management occurs when managers manipulate financial outcomes by employing accounting techniques (Abraham and Kumar, 2025). In the past, managers employed the techniques of modifying estimates, altering revenue and accruals to manage earnings (Bansal, 2023). Such activities may present an incorrect financial status.</w:t>
      </w:r>
      <w:r>
        <w:rPr>
          <w:lang w:val="en-SG"/>
        </w:rPr>
        <w:t xml:space="preserve"> </w:t>
      </w:r>
      <w:r w:rsidRPr="00B306BF">
        <w:rPr>
          <w:lang w:val="en-SG"/>
        </w:rPr>
        <w:t>This diminishes the transparency as well as the confidence of the investors in the market.</w:t>
      </w:r>
      <w:r>
        <w:rPr>
          <w:lang w:val="en-SG"/>
        </w:rPr>
        <w:t xml:space="preserve"> </w:t>
      </w:r>
      <w:r w:rsidRPr="00B306BF">
        <w:rPr>
          <w:lang w:val="en-SG"/>
        </w:rPr>
        <w:t>Issues in the case of John Wood Group plc were identified in financial reporting</w:t>
      </w:r>
      <w:r>
        <w:rPr>
          <w:lang w:val="en-SG"/>
        </w:rPr>
        <w:t xml:space="preserve"> </w:t>
      </w:r>
      <w:r w:rsidRPr="00644910">
        <w:rPr>
          <w:lang w:val="en-SG"/>
        </w:rPr>
        <w:t>(Al Astal et al., 2024)</w:t>
      </w:r>
      <w:r w:rsidRPr="00B306BF">
        <w:rPr>
          <w:lang w:val="en-SG"/>
        </w:rPr>
        <w:t>. These issues were associated with poor internal controls and poor auditing systems. An internal control audit and a regulatory audit revealed that there were problems with the quality of financial reporting.</w:t>
      </w:r>
      <w:r>
        <w:rPr>
          <w:lang w:val="en-SG"/>
        </w:rPr>
        <w:t xml:space="preserve"> </w:t>
      </w:r>
      <w:r w:rsidRPr="00541F28">
        <w:rPr>
          <w:lang w:val="en-SG"/>
        </w:rPr>
        <w:t>The company gave improper financial reporting and financial performance in several reporting periods (FCA, 2026). Regulatory observations reveal that the financial reporting falseness of the financial status and the operational performance of the company were misrepresented to the investors and other stakeholders (Accountancy Daily, 2026). The UK financial regulator fined the company 13 million pounds after media reports that the company had misreported material financial information (Daniel, 2026).</w:t>
      </w:r>
      <w:r>
        <w:rPr>
          <w:lang w:val="en-SG"/>
        </w:rPr>
        <w:t xml:space="preserve"> </w:t>
      </w:r>
      <w:r w:rsidRPr="00644910">
        <w:rPr>
          <w:lang w:val="en-SG"/>
        </w:rPr>
        <w:t>These accounting anomalies prompted financial reporting audits and internal investigations. Financial reporting or control system irregularities prompt management or regulator internal reviews (Bhattacharya and Mickovic, 2024). Investigations typically examine accounting policies, internal financial records, and internal auditing procedures. Wood Group conducted internal reviews to determine why its financial disclosures were inaccurate and find reporting errors (Wood, 2025).</w:t>
      </w:r>
    </w:p>
    <w:p w14:paraId="3CBD9861" w14:textId="77777777" w:rsidR="00B53168" w:rsidRDefault="00B53168" w:rsidP="00B53168">
      <w:pPr>
        <w:rPr>
          <w:lang w:val="en-SG"/>
        </w:rPr>
      </w:pPr>
      <w:r w:rsidRPr="00644910">
        <w:rPr>
          <w:lang w:val="en-SG"/>
        </w:rPr>
        <w:t>Financial restatements often result from earnings management or reporting errors</w:t>
      </w:r>
      <w:r>
        <w:rPr>
          <w:lang w:val="en-SG"/>
        </w:rPr>
        <w:t xml:space="preserve"> </w:t>
      </w:r>
      <w:r w:rsidRPr="00644910">
        <w:rPr>
          <w:lang w:val="en-SG"/>
        </w:rPr>
        <w:t>(Al Astal et al., 2024). Restatements are issued for published financial statement errors or misrepresentations. Ahmad et al. (2023) found that restatements indicate governance issues because initial financial reports did not meet accounting standards. Large company financial statement corrections can have serious consequences because investors use them to evaluate corporate performance and invest</w:t>
      </w:r>
      <w:r>
        <w:rPr>
          <w:lang w:val="en-SG"/>
        </w:rPr>
        <w:t xml:space="preserve"> </w:t>
      </w:r>
      <w:r w:rsidRPr="00742BEF">
        <w:rPr>
          <w:lang w:val="en-SG"/>
        </w:rPr>
        <w:t>(</w:t>
      </w:r>
      <w:proofErr w:type="spellStart"/>
      <w:r w:rsidRPr="00742BEF">
        <w:rPr>
          <w:lang w:val="en-SG"/>
        </w:rPr>
        <w:t>Constantatos</w:t>
      </w:r>
      <w:proofErr w:type="spellEnd"/>
      <w:r w:rsidRPr="00742BEF">
        <w:rPr>
          <w:lang w:val="en-SG"/>
        </w:rPr>
        <w:t>, Merika and Merika, 2025)</w:t>
      </w:r>
      <w:r w:rsidRPr="00644910">
        <w:rPr>
          <w:lang w:val="en-SG"/>
        </w:rPr>
        <w:t>.</w:t>
      </w:r>
      <w:r>
        <w:rPr>
          <w:lang w:val="en-SG"/>
        </w:rPr>
        <w:t xml:space="preserve"> </w:t>
      </w:r>
      <w:r w:rsidRPr="00644910">
        <w:rPr>
          <w:lang w:val="en-SG"/>
        </w:rPr>
        <w:t xml:space="preserve">The </w:t>
      </w:r>
      <w:r w:rsidRPr="00644910">
        <w:rPr>
          <w:lang w:val="en-SG"/>
        </w:rPr>
        <w:lastRenderedPageBreak/>
        <w:t>misrepresentation of Wood Group's data shows multinational corporations' poor internal controls</w:t>
      </w:r>
      <w:r>
        <w:rPr>
          <w:lang w:val="en-SG"/>
        </w:rPr>
        <w:t xml:space="preserve"> </w:t>
      </w:r>
      <w:r w:rsidRPr="00020557">
        <w:rPr>
          <w:lang w:val="en-SG"/>
        </w:rPr>
        <w:t>(</w:t>
      </w:r>
      <w:proofErr w:type="spellStart"/>
      <w:r w:rsidRPr="00020557">
        <w:rPr>
          <w:lang w:val="en-SG"/>
        </w:rPr>
        <w:t>Gerged</w:t>
      </w:r>
      <w:proofErr w:type="spellEnd"/>
      <w:r w:rsidRPr="00020557">
        <w:rPr>
          <w:lang w:val="en-SG"/>
        </w:rPr>
        <w:t xml:space="preserve"> and </w:t>
      </w:r>
      <w:proofErr w:type="spellStart"/>
      <w:r w:rsidRPr="00020557">
        <w:rPr>
          <w:lang w:val="en-SG"/>
        </w:rPr>
        <w:t>Masli</w:t>
      </w:r>
      <w:proofErr w:type="spellEnd"/>
      <w:r w:rsidRPr="00020557">
        <w:rPr>
          <w:lang w:val="en-SG"/>
        </w:rPr>
        <w:t>, 2025)</w:t>
      </w:r>
      <w:r w:rsidRPr="00644910">
        <w:rPr>
          <w:lang w:val="en-SG"/>
        </w:rPr>
        <w:t>. Proper accounting records, financial reporting standards, and early abnormality detection require in-house controls (Al Astal et al., 2024). Failure of these mechanisms increases accounting misstatements. Financial institutions and corporate reporting literature suggest earnings manipulation and misrepresentation in weak internal controls (Abubakar et al., 2025). Technology and analysis are making accounting anomalies and fraudulent financial reporting easier to detect, complicating financial monitoring systems (</w:t>
      </w:r>
      <w:proofErr w:type="spellStart"/>
      <w:r w:rsidRPr="00644910">
        <w:rPr>
          <w:lang w:val="en-SG"/>
        </w:rPr>
        <w:t>Benyasrisawat</w:t>
      </w:r>
      <w:proofErr w:type="spellEnd"/>
      <w:r w:rsidRPr="00644910">
        <w:rPr>
          <w:lang w:val="en-SG"/>
        </w:rPr>
        <w:t xml:space="preserve"> and </w:t>
      </w:r>
      <w:proofErr w:type="spellStart"/>
      <w:r w:rsidRPr="00644910">
        <w:rPr>
          <w:lang w:val="en-SG"/>
        </w:rPr>
        <w:t>Ounlert</w:t>
      </w:r>
      <w:proofErr w:type="spellEnd"/>
      <w:r w:rsidRPr="00644910">
        <w:rPr>
          <w:lang w:val="en-SG"/>
        </w:rPr>
        <w:t xml:space="preserve">, 2026). </w:t>
      </w:r>
    </w:p>
    <w:p w14:paraId="508B88A5" w14:textId="77777777" w:rsidR="00B53168" w:rsidRPr="00552F28" w:rsidRDefault="00B53168" w:rsidP="00B53168">
      <w:pPr>
        <w:rPr>
          <w:lang w:val="en-SG"/>
        </w:rPr>
      </w:pPr>
      <w:r w:rsidRPr="00644910">
        <w:rPr>
          <w:lang w:val="en-SG"/>
        </w:rPr>
        <w:t>The Wood Group case shows that poor financial reporting and internal controls can harm publicly traded companies' governance. Earnings management can distort financial metrics, deceive investors, and reduce corporate disclosure</w:t>
      </w:r>
      <w:r>
        <w:rPr>
          <w:lang w:val="en-SG"/>
        </w:rPr>
        <w:t xml:space="preserve"> </w:t>
      </w:r>
      <w:r>
        <w:t>(</w:t>
      </w:r>
      <w:proofErr w:type="spellStart"/>
      <w:r>
        <w:t>Qalati</w:t>
      </w:r>
      <w:proofErr w:type="spellEnd"/>
      <w:r>
        <w:t>, Siddiqui and Wu, 2024)</w:t>
      </w:r>
      <w:r w:rsidRPr="00644910">
        <w:rPr>
          <w:lang w:val="en-SG"/>
        </w:rPr>
        <w:t>. Market integrity and investor protection from misleading financial information require regulation.</w:t>
      </w:r>
    </w:p>
    <w:p w14:paraId="1405FFC1"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12" w:name="_Toc225455499"/>
      <w:r w:rsidRPr="00C45020">
        <w:rPr>
          <w:rFonts w:ascii="Times New Roman" w:hAnsi="Times New Roman" w:cs="Times New Roman"/>
          <w:b/>
          <w:bCs/>
          <w:color w:val="auto"/>
          <w:sz w:val="28"/>
          <w:szCs w:val="28"/>
          <w:lang w:val="en-SG"/>
        </w:rPr>
        <w:t>Governance Failures Behind the Problem</w:t>
      </w:r>
      <w:bookmarkEnd w:id="12"/>
    </w:p>
    <w:p w14:paraId="45315279" w14:textId="77777777" w:rsidR="00B53168" w:rsidRPr="00644910" w:rsidRDefault="00B53168" w:rsidP="00B53168">
      <w:pPr>
        <w:rPr>
          <w:lang w:val="en-SG"/>
        </w:rPr>
      </w:pPr>
      <w:r w:rsidRPr="00644910">
        <w:rPr>
          <w:lang w:val="en-SG"/>
        </w:rPr>
        <w:t>Management decisions benefit shareholders and other stakeholders through corporate governance</w:t>
      </w:r>
      <w:r>
        <w:rPr>
          <w:lang w:val="en-SG"/>
        </w:rPr>
        <w:t xml:space="preserve"> </w:t>
      </w:r>
      <w:r w:rsidRPr="00644910">
        <w:rPr>
          <w:lang w:val="en-SG"/>
        </w:rPr>
        <w:t>(Al Astal et al., 2024). Internal controls, audit committees, and boards of directors prevent opportunistic management and financial misreporting (Mallin, 2019). When these mechanisms fail</w:t>
      </w:r>
      <w:r>
        <w:rPr>
          <w:lang w:val="en-SG"/>
        </w:rPr>
        <w:t>,</w:t>
      </w:r>
      <w:r w:rsidRPr="00644910">
        <w:rPr>
          <w:lang w:val="en-SG"/>
        </w:rPr>
        <w:t xml:space="preserve"> and inaccurate financial reporting or earnings manipulations are found, governance failure may occur.</w:t>
      </w:r>
      <w:r>
        <w:rPr>
          <w:lang w:val="en-SG"/>
        </w:rPr>
        <w:t xml:space="preserve"> </w:t>
      </w:r>
      <w:r w:rsidRPr="004F4DAE">
        <w:rPr>
          <w:lang w:val="en-SG"/>
        </w:rPr>
        <w:t>Saker-Clark (2026)</w:t>
      </w:r>
      <w:r>
        <w:rPr>
          <w:lang w:val="en-SG"/>
        </w:rPr>
        <w:t xml:space="preserve"> found that f</w:t>
      </w:r>
      <w:r w:rsidRPr="00644910">
        <w:rPr>
          <w:lang w:val="en-SG"/>
        </w:rPr>
        <w:t>inancial reporting failures indicate poor board oversight as a governance issue. Directors must oversee management performance and ensure financial disclosures reflect the company's economic performance</w:t>
      </w:r>
      <w:r>
        <w:rPr>
          <w:lang w:val="en-SG"/>
        </w:rPr>
        <w:t xml:space="preserve"> </w:t>
      </w:r>
      <w:r w:rsidRPr="004F4DAE">
        <w:rPr>
          <w:lang w:val="en-SG"/>
        </w:rPr>
        <w:t>(</w:t>
      </w:r>
      <w:proofErr w:type="spellStart"/>
      <w:r w:rsidRPr="004F4DAE">
        <w:rPr>
          <w:lang w:val="en-SG"/>
        </w:rPr>
        <w:t>Plouhinec</w:t>
      </w:r>
      <w:proofErr w:type="spellEnd"/>
      <w:r w:rsidRPr="004F4DAE">
        <w:rPr>
          <w:lang w:val="en-SG"/>
        </w:rPr>
        <w:t>, 2026)</w:t>
      </w:r>
      <w:r w:rsidRPr="00644910">
        <w:rPr>
          <w:lang w:val="en-SG"/>
        </w:rPr>
        <w:t>. UK corporate governance frameworks require the board to oversee and account for shareholder interests, per Turner (2024). Weak board monitoring may limit the board's ability to detect financial fraud or question management accounting</w:t>
      </w:r>
      <w:r>
        <w:rPr>
          <w:lang w:val="en-SG"/>
        </w:rPr>
        <w:t xml:space="preserve"> </w:t>
      </w:r>
      <w:r w:rsidRPr="002C29D4">
        <w:rPr>
          <w:lang w:val="en-SG"/>
        </w:rPr>
        <w:t>(</w:t>
      </w:r>
      <w:proofErr w:type="spellStart"/>
      <w:r w:rsidRPr="002C29D4">
        <w:rPr>
          <w:lang w:val="en-SG"/>
        </w:rPr>
        <w:t>Boulhaga</w:t>
      </w:r>
      <w:proofErr w:type="spellEnd"/>
      <w:r w:rsidRPr="002C29D4">
        <w:rPr>
          <w:lang w:val="en-SG"/>
        </w:rPr>
        <w:t xml:space="preserve"> et al., 2022)</w:t>
      </w:r>
      <w:r w:rsidRPr="00644910">
        <w:rPr>
          <w:lang w:val="en-SG"/>
        </w:rPr>
        <w:t>.</w:t>
      </w:r>
    </w:p>
    <w:p w14:paraId="1035D11D" w14:textId="77777777" w:rsidR="00B53168" w:rsidRPr="00644910" w:rsidRDefault="00B53168" w:rsidP="00B53168">
      <w:pPr>
        <w:rPr>
          <w:lang w:val="en-SG"/>
        </w:rPr>
      </w:pPr>
      <w:r w:rsidRPr="00644910">
        <w:rPr>
          <w:lang w:val="en-SG"/>
        </w:rPr>
        <w:t>Financially inexperienced boards that don't review management's financial reports can weaken governance. A weak monitoring system increases earnings management because managers use the information gap between them and shareholders, according to Rahman et al. (2026). Boards may overlook inaccurate reporting for several reporting periods if they don't question accounting estimates or financial assumptions</w:t>
      </w:r>
      <w:r>
        <w:rPr>
          <w:lang w:val="en-SG"/>
        </w:rPr>
        <w:t xml:space="preserve"> </w:t>
      </w:r>
      <w:r w:rsidRPr="001F3E78">
        <w:rPr>
          <w:lang w:val="en-SG"/>
        </w:rPr>
        <w:t>(Daniel, 2026)</w:t>
      </w:r>
      <w:r w:rsidRPr="00644910">
        <w:rPr>
          <w:lang w:val="en-SG"/>
        </w:rPr>
        <w:t>.</w:t>
      </w:r>
      <w:r>
        <w:rPr>
          <w:lang w:val="en-SG"/>
        </w:rPr>
        <w:t xml:space="preserve"> </w:t>
      </w:r>
      <w:r w:rsidRPr="00644910">
        <w:rPr>
          <w:lang w:val="en-SG"/>
        </w:rPr>
        <w:t>Bad internal control is another governance issue. Internal control systems verify financial reporting through financial monitoring, audit, and risk management</w:t>
      </w:r>
      <w:r>
        <w:rPr>
          <w:lang w:val="en-SG"/>
        </w:rPr>
        <w:t xml:space="preserve"> as per </w:t>
      </w:r>
      <w:r>
        <w:t>Rahman et al. (2026)</w:t>
      </w:r>
      <w:r w:rsidRPr="00644910">
        <w:rPr>
          <w:lang w:val="en-SG"/>
        </w:rPr>
        <w:t xml:space="preserve">. Poor internal controls can cause financial misstatements, delayed reporting, and inaccurate accounting (Wilson, 2025). </w:t>
      </w:r>
      <w:r w:rsidRPr="00644910">
        <w:rPr>
          <w:lang w:val="en-SG"/>
        </w:rPr>
        <w:lastRenderedPageBreak/>
        <w:t>Corporate governance systems emphasise strong internal controls to reduce financial reporting risks.</w:t>
      </w:r>
    </w:p>
    <w:p w14:paraId="7BA40140" w14:textId="77777777" w:rsidR="00B53168" w:rsidRPr="00644910" w:rsidRDefault="00B53168" w:rsidP="00B53168">
      <w:pPr>
        <w:rPr>
          <w:lang w:val="en-SG"/>
        </w:rPr>
      </w:pPr>
      <w:r w:rsidRPr="00644910">
        <w:rPr>
          <w:lang w:val="en-SG"/>
        </w:rPr>
        <w:t xml:space="preserve">Empirical studies show that effective internal control systems reduce earnings manipulation risks and improve financial reporting. </w:t>
      </w:r>
      <w:proofErr w:type="spellStart"/>
      <w:r w:rsidRPr="00644910">
        <w:rPr>
          <w:lang w:val="en-SG"/>
        </w:rPr>
        <w:t>Ineizeh</w:t>
      </w:r>
      <w:proofErr w:type="spellEnd"/>
      <w:r w:rsidRPr="00644910">
        <w:rPr>
          <w:lang w:val="en-SG"/>
        </w:rPr>
        <w:t xml:space="preserve"> et al. (2025) find that transparency and independent audit committees reduce discretionary managers' financial reporting. Good governance and internal control structures reduce financial misrepresentation and increase corporate accountability, according to </w:t>
      </w:r>
      <w:proofErr w:type="spellStart"/>
      <w:r w:rsidRPr="00644910">
        <w:rPr>
          <w:lang w:val="en-SG"/>
        </w:rPr>
        <w:t>Boulhaga</w:t>
      </w:r>
      <w:proofErr w:type="spellEnd"/>
      <w:r w:rsidRPr="00644910">
        <w:rPr>
          <w:lang w:val="en-SG"/>
        </w:rPr>
        <w:t xml:space="preserve"> et al. (2022)</w:t>
      </w:r>
      <w:r>
        <w:rPr>
          <w:lang w:val="en-SG"/>
        </w:rPr>
        <w:t xml:space="preserve">. </w:t>
      </w:r>
      <w:r w:rsidRPr="00644910">
        <w:rPr>
          <w:lang w:val="en-SG"/>
        </w:rPr>
        <w:t>The audit committee finds financial irregularities. Audit committees review audit findings, manage financial reporting, and enforce accounting standards</w:t>
      </w:r>
      <w:r>
        <w:rPr>
          <w:lang w:val="en-SG"/>
        </w:rPr>
        <w:t xml:space="preserve"> </w:t>
      </w:r>
      <w:r>
        <w:t>(Turner, 2024)</w:t>
      </w:r>
      <w:r w:rsidRPr="00644910">
        <w:rPr>
          <w:lang w:val="en-SG"/>
        </w:rPr>
        <w:t>. Audit committee incompetence may lead to financial misreporting that goes unnoticed until regulators act. Corporate accounting scandals often involve audit oversight failures because anomalies may go undetected during regular audits, according to Everard and St. Pierre (2021).</w:t>
      </w:r>
    </w:p>
    <w:p w14:paraId="5DD0EB89" w14:textId="77777777" w:rsidR="00B53168" w:rsidRPr="00552F28" w:rsidRDefault="00B53168" w:rsidP="00B53168">
      <w:pPr>
        <w:rPr>
          <w:lang w:val="en-SG"/>
        </w:rPr>
      </w:pPr>
      <w:r w:rsidRPr="00644910">
        <w:rPr>
          <w:lang w:val="en-SG"/>
        </w:rPr>
        <w:t>Managerial incentives affect earnings management. To meet earnings targets, maintain investor trust, or receive performance bonuses, managers can manipulate financial reports (</w:t>
      </w:r>
      <w:proofErr w:type="spellStart"/>
      <w:r w:rsidRPr="00644910">
        <w:rPr>
          <w:lang w:val="en-SG"/>
        </w:rPr>
        <w:t>Mlawu</w:t>
      </w:r>
      <w:proofErr w:type="spellEnd"/>
      <w:r w:rsidRPr="00644910">
        <w:rPr>
          <w:lang w:val="en-SG"/>
        </w:rPr>
        <w:t>, Matenda and Sibanda, 2025). According to earnings management research, executives are under pressure to report positive financial performance, especially in publicly traded companies with varying share prices and investor views (</w:t>
      </w:r>
      <w:proofErr w:type="spellStart"/>
      <w:r w:rsidRPr="00644910">
        <w:rPr>
          <w:lang w:val="en-SG"/>
        </w:rPr>
        <w:t>Alharasis</w:t>
      </w:r>
      <w:proofErr w:type="spellEnd"/>
      <w:r w:rsidRPr="00644910">
        <w:rPr>
          <w:lang w:val="en-SG"/>
        </w:rPr>
        <w:t>, 2025). Under pressure, managers may overstate financial performance through aggressive accounting.</w:t>
      </w:r>
      <w:r>
        <w:rPr>
          <w:lang w:val="en-SG"/>
        </w:rPr>
        <w:t xml:space="preserve"> </w:t>
      </w:r>
      <w:r w:rsidRPr="00644910">
        <w:rPr>
          <w:lang w:val="en-SG"/>
        </w:rPr>
        <w:t>Sustainability reporting and ESG pressures may also affect financial disclosure. Companies can report good performance to impress stakeholders and investors (</w:t>
      </w:r>
      <w:proofErr w:type="spellStart"/>
      <w:r w:rsidRPr="00644910">
        <w:rPr>
          <w:lang w:val="en-SG"/>
        </w:rPr>
        <w:t>Alahdal</w:t>
      </w:r>
      <w:proofErr w:type="spellEnd"/>
      <w:r w:rsidRPr="00644910">
        <w:rPr>
          <w:lang w:val="en-SG"/>
        </w:rPr>
        <w:t xml:space="preserve"> et al., 2025). Management incentives, corporate governance, and financial reporting are interconnected.</w:t>
      </w:r>
      <w:r>
        <w:rPr>
          <w:lang w:val="en-SG"/>
        </w:rPr>
        <w:t xml:space="preserve"> </w:t>
      </w:r>
      <w:r w:rsidRPr="00644910">
        <w:rPr>
          <w:lang w:val="en-SG"/>
        </w:rPr>
        <w:t>Wood Group found that governance, internal control, and managerial incentives can lead to inaccurate financial reporting. Ineffective boards, audit committees, and internal controls increase financial misreporting</w:t>
      </w:r>
      <w:r>
        <w:rPr>
          <w:lang w:val="en-SG"/>
        </w:rPr>
        <w:t xml:space="preserve"> </w:t>
      </w:r>
      <w:r w:rsidRPr="00DF3AD4">
        <w:rPr>
          <w:lang w:val="en-SG"/>
        </w:rPr>
        <w:t>(</w:t>
      </w:r>
      <w:proofErr w:type="spellStart"/>
      <w:r w:rsidRPr="00DF3AD4">
        <w:rPr>
          <w:lang w:val="en-SG"/>
        </w:rPr>
        <w:t>Qalati</w:t>
      </w:r>
      <w:proofErr w:type="spellEnd"/>
      <w:r w:rsidRPr="00DF3AD4">
        <w:rPr>
          <w:lang w:val="en-SG"/>
        </w:rPr>
        <w:t>, Siddiqui and Wu, 2024)</w:t>
      </w:r>
      <w:r w:rsidRPr="00644910">
        <w:rPr>
          <w:lang w:val="en-SG"/>
        </w:rPr>
        <w:t xml:space="preserve">. These governance issues lower investor confidence and raise global concerns about corporate governance systems' ability to deter earnings management in </w:t>
      </w:r>
      <w:proofErr w:type="gramStart"/>
      <w:r w:rsidRPr="00644910">
        <w:rPr>
          <w:lang w:val="en-SG"/>
        </w:rPr>
        <w:t>large listed</w:t>
      </w:r>
      <w:proofErr w:type="gramEnd"/>
      <w:r w:rsidRPr="00644910">
        <w:rPr>
          <w:lang w:val="en-SG"/>
        </w:rPr>
        <w:t xml:space="preserve"> companies</w:t>
      </w:r>
      <w:r w:rsidRPr="00552F28">
        <w:rPr>
          <w:lang w:val="en-SG"/>
        </w:rPr>
        <w:t>.</w:t>
      </w:r>
    </w:p>
    <w:p w14:paraId="32E8C734" w14:textId="77777777" w:rsidR="00B53168" w:rsidRPr="00C45020" w:rsidRDefault="00B53168" w:rsidP="00B53168">
      <w:pPr>
        <w:pStyle w:val="Heading1"/>
        <w:rPr>
          <w:rFonts w:ascii="Times New Roman" w:hAnsi="Times New Roman" w:cs="Times New Roman"/>
          <w:b/>
          <w:bCs/>
          <w:color w:val="auto"/>
          <w:sz w:val="32"/>
          <w:szCs w:val="32"/>
          <w:lang w:val="en-SG"/>
        </w:rPr>
      </w:pPr>
      <w:bookmarkStart w:id="13" w:name="_Toc225455500"/>
      <w:r w:rsidRPr="00C45020">
        <w:rPr>
          <w:rFonts w:ascii="Times New Roman" w:hAnsi="Times New Roman" w:cs="Times New Roman"/>
          <w:b/>
          <w:bCs/>
          <w:color w:val="auto"/>
          <w:sz w:val="32"/>
          <w:szCs w:val="32"/>
          <w:lang w:val="en-SG"/>
        </w:rPr>
        <w:t>Ethical Evaluation Using Stakeholder Theory</w:t>
      </w:r>
      <w:bookmarkEnd w:id="13"/>
    </w:p>
    <w:p w14:paraId="272EE6F7"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14" w:name="_Toc225455501"/>
      <w:r w:rsidRPr="00C45020">
        <w:rPr>
          <w:rFonts w:ascii="Times New Roman" w:hAnsi="Times New Roman" w:cs="Times New Roman"/>
          <w:b/>
          <w:bCs/>
          <w:color w:val="auto"/>
          <w:sz w:val="28"/>
          <w:szCs w:val="28"/>
          <w:lang w:val="en-SG"/>
        </w:rPr>
        <w:t>Stakeholder Theory Overview</w:t>
      </w:r>
      <w:bookmarkEnd w:id="14"/>
    </w:p>
    <w:p w14:paraId="4D5F59BC" w14:textId="77777777" w:rsidR="00B53168" w:rsidRDefault="00B53168" w:rsidP="00B53168">
      <w:pPr>
        <w:rPr>
          <w:lang w:val="en-SG"/>
        </w:rPr>
      </w:pPr>
      <w:r w:rsidRPr="00BE3657">
        <w:rPr>
          <w:lang w:val="en-SG"/>
        </w:rPr>
        <w:t xml:space="preserve">The ethical theory of stakeholder theory helps evaluate corporate behaviour and governance. The stakeholder theory holds that organisations have ethical obligations to a large pool of stakeholders who are influenced by corporate operations, contrary to shareholder-oriented </w:t>
      </w:r>
      <w:r w:rsidRPr="00BE3657">
        <w:rPr>
          <w:lang w:val="en-SG"/>
        </w:rPr>
        <w:lastRenderedPageBreak/>
        <w:t xml:space="preserve">views (Awa, Etim and Ogbonda, 2024). These stakeholders include shareholders, employees, customers, suppliers, regulators, and the community. It holds that companies must benefit all stakeholders, not just shareholders. According to </w:t>
      </w:r>
      <w:proofErr w:type="spellStart"/>
      <w:r w:rsidRPr="00BE3657">
        <w:rPr>
          <w:lang w:val="en-SG"/>
        </w:rPr>
        <w:t>DesJardine</w:t>
      </w:r>
      <w:proofErr w:type="spellEnd"/>
      <w:r w:rsidRPr="00BE3657">
        <w:rPr>
          <w:lang w:val="en-SG"/>
        </w:rPr>
        <w:t xml:space="preserve">, Zhang, and Shi (2022), stakeholder theory states that corporate decision-making must balance stakeholder interests to ensure sustainability. </w:t>
      </w:r>
    </w:p>
    <w:p w14:paraId="5E02707D" w14:textId="77777777" w:rsidR="00B53168" w:rsidRPr="00552F28" w:rsidRDefault="00B53168" w:rsidP="00B53168">
      <w:pPr>
        <w:rPr>
          <w:lang w:val="en-SG"/>
        </w:rPr>
      </w:pPr>
      <w:r w:rsidRPr="00BE3657">
        <w:rPr>
          <w:lang w:val="en-SG"/>
        </w:rPr>
        <w:t xml:space="preserve">Financial and operational transparency, accountability, and ethics are ensured by stakeholder-based governance. The firm's financial reporting is legitimate and does not deceive investors and other stakeholders under ethical corporate governance. Esposito et al. (2024) argue that </w:t>
      </w:r>
      <w:proofErr w:type="gramStart"/>
      <w:r w:rsidRPr="00BE3657">
        <w:rPr>
          <w:lang w:val="en-SG"/>
        </w:rPr>
        <w:t>as long as</w:t>
      </w:r>
      <w:proofErr w:type="gramEnd"/>
      <w:r w:rsidRPr="00BE3657">
        <w:rPr>
          <w:lang w:val="en-SG"/>
        </w:rPr>
        <w:t xml:space="preserve"> corporations have trustworthy relationships with their stakeholders, financial disclosures should be transparent to help stakeholders evaluate an organi</w:t>
      </w:r>
      <w:r>
        <w:rPr>
          <w:lang w:val="en-SG"/>
        </w:rPr>
        <w:t>s</w:t>
      </w:r>
      <w:r w:rsidRPr="00BE3657">
        <w:rPr>
          <w:lang w:val="en-SG"/>
        </w:rPr>
        <w:t>ation's performance and make economic decisions. Thus, financial reporting errors or earnings management violate the accounting standard and question organisations' ethical obligations to stakeholders</w:t>
      </w:r>
      <w:r>
        <w:rPr>
          <w:lang w:val="en-SG"/>
        </w:rPr>
        <w:t xml:space="preserve"> </w:t>
      </w:r>
      <w:r>
        <w:t>(Daniel, 2026)</w:t>
      </w:r>
      <w:r w:rsidRPr="00BE3657">
        <w:rPr>
          <w:lang w:val="en-SG"/>
        </w:rPr>
        <w:t xml:space="preserve">. </w:t>
      </w:r>
      <w:r w:rsidRPr="00BE3657">
        <w:rPr>
          <w:lang w:val="en-SG"/>
        </w:rPr>
        <w:br/>
        <w:t>Stakeholder consideration is more important in modern governance structures due to increased corporate social responsibility, sustainability reporting, and ethical conduct expectations</w:t>
      </w:r>
      <w:r>
        <w:rPr>
          <w:lang w:val="en-SG"/>
        </w:rPr>
        <w:t xml:space="preserve"> </w:t>
      </w:r>
      <w:r w:rsidRPr="00BE3657">
        <w:rPr>
          <w:lang w:val="en-SG"/>
        </w:rPr>
        <w:t>(Arian, Sands and Tooley, 2023). Thus, corporate governance systems ensure that leaders are accountable and consider social impacts (Arian, Sands and Tooley, 2023). Under this view, financial reporting integrity is ethically required, not regulatory</w:t>
      </w:r>
      <w:r w:rsidRPr="00552F28">
        <w:rPr>
          <w:lang w:val="en-SG"/>
        </w:rPr>
        <w:t>.</w:t>
      </w:r>
    </w:p>
    <w:p w14:paraId="1EA25A88"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15" w:name="_Toc225455502"/>
      <w:r w:rsidRPr="00C45020">
        <w:rPr>
          <w:rFonts w:ascii="Times New Roman" w:hAnsi="Times New Roman" w:cs="Times New Roman"/>
          <w:b/>
          <w:bCs/>
          <w:color w:val="auto"/>
          <w:sz w:val="28"/>
          <w:szCs w:val="28"/>
          <w:lang w:val="en-SG"/>
        </w:rPr>
        <w:t>Ethical Issues in the Wood Group Case</w:t>
      </w:r>
      <w:bookmarkEnd w:id="15"/>
    </w:p>
    <w:p w14:paraId="5577D531" w14:textId="77777777" w:rsidR="00B53168" w:rsidRPr="00221863" w:rsidRDefault="00B53168" w:rsidP="00B53168">
      <w:pPr>
        <w:rPr>
          <w:lang w:val="en-SG"/>
        </w:rPr>
      </w:pPr>
      <w:r w:rsidRPr="00221863">
        <w:rPr>
          <w:lang w:val="en-SG"/>
        </w:rPr>
        <w:t>When analysed using stakeholder theory, John Wood Group plc</w:t>
      </w:r>
      <w:r>
        <w:rPr>
          <w:lang w:val="en-SG"/>
        </w:rPr>
        <w:t>'s</w:t>
      </w:r>
      <w:r w:rsidRPr="00221863">
        <w:rPr>
          <w:lang w:val="en-SG"/>
        </w:rPr>
        <w:t xml:space="preserve"> financial reporting issues raise ethical concerns. Publishing misleading financial statements gives stakeholders false information about the company's financial performance and risk profile, which may violate ethical standards. The company received fines and more regulatory attention from the Financial Conduct Authority for dishonest financial disclosures in several reporting periods (FCA, 2026). These practices erode stakeholder trust in corporate financial disclosures.</w:t>
      </w:r>
    </w:p>
    <w:p w14:paraId="713AA512" w14:textId="77777777" w:rsidR="00B53168" w:rsidRPr="00221863" w:rsidRDefault="00B53168" w:rsidP="00B53168">
      <w:pPr>
        <w:rPr>
          <w:lang w:val="en-SG"/>
        </w:rPr>
      </w:pPr>
      <w:r w:rsidRPr="00221863">
        <w:rPr>
          <w:lang w:val="en-SG"/>
        </w:rPr>
        <w:t xml:space="preserve">Investors and others use accurate financial reporting to make decisions, so inaccurate reporting poses ethical risks. </w:t>
      </w:r>
      <w:r w:rsidRPr="00562016">
        <w:rPr>
          <w:lang w:val="en-SG"/>
        </w:rPr>
        <w:t xml:space="preserve">Bhattacharya and </w:t>
      </w:r>
      <w:proofErr w:type="spellStart"/>
      <w:r w:rsidRPr="00562016">
        <w:rPr>
          <w:lang w:val="en-SG"/>
        </w:rPr>
        <w:t>Mickovic</w:t>
      </w:r>
      <w:proofErr w:type="spellEnd"/>
      <w:r w:rsidRPr="00562016">
        <w:rPr>
          <w:lang w:val="en-SG"/>
        </w:rPr>
        <w:t xml:space="preserve"> (2024) say accounting misrepresentation divides managers and stakeholders, with managers controlling financial information and stakeholders using published reports. Financial reports that mislead stakeholders cost companies money and reputation. Wood Group values open corporate reporting. Transparency gives stakeholders timely and relevant information on the company's operations and finances (Abubakar et al., 2025).</w:t>
      </w:r>
      <w:r>
        <w:rPr>
          <w:lang w:val="en-SG"/>
        </w:rPr>
        <w:t xml:space="preserve"> </w:t>
      </w:r>
      <w:r w:rsidRPr="00221863">
        <w:rPr>
          <w:lang w:val="en-SG"/>
        </w:rPr>
        <w:t xml:space="preserve">Collins (2025) states that clear financial reporting prevents market </w:t>
      </w:r>
      <w:r w:rsidRPr="00221863">
        <w:rPr>
          <w:lang w:val="en-SG"/>
        </w:rPr>
        <w:lastRenderedPageBreak/>
        <w:t>disruption and corporate fraud. Organisations that provide false financial data undermine corporate governance and financial market confidence</w:t>
      </w:r>
      <w:r>
        <w:rPr>
          <w:lang w:val="en-SG"/>
        </w:rPr>
        <w:t xml:space="preserve"> </w:t>
      </w:r>
      <w:r w:rsidRPr="00694550">
        <w:rPr>
          <w:lang w:val="en-SG"/>
        </w:rPr>
        <w:t>(Awa, Etim and Ogbonda, 2024)</w:t>
      </w:r>
      <w:r w:rsidRPr="00221863">
        <w:rPr>
          <w:lang w:val="en-SG"/>
        </w:rPr>
        <w:t>.</w:t>
      </w:r>
    </w:p>
    <w:p w14:paraId="71DB8F6F" w14:textId="77777777" w:rsidR="00B53168" w:rsidRPr="00552F28" w:rsidRDefault="00B53168" w:rsidP="00B53168">
      <w:pPr>
        <w:rPr>
          <w:lang w:val="en-SG"/>
        </w:rPr>
      </w:pPr>
      <w:r w:rsidRPr="00221863">
        <w:rPr>
          <w:lang w:val="en-SG"/>
        </w:rPr>
        <w:t>Leadership's impact on corporate behaviour is another ethical issue. Organisations need ethical leadership to report financials with integrity and accountability</w:t>
      </w:r>
      <w:r>
        <w:rPr>
          <w:lang w:val="en-SG"/>
        </w:rPr>
        <w:t xml:space="preserve"> </w:t>
      </w:r>
      <w:r w:rsidRPr="00694550">
        <w:rPr>
          <w:lang w:val="en-SG"/>
        </w:rPr>
        <w:t>(Esposito et al., 2024)</w:t>
      </w:r>
      <w:r w:rsidRPr="00221863">
        <w:rPr>
          <w:lang w:val="en-SG"/>
        </w:rPr>
        <w:t>. If leadership does not prioritise ethical decision-making, governance failure and financial misreporting are likely</w:t>
      </w:r>
      <w:r>
        <w:rPr>
          <w:lang w:val="en-SG"/>
        </w:rPr>
        <w:t xml:space="preserve"> </w:t>
      </w:r>
      <w:r w:rsidRPr="00694550">
        <w:rPr>
          <w:lang w:val="en-SG"/>
        </w:rPr>
        <w:t>(Awa, Etim and Ogbonda, 2024)</w:t>
      </w:r>
      <w:r w:rsidRPr="00221863">
        <w:rPr>
          <w:lang w:val="en-SG"/>
        </w:rPr>
        <w:t xml:space="preserve">. According to </w:t>
      </w:r>
      <w:proofErr w:type="spellStart"/>
      <w:r w:rsidRPr="00221863">
        <w:rPr>
          <w:lang w:val="en-SG"/>
        </w:rPr>
        <w:t>Plouhinec</w:t>
      </w:r>
      <w:proofErr w:type="spellEnd"/>
      <w:r w:rsidRPr="00221863">
        <w:rPr>
          <w:lang w:val="en-SG"/>
        </w:rPr>
        <w:t xml:space="preserve"> (2026), recent corporate governance models emphasise ethical leadership </w:t>
      </w:r>
      <w:proofErr w:type="gramStart"/>
      <w:r w:rsidRPr="00221863">
        <w:rPr>
          <w:lang w:val="en-SG"/>
        </w:rPr>
        <w:t>as a way to</w:t>
      </w:r>
      <w:proofErr w:type="gramEnd"/>
      <w:r w:rsidRPr="00221863">
        <w:rPr>
          <w:lang w:val="en-SG"/>
        </w:rPr>
        <w:t xml:space="preserve"> ensure responsible organisational behaviour.</w:t>
      </w:r>
    </w:p>
    <w:p w14:paraId="0F1A84BF"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16" w:name="_Toc225455503"/>
      <w:r w:rsidRPr="00C45020">
        <w:rPr>
          <w:rFonts w:ascii="Times New Roman" w:hAnsi="Times New Roman" w:cs="Times New Roman"/>
          <w:b/>
          <w:bCs/>
          <w:color w:val="auto"/>
          <w:sz w:val="28"/>
          <w:szCs w:val="28"/>
          <w:lang w:val="en-SG"/>
        </w:rPr>
        <w:t>Ethical Decision-Making Failures</w:t>
      </w:r>
      <w:bookmarkEnd w:id="16"/>
    </w:p>
    <w:p w14:paraId="07634AC3" w14:textId="77777777" w:rsidR="00B53168" w:rsidRPr="00552F28" w:rsidRDefault="00B53168" w:rsidP="00B53168">
      <w:pPr>
        <w:rPr>
          <w:lang w:val="en-SG"/>
        </w:rPr>
      </w:pPr>
      <w:r w:rsidRPr="00221863">
        <w:rPr>
          <w:lang w:val="en-SG"/>
        </w:rPr>
        <w:t>Governance issues in the Wood Group case may indicate ethical decision-making failure. Corporation leaders and managers must ensure financial reporting practices are ethical and regulated</w:t>
      </w:r>
      <w:r>
        <w:rPr>
          <w:lang w:val="en-SG"/>
        </w:rPr>
        <w:t xml:space="preserve"> </w:t>
      </w:r>
      <w:r w:rsidRPr="00694550">
        <w:rPr>
          <w:lang w:val="en-SG"/>
        </w:rPr>
        <w:t>(Esposito et al., 2024)</w:t>
      </w:r>
      <w:r w:rsidRPr="00221863">
        <w:rPr>
          <w:lang w:val="en-SG"/>
        </w:rPr>
        <w:t xml:space="preserve">. When managers prioritise short-term profits over transparency and accountability, earnings management and false financial reporting increase (Abraham and Kumar, 2025). </w:t>
      </w:r>
      <w:r>
        <w:rPr>
          <w:lang w:val="en-SG"/>
        </w:rPr>
        <w:t xml:space="preserve"> </w:t>
      </w:r>
      <w:r w:rsidRPr="00221863">
        <w:rPr>
          <w:lang w:val="en-SG"/>
        </w:rPr>
        <w:t>Management is responsible for corporate ethics. Accounting policies and financial disclosures can be manipulated by managers with low interpersonal ethical control, according to earnings management research (</w:t>
      </w:r>
      <w:proofErr w:type="spellStart"/>
      <w:r w:rsidRPr="00221863">
        <w:rPr>
          <w:lang w:val="en-SG"/>
        </w:rPr>
        <w:t>Mlawu</w:t>
      </w:r>
      <w:proofErr w:type="spellEnd"/>
      <w:r w:rsidRPr="00221863">
        <w:rPr>
          <w:lang w:val="en-SG"/>
        </w:rPr>
        <w:t xml:space="preserve">, Matenda and Sibanda, 2025). </w:t>
      </w:r>
      <w:r w:rsidRPr="001740ED">
        <w:rPr>
          <w:lang w:val="en-SG"/>
        </w:rPr>
        <w:t xml:space="preserve">This is unethical because David et al. (2026) say managers should ensure financial statements reflect company performance. Financial misreporting is also affected by corporate ethics. Corporate culture impacts transparency, accountability, and compliance (Esposito et al., 2024). </w:t>
      </w:r>
      <w:proofErr w:type="spellStart"/>
      <w:r w:rsidRPr="001740ED">
        <w:rPr>
          <w:lang w:val="en-SG"/>
        </w:rPr>
        <w:t>Qalati</w:t>
      </w:r>
      <w:proofErr w:type="spellEnd"/>
      <w:r w:rsidRPr="001740ED">
        <w:rPr>
          <w:lang w:val="en-SG"/>
        </w:rPr>
        <w:t>, Siddiqui, and Wu (2024) say ethical workplaces promote responsible decision-making and discourage manager opportunism</w:t>
      </w:r>
      <w:r w:rsidRPr="00221863">
        <w:rPr>
          <w:lang w:val="en-SG"/>
        </w:rPr>
        <w:t xml:space="preserve">. In contrast, weak ethical cultures allow financial manipulation without internal opposition. </w:t>
      </w:r>
      <w:r>
        <w:rPr>
          <w:lang w:val="en-SG"/>
        </w:rPr>
        <w:t xml:space="preserve"> </w:t>
      </w:r>
      <w:r w:rsidRPr="00694550">
        <w:rPr>
          <w:lang w:val="en-SG"/>
        </w:rPr>
        <w:t>Bansal (2023)</w:t>
      </w:r>
      <w:r>
        <w:rPr>
          <w:lang w:val="en-SG"/>
        </w:rPr>
        <w:t xml:space="preserve"> found that g</w:t>
      </w:r>
      <w:r w:rsidRPr="00221863">
        <w:rPr>
          <w:lang w:val="en-SG"/>
        </w:rPr>
        <w:t>overnance accountability mechanisms ensure that boards, audit committees, and regulatory bodies control managers to reduce such failures. However, governance structures that fail to hold management accountable for financial reporting decisions may perpetuate ethical failures in organisations. According to David et al. (2026), recent governance discussions emphasise the need to extend shareholder ethics to other societal interests</w:t>
      </w:r>
      <w:r w:rsidRPr="00552F28">
        <w:rPr>
          <w:lang w:val="en-SG"/>
        </w:rPr>
        <w:t>.</w:t>
      </w:r>
    </w:p>
    <w:p w14:paraId="0737D73C" w14:textId="77777777" w:rsidR="00B53168" w:rsidRPr="00C45020" w:rsidRDefault="00B53168" w:rsidP="00B53168">
      <w:pPr>
        <w:pStyle w:val="Heading2"/>
        <w:rPr>
          <w:rFonts w:ascii="Times New Roman" w:hAnsi="Times New Roman" w:cs="Times New Roman"/>
          <w:b/>
          <w:bCs/>
          <w:color w:val="auto"/>
          <w:sz w:val="28"/>
          <w:szCs w:val="28"/>
        </w:rPr>
      </w:pPr>
      <w:bookmarkStart w:id="17" w:name="_Toc225455504"/>
      <w:r w:rsidRPr="00C45020">
        <w:rPr>
          <w:rFonts w:ascii="Times New Roman" w:hAnsi="Times New Roman" w:cs="Times New Roman"/>
          <w:b/>
          <w:bCs/>
          <w:color w:val="auto"/>
          <w:sz w:val="28"/>
          <w:szCs w:val="28"/>
        </w:rPr>
        <w:t>Ethical Governance Could Have Prevented the Problem</w:t>
      </w:r>
      <w:bookmarkEnd w:id="17"/>
    </w:p>
    <w:p w14:paraId="0448DBB6" w14:textId="77777777" w:rsidR="00B53168" w:rsidRPr="00552F28" w:rsidRDefault="00B53168" w:rsidP="00B53168">
      <w:pPr>
        <w:rPr>
          <w:lang w:val="en-SG"/>
        </w:rPr>
      </w:pPr>
      <w:r w:rsidRPr="00221863">
        <w:rPr>
          <w:lang w:val="en-SG"/>
        </w:rPr>
        <w:t xml:space="preserve">As regulators noted, Wood Group's financial reporting issues may have been avoided with stronger ethical governance. Ethical governance emphasises leadership integrity, organisational transparency, and stakeholder responsibility to mitigate corporate misconduct. Moral leadership helps managers prioritise long-term sustainability over short-term profits </w:t>
      </w:r>
      <w:r w:rsidRPr="00221863">
        <w:rPr>
          <w:lang w:val="en-SG"/>
        </w:rPr>
        <w:lastRenderedPageBreak/>
        <w:t>(</w:t>
      </w:r>
      <w:proofErr w:type="spellStart"/>
      <w:r w:rsidRPr="00221863">
        <w:rPr>
          <w:lang w:val="en-SG"/>
        </w:rPr>
        <w:t>Bukari</w:t>
      </w:r>
      <w:proofErr w:type="spellEnd"/>
      <w:r w:rsidRPr="00221863">
        <w:rPr>
          <w:lang w:val="en-SG"/>
        </w:rPr>
        <w:t xml:space="preserve">, Agyemang and </w:t>
      </w:r>
      <w:proofErr w:type="spellStart"/>
      <w:r w:rsidRPr="00221863">
        <w:rPr>
          <w:lang w:val="en-SG"/>
        </w:rPr>
        <w:t>Bawuah</w:t>
      </w:r>
      <w:proofErr w:type="spellEnd"/>
      <w:r w:rsidRPr="00221863">
        <w:rPr>
          <w:lang w:val="en-SG"/>
        </w:rPr>
        <w:t>, 2024).</w:t>
      </w:r>
      <w:r>
        <w:rPr>
          <w:lang w:val="en-SG"/>
        </w:rPr>
        <w:t xml:space="preserve"> </w:t>
      </w:r>
      <w:r w:rsidRPr="00221863">
        <w:rPr>
          <w:lang w:val="en-SG"/>
        </w:rPr>
        <w:t xml:space="preserve">Better organisational whistleblowing may prevent. </w:t>
      </w:r>
      <w:r w:rsidRPr="00E91F61">
        <w:rPr>
          <w:lang w:val="en-SG"/>
        </w:rPr>
        <w:t xml:space="preserve">Financial misconduct can be reported anonymously by employees and stakeholders. Whistleblowing reveals financial irregularities and improves accountability. According to </w:t>
      </w:r>
      <w:proofErr w:type="spellStart"/>
      <w:r w:rsidRPr="00E91F61">
        <w:rPr>
          <w:lang w:val="en-SG"/>
        </w:rPr>
        <w:t>Benyasrisawat</w:t>
      </w:r>
      <w:proofErr w:type="spellEnd"/>
      <w:r w:rsidRPr="00E91F61">
        <w:rPr>
          <w:lang w:val="en-SG"/>
        </w:rPr>
        <w:t xml:space="preserve"> and </w:t>
      </w:r>
      <w:proofErr w:type="spellStart"/>
      <w:r w:rsidRPr="00E91F61">
        <w:rPr>
          <w:lang w:val="en-SG"/>
        </w:rPr>
        <w:t>Ounlert</w:t>
      </w:r>
      <w:proofErr w:type="spellEnd"/>
      <w:r w:rsidRPr="00E91F61">
        <w:rPr>
          <w:lang w:val="en-SG"/>
        </w:rPr>
        <w:t xml:space="preserve"> (2026), advanced monitoring and internal reporting systems reduce financial reporting risk and fraud.</w:t>
      </w:r>
      <w:r>
        <w:rPr>
          <w:lang w:val="en-SG"/>
        </w:rPr>
        <w:t xml:space="preserve"> </w:t>
      </w:r>
      <w:r w:rsidRPr="00221863">
        <w:rPr>
          <w:lang w:val="en-SG"/>
        </w:rPr>
        <w:t>Another important factor is creating open reporting cultures in organisations. Ethical governance systems emphasise that organisations must be honest and transparent in their financial disclosures to maintain stakeholder trust. According to Manani and R. (2025), corporate governance reforms have prioritised transparency and responsible reporting to prevent earnings manipulation. Finally, the Wood Group situation's moral issues demonstrate the need for stakeholder-oriented governance in corporate decision-making. Companies that prioritise ethical leadership, transparency, and accountability have fewer financial misreporting and governance issues. Therefore, ethical governance structures must be implemented to protect stakeholders' interests and maintain financial market trust</w:t>
      </w:r>
      <w:r w:rsidRPr="00552F28">
        <w:rPr>
          <w:lang w:val="en-SG"/>
        </w:rPr>
        <w:t>.</w:t>
      </w:r>
    </w:p>
    <w:p w14:paraId="7A219075" w14:textId="77777777" w:rsidR="00B53168" w:rsidRPr="00C45020" w:rsidRDefault="00B53168" w:rsidP="00B53168">
      <w:pPr>
        <w:pStyle w:val="Heading1"/>
        <w:rPr>
          <w:rFonts w:ascii="Times New Roman" w:hAnsi="Times New Roman" w:cs="Times New Roman"/>
          <w:b/>
          <w:bCs/>
          <w:color w:val="auto"/>
          <w:sz w:val="32"/>
          <w:szCs w:val="32"/>
          <w:lang w:val="en-SG"/>
        </w:rPr>
      </w:pPr>
      <w:bookmarkStart w:id="18" w:name="_Toc225455505"/>
      <w:r w:rsidRPr="00C45020">
        <w:rPr>
          <w:rFonts w:ascii="Times New Roman" w:hAnsi="Times New Roman" w:cs="Times New Roman"/>
          <w:b/>
          <w:bCs/>
          <w:color w:val="auto"/>
          <w:sz w:val="32"/>
          <w:szCs w:val="32"/>
          <w:lang w:val="en-SG"/>
        </w:rPr>
        <w:t>Impact on Stakeholders and the Market</w:t>
      </w:r>
      <w:bookmarkEnd w:id="18"/>
    </w:p>
    <w:p w14:paraId="74AFD34F" w14:textId="77777777" w:rsidR="00B53168" w:rsidRPr="006678BE" w:rsidRDefault="00B53168" w:rsidP="00B53168">
      <w:pPr>
        <w:rPr>
          <w:lang w:val="en-SG"/>
        </w:rPr>
      </w:pPr>
      <w:r w:rsidRPr="00221863">
        <w:rPr>
          <w:lang w:val="en-SG"/>
        </w:rPr>
        <w:t xml:space="preserve">Corporate governance failure and financial misreporting can harm stakeholders and the financial market. </w:t>
      </w:r>
      <w:proofErr w:type="spellStart"/>
      <w:r w:rsidRPr="00694550">
        <w:rPr>
          <w:lang w:val="en-SG"/>
        </w:rPr>
        <w:t>Alahdal</w:t>
      </w:r>
      <w:proofErr w:type="spellEnd"/>
      <w:r w:rsidRPr="00694550">
        <w:rPr>
          <w:lang w:val="en-SG"/>
        </w:rPr>
        <w:t xml:space="preserve"> et al. (2025)</w:t>
      </w:r>
      <w:r>
        <w:rPr>
          <w:lang w:val="en-SG"/>
        </w:rPr>
        <w:t xml:space="preserve"> found that i</w:t>
      </w:r>
      <w:r w:rsidRPr="00221863">
        <w:rPr>
          <w:lang w:val="en-SG"/>
        </w:rPr>
        <w:t>naccurate financial disclosures damage stakeholder trust, corporate reputation, and financial stability. Stakeholder theory states that companies should consider the interests of shareholders, employees, customers, regulators, and society (Suck, Morshed and Koll, 2023). Thus, John Wood Group plc's financial reporting issues affected multiple stakeholders and the company's market perception</w:t>
      </w:r>
      <w:r w:rsidRPr="006678BE">
        <w:rPr>
          <w:lang w:val="en-SG"/>
        </w:rPr>
        <w:t>.</w:t>
      </w:r>
    </w:p>
    <w:p w14:paraId="184A72D1"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19" w:name="_Toc225455506"/>
      <w:r w:rsidRPr="00C45020">
        <w:rPr>
          <w:rFonts w:ascii="Times New Roman" w:hAnsi="Times New Roman" w:cs="Times New Roman"/>
          <w:b/>
          <w:bCs/>
          <w:color w:val="auto"/>
          <w:sz w:val="28"/>
          <w:szCs w:val="28"/>
          <w:lang w:val="en-SG"/>
        </w:rPr>
        <w:t>Shareholders</w:t>
      </w:r>
      <w:bookmarkEnd w:id="19"/>
    </w:p>
    <w:p w14:paraId="7B236BCD" w14:textId="77777777" w:rsidR="00B53168" w:rsidRPr="006678BE" w:rsidRDefault="00B53168" w:rsidP="00B53168">
      <w:pPr>
        <w:rPr>
          <w:lang w:val="en-SG"/>
        </w:rPr>
      </w:pPr>
      <w:r w:rsidRPr="00E51D00">
        <w:rPr>
          <w:lang w:val="en-SG"/>
        </w:rPr>
        <w:t>Shareholders are normally the most impacted by financial misreporting</w:t>
      </w:r>
      <w:r>
        <w:rPr>
          <w:lang w:val="en-SG"/>
        </w:rPr>
        <w:t xml:space="preserve"> </w:t>
      </w:r>
      <w:r w:rsidRPr="006D088C">
        <w:rPr>
          <w:lang w:val="en-SG"/>
        </w:rPr>
        <w:t>(Saker-Clark, 2026)</w:t>
      </w:r>
      <w:r w:rsidRPr="00E51D00">
        <w:rPr>
          <w:lang w:val="en-SG"/>
        </w:rPr>
        <w:t>. Financial statements help investors to analyse companies and invest. The shareholders lose confidence when they get fake financial reports</w:t>
      </w:r>
      <w:r>
        <w:rPr>
          <w:lang w:val="en-SG"/>
        </w:rPr>
        <w:t xml:space="preserve"> </w:t>
      </w:r>
      <w:r w:rsidRPr="00E51D00">
        <w:rPr>
          <w:lang w:val="en-SG"/>
        </w:rPr>
        <w:t>(Everard and St. Pierre, 2021).</w:t>
      </w:r>
      <w:r>
        <w:rPr>
          <w:lang w:val="en-SG"/>
        </w:rPr>
        <w:t xml:space="preserve"> </w:t>
      </w:r>
      <w:r w:rsidRPr="006D088C">
        <w:rPr>
          <w:lang w:val="en-SG"/>
        </w:rPr>
        <w:t>Since reputational losses can be seen in falling stock returns and market value, corporate image is the most important factor in investor trust (Hasan, Taylor and Richardson, 2024). The discovery of regulatory rules on false financial reporting statements in Wood Group caused negative media coverage and investor doubt about the company's financial reporting (Saker-Clark, 2026). Due to uncertainty over corporate governance and report accuracy, investors may liquidate their interests, causing shareholders to lose. Governance scandals cause market reactions that raise share prices and lower investor confidence</w:t>
      </w:r>
      <w:r>
        <w:rPr>
          <w:lang w:val="en-SG"/>
        </w:rPr>
        <w:t xml:space="preserve"> </w:t>
      </w:r>
      <w:r w:rsidRPr="00694550">
        <w:rPr>
          <w:lang w:val="en-SG"/>
        </w:rPr>
        <w:t>(</w:t>
      </w:r>
      <w:proofErr w:type="spellStart"/>
      <w:r w:rsidRPr="00694550">
        <w:rPr>
          <w:lang w:val="en-SG"/>
        </w:rPr>
        <w:t>Benyasrisawat</w:t>
      </w:r>
      <w:proofErr w:type="spellEnd"/>
      <w:r w:rsidRPr="00694550">
        <w:rPr>
          <w:lang w:val="en-SG"/>
        </w:rPr>
        <w:t xml:space="preserve"> and </w:t>
      </w:r>
      <w:proofErr w:type="spellStart"/>
      <w:r w:rsidRPr="00694550">
        <w:rPr>
          <w:lang w:val="en-SG"/>
        </w:rPr>
        <w:t>Ounlert</w:t>
      </w:r>
      <w:proofErr w:type="spellEnd"/>
      <w:r w:rsidRPr="00694550">
        <w:rPr>
          <w:lang w:val="en-SG"/>
        </w:rPr>
        <w:t>, 2026)</w:t>
      </w:r>
      <w:r w:rsidRPr="006D088C">
        <w:rPr>
          <w:lang w:val="en-SG"/>
        </w:rPr>
        <w:t>.</w:t>
      </w:r>
    </w:p>
    <w:p w14:paraId="18EB9A4D"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20" w:name="_Toc225455507"/>
      <w:r w:rsidRPr="00C45020">
        <w:rPr>
          <w:rFonts w:ascii="Times New Roman" w:hAnsi="Times New Roman" w:cs="Times New Roman"/>
          <w:b/>
          <w:bCs/>
          <w:color w:val="auto"/>
          <w:sz w:val="28"/>
          <w:szCs w:val="28"/>
          <w:lang w:val="en-SG"/>
        </w:rPr>
        <w:lastRenderedPageBreak/>
        <w:t>Employees</w:t>
      </w:r>
      <w:bookmarkEnd w:id="20"/>
    </w:p>
    <w:p w14:paraId="218B3525" w14:textId="77777777" w:rsidR="00B53168" w:rsidRPr="00C50313" w:rsidRDefault="00B53168" w:rsidP="00B53168">
      <w:pPr>
        <w:rPr>
          <w:lang w:val="en-SG"/>
        </w:rPr>
      </w:pPr>
      <w:r w:rsidRPr="006D088C">
        <w:rPr>
          <w:lang w:val="en-SG"/>
        </w:rPr>
        <w:t>Employees are also affected by governance and financial instability</w:t>
      </w:r>
      <w:r>
        <w:rPr>
          <w:lang w:val="en-SG"/>
        </w:rPr>
        <w:t xml:space="preserve"> </w:t>
      </w:r>
      <w:r w:rsidRPr="006D088C">
        <w:rPr>
          <w:lang w:val="en-SG"/>
        </w:rPr>
        <w:t xml:space="preserve">(Saker-Clark, </w:t>
      </w:r>
      <w:proofErr w:type="gramStart"/>
      <w:r w:rsidRPr="006D088C">
        <w:rPr>
          <w:lang w:val="en-SG"/>
        </w:rPr>
        <w:t>2026)</w:t>
      </w:r>
      <w:r>
        <w:rPr>
          <w:lang w:val="en-SG"/>
        </w:rPr>
        <w:t>\</w:t>
      </w:r>
      <w:proofErr w:type="gramEnd"/>
      <w:r w:rsidRPr="006D088C">
        <w:rPr>
          <w:lang w:val="en-SG"/>
        </w:rPr>
        <w:t>. Financial reporting controversies may cast doubt on the company's future performance, job security, and stability</w:t>
      </w:r>
      <w:r>
        <w:rPr>
          <w:lang w:val="en-SG"/>
        </w:rPr>
        <w:t xml:space="preserve"> </w:t>
      </w:r>
      <w:r w:rsidRPr="006D088C">
        <w:rPr>
          <w:lang w:val="en-SG"/>
        </w:rPr>
        <w:t xml:space="preserve">(Saker-Clark, 2026). </w:t>
      </w:r>
      <w:r w:rsidRPr="00C50313">
        <w:rPr>
          <w:lang w:val="en-SG"/>
        </w:rPr>
        <w:t xml:space="preserve">According to Wilson (2025), operational derailments can be brought about by the issue of governance and internal controls and reduce the morale and productivity of employees. </w:t>
      </w:r>
      <w:r w:rsidRPr="003F6FCF">
        <w:rPr>
          <w:lang w:val="en-SG"/>
        </w:rPr>
        <w:t>Companies penalised by regulators or tarnished in reputation may downsize and reorganise, making employees more nervous (Everard and St. Pierre, 2021).</w:t>
      </w:r>
    </w:p>
    <w:p w14:paraId="7482969E"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21" w:name="_Toc225455508"/>
      <w:r w:rsidRPr="00C45020">
        <w:rPr>
          <w:rFonts w:ascii="Times New Roman" w:hAnsi="Times New Roman" w:cs="Times New Roman"/>
          <w:b/>
          <w:bCs/>
          <w:color w:val="auto"/>
          <w:sz w:val="28"/>
          <w:szCs w:val="28"/>
          <w:lang w:val="en-SG"/>
        </w:rPr>
        <w:t>Customers and Business Partners</w:t>
      </w:r>
      <w:bookmarkEnd w:id="21"/>
    </w:p>
    <w:p w14:paraId="50D924DB" w14:textId="77777777" w:rsidR="00B53168" w:rsidRPr="00C50313" w:rsidRDefault="00B53168" w:rsidP="00B53168">
      <w:pPr>
        <w:rPr>
          <w:lang w:val="en-SG"/>
        </w:rPr>
      </w:pPr>
      <w:r w:rsidRPr="00C50313">
        <w:rPr>
          <w:lang w:val="en-SG"/>
        </w:rPr>
        <w:t xml:space="preserve">Corporate reputation also influences customer and business partner trust. </w:t>
      </w:r>
      <w:r w:rsidRPr="001200BF">
        <w:rPr>
          <w:lang w:val="en-SG"/>
        </w:rPr>
        <w:t xml:space="preserve">Financial reporting scandals may damage supplier, contractor, and business partnerships (Abraham and Kumar, 2025). Partners may be wary of signing new contracts with firms with governance issues due to the risk of false financial statement reporting on the business's financial stability and sustainability. </w:t>
      </w:r>
      <w:r>
        <w:rPr>
          <w:lang w:val="en-SG"/>
        </w:rPr>
        <w:t xml:space="preserve">Therefore, </w:t>
      </w:r>
      <w:r w:rsidRPr="001200BF">
        <w:rPr>
          <w:lang w:val="en-SG"/>
        </w:rPr>
        <w:t>stakeholder trust is crucial in business relationships, especially in industrial settings with long-term projects</w:t>
      </w:r>
      <w:r w:rsidRPr="00C50313">
        <w:rPr>
          <w:lang w:val="en-SG"/>
        </w:rPr>
        <w:t>.</w:t>
      </w:r>
    </w:p>
    <w:p w14:paraId="3567D055"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22" w:name="_Toc225455509"/>
      <w:r w:rsidRPr="00C45020">
        <w:rPr>
          <w:rFonts w:ascii="Times New Roman" w:hAnsi="Times New Roman" w:cs="Times New Roman"/>
          <w:b/>
          <w:bCs/>
          <w:color w:val="auto"/>
          <w:sz w:val="28"/>
          <w:szCs w:val="28"/>
          <w:lang w:val="en-SG"/>
        </w:rPr>
        <w:t>Regulators and Financial Markets</w:t>
      </w:r>
      <w:bookmarkEnd w:id="22"/>
    </w:p>
    <w:p w14:paraId="6AB0207F" w14:textId="77777777" w:rsidR="00B53168" w:rsidRPr="00C50313" w:rsidRDefault="00B53168" w:rsidP="00B53168">
      <w:pPr>
        <w:rPr>
          <w:lang w:val="en-SG"/>
        </w:rPr>
      </w:pPr>
      <w:r w:rsidRPr="00C50313">
        <w:rPr>
          <w:lang w:val="en-SG"/>
        </w:rPr>
        <w:t>Financial misreporting is also in the focus of regulations. Regulations defend the investors against fraudulent reporting in companies and guarantee transparency. The Financial Conduct Authority imposed fines on Wood Group because it prepared misleading financial statements in multiple reporting periods (FCA, 2026). These enforcements are examples of market regulation safeguarding market integrity.</w:t>
      </w:r>
    </w:p>
    <w:p w14:paraId="01DB9D41" w14:textId="77777777" w:rsidR="00B53168" w:rsidRPr="00C45020" w:rsidRDefault="00B53168" w:rsidP="00B53168">
      <w:pPr>
        <w:pStyle w:val="Heading2"/>
        <w:rPr>
          <w:rFonts w:ascii="Times New Roman" w:hAnsi="Times New Roman" w:cs="Times New Roman"/>
          <w:b/>
          <w:bCs/>
          <w:color w:val="auto"/>
          <w:sz w:val="28"/>
          <w:szCs w:val="28"/>
          <w:lang w:val="en-SG"/>
        </w:rPr>
      </w:pPr>
      <w:bookmarkStart w:id="23" w:name="_Toc225455510"/>
      <w:r w:rsidRPr="00C45020">
        <w:rPr>
          <w:rFonts w:ascii="Times New Roman" w:hAnsi="Times New Roman" w:cs="Times New Roman"/>
          <w:b/>
          <w:bCs/>
          <w:color w:val="auto"/>
          <w:sz w:val="28"/>
          <w:szCs w:val="28"/>
          <w:lang w:val="en-SG"/>
        </w:rPr>
        <w:t>Long-Term Performance</w:t>
      </w:r>
      <w:bookmarkEnd w:id="23"/>
    </w:p>
    <w:p w14:paraId="612C766A" w14:textId="77777777" w:rsidR="00B53168" w:rsidRDefault="00B53168" w:rsidP="00B53168">
      <w:pPr>
        <w:rPr>
          <w:lang w:val="en-SG"/>
        </w:rPr>
      </w:pPr>
      <w:r w:rsidRPr="00C50313">
        <w:rPr>
          <w:lang w:val="en-SG"/>
        </w:rPr>
        <w:t>In the long run, governance failure can negatively affect performance in organisations. The reputation damage may decrease investor confidence</w:t>
      </w:r>
      <w:r>
        <w:rPr>
          <w:lang w:val="en-SG"/>
        </w:rPr>
        <w:t xml:space="preserve"> and </w:t>
      </w:r>
      <w:r w:rsidRPr="00C50313">
        <w:rPr>
          <w:lang w:val="en-SG"/>
        </w:rPr>
        <w:t>restrict the potential of the company to get new investments (Abraham and Kumar, 2025). Strong governance structures enhance the value and performance of the firms in the long run because they enhance their transparency and accountability (</w:t>
      </w:r>
      <w:proofErr w:type="spellStart"/>
      <w:r w:rsidRPr="00C50313">
        <w:rPr>
          <w:lang w:val="en-SG"/>
        </w:rPr>
        <w:t>Constantatos</w:t>
      </w:r>
      <w:proofErr w:type="spellEnd"/>
      <w:r w:rsidRPr="00C50313">
        <w:rPr>
          <w:lang w:val="en-SG"/>
        </w:rPr>
        <w:t>, Merika and Merika, 2025).</w:t>
      </w:r>
      <w:r>
        <w:rPr>
          <w:lang w:val="en-SG"/>
        </w:rPr>
        <w:t xml:space="preserve"> </w:t>
      </w:r>
      <w:r w:rsidRPr="006D088C">
        <w:rPr>
          <w:lang w:val="en-SG"/>
        </w:rPr>
        <w:t>However, governance failures may ultimately hurt market competitiveness and organisational resilience</w:t>
      </w:r>
      <w:r>
        <w:rPr>
          <w:lang w:val="en-SG"/>
        </w:rPr>
        <w:t xml:space="preserve"> </w:t>
      </w:r>
      <w:r w:rsidRPr="006C2559">
        <w:rPr>
          <w:lang w:val="en-SG"/>
        </w:rPr>
        <w:t>(Abraham and Kumar, 2025)</w:t>
      </w:r>
      <w:r w:rsidRPr="006678BE">
        <w:rPr>
          <w:lang w:val="en-SG"/>
        </w:rPr>
        <w:t>.</w:t>
      </w:r>
    </w:p>
    <w:p w14:paraId="0C02C3C6" w14:textId="77777777" w:rsidR="00311889" w:rsidRDefault="00311889" w:rsidP="00B53168">
      <w:pPr>
        <w:rPr>
          <w:lang w:val="en-SG"/>
        </w:rPr>
      </w:pPr>
    </w:p>
    <w:p w14:paraId="3ACDEDA8" w14:textId="77777777" w:rsidR="00311889" w:rsidRDefault="00311889" w:rsidP="00B53168">
      <w:pPr>
        <w:rPr>
          <w:lang w:val="en-SG"/>
        </w:rPr>
      </w:pPr>
    </w:p>
    <w:p w14:paraId="01C7BC5F" w14:textId="77777777" w:rsidR="00B53168" w:rsidRPr="00CC5957" w:rsidRDefault="00B53168" w:rsidP="00B53168">
      <w:pPr>
        <w:rPr>
          <w:sz w:val="48"/>
          <w:lang w:val="en-SG"/>
        </w:rPr>
      </w:pPr>
      <w:r w:rsidRPr="007D23A0">
        <w:rPr>
          <w:b/>
          <w:bCs/>
          <w:i/>
          <w:iCs/>
        </w:rPr>
        <w:lastRenderedPageBreak/>
        <w:t xml:space="preserve">Table </w:t>
      </w:r>
      <w:r>
        <w:rPr>
          <w:b/>
          <w:bCs/>
          <w:i/>
          <w:iCs/>
        </w:rPr>
        <w:t>2</w:t>
      </w:r>
      <w:r w:rsidRPr="007D23A0">
        <w:rPr>
          <w:b/>
          <w:bCs/>
          <w:i/>
          <w:iCs/>
        </w:rPr>
        <w:t>:</w:t>
      </w:r>
      <w:r>
        <w:t xml:space="preserve"> Stakeholder Impact of the Wood Group Governance Failure</w:t>
      </w:r>
    </w:p>
    <w:tbl>
      <w:tblPr>
        <w:tblStyle w:val="TableGrid"/>
        <w:tblW w:w="0" w:type="auto"/>
        <w:tblLook w:val="04A0" w:firstRow="1" w:lastRow="0" w:firstColumn="1" w:lastColumn="0" w:noHBand="0" w:noVBand="1"/>
      </w:tblPr>
      <w:tblGrid>
        <w:gridCol w:w="1534"/>
        <w:gridCol w:w="1692"/>
        <w:gridCol w:w="2041"/>
        <w:gridCol w:w="1826"/>
        <w:gridCol w:w="1923"/>
      </w:tblGrid>
      <w:tr w:rsidR="00B53168" w14:paraId="2FE99BBD" w14:textId="77777777" w:rsidTr="00A244F4">
        <w:tc>
          <w:tcPr>
            <w:tcW w:w="0" w:type="auto"/>
            <w:hideMark/>
          </w:tcPr>
          <w:p w14:paraId="6692364A" w14:textId="77777777" w:rsidR="00B53168" w:rsidRDefault="00B53168" w:rsidP="00A244F4">
            <w:pPr>
              <w:jc w:val="center"/>
              <w:rPr>
                <w:b/>
                <w:bCs/>
              </w:rPr>
            </w:pPr>
            <w:r>
              <w:t>Stakeholder Group</w:t>
            </w:r>
          </w:p>
        </w:tc>
        <w:tc>
          <w:tcPr>
            <w:tcW w:w="0" w:type="auto"/>
            <w:hideMark/>
          </w:tcPr>
          <w:p w14:paraId="1239B46B" w14:textId="77777777" w:rsidR="00B53168" w:rsidRDefault="00B53168" w:rsidP="00A244F4">
            <w:pPr>
              <w:jc w:val="center"/>
              <w:rPr>
                <w:b/>
                <w:bCs/>
              </w:rPr>
            </w:pPr>
            <w:r>
              <w:t>Role in the Organisation</w:t>
            </w:r>
          </w:p>
        </w:tc>
        <w:tc>
          <w:tcPr>
            <w:tcW w:w="0" w:type="auto"/>
            <w:hideMark/>
          </w:tcPr>
          <w:p w14:paraId="4ACB16D5" w14:textId="77777777" w:rsidR="00B53168" w:rsidRDefault="00B53168" w:rsidP="00A244F4">
            <w:pPr>
              <w:jc w:val="center"/>
              <w:rPr>
                <w:b/>
                <w:bCs/>
              </w:rPr>
            </w:pPr>
            <w:r>
              <w:t>Impact of Financial Misreporting</w:t>
            </w:r>
          </w:p>
        </w:tc>
        <w:tc>
          <w:tcPr>
            <w:tcW w:w="0" w:type="auto"/>
            <w:hideMark/>
          </w:tcPr>
          <w:p w14:paraId="6C37B86D" w14:textId="77777777" w:rsidR="00B53168" w:rsidRDefault="00B53168" w:rsidP="00A244F4">
            <w:pPr>
              <w:jc w:val="center"/>
              <w:rPr>
                <w:b/>
                <w:bCs/>
              </w:rPr>
            </w:pPr>
            <w:r>
              <w:t>Short-Term Consequences</w:t>
            </w:r>
          </w:p>
        </w:tc>
        <w:tc>
          <w:tcPr>
            <w:tcW w:w="0" w:type="auto"/>
            <w:hideMark/>
          </w:tcPr>
          <w:p w14:paraId="30AB1FA4" w14:textId="77777777" w:rsidR="00B53168" w:rsidRDefault="00B53168" w:rsidP="00A244F4">
            <w:pPr>
              <w:jc w:val="center"/>
              <w:rPr>
                <w:b/>
                <w:bCs/>
              </w:rPr>
            </w:pPr>
            <w:r>
              <w:t>Long-Term Implications</w:t>
            </w:r>
          </w:p>
        </w:tc>
      </w:tr>
      <w:tr w:rsidR="00B53168" w14:paraId="72340810" w14:textId="77777777" w:rsidTr="00A244F4">
        <w:tc>
          <w:tcPr>
            <w:tcW w:w="0" w:type="auto"/>
            <w:hideMark/>
          </w:tcPr>
          <w:p w14:paraId="30086E3D" w14:textId="77777777" w:rsidR="00B53168" w:rsidRDefault="00B53168" w:rsidP="00A244F4">
            <w:pPr>
              <w:jc w:val="left"/>
            </w:pPr>
            <w:r>
              <w:t>Shareholders</w:t>
            </w:r>
          </w:p>
        </w:tc>
        <w:tc>
          <w:tcPr>
            <w:tcW w:w="0" w:type="auto"/>
            <w:hideMark/>
          </w:tcPr>
          <w:p w14:paraId="4E79E610" w14:textId="77777777" w:rsidR="00B53168" w:rsidRDefault="00B53168" w:rsidP="00A244F4">
            <w:r>
              <w:t>Capital providers</w:t>
            </w:r>
          </w:p>
        </w:tc>
        <w:tc>
          <w:tcPr>
            <w:tcW w:w="0" w:type="auto"/>
            <w:hideMark/>
          </w:tcPr>
          <w:p w14:paraId="357BCDBA" w14:textId="77777777" w:rsidR="00B53168" w:rsidRDefault="00B53168" w:rsidP="00A244F4">
            <w:r>
              <w:t>Declining investor confidence</w:t>
            </w:r>
          </w:p>
        </w:tc>
        <w:tc>
          <w:tcPr>
            <w:tcW w:w="0" w:type="auto"/>
            <w:hideMark/>
          </w:tcPr>
          <w:p w14:paraId="69903135" w14:textId="77777777" w:rsidR="00B53168" w:rsidRDefault="00B53168" w:rsidP="00A244F4">
            <w:r>
              <w:t>Share price volatility</w:t>
            </w:r>
          </w:p>
        </w:tc>
        <w:tc>
          <w:tcPr>
            <w:tcW w:w="0" w:type="auto"/>
            <w:hideMark/>
          </w:tcPr>
          <w:p w14:paraId="5BBCB9E2" w14:textId="77777777" w:rsidR="00B53168" w:rsidRDefault="00B53168" w:rsidP="00A244F4">
            <w:r>
              <w:t>Reduced firm valuation</w:t>
            </w:r>
          </w:p>
        </w:tc>
      </w:tr>
      <w:tr w:rsidR="00B53168" w14:paraId="33F5B3B2" w14:textId="77777777" w:rsidTr="00A244F4">
        <w:tc>
          <w:tcPr>
            <w:tcW w:w="0" w:type="auto"/>
            <w:hideMark/>
          </w:tcPr>
          <w:p w14:paraId="51263C68" w14:textId="77777777" w:rsidR="00B53168" w:rsidRDefault="00B53168" w:rsidP="00A244F4">
            <w:r>
              <w:t>Employees</w:t>
            </w:r>
          </w:p>
        </w:tc>
        <w:tc>
          <w:tcPr>
            <w:tcW w:w="0" w:type="auto"/>
            <w:hideMark/>
          </w:tcPr>
          <w:p w14:paraId="42E83F84" w14:textId="77777777" w:rsidR="00B53168" w:rsidRDefault="00B53168" w:rsidP="00A244F4">
            <w:r>
              <w:t>Operational workforce</w:t>
            </w:r>
          </w:p>
        </w:tc>
        <w:tc>
          <w:tcPr>
            <w:tcW w:w="0" w:type="auto"/>
            <w:hideMark/>
          </w:tcPr>
          <w:p w14:paraId="62D98DB5" w14:textId="77777777" w:rsidR="00B53168" w:rsidRDefault="00B53168" w:rsidP="00A244F4">
            <w:r>
              <w:t>Organisational uncertainty</w:t>
            </w:r>
          </w:p>
        </w:tc>
        <w:tc>
          <w:tcPr>
            <w:tcW w:w="0" w:type="auto"/>
            <w:hideMark/>
          </w:tcPr>
          <w:p w14:paraId="4F1E4207" w14:textId="77777777" w:rsidR="00B53168" w:rsidRDefault="00B53168" w:rsidP="00A244F4">
            <w:r>
              <w:t>Job insecurity concerns</w:t>
            </w:r>
          </w:p>
        </w:tc>
        <w:tc>
          <w:tcPr>
            <w:tcW w:w="0" w:type="auto"/>
            <w:hideMark/>
          </w:tcPr>
          <w:p w14:paraId="56D7E840" w14:textId="77777777" w:rsidR="00B53168" w:rsidRDefault="00B53168" w:rsidP="00A244F4">
            <w:r>
              <w:t>Lower morale</w:t>
            </w:r>
          </w:p>
        </w:tc>
      </w:tr>
      <w:tr w:rsidR="00B53168" w14:paraId="479E1093" w14:textId="77777777" w:rsidTr="00A244F4">
        <w:tc>
          <w:tcPr>
            <w:tcW w:w="0" w:type="auto"/>
            <w:hideMark/>
          </w:tcPr>
          <w:p w14:paraId="73FB8256" w14:textId="77777777" w:rsidR="00B53168" w:rsidRDefault="00B53168" w:rsidP="00A244F4">
            <w:r>
              <w:t>Customers</w:t>
            </w:r>
          </w:p>
        </w:tc>
        <w:tc>
          <w:tcPr>
            <w:tcW w:w="0" w:type="auto"/>
            <w:hideMark/>
          </w:tcPr>
          <w:p w14:paraId="12C412CF" w14:textId="77777777" w:rsidR="00B53168" w:rsidRDefault="00B53168" w:rsidP="00A244F4">
            <w:r>
              <w:t>Service recipients</w:t>
            </w:r>
          </w:p>
        </w:tc>
        <w:tc>
          <w:tcPr>
            <w:tcW w:w="0" w:type="auto"/>
            <w:hideMark/>
          </w:tcPr>
          <w:p w14:paraId="07124287" w14:textId="77777777" w:rsidR="00B53168" w:rsidRDefault="00B53168" w:rsidP="00A244F4">
            <w:r>
              <w:t>Reduced trust in the company</w:t>
            </w:r>
          </w:p>
        </w:tc>
        <w:tc>
          <w:tcPr>
            <w:tcW w:w="0" w:type="auto"/>
            <w:hideMark/>
          </w:tcPr>
          <w:p w14:paraId="628EF8C7" w14:textId="77777777" w:rsidR="00B53168" w:rsidRDefault="00B53168" w:rsidP="00A244F4">
            <w:r>
              <w:t>Contract hesitation</w:t>
            </w:r>
          </w:p>
        </w:tc>
        <w:tc>
          <w:tcPr>
            <w:tcW w:w="0" w:type="auto"/>
            <w:hideMark/>
          </w:tcPr>
          <w:p w14:paraId="21EACBED" w14:textId="77777777" w:rsidR="00B53168" w:rsidRDefault="00B53168" w:rsidP="00A244F4">
            <w:r>
              <w:t>Relationship risk</w:t>
            </w:r>
          </w:p>
        </w:tc>
      </w:tr>
      <w:tr w:rsidR="00B53168" w14:paraId="182ACA46" w14:textId="77777777" w:rsidTr="00A244F4">
        <w:tc>
          <w:tcPr>
            <w:tcW w:w="0" w:type="auto"/>
            <w:hideMark/>
          </w:tcPr>
          <w:p w14:paraId="15EEAA33" w14:textId="77777777" w:rsidR="00B53168" w:rsidRDefault="00B53168" w:rsidP="00A244F4">
            <w:r>
              <w:t>Business partners</w:t>
            </w:r>
          </w:p>
        </w:tc>
        <w:tc>
          <w:tcPr>
            <w:tcW w:w="0" w:type="auto"/>
            <w:hideMark/>
          </w:tcPr>
          <w:p w14:paraId="0004355B" w14:textId="77777777" w:rsidR="00B53168" w:rsidRDefault="00B53168" w:rsidP="00A244F4">
            <w:r>
              <w:t>Project collaborators</w:t>
            </w:r>
          </w:p>
        </w:tc>
        <w:tc>
          <w:tcPr>
            <w:tcW w:w="0" w:type="auto"/>
            <w:hideMark/>
          </w:tcPr>
          <w:p w14:paraId="3C7F9AD5" w14:textId="77777777" w:rsidR="00B53168" w:rsidRDefault="00B53168" w:rsidP="00A244F4">
            <w:r>
              <w:t>Concerns over reliability</w:t>
            </w:r>
          </w:p>
        </w:tc>
        <w:tc>
          <w:tcPr>
            <w:tcW w:w="0" w:type="auto"/>
            <w:hideMark/>
          </w:tcPr>
          <w:p w14:paraId="0663AEC2" w14:textId="77777777" w:rsidR="00B53168" w:rsidRDefault="00B53168" w:rsidP="00A244F4">
            <w:r>
              <w:t>Business caution</w:t>
            </w:r>
          </w:p>
        </w:tc>
        <w:tc>
          <w:tcPr>
            <w:tcW w:w="0" w:type="auto"/>
            <w:hideMark/>
          </w:tcPr>
          <w:p w14:paraId="3933ED7E" w14:textId="77777777" w:rsidR="00B53168" w:rsidRDefault="00B53168" w:rsidP="00A244F4">
            <w:r>
              <w:t xml:space="preserve">Partnership </w:t>
            </w:r>
            <w:proofErr w:type="spellStart"/>
            <w:r>
              <w:t>reevaluation</w:t>
            </w:r>
            <w:proofErr w:type="spellEnd"/>
          </w:p>
        </w:tc>
      </w:tr>
      <w:tr w:rsidR="00B53168" w14:paraId="0D22C644" w14:textId="77777777" w:rsidTr="00A244F4">
        <w:tc>
          <w:tcPr>
            <w:tcW w:w="0" w:type="auto"/>
            <w:hideMark/>
          </w:tcPr>
          <w:p w14:paraId="3C9EAE8E" w14:textId="77777777" w:rsidR="00B53168" w:rsidRDefault="00B53168" w:rsidP="00A244F4">
            <w:r>
              <w:t>Regulators</w:t>
            </w:r>
          </w:p>
        </w:tc>
        <w:tc>
          <w:tcPr>
            <w:tcW w:w="0" w:type="auto"/>
            <w:hideMark/>
          </w:tcPr>
          <w:p w14:paraId="2E9B503C" w14:textId="77777777" w:rsidR="00B53168" w:rsidRDefault="00B53168" w:rsidP="00A244F4">
            <w:r>
              <w:t>Market oversight</w:t>
            </w:r>
          </w:p>
        </w:tc>
        <w:tc>
          <w:tcPr>
            <w:tcW w:w="0" w:type="auto"/>
            <w:hideMark/>
          </w:tcPr>
          <w:p w14:paraId="1761CEB0" w14:textId="77777777" w:rsidR="00B53168" w:rsidRDefault="00B53168" w:rsidP="00A244F4">
            <w:r>
              <w:t>Financial investigation</w:t>
            </w:r>
          </w:p>
        </w:tc>
        <w:tc>
          <w:tcPr>
            <w:tcW w:w="0" w:type="auto"/>
            <w:hideMark/>
          </w:tcPr>
          <w:p w14:paraId="1E42F4F4" w14:textId="77777777" w:rsidR="00B53168" w:rsidRDefault="00B53168" w:rsidP="00A244F4">
            <w:r>
              <w:t>FCA penalty</w:t>
            </w:r>
          </w:p>
        </w:tc>
        <w:tc>
          <w:tcPr>
            <w:tcW w:w="0" w:type="auto"/>
            <w:hideMark/>
          </w:tcPr>
          <w:p w14:paraId="09BC0544" w14:textId="77777777" w:rsidR="00B53168" w:rsidRDefault="00B53168" w:rsidP="00A244F4">
            <w:r>
              <w:t>Increased compliance monitoring</w:t>
            </w:r>
          </w:p>
        </w:tc>
      </w:tr>
      <w:tr w:rsidR="00B53168" w14:paraId="0ECD3CF5" w14:textId="77777777" w:rsidTr="00A244F4">
        <w:tc>
          <w:tcPr>
            <w:tcW w:w="0" w:type="auto"/>
            <w:hideMark/>
          </w:tcPr>
          <w:p w14:paraId="0A1CD9E6" w14:textId="77777777" w:rsidR="00B53168" w:rsidRDefault="00B53168" w:rsidP="00A244F4">
            <w:r>
              <w:t>Financial market</w:t>
            </w:r>
          </w:p>
        </w:tc>
        <w:tc>
          <w:tcPr>
            <w:tcW w:w="0" w:type="auto"/>
            <w:hideMark/>
          </w:tcPr>
          <w:p w14:paraId="0FE01311" w14:textId="77777777" w:rsidR="00B53168" w:rsidRDefault="00B53168" w:rsidP="00A244F4">
            <w:r>
              <w:t>Investment ecosystem</w:t>
            </w:r>
          </w:p>
        </w:tc>
        <w:tc>
          <w:tcPr>
            <w:tcW w:w="0" w:type="auto"/>
            <w:hideMark/>
          </w:tcPr>
          <w:p w14:paraId="224823BB" w14:textId="77777777" w:rsidR="00B53168" w:rsidRDefault="00B53168" w:rsidP="00A244F4">
            <w:r>
              <w:t>Reduced credibility</w:t>
            </w:r>
          </w:p>
        </w:tc>
        <w:tc>
          <w:tcPr>
            <w:tcW w:w="0" w:type="auto"/>
            <w:hideMark/>
          </w:tcPr>
          <w:p w14:paraId="448F8B62" w14:textId="77777777" w:rsidR="00B53168" w:rsidRDefault="00B53168" w:rsidP="00A244F4">
            <w:r>
              <w:t>Market scrutiny</w:t>
            </w:r>
          </w:p>
        </w:tc>
        <w:tc>
          <w:tcPr>
            <w:tcW w:w="0" w:type="auto"/>
            <w:hideMark/>
          </w:tcPr>
          <w:p w14:paraId="51E30F42" w14:textId="77777777" w:rsidR="00B53168" w:rsidRDefault="00B53168" w:rsidP="00A244F4">
            <w:r>
              <w:t>Governance reforms</w:t>
            </w:r>
          </w:p>
        </w:tc>
      </w:tr>
    </w:tbl>
    <w:p w14:paraId="72A83EA5" w14:textId="77777777" w:rsidR="00B53168" w:rsidRPr="006678BE" w:rsidRDefault="00B53168" w:rsidP="00B53168">
      <w:pPr>
        <w:pStyle w:val="NormalWeb"/>
        <w:spacing w:line="360" w:lineRule="auto"/>
      </w:pPr>
      <w:r>
        <w:rPr>
          <w:rStyle w:val="Strong"/>
        </w:rPr>
        <w:t>Source:</w:t>
      </w:r>
      <w:r>
        <w:t xml:space="preserve"> Saker-Clark (2026); Reuters (2026); Hasan, Taylor and Richardson (2024); Awa, Etim and Ogbonda (2024).</w:t>
      </w:r>
    </w:p>
    <w:p w14:paraId="3B783042" w14:textId="77777777" w:rsidR="00B53168" w:rsidRDefault="00B53168" w:rsidP="00B53168">
      <w:pPr>
        <w:rPr>
          <w:lang w:val="en-SG"/>
        </w:rPr>
      </w:pPr>
      <w:r w:rsidRPr="00F647E1">
        <w:rPr>
          <w:lang w:val="en-SG"/>
        </w:rPr>
        <w:t>The Wood Group case shows that poor financial reporting and governance can affect multiple stakeholders and harm an organi</w:t>
      </w:r>
      <w:r>
        <w:rPr>
          <w:lang w:val="en-SG"/>
        </w:rPr>
        <w:t>s</w:t>
      </w:r>
      <w:r w:rsidRPr="00F647E1">
        <w:rPr>
          <w:lang w:val="en-SG"/>
        </w:rPr>
        <w:t>ation's image and market results.</w:t>
      </w:r>
    </w:p>
    <w:p w14:paraId="0CE0389C" w14:textId="77777777" w:rsidR="00B53168" w:rsidRPr="00311889" w:rsidRDefault="00B53168" w:rsidP="00B53168">
      <w:pPr>
        <w:pStyle w:val="Heading1"/>
        <w:rPr>
          <w:rFonts w:ascii="Times New Roman" w:hAnsi="Times New Roman" w:cs="Times New Roman"/>
          <w:b/>
          <w:bCs/>
          <w:color w:val="auto"/>
          <w:sz w:val="32"/>
          <w:szCs w:val="32"/>
          <w:lang w:val="en-SG"/>
        </w:rPr>
      </w:pPr>
      <w:bookmarkStart w:id="24" w:name="_Toc225455511"/>
      <w:r w:rsidRPr="00311889">
        <w:rPr>
          <w:rFonts w:ascii="Times New Roman" w:hAnsi="Times New Roman" w:cs="Times New Roman"/>
          <w:b/>
          <w:bCs/>
          <w:color w:val="auto"/>
          <w:sz w:val="32"/>
          <w:szCs w:val="32"/>
          <w:lang w:val="en-SG"/>
        </w:rPr>
        <w:t>Actions Taken by the Company and Regulators and Recommendations</w:t>
      </w:r>
      <w:bookmarkEnd w:id="24"/>
    </w:p>
    <w:p w14:paraId="10E869FA" w14:textId="77777777" w:rsidR="00B53168" w:rsidRPr="00311889" w:rsidRDefault="00B53168" w:rsidP="00B53168">
      <w:pPr>
        <w:pStyle w:val="Heading2"/>
        <w:rPr>
          <w:rFonts w:ascii="Times New Roman" w:hAnsi="Times New Roman" w:cs="Times New Roman"/>
          <w:b/>
          <w:bCs/>
          <w:color w:val="auto"/>
          <w:sz w:val="28"/>
          <w:szCs w:val="28"/>
          <w:lang w:val="en-SG"/>
        </w:rPr>
      </w:pPr>
      <w:bookmarkStart w:id="25" w:name="_Toc225455512"/>
      <w:r w:rsidRPr="00311889">
        <w:rPr>
          <w:rFonts w:ascii="Times New Roman" w:hAnsi="Times New Roman" w:cs="Times New Roman"/>
          <w:b/>
          <w:bCs/>
          <w:color w:val="auto"/>
          <w:sz w:val="28"/>
          <w:szCs w:val="28"/>
          <w:lang w:val="en-SG"/>
        </w:rPr>
        <w:t>Actions Taken by the Company and Regulators</w:t>
      </w:r>
      <w:bookmarkEnd w:id="25"/>
      <w:r w:rsidRPr="00311889">
        <w:rPr>
          <w:rFonts w:ascii="Times New Roman" w:hAnsi="Times New Roman" w:cs="Times New Roman"/>
          <w:b/>
          <w:bCs/>
          <w:color w:val="auto"/>
          <w:sz w:val="28"/>
          <w:szCs w:val="28"/>
          <w:lang w:val="en-SG"/>
        </w:rPr>
        <w:t xml:space="preserve"> </w:t>
      </w:r>
    </w:p>
    <w:p w14:paraId="3F36633A" w14:textId="77777777" w:rsidR="00B53168" w:rsidRPr="00311889" w:rsidRDefault="00B53168" w:rsidP="00B53168">
      <w:pPr>
        <w:pStyle w:val="Heading3"/>
        <w:rPr>
          <w:rFonts w:ascii="Times New Roman" w:hAnsi="Times New Roman" w:cs="Times New Roman"/>
          <w:b/>
          <w:bCs/>
          <w:color w:val="auto"/>
          <w:sz w:val="24"/>
          <w:szCs w:val="24"/>
          <w:lang w:val="en-SG"/>
        </w:rPr>
      </w:pPr>
      <w:bookmarkStart w:id="26" w:name="_Toc225455513"/>
      <w:r w:rsidRPr="00311889">
        <w:rPr>
          <w:rFonts w:ascii="Times New Roman" w:hAnsi="Times New Roman" w:cs="Times New Roman"/>
          <w:b/>
          <w:bCs/>
          <w:color w:val="auto"/>
          <w:sz w:val="24"/>
          <w:szCs w:val="24"/>
          <w:lang w:val="en-SG"/>
        </w:rPr>
        <w:t>Company Actions</w:t>
      </w:r>
      <w:bookmarkEnd w:id="26"/>
    </w:p>
    <w:p w14:paraId="248985E2" w14:textId="77777777" w:rsidR="00B53168" w:rsidRPr="006678BE" w:rsidRDefault="00B53168" w:rsidP="00B53168">
      <w:pPr>
        <w:rPr>
          <w:lang w:val="en-SG"/>
        </w:rPr>
      </w:pPr>
      <w:r w:rsidRPr="00F647E1">
        <w:rPr>
          <w:lang w:val="en-SG"/>
        </w:rPr>
        <w:t>After discovering financial reporting fraud, John Wood Group plc took several steps to restore trust in its governance and reporting. The company conducted an internal audit of its accounting and financial reporting systems to determine why reports were inaccurate and improve internal control (Wood, 2025). Internal investigations are also needed in cases of adverse financial reporting anomalies to assess governance vulnerabilities and improve reporting procedures (Collins, 2025). To prevent future governance issues, firms with governance failures often improve board supervision and financial monitoring (</w:t>
      </w:r>
      <w:proofErr w:type="spellStart"/>
      <w:r w:rsidRPr="00F647E1">
        <w:rPr>
          <w:lang w:val="en-SG"/>
        </w:rPr>
        <w:t>Gerged</w:t>
      </w:r>
      <w:proofErr w:type="spellEnd"/>
      <w:r w:rsidRPr="00F647E1">
        <w:rPr>
          <w:lang w:val="en-SG"/>
        </w:rPr>
        <w:t xml:space="preserve"> and </w:t>
      </w:r>
      <w:proofErr w:type="spellStart"/>
      <w:r w:rsidRPr="00F647E1">
        <w:rPr>
          <w:lang w:val="en-SG"/>
        </w:rPr>
        <w:t>Masli</w:t>
      </w:r>
      <w:proofErr w:type="spellEnd"/>
      <w:r w:rsidRPr="00F647E1">
        <w:rPr>
          <w:lang w:val="en-SG"/>
        </w:rPr>
        <w:t xml:space="preserve">, 2025). </w:t>
      </w:r>
      <w:r w:rsidRPr="00F647E1">
        <w:rPr>
          <w:lang w:val="en-SG"/>
        </w:rPr>
        <w:br/>
      </w:r>
      <w:r w:rsidRPr="00F647E1">
        <w:rPr>
          <w:lang w:val="en-SG"/>
        </w:rPr>
        <w:lastRenderedPageBreak/>
        <w:t xml:space="preserve">Corporate governance reforms can include leadership or management changes to improve accountability and stakeholder confidence. When organisations experience serious governance failures, </w:t>
      </w:r>
      <w:proofErr w:type="spellStart"/>
      <w:r w:rsidRPr="00F647E1">
        <w:rPr>
          <w:lang w:val="en-SG"/>
        </w:rPr>
        <w:t>Plouhinec</w:t>
      </w:r>
      <w:proofErr w:type="spellEnd"/>
      <w:r w:rsidRPr="00F647E1">
        <w:rPr>
          <w:lang w:val="en-SG"/>
        </w:rPr>
        <w:t xml:space="preserve"> (2026) suggests governance restructuring and leader accountability to demonstrate ethical and transparent firm practises</w:t>
      </w:r>
      <w:r w:rsidRPr="006678BE">
        <w:rPr>
          <w:lang w:val="en-SG"/>
        </w:rPr>
        <w:t>.</w:t>
      </w:r>
    </w:p>
    <w:p w14:paraId="4AE1F276" w14:textId="77777777" w:rsidR="00B53168" w:rsidRPr="00311889" w:rsidRDefault="00B53168" w:rsidP="00B53168">
      <w:pPr>
        <w:pStyle w:val="Heading3"/>
        <w:rPr>
          <w:rFonts w:ascii="Times New Roman" w:hAnsi="Times New Roman" w:cs="Times New Roman"/>
          <w:b/>
          <w:bCs/>
          <w:color w:val="auto"/>
          <w:sz w:val="24"/>
          <w:szCs w:val="24"/>
          <w:lang w:val="en-SG"/>
        </w:rPr>
      </w:pPr>
      <w:bookmarkStart w:id="27" w:name="_Toc225455514"/>
      <w:r w:rsidRPr="00311889">
        <w:rPr>
          <w:rFonts w:ascii="Times New Roman" w:hAnsi="Times New Roman" w:cs="Times New Roman"/>
          <w:b/>
          <w:bCs/>
          <w:color w:val="auto"/>
          <w:sz w:val="24"/>
          <w:szCs w:val="24"/>
          <w:lang w:val="en-SG"/>
        </w:rPr>
        <w:t>Regulatory Actions</w:t>
      </w:r>
      <w:bookmarkEnd w:id="27"/>
    </w:p>
    <w:p w14:paraId="591F7E05" w14:textId="77777777" w:rsidR="00B53168" w:rsidRPr="006678BE" w:rsidRDefault="00B53168" w:rsidP="00B53168">
      <w:pPr>
        <w:rPr>
          <w:lang w:val="en-SG"/>
        </w:rPr>
      </w:pPr>
      <w:r w:rsidRPr="00D27029">
        <w:rPr>
          <w:lang w:val="en-SG"/>
        </w:rPr>
        <w:t>Corporate governance variances are also corrected by regulators. For Wood Group, the UK Financial Reporting Board investigated the company's financial reporting methods and found that it had presented false financial statements for multiple reporting periods (FCA, 2026). Thus, the regulator fined the company and increased financial reporting rule scrutiny. The regulatory enforcement measures protect investors, increase market transparency, and deter corporate wrongdoing (</w:t>
      </w:r>
      <w:proofErr w:type="spellStart"/>
      <w:r w:rsidRPr="00D27029">
        <w:rPr>
          <w:lang w:val="en-SG"/>
        </w:rPr>
        <w:t>Benyasrisawat</w:t>
      </w:r>
      <w:proofErr w:type="spellEnd"/>
      <w:r w:rsidRPr="00D27029">
        <w:rPr>
          <w:lang w:val="en-SG"/>
        </w:rPr>
        <w:t xml:space="preserve"> and </w:t>
      </w:r>
      <w:proofErr w:type="spellStart"/>
      <w:r w:rsidRPr="00D27029">
        <w:rPr>
          <w:lang w:val="en-SG"/>
        </w:rPr>
        <w:t>Ounlert</w:t>
      </w:r>
      <w:proofErr w:type="spellEnd"/>
      <w:r w:rsidRPr="00D27029">
        <w:rPr>
          <w:lang w:val="en-SG"/>
        </w:rPr>
        <w:t>, 2026). These studies demonstrate the importance of regulatory control in financial market accountability</w:t>
      </w:r>
      <w:r w:rsidRPr="006678BE">
        <w:rPr>
          <w:lang w:val="en-SG"/>
        </w:rPr>
        <w:t>.</w:t>
      </w:r>
    </w:p>
    <w:p w14:paraId="283267E6" w14:textId="77777777" w:rsidR="00B53168" w:rsidRPr="00311889" w:rsidRDefault="00B53168" w:rsidP="00B53168">
      <w:pPr>
        <w:pStyle w:val="Heading2"/>
        <w:rPr>
          <w:rFonts w:ascii="Times New Roman" w:hAnsi="Times New Roman" w:cs="Times New Roman"/>
          <w:b/>
          <w:bCs/>
          <w:color w:val="auto"/>
          <w:sz w:val="28"/>
          <w:szCs w:val="28"/>
          <w:lang w:val="en-SG"/>
        </w:rPr>
      </w:pPr>
      <w:bookmarkStart w:id="28" w:name="_Toc225455515"/>
      <w:r w:rsidRPr="00311889">
        <w:rPr>
          <w:rFonts w:ascii="Times New Roman" w:hAnsi="Times New Roman" w:cs="Times New Roman"/>
          <w:b/>
          <w:bCs/>
          <w:color w:val="auto"/>
          <w:sz w:val="28"/>
          <w:szCs w:val="28"/>
          <w:lang w:val="en-SG"/>
        </w:rPr>
        <w:t>Recommendations for Improving Corporate Governance</w:t>
      </w:r>
      <w:bookmarkEnd w:id="28"/>
      <w:r w:rsidRPr="00311889">
        <w:rPr>
          <w:rFonts w:ascii="Times New Roman" w:hAnsi="Times New Roman" w:cs="Times New Roman"/>
          <w:b/>
          <w:bCs/>
          <w:color w:val="auto"/>
          <w:sz w:val="28"/>
          <w:szCs w:val="28"/>
          <w:lang w:val="en-SG"/>
        </w:rPr>
        <w:t xml:space="preserve"> </w:t>
      </w:r>
    </w:p>
    <w:p w14:paraId="30C8B37A" w14:textId="77777777" w:rsidR="00B53168" w:rsidRPr="00311889" w:rsidRDefault="00B53168" w:rsidP="00B53168">
      <w:pPr>
        <w:pStyle w:val="Heading3"/>
        <w:rPr>
          <w:rFonts w:ascii="Times New Roman" w:hAnsi="Times New Roman" w:cs="Times New Roman"/>
          <w:b/>
          <w:bCs/>
          <w:color w:val="auto"/>
          <w:sz w:val="24"/>
          <w:szCs w:val="24"/>
          <w:lang w:val="en-SG"/>
        </w:rPr>
      </w:pPr>
      <w:bookmarkStart w:id="29" w:name="_Toc225455516"/>
      <w:r w:rsidRPr="00311889">
        <w:rPr>
          <w:rFonts w:ascii="Times New Roman" w:hAnsi="Times New Roman" w:cs="Times New Roman"/>
          <w:b/>
          <w:bCs/>
          <w:color w:val="auto"/>
          <w:sz w:val="24"/>
          <w:szCs w:val="24"/>
          <w:lang w:val="en-SG"/>
        </w:rPr>
        <w:t>Enhancing Board Oversight</w:t>
      </w:r>
      <w:bookmarkEnd w:id="29"/>
      <w:r w:rsidRPr="00311889">
        <w:rPr>
          <w:rFonts w:ascii="Times New Roman" w:hAnsi="Times New Roman" w:cs="Times New Roman"/>
          <w:b/>
          <w:bCs/>
          <w:color w:val="auto"/>
          <w:sz w:val="24"/>
          <w:szCs w:val="24"/>
          <w:lang w:val="en-SG"/>
        </w:rPr>
        <w:t xml:space="preserve"> </w:t>
      </w:r>
    </w:p>
    <w:p w14:paraId="1E9A2FC1" w14:textId="77777777" w:rsidR="00B53168" w:rsidRPr="00F14657" w:rsidRDefault="00B53168" w:rsidP="00B53168">
      <w:pPr>
        <w:rPr>
          <w:lang w:val="en-SG"/>
        </w:rPr>
      </w:pPr>
      <w:r w:rsidRPr="00F14657">
        <w:rPr>
          <w:lang w:val="en-SG"/>
        </w:rPr>
        <w:t>The need is to improve the oversight of the Board that will facilitate the risks that may affect the performance of a firm.</w:t>
      </w:r>
      <w:r>
        <w:rPr>
          <w:lang w:val="en-SG"/>
        </w:rPr>
        <w:t xml:space="preserve"> </w:t>
      </w:r>
      <w:r w:rsidRPr="00F14657">
        <w:rPr>
          <w:lang w:val="en-SG"/>
        </w:rPr>
        <w:t xml:space="preserve">Board oversight and monitoring are </w:t>
      </w:r>
      <w:r>
        <w:rPr>
          <w:lang w:val="en-SG"/>
        </w:rPr>
        <w:t>two</w:t>
      </w:r>
      <w:r w:rsidRPr="00F14657">
        <w:rPr>
          <w:lang w:val="en-SG"/>
        </w:rPr>
        <w:t xml:space="preserve"> of the best options to ensure the mitigation of financial misreporting risks</w:t>
      </w:r>
      <w:r>
        <w:rPr>
          <w:lang w:val="en-SG"/>
        </w:rPr>
        <w:t xml:space="preserve"> </w:t>
      </w:r>
      <w:r w:rsidRPr="006C2559">
        <w:rPr>
          <w:lang w:val="en-SG"/>
        </w:rPr>
        <w:t>(Saker-Clark, 2026)</w:t>
      </w:r>
      <w:r w:rsidRPr="00F14657">
        <w:rPr>
          <w:lang w:val="en-SG"/>
        </w:rPr>
        <w:t xml:space="preserve">. </w:t>
      </w:r>
      <w:proofErr w:type="spellStart"/>
      <w:r w:rsidRPr="00867439">
        <w:rPr>
          <w:lang w:val="en-SG"/>
        </w:rPr>
        <w:t>Ineizeh</w:t>
      </w:r>
      <w:proofErr w:type="spellEnd"/>
      <w:r w:rsidRPr="00867439">
        <w:rPr>
          <w:lang w:val="en-SG"/>
        </w:rPr>
        <w:t xml:space="preserve"> et al. (2025)</w:t>
      </w:r>
      <w:r>
        <w:rPr>
          <w:lang w:val="en-SG"/>
        </w:rPr>
        <w:t xml:space="preserve"> found that c</w:t>
      </w:r>
      <w:r w:rsidRPr="00F14657">
        <w:rPr>
          <w:lang w:val="en-SG"/>
        </w:rPr>
        <w:t xml:space="preserve">orporate governance studies underscore the need to have independent directors who </w:t>
      </w:r>
      <w:proofErr w:type="gramStart"/>
      <w:r w:rsidRPr="00F14657">
        <w:rPr>
          <w:lang w:val="en-SG"/>
        </w:rPr>
        <w:t>are capable of making</w:t>
      </w:r>
      <w:proofErr w:type="gramEnd"/>
      <w:r w:rsidRPr="00F14657">
        <w:rPr>
          <w:lang w:val="en-SG"/>
        </w:rPr>
        <w:t xml:space="preserve"> independent decision</w:t>
      </w:r>
      <w:r>
        <w:rPr>
          <w:lang w:val="en-SG"/>
        </w:rPr>
        <w:t>s regarding</w:t>
      </w:r>
      <w:r w:rsidRPr="00F14657">
        <w:rPr>
          <w:lang w:val="en-SG"/>
        </w:rPr>
        <w:t xml:space="preserve"> management and offer</w:t>
      </w:r>
      <w:r>
        <w:rPr>
          <w:lang w:val="en-SG"/>
        </w:rPr>
        <w:t>ing an</w:t>
      </w:r>
      <w:r w:rsidRPr="00F14657">
        <w:rPr>
          <w:lang w:val="en-SG"/>
        </w:rPr>
        <w:t xml:space="preserve"> objective financial review. Effective governance can be increased by increasing the number of independent board members and an increase in board expertise in financial reporting</w:t>
      </w:r>
      <w:r>
        <w:rPr>
          <w:lang w:val="en-SG"/>
        </w:rPr>
        <w:t xml:space="preserve"> </w:t>
      </w:r>
      <w:r w:rsidRPr="00F14657">
        <w:rPr>
          <w:lang w:val="en-SG"/>
        </w:rPr>
        <w:t>(Rahman et al., 2026).</w:t>
      </w:r>
    </w:p>
    <w:p w14:paraId="1C26D030" w14:textId="77777777" w:rsidR="00B53168" w:rsidRPr="00311889" w:rsidRDefault="00B53168" w:rsidP="00B53168">
      <w:pPr>
        <w:pStyle w:val="Heading3"/>
        <w:rPr>
          <w:rFonts w:ascii="Times New Roman" w:hAnsi="Times New Roman" w:cs="Times New Roman"/>
          <w:b/>
          <w:bCs/>
          <w:color w:val="auto"/>
          <w:sz w:val="24"/>
          <w:szCs w:val="24"/>
          <w:lang w:val="en-SG"/>
        </w:rPr>
      </w:pPr>
      <w:bookmarkStart w:id="30" w:name="_Toc225455517"/>
      <w:r w:rsidRPr="00311889">
        <w:rPr>
          <w:rFonts w:ascii="Times New Roman" w:hAnsi="Times New Roman" w:cs="Times New Roman"/>
          <w:b/>
          <w:bCs/>
          <w:color w:val="auto"/>
          <w:sz w:val="24"/>
          <w:szCs w:val="24"/>
          <w:lang w:val="en-SG"/>
        </w:rPr>
        <w:t>Enhancing Financial Transparency</w:t>
      </w:r>
      <w:bookmarkEnd w:id="30"/>
    </w:p>
    <w:p w14:paraId="180D8972" w14:textId="77777777" w:rsidR="00B53168" w:rsidRPr="00F14657" w:rsidRDefault="00B53168" w:rsidP="00B53168">
      <w:pPr>
        <w:rPr>
          <w:lang w:val="en-SG"/>
        </w:rPr>
      </w:pPr>
      <w:r w:rsidRPr="00F14657">
        <w:rPr>
          <w:lang w:val="en-SG"/>
        </w:rPr>
        <w:t>Enhancement of financial disclosures transparency will also be important in avoiding earnings management and false financial reporting. Transparent reporting means the companies will report on accurate and timely financial information that is representative of the actual economic performance of the company (</w:t>
      </w:r>
      <w:proofErr w:type="spellStart"/>
      <w:r w:rsidRPr="00F14657">
        <w:rPr>
          <w:lang w:val="en-SG"/>
        </w:rPr>
        <w:t>Ineizeh</w:t>
      </w:r>
      <w:proofErr w:type="spellEnd"/>
      <w:r w:rsidRPr="00F14657">
        <w:rPr>
          <w:lang w:val="en-SG"/>
        </w:rPr>
        <w:t xml:space="preserve"> et al., 2025). Effective disclosure practices will assist investors and other regulators in assessing corporate performance at a more precise level</w:t>
      </w:r>
      <w:r>
        <w:rPr>
          <w:lang w:val="en-SG"/>
        </w:rPr>
        <w:t xml:space="preserve"> </w:t>
      </w:r>
      <w:r w:rsidRPr="00867439">
        <w:rPr>
          <w:lang w:val="en-SG"/>
        </w:rPr>
        <w:t>(Wilson, 2025)</w:t>
      </w:r>
      <w:r w:rsidRPr="00F14657">
        <w:rPr>
          <w:lang w:val="en-SG"/>
        </w:rPr>
        <w:t>.</w:t>
      </w:r>
    </w:p>
    <w:p w14:paraId="5A5EA33E" w14:textId="77777777" w:rsidR="00B53168" w:rsidRPr="00311889" w:rsidRDefault="00B53168" w:rsidP="00B53168">
      <w:pPr>
        <w:pStyle w:val="Heading3"/>
        <w:rPr>
          <w:rFonts w:ascii="Times New Roman" w:hAnsi="Times New Roman" w:cs="Times New Roman"/>
          <w:b/>
          <w:bCs/>
          <w:color w:val="auto"/>
          <w:sz w:val="24"/>
          <w:szCs w:val="24"/>
          <w:lang w:val="en-SG"/>
        </w:rPr>
      </w:pPr>
      <w:bookmarkStart w:id="31" w:name="_Toc225455518"/>
      <w:r w:rsidRPr="00311889">
        <w:rPr>
          <w:rFonts w:ascii="Times New Roman" w:hAnsi="Times New Roman" w:cs="Times New Roman"/>
          <w:b/>
          <w:bCs/>
          <w:color w:val="auto"/>
          <w:sz w:val="24"/>
          <w:szCs w:val="24"/>
          <w:lang w:val="en-SG"/>
        </w:rPr>
        <w:t>Improving Internal Control Systems</w:t>
      </w:r>
      <w:bookmarkEnd w:id="31"/>
    </w:p>
    <w:p w14:paraId="7BA970A4" w14:textId="77777777" w:rsidR="00B53168" w:rsidRPr="00F14657" w:rsidRDefault="00B53168" w:rsidP="00B53168">
      <w:pPr>
        <w:rPr>
          <w:lang w:val="en-SG"/>
        </w:rPr>
      </w:pPr>
      <w:r w:rsidRPr="00F14657">
        <w:rPr>
          <w:lang w:val="en-SG"/>
        </w:rPr>
        <w:t xml:space="preserve">Effective internal control systems are very important in the establishment of dependable financial reporting. Organisations ought to enhance internal audit processes, risk management </w:t>
      </w:r>
      <w:r w:rsidRPr="00F14657">
        <w:rPr>
          <w:lang w:val="en-SG"/>
        </w:rPr>
        <w:lastRenderedPageBreak/>
        <w:t xml:space="preserve">systems, and financial control systems to identify abnormalities early in the process (Al Astal et al., 2024). Strong internal control environments will greatly lower </w:t>
      </w:r>
      <w:r>
        <w:rPr>
          <w:lang w:val="en-SG"/>
        </w:rPr>
        <w:t xml:space="preserve">the </w:t>
      </w:r>
      <w:r w:rsidRPr="00F14657">
        <w:rPr>
          <w:lang w:val="en-SG"/>
        </w:rPr>
        <w:t>chances of accounting failures and financial misstatements.</w:t>
      </w:r>
    </w:p>
    <w:p w14:paraId="2E532BBB" w14:textId="77777777" w:rsidR="00B53168" w:rsidRPr="00311889" w:rsidRDefault="00B53168" w:rsidP="00B53168">
      <w:pPr>
        <w:pStyle w:val="Heading3"/>
        <w:rPr>
          <w:rFonts w:ascii="Times New Roman" w:hAnsi="Times New Roman" w:cs="Times New Roman"/>
          <w:b/>
          <w:bCs/>
          <w:color w:val="auto"/>
          <w:sz w:val="24"/>
          <w:szCs w:val="24"/>
          <w:lang w:val="en-SG"/>
        </w:rPr>
      </w:pPr>
      <w:bookmarkStart w:id="32" w:name="_Toc225455519"/>
      <w:r w:rsidRPr="00311889">
        <w:rPr>
          <w:rFonts w:ascii="Times New Roman" w:hAnsi="Times New Roman" w:cs="Times New Roman"/>
          <w:b/>
          <w:bCs/>
          <w:color w:val="auto"/>
          <w:sz w:val="24"/>
          <w:szCs w:val="24"/>
          <w:lang w:val="en-SG"/>
        </w:rPr>
        <w:t>Stakeholder Engagement</w:t>
      </w:r>
      <w:bookmarkEnd w:id="32"/>
    </w:p>
    <w:p w14:paraId="47C16AFE" w14:textId="77777777" w:rsidR="00B53168" w:rsidRPr="00F14657" w:rsidRDefault="00B53168" w:rsidP="00B53168">
      <w:pPr>
        <w:rPr>
          <w:lang w:val="en-SG"/>
        </w:rPr>
      </w:pPr>
      <w:r w:rsidRPr="00F14657">
        <w:rPr>
          <w:lang w:val="en-SG"/>
        </w:rPr>
        <w:t>Engagement and communication with the stakeholders should also be highlighted in the corporate governance structure. The good relationship with stakeholders enhances the transparency and accountability of the organisation and helps in ensuring the sustainability of the corporation in the long term (Awa, Etim and Ogbonda, 2024).</w:t>
      </w:r>
    </w:p>
    <w:p w14:paraId="623265BE" w14:textId="77777777" w:rsidR="00B53168" w:rsidRPr="00311889" w:rsidRDefault="00B53168" w:rsidP="00B53168">
      <w:pPr>
        <w:pStyle w:val="Heading3"/>
        <w:rPr>
          <w:rFonts w:ascii="Times New Roman" w:hAnsi="Times New Roman" w:cs="Times New Roman"/>
          <w:b/>
          <w:bCs/>
          <w:color w:val="auto"/>
          <w:sz w:val="24"/>
          <w:szCs w:val="24"/>
          <w:lang w:val="en-SG"/>
        </w:rPr>
      </w:pPr>
      <w:bookmarkStart w:id="33" w:name="_Toc225455520"/>
      <w:r w:rsidRPr="00311889">
        <w:rPr>
          <w:rFonts w:ascii="Times New Roman" w:hAnsi="Times New Roman" w:cs="Times New Roman"/>
          <w:b/>
          <w:bCs/>
          <w:color w:val="auto"/>
          <w:sz w:val="24"/>
          <w:szCs w:val="24"/>
          <w:lang w:val="en-SG"/>
        </w:rPr>
        <w:t>Ethical Corporate Culture</w:t>
      </w:r>
      <w:bookmarkEnd w:id="33"/>
    </w:p>
    <w:p w14:paraId="42761133" w14:textId="77777777" w:rsidR="00B53168" w:rsidRPr="006678BE" w:rsidRDefault="00B53168" w:rsidP="00B53168">
      <w:pPr>
        <w:rPr>
          <w:lang w:val="en-SG"/>
        </w:rPr>
      </w:pPr>
      <w:r>
        <w:rPr>
          <w:lang w:val="en-SG"/>
        </w:rPr>
        <w:t>O</w:t>
      </w:r>
      <w:r w:rsidRPr="00F14657">
        <w:rPr>
          <w:lang w:val="en-SG"/>
        </w:rPr>
        <w:t>rganisations ought to advance ethical corporate cultures by training governance, ethical leadership programmes, and whistleblowers. Ethical organisational cultures promote good managerial conduct and do not support financial reporting fraud or misleading statements (Manani and P.S., 2025).</w:t>
      </w:r>
    </w:p>
    <w:p w14:paraId="467EAFF0" w14:textId="77777777" w:rsidR="00B53168" w:rsidRPr="00311889" w:rsidRDefault="00B53168" w:rsidP="00B53168">
      <w:pPr>
        <w:pStyle w:val="Heading1"/>
        <w:rPr>
          <w:rFonts w:ascii="Times New Roman" w:hAnsi="Times New Roman" w:cs="Times New Roman"/>
          <w:b/>
          <w:bCs/>
          <w:color w:val="auto"/>
          <w:sz w:val="32"/>
          <w:szCs w:val="32"/>
          <w:lang w:val="en-SG"/>
        </w:rPr>
      </w:pPr>
      <w:bookmarkStart w:id="34" w:name="_Toc225455521"/>
      <w:r w:rsidRPr="00311889">
        <w:rPr>
          <w:rFonts w:ascii="Times New Roman" w:hAnsi="Times New Roman" w:cs="Times New Roman"/>
          <w:b/>
          <w:bCs/>
          <w:color w:val="auto"/>
          <w:sz w:val="32"/>
          <w:szCs w:val="32"/>
          <w:lang w:val="en-SG"/>
        </w:rPr>
        <w:t>Conclusion</w:t>
      </w:r>
      <w:bookmarkEnd w:id="34"/>
    </w:p>
    <w:p w14:paraId="05305EEF" w14:textId="77777777" w:rsidR="00B53168" w:rsidRPr="002C4328" w:rsidRDefault="00B53168" w:rsidP="00B53168">
      <w:pPr>
        <w:rPr>
          <w:lang w:val="en-SG"/>
        </w:rPr>
      </w:pPr>
      <w:r w:rsidRPr="00286903">
        <w:rPr>
          <w:lang w:val="en-SG"/>
        </w:rPr>
        <w:t>John Wood Group plc case illustrates that the flaws of the corporate governance system and financial reporting system may have considerable organisational and market impacts. Regulators discovered that there have been misleading financial statements and false financial disclosures over multiple periods</w:t>
      </w:r>
      <w:r>
        <w:rPr>
          <w:lang w:val="en-SG"/>
        </w:rPr>
        <w:t>.</w:t>
      </w:r>
      <w:r w:rsidRPr="00286903">
        <w:rPr>
          <w:lang w:val="en-SG"/>
        </w:rPr>
        <w:t xml:space="preserve"> </w:t>
      </w:r>
      <w:r>
        <w:rPr>
          <w:lang w:val="en-SG"/>
        </w:rPr>
        <w:t>Consequently, it</w:t>
      </w:r>
      <w:r w:rsidRPr="00286903">
        <w:rPr>
          <w:lang w:val="en-SG"/>
        </w:rPr>
        <w:t xml:space="preserve"> demonstrated major flaws in internal controls and governance oversight. These collapses present an example of a tight connection between the practice of earnings management and poor governance systems that are practiced by publicly listed companies. Another finding of the analysis of the case is that the effect of governance failures may be large-scale and may affect many stakeholders such as shareholders, employees, customers, and regulators. Organisational stability and long-term competitiveness may be eroded by reputational damage, erosion of investor confidence and regulatory scrutiny. Finally, the case of the Wood Group highlights the need to have sound systems of governance, good ethics in leadership and good financial reporting. Accountability and transparency in decision-making processes should be a top priority of organisations to ensure</w:t>
      </w:r>
      <w:r>
        <w:rPr>
          <w:lang w:val="en-SG"/>
        </w:rPr>
        <w:t xml:space="preserve"> </w:t>
      </w:r>
      <w:r w:rsidRPr="00286903">
        <w:rPr>
          <w:lang w:val="en-SG"/>
        </w:rPr>
        <w:t xml:space="preserve">the interests of stakeholders. </w:t>
      </w:r>
      <w:r>
        <w:rPr>
          <w:lang w:val="en-SG"/>
        </w:rPr>
        <w:t>T</w:t>
      </w:r>
      <w:r w:rsidRPr="00286903">
        <w:rPr>
          <w:lang w:val="en-SG"/>
        </w:rPr>
        <w:t>he governance framework and ethical corporate cultures</w:t>
      </w:r>
      <w:r>
        <w:rPr>
          <w:lang w:val="en-SG"/>
        </w:rPr>
        <w:t xml:space="preserve"> are needed </w:t>
      </w:r>
      <w:r w:rsidRPr="00286903">
        <w:rPr>
          <w:lang w:val="en-SG"/>
        </w:rPr>
        <w:t xml:space="preserve">to be imperative in avoiding the occurrence of financial reporting </w:t>
      </w:r>
      <w:r>
        <w:rPr>
          <w:lang w:val="en-SG"/>
        </w:rPr>
        <w:t>issues</w:t>
      </w:r>
      <w:r w:rsidRPr="00286903">
        <w:rPr>
          <w:lang w:val="en-SG"/>
        </w:rPr>
        <w:t xml:space="preserve"> in the future</w:t>
      </w:r>
      <w:r w:rsidRPr="006678BE">
        <w:rPr>
          <w:lang w:val="en-SG"/>
        </w:rPr>
        <w:t>.</w:t>
      </w:r>
      <w:r>
        <w:rPr>
          <w:lang w:val="en-SG"/>
        </w:rPr>
        <w:br w:type="page"/>
      </w:r>
    </w:p>
    <w:p w14:paraId="2BB6BB03" w14:textId="77777777" w:rsidR="00B53168" w:rsidRPr="00311889" w:rsidRDefault="00B53168" w:rsidP="00B53168">
      <w:pPr>
        <w:pStyle w:val="Heading1"/>
        <w:rPr>
          <w:rFonts w:ascii="Times New Roman" w:hAnsi="Times New Roman" w:cs="Times New Roman"/>
          <w:b/>
          <w:bCs/>
          <w:color w:val="auto"/>
          <w:sz w:val="32"/>
          <w:szCs w:val="32"/>
          <w:lang w:val="en-SG"/>
        </w:rPr>
      </w:pPr>
      <w:bookmarkStart w:id="35" w:name="_Toc225455522"/>
      <w:r w:rsidRPr="00311889">
        <w:rPr>
          <w:rFonts w:ascii="Times New Roman" w:hAnsi="Times New Roman" w:cs="Times New Roman"/>
          <w:b/>
          <w:bCs/>
          <w:color w:val="auto"/>
          <w:sz w:val="32"/>
          <w:szCs w:val="32"/>
          <w:lang w:val="en-SG"/>
        </w:rPr>
        <w:lastRenderedPageBreak/>
        <w:t>References</w:t>
      </w:r>
      <w:bookmarkEnd w:id="35"/>
    </w:p>
    <w:p w14:paraId="1C3120CF" w14:textId="77777777" w:rsidR="00B53168" w:rsidRPr="001601D4" w:rsidRDefault="00B53168" w:rsidP="00B53168">
      <w:pPr>
        <w:rPr>
          <w:lang w:val="en-SG"/>
        </w:rPr>
      </w:pPr>
      <w:r w:rsidRPr="001601D4">
        <w:rPr>
          <w:lang w:val="en-SG"/>
        </w:rPr>
        <w:t xml:space="preserve">Abraham, M. and Kumar, S.S. (2025) ‘Interpreting the decades of earnings management’, </w:t>
      </w:r>
      <w:r w:rsidRPr="001601D4">
        <w:rPr>
          <w:i/>
          <w:iCs/>
          <w:lang w:val="en-SG"/>
        </w:rPr>
        <w:t>LBS Journal of Management &amp; Research</w:t>
      </w:r>
      <w:r w:rsidRPr="001601D4">
        <w:rPr>
          <w:lang w:val="en-SG"/>
        </w:rPr>
        <w:t xml:space="preserve">. </w:t>
      </w:r>
      <w:hyperlink r:id="rId10" w:tgtFrame="_new" w:history="1">
        <w:r w:rsidRPr="001601D4">
          <w:rPr>
            <w:rStyle w:val="Hyperlink"/>
            <w:lang w:val="en-SG"/>
          </w:rPr>
          <w:t>https://doi.org/10.1108/lbsjmr-03-2024-0015</w:t>
        </w:r>
      </w:hyperlink>
      <w:r w:rsidRPr="001601D4">
        <w:rPr>
          <w:lang w:val="en-SG"/>
        </w:rPr>
        <w:t>.</w:t>
      </w:r>
    </w:p>
    <w:p w14:paraId="23C459F3" w14:textId="77777777" w:rsidR="00B53168" w:rsidRPr="001601D4" w:rsidRDefault="00B53168" w:rsidP="00B53168">
      <w:pPr>
        <w:rPr>
          <w:lang w:val="en-SG"/>
        </w:rPr>
      </w:pPr>
      <w:r w:rsidRPr="001601D4">
        <w:rPr>
          <w:lang w:val="en-SG"/>
        </w:rPr>
        <w:t xml:space="preserve">Abubakar, I.A., Beri, M.H., Mohammed, T.S. and Arab, I. (2025) ‘Trend analysis in real earnings management and its effect on financial statements: a case of Nigerian financial institutions’, </w:t>
      </w:r>
      <w:r w:rsidRPr="001601D4">
        <w:rPr>
          <w:i/>
          <w:iCs/>
          <w:lang w:val="en-SG"/>
        </w:rPr>
        <w:t>International Journal of Intellectual Discourse</w:t>
      </w:r>
      <w:r w:rsidRPr="001601D4">
        <w:rPr>
          <w:lang w:val="en-SG"/>
        </w:rPr>
        <w:t xml:space="preserve">, 8(4). Available at: </w:t>
      </w:r>
      <w:hyperlink r:id="rId11" w:tgtFrame="_new" w:history="1">
        <w:r w:rsidRPr="001601D4">
          <w:rPr>
            <w:rStyle w:val="Hyperlink"/>
            <w:lang w:val="en-SG"/>
          </w:rPr>
          <w:t>https://www.ijidjournal.org/index.php/ijid/article/view/1033</w:t>
        </w:r>
      </w:hyperlink>
      <w:r w:rsidRPr="001601D4">
        <w:rPr>
          <w:lang w:val="en-SG"/>
        </w:rPr>
        <w:t xml:space="preserve"> (Accessed: 16 March 2026).</w:t>
      </w:r>
    </w:p>
    <w:p w14:paraId="3EBB9452" w14:textId="77777777" w:rsidR="00B53168" w:rsidRPr="001601D4" w:rsidRDefault="00B53168" w:rsidP="00B53168">
      <w:pPr>
        <w:rPr>
          <w:lang w:val="en-SG"/>
        </w:rPr>
      </w:pPr>
      <w:r w:rsidRPr="001601D4">
        <w:rPr>
          <w:lang w:val="en-SG"/>
        </w:rPr>
        <w:t xml:space="preserve">Accountancy Daily (2026) </w:t>
      </w:r>
      <w:r w:rsidRPr="001601D4">
        <w:rPr>
          <w:i/>
          <w:iCs/>
          <w:lang w:val="en-SG"/>
        </w:rPr>
        <w:t>Wood Group fined £13m for misleading financial statements</w:t>
      </w:r>
      <w:r w:rsidRPr="001601D4">
        <w:rPr>
          <w:lang w:val="en-SG"/>
        </w:rPr>
        <w:t xml:space="preserve">. Available at: </w:t>
      </w:r>
      <w:hyperlink r:id="rId12" w:tgtFrame="_new" w:history="1">
        <w:r w:rsidRPr="001601D4">
          <w:rPr>
            <w:rStyle w:val="Hyperlink"/>
            <w:lang w:val="en-SG"/>
          </w:rPr>
          <w:t>https://www.accountancydaily.co/wood-group-fined-ps13m-misleading-financial-statements</w:t>
        </w:r>
      </w:hyperlink>
      <w:r w:rsidRPr="001601D4">
        <w:rPr>
          <w:lang w:val="en-SG"/>
        </w:rPr>
        <w:t xml:space="preserve"> (Accessed: 6 March 2026).</w:t>
      </w:r>
    </w:p>
    <w:p w14:paraId="3D35EDD9" w14:textId="77777777" w:rsidR="00B53168" w:rsidRPr="001601D4" w:rsidRDefault="00B53168" w:rsidP="00B53168">
      <w:pPr>
        <w:rPr>
          <w:lang w:val="en-SG"/>
        </w:rPr>
      </w:pPr>
      <w:r w:rsidRPr="001601D4">
        <w:rPr>
          <w:lang w:val="en-SG"/>
        </w:rPr>
        <w:t xml:space="preserve">Ahmad, G., Subhan, M., Hayat, F. and Abdulaziz, M. (2023) ‘Unravelling the truth: a bibliometric analysis of earnings management practices’, </w:t>
      </w:r>
      <w:r w:rsidRPr="001601D4">
        <w:rPr>
          <w:i/>
          <w:iCs/>
          <w:lang w:val="en-SG"/>
        </w:rPr>
        <w:t>Cogent Business &amp; Management</w:t>
      </w:r>
      <w:r w:rsidRPr="001601D4">
        <w:rPr>
          <w:lang w:val="en-SG"/>
        </w:rPr>
        <w:t xml:space="preserve">, 10(1). </w:t>
      </w:r>
      <w:hyperlink r:id="rId13" w:tgtFrame="_new" w:history="1">
        <w:r w:rsidRPr="001601D4">
          <w:rPr>
            <w:rStyle w:val="Hyperlink"/>
            <w:lang w:val="en-SG"/>
          </w:rPr>
          <w:t>https://doi.org/10.1080/23311975.2023.2194088</w:t>
        </w:r>
      </w:hyperlink>
      <w:r w:rsidRPr="001601D4">
        <w:rPr>
          <w:lang w:val="en-SG"/>
        </w:rPr>
        <w:t>.</w:t>
      </w:r>
    </w:p>
    <w:p w14:paraId="58F2726D" w14:textId="77777777" w:rsidR="00B53168" w:rsidRPr="001601D4" w:rsidRDefault="00B53168" w:rsidP="00B53168">
      <w:pPr>
        <w:rPr>
          <w:lang w:val="en-SG"/>
        </w:rPr>
      </w:pPr>
      <w:r w:rsidRPr="001601D4">
        <w:rPr>
          <w:lang w:val="en-SG"/>
        </w:rPr>
        <w:t xml:space="preserve">Al Astal, A.Y.M., Ateeq, A., Milhem, M. and Shafie, D.I. (2024) ‘Corporate governance and internal control mechanisms: developing a strategic framework’, </w:t>
      </w:r>
      <w:r w:rsidRPr="001601D4">
        <w:rPr>
          <w:i/>
          <w:iCs/>
          <w:lang w:val="en-SG"/>
        </w:rPr>
        <w:t>Studies in Systems, Decision and Control</w:t>
      </w:r>
      <w:r w:rsidRPr="001601D4">
        <w:rPr>
          <w:lang w:val="en-SG"/>
        </w:rPr>
        <w:t xml:space="preserve">, pp. 551–564. </w:t>
      </w:r>
      <w:hyperlink r:id="rId14" w:tgtFrame="_new" w:history="1">
        <w:r w:rsidRPr="001601D4">
          <w:rPr>
            <w:rStyle w:val="Hyperlink"/>
            <w:lang w:val="en-SG"/>
          </w:rPr>
          <w:t>https://doi.org/10.1007/978-3-031-71318-7_51</w:t>
        </w:r>
      </w:hyperlink>
      <w:r w:rsidRPr="001601D4">
        <w:rPr>
          <w:lang w:val="en-SG"/>
        </w:rPr>
        <w:t>.</w:t>
      </w:r>
    </w:p>
    <w:p w14:paraId="681C9C35" w14:textId="77777777" w:rsidR="00B53168" w:rsidRPr="001601D4" w:rsidRDefault="00B53168" w:rsidP="00B53168">
      <w:pPr>
        <w:rPr>
          <w:lang w:val="en-SG"/>
        </w:rPr>
      </w:pPr>
      <w:proofErr w:type="spellStart"/>
      <w:r w:rsidRPr="001601D4">
        <w:rPr>
          <w:lang w:val="en-SG"/>
        </w:rPr>
        <w:t>Alahdal</w:t>
      </w:r>
      <w:proofErr w:type="spellEnd"/>
      <w:r w:rsidRPr="001601D4">
        <w:rPr>
          <w:lang w:val="en-SG"/>
        </w:rPr>
        <w:t xml:space="preserve">, W.M., Pandey, D.K., Sahu, M., Nguyen, T. and Hashim, H.A. (2025) ‘Environmental, social and governance and earnings management research: current trends and future research’, </w:t>
      </w:r>
      <w:r w:rsidRPr="001601D4">
        <w:rPr>
          <w:i/>
          <w:iCs/>
          <w:lang w:val="en-SG"/>
        </w:rPr>
        <w:t>Accounting Research Journal</w:t>
      </w:r>
      <w:r w:rsidRPr="001601D4">
        <w:rPr>
          <w:lang w:val="en-SG"/>
        </w:rPr>
        <w:t xml:space="preserve">, 38(3–4), pp. 527–550. </w:t>
      </w:r>
      <w:hyperlink r:id="rId15" w:tgtFrame="_new" w:history="1">
        <w:r w:rsidRPr="001601D4">
          <w:rPr>
            <w:rStyle w:val="Hyperlink"/>
            <w:lang w:val="en-SG"/>
          </w:rPr>
          <w:t>https://doi.org/10.1108/arj-05-2024-0174</w:t>
        </w:r>
      </w:hyperlink>
      <w:r w:rsidRPr="001601D4">
        <w:rPr>
          <w:lang w:val="en-SG"/>
        </w:rPr>
        <w:t>.</w:t>
      </w:r>
    </w:p>
    <w:p w14:paraId="2CA18A93" w14:textId="77777777" w:rsidR="00B53168" w:rsidRPr="001601D4" w:rsidRDefault="00B53168" w:rsidP="00B53168">
      <w:pPr>
        <w:rPr>
          <w:lang w:val="en-SG"/>
        </w:rPr>
      </w:pPr>
      <w:proofErr w:type="spellStart"/>
      <w:r w:rsidRPr="001601D4">
        <w:rPr>
          <w:lang w:val="en-SG"/>
        </w:rPr>
        <w:t>Alharasis</w:t>
      </w:r>
      <w:proofErr w:type="spellEnd"/>
      <w:r w:rsidRPr="001601D4">
        <w:rPr>
          <w:lang w:val="en-SG"/>
        </w:rPr>
        <w:t xml:space="preserve">, E.E. (2025) ‘Earnings management and the driving force behind sustainability reporting disclosure in the Jordanian banking industry’, </w:t>
      </w:r>
      <w:r w:rsidRPr="001601D4">
        <w:rPr>
          <w:i/>
          <w:iCs/>
          <w:lang w:val="en-SG"/>
        </w:rPr>
        <w:t>International Journal of Law and Management</w:t>
      </w:r>
      <w:r w:rsidRPr="001601D4">
        <w:rPr>
          <w:lang w:val="en-SG"/>
        </w:rPr>
        <w:t xml:space="preserve">. </w:t>
      </w:r>
      <w:hyperlink r:id="rId16" w:tgtFrame="_new" w:history="1">
        <w:r w:rsidRPr="001601D4">
          <w:rPr>
            <w:rStyle w:val="Hyperlink"/>
            <w:lang w:val="en-SG"/>
          </w:rPr>
          <w:t>https://doi.org/10.1108/IJLMA-04-2025-0150</w:t>
        </w:r>
      </w:hyperlink>
      <w:r w:rsidRPr="001601D4">
        <w:rPr>
          <w:lang w:val="en-SG"/>
        </w:rPr>
        <w:t>.</w:t>
      </w:r>
    </w:p>
    <w:p w14:paraId="4C4E03C4" w14:textId="77777777" w:rsidR="00B53168" w:rsidRPr="001601D4" w:rsidRDefault="00B53168" w:rsidP="00B53168">
      <w:pPr>
        <w:rPr>
          <w:lang w:val="en-SG"/>
        </w:rPr>
      </w:pPr>
      <w:r w:rsidRPr="001601D4">
        <w:rPr>
          <w:lang w:val="en-SG"/>
        </w:rPr>
        <w:t xml:space="preserve">Arian, A., Sands, J. and Tooley, S. (2023) ‘Industry and stakeholder impacts on corporate social responsibility (CSR) and financial performance: consumer vs. industrial sectors’, </w:t>
      </w:r>
      <w:r w:rsidRPr="001601D4">
        <w:rPr>
          <w:i/>
          <w:iCs/>
          <w:lang w:val="en-SG"/>
        </w:rPr>
        <w:t>Sustainability</w:t>
      </w:r>
      <w:r w:rsidRPr="001601D4">
        <w:rPr>
          <w:lang w:val="en-SG"/>
        </w:rPr>
        <w:t xml:space="preserve">, 15(16), p. 12254. </w:t>
      </w:r>
      <w:hyperlink r:id="rId17" w:tgtFrame="_new" w:history="1">
        <w:r w:rsidRPr="001601D4">
          <w:rPr>
            <w:rStyle w:val="Hyperlink"/>
            <w:lang w:val="en-SG"/>
          </w:rPr>
          <w:t>https://doi.org/10.3390/su151612254</w:t>
        </w:r>
      </w:hyperlink>
      <w:r w:rsidRPr="001601D4">
        <w:rPr>
          <w:lang w:val="en-SG"/>
        </w:rPr>
        <w:t>.</w:t>
      </w:r>
    </w:p>
    <w:p w14:paraId="67F3524A" w14:textId="77777777" w:rsidR="00B53168" w:rsidRPr="001601D4" w:rsidRDefault="00B53168" w:rsidP="00B53168">
      <w:pPr>
        <w:rPr>
          <w:lang w:val="en-SG"/>
        </w:rPr>
      </w:pPr>
      <w:r w:rsidRPr="001601D4">
        <w:rPr>
          <w:lang w:val="en-SG"/>
        </w:rPr>
        <w:t xml:space="preserve">Awa, H.O., Etim, W. and Ogbonda, E. (2024) ‘Stakeholders, stakeholder theory and corporate social responsibility (CSR)’, </w:t>
      </w:r>
      <w:r w:rsidRPr="001601D4">
        <w:rPr>
          <w:i/>
          <w:iCs/>
          <w:lang w:val="en-SG"/>
        </w:rPr>
        <w:t>International Journal of Corporate Social Responsibility</w:t>
      </w:r>
      <w:r w:rsidRPr="001601D4">
        <w:rPr>
          <w:lang w:val="en-SG"/>
        </w:rPr>
        <w:t xml:space="preserve">, 9(1), pp. 1–14. </w:t>
      </w:r>
      <w:hyperlink r:id="rId18" w:tgtFrame="_new" w:history="1">
        <w:r w:rsidRPr="001601D4">
          <w:rPr>
            <w:rStyle w:val="Hyperlink"/>
            <w:lang w:val="en-SG"/>
          </w:rPr>
          <w:t>https://doi.org/10.1186/s40991-024-00094-y</w:t>
        </w:r>
      </w:hyperlink>
      <w:r w:rsidRPr="001601D4">
        <w:rPr>
          <w:lang w:val="en-SG"/>
        </w:rPr>
        <w:t>.</w:t>
      </w:r>
    </w:p>
    <w:p w14:paraId="7CA8C3C9" w14:textId="77777777" w:rsidR="00B53168" w:rsidRPr="001601D4" w:rsidRDefault="00B53168" w:rsidP="00B53168">
      <w:pPr>
        <w:rPr>
          <w:lang w:val="en-SG"/>
        </w:rPr>
      </w:pPr>
      <w:r w:rsidRPr="001601D4">
        <w:rPr>
          <w:lang w:val="en-SG"/>
        </w:rPr>
        <w:lastRenderedPageBreak/>
        <w:t xml:space="preserve">Bansal, M. (2023) ‘Earnings management: a three-decade analysis and </w:t>
      </w:r>
      <w:proofErr w:type="gramStart"/>
      <w:r w:rsidRPr="001601D4">
        <w:rPr>
          <w:lang w:val="en-SG"/>
        </w:rPr>
        <w:t>future prospects</w:t>
      </w:r>
      <w:proofErr w:type="gramEnd"/>
      <w:r w:rsidRPr="001601D4">
        <w:rPr>
          <w:lang w:val="en-SG"/>
        </w:rPr>
        <w:t xml:space="preserve">’, </w:t>
      </w:r>
      <w:r w:rsidRPr="001601D4">
        <w:rPr>
          <w:i/>
          <w:iCs/>
          <w:lang w:val="en-SG"/>
        </w:rPr>
        <w:t>Journal of Accounting Literature</w:t>
      </w:r>
      <w:r w:rsidRPr="001601D4">
        <w:rPr>
          <w:lang w:val="en-SG"/>
        </w:rPr>
        <w:t xml:space="preserve">, 46(4), pp. 630–670. </w:t>
      </w:r>
      <w:hyperlink r:id="rId19" w:tgtFrame="_new" w:history="1">
        <w:r w:rsidRPr="001601D4">
          <w:rPr>
            <w:rStyle w:val="Hyperlink"/>
            <w:lang w:val="en-SG"/>
          </w:rPr>
          <w:t>https://doi.org/10.1108/jal-10-2022-0107</w:t>
        </w:r>
      </w:hyperlink>
      <w:r w:rsidRPr="001601D4">
        <w:rPr>
          <w:lang w:val="en-SG"/>
        </w:rPr>
        <w:t>.</w:t>
      </w:r>
    </w:p>
    <w:p w14:paraId="716BED3A" w14:textId="77777777" w:rsidR="00B53168" w:rsidRPr="001601D4" w:rsidRDefault="00B53168" w:rsidP="00B53168">
      <w:pPr>
        <w:rPr>
          <w:lang w:val="en-SG"/>
        </w:rPr>
      </w:pPr>
      <w:proofErr w:type="spellStart"/>
      <w:r w:rsidRPr="001601D4">
        <w:rPr>
          <w:lang w:val="en-SG"/>
        </w:rPr>
        <w:t>Benyasrisawat</w:t>
      </w:r>
      <w:proofErr w:type="spellEnd"/>
      <w:r w:rsidRPr="001601D4">
        <w:rPr>
          <w:lang w:val="en-SG"/>
        </w:rPr>
        <w:t xml:space="preserve">, P. and </w:t>
      </w:r>
      <w:proofErr w:type="spellStart"/>
      <w:r w:rsidRPr="001601D4">
        <w:rPr>
          <w:lang w:val="en-SG"/>
        </w:rPr>
        <w:t>Ounlert</w:t>
      </w:r>
      <w:proofErr w:type="spellEnd"/>
      <w:r w:rsidRPr="001601D4">
        <w:rPr>
          <w:lang w:val="en-SG"/>
        </w:rPr>
        <w:t xml:space="preserve">, N. (2026) ‘Fraud risk and audit opinions across countries: complementing accounting-based fraud risk with machine learning methods’, </w:t>
      </w:r>
      <w:r w:rsidRPr="001601D4">
        <w:rPr>
          <w:i/>
          <w:iCs/>
          <w:lang w:val="en-SG"/>
        </w:rPr>
        <w:t>Journal of Risk and Financial Management</w:t>
      </w:r>
      <w:r w:rsidRPr="001601D4">
        <w:rPr>
          <w:lang w:val="en-SG"/>
        </w:rPr>
        <w:t xml:space="preserve">, 19(1), p. 26. </w:t>
      </w:r>
      <w:hyperlink r:id="rId20" w:tgtFrame="_new" w:history="1">
        <w:r w:rsidRPr="001601D4">
          <w:rPr>
            <w:rStyle w:val="Hyperlink"/>
            <w:lang w:val="en-SG"/>
          </w:rPr>
          <w:t>https://doi.org/10.3390/jrfm19010026</w:t>
        </w:r>
      </w:hyperlink>
      <w:r w:rsidRPr="001601D4">
        <w:rPr>
          <w:lang w:val="en-SG"/>
        </w:rPr>
        <w:t>.</w:t>
      </w:r>
    </w:p>
    <w:p w14:paraId="5478C9F9" w14:textId="77777777" w:rsidR="00B53168" w:rsidRPr="001601D4" w:rsidRDefault="00B53168" w:rsidP="00B53168">
      <w:pPr>
        <w:rPr>
          <w:lang w:val="en-SG"/>
        </w:rPr>
      </w:pPr>
      <w:r w:rsidRPr="001601D4">
        <w:rPr>
          <w:lang w:val="en-SG"/>
        </w:rPr>
        <w:t xml:space="preserve">Bhattacharya, I. and </w:t>
      </w:r>
      <w:proofErr w:type="spellStart"/>
      <w:r w:rsidRPr="001601D4">
        <w:rPr>
          <w:lang w:val="en-SG"/>
        </w:rPr>
        <w:t>Mickovic</w:t>
      </w:r>
      <w:proofErr w:type="spellEnd"/>
      <w:r w:rsidRPr="001601D4">
        <w:rPr>
          <w:lang w:val="en-SG"/>
        </w:rPr>
        <w:t xml:space="preserve">, A. (2024) ‘Accounting fraud detection using contextual language learning’, </w:t>
      </w:r>
      <w:r w:rsidRPr="001601D4">
        <w:rPr>
          <w:i/>
          <w:iCs/>
          <w:lang w:val="en-SG"/>
        </w:rPr>
        <w:t>International Journal of Accounting Information Systems</w:t>
      </w:r>
      <w:r w:rsidRPr="001601D4">
        <w:rPr>
          <w:lang w:val="en-SG"/>
        </w:rPr>
        <w:t xml:space="preserve">, 53, p. 100682. </w:t>
      </w:r>
      <w:hyperlink r:id="rId21" w:tgtFrame="_new" w:history="1">
        <w:r w:rsidRPr="001601D4">
          <w:rPr>
            <w:rStyle w:val="Hyperlink"/>
            <w:lang w:val="en-SG"/>
          </w:rPr>
          <w:t>https://doi.org/10.1016/j.accinf.2024.100682</w:t>
        </w:r>
      </w:hyperlink>
      <w:r w:rsidRPr="001601D4">
        <w:rPr>
          <w:lang w:val="en-SG"/>
        </w:rPr>
        <w:t>.</w:t>
      </w:r>
    </w:p>
    <w:p w14:paraId="38E931B2" w14:textId="77777777" w:rsidR="00B53168" w:rsidRPr="001601D4" w:rsidRDefault="00B53168" w:rsidP="00B53168">
      <w:pPr>
        <w:rPr>
          <w:lang w:val="en-SG"/>
        </w:rPr>
      </w:pPr>
      <w:proofErr w:type="spellStart"/>
      <w:r w:rsidRPr="001601D4">
        <w:rPr>
          <w:lang w:val="en-SG"/>
        </w:rPr>
        <w:t>Boulhaga</w:t>
      </w:r>
      <w:proofErr w:type="spellEnd"/>
      <w:r w:rsidRPr="001601D4">
        <w:rPr>
          <w:lang w:val="en-SG"/>
        </w:rPr>
        <w:t xml:space="preserve">, M., Bouri, A., </w:t>
      </w:r>
      <w:proofErr w:type="spellStart"/>
      <w:r w:rsidRPr="001601D4">
        <w:rPr>
          <w:lang w:val="en-SG"/>
        </w:rPr>
        <w:t>Elamer</w:t>
      </w:r>
      <w:proofErr w:type="spellEnd"/>
      <w:r w:rsidRPr="001601D4">
        <w:rPr>
          <w:lang w:val="en-SG"/>
        </w:rPr>
        <w:t xml:space="preserve">, A.A. and Ibrahim, B.A. (2022) ‘Environmental, social and governance ratings and firm performance: the moderating role of internal control quality’, </w:t>
      </w:r>
      <w:r w:rsidRPr="001601D4">
        <w:rPr>
          <w:i/>
          <w:iCs/>
          <w:lang w:val="en-SG"/>
        </w:rPr>
        <w:t>Corporate Social Responsibility and Environmental Management</w:t>
      </w:r>
      <w:r w:rsidRPr="001601D4">
        <w:rPr>
          <w:lang w:val="en-SG"/>
        </w:rPr>
        <w:t xml:space="preserve">, 30(1), pp. 134–145. </w:t>
      </w:r>
      <w:hyperlink r:id="rId22" w:tgtFrame="_new" w:history="1">
        <w:r w:rsidRPr="001601D4">
          <w:rPr>
            <w:rStyle w:val="Hyperlink"/>
            <w:lang w:val="en-SG"/>
          </w:rPr>
          <w:t>https://doi.org/10.1002/csr.2343</w:t>
        </w:r>
      </w:hyperlink>
      <w:r w:rsidRPr="001601D4">
        <w:rPr>
          <w:lang w:val="en-SG"/>
        </w:rPr>
        <w:t>.</w:t>
      </w:r>
    </w:p>
    <w:p w14:paraId="65244424" w14:textId="77777777" w:rsidR="00B53168" w:rsidRPr="001601D4" w:rsidRDefault="00B53168" w:rsidP="00B53168">
      <w:pPr>
        <w:rPr>
          <w:lang w:val="en-SG"/>
        </w:rPr>
      </w:pPr>
      <w:proofErr w:type="spellStart"/>
      <w:r w:rsidRPr="001601D4">
        <w:rPr>
          <w:lang w:val="en-SG"/>
        </w:rPr>
        <w:t>Bukari</w:t>
      </w:r>
      <w:proofErr w:type="spellEnd"/>
      <w:r w:rsidRPr="001601D4">
        <w:rPr>
          <w:lang w:val="en-SG"/>
        </w:rPr>
        <w:t xml:space="preserve">, A., Agyemang, A.O. and </w:t>
      </w:r>
      <w:proofErr w:type="spellStart"/>
      <w:r w:rsidRPr="001601D4">
        <w:rPr>
          <w:lang w:val="en-SG"/>
        </w:rPr>
        <w:t>Bawuah</w:t>
      </w:r>
      <w:proofErr w:type="spellEnd"/>
      <w:r w:rsidRPr="001601D4">
        <w:rPr>
          <w:lang w:val="en-SG"/>
        </w:rPr>
        <w:t xml:space="preserve">, B. (2024) ‘Assessing the moderating role of ESG performance on corporate governance and firm value in developing countries’, </w:t>
      </w:r>
      <w:r w:rsidRPr="001601D4">
        <w:rPr>
          <w:i/>
          <w:iCs/>
          <w:lang w:val="en-SG"/>
        </w:rPr>
        <w:t>Cogent Business &amp; Management</w:t>
      </w:r>
      <w:r w:rsidRPr="001601D4">
        <w:rPr>
          <w:lang w:val="en-SG"/>
        </w:rPr>
        <w:t xml:space="preserve">, 11(1). </w:t>
      </w:r>
      <w:hyperlink r:id="rId23" w:tgtFrame="_new" w:history="1">
        <w:r w:rsidRPr="001601D4">
          <w:rPr>
            <w:rStyle w:val="Hyperlink"/>
            <w:lang w:val="en-SG"/>
          </w:rPr>
          <w:t>https://doi.org/10.1080/23311975.2024.2333941</w:t>
        </w:r>
      </w:hyperlink>
      <w:r w:rsidRPr="001601D4">
        <w:rPr>
          <w:lang w:val="en-SG"/>
        </w:rPr>
        <w:t>.</w:t>
      </w:r>
    </w:p>
    <w:p w14:paraId="3B57080C" w14:textId="77777777" w:rsidR="00B53168" w:rsidRPr="001601D4" w:rsidRDefault="00B53168" w:rsidP="00B53168">
      <w:pPr>
        <w:rPr>
          <w:lang w:val="en-SG"/>
        </w:rPr>
      </w:pPr>
      <w:r w:rsidRPr="001601D4">
        <w:rPr>
          <w:lang w:val="en-SG"/>
        </w:rPr>
        <w:t xml:space="preserve">Collins, B. (2025) ‘Addressing the legal challenges of corporate fraud and financial misreporting: effective governance measures and regulatory oversight’, </w:t>
      </w:r>
      <w:r w:rsidRPr="001601D4">
        <w:rPr>
          <w:i/>
          <w:iCs/>
          <w:lang w:val="en-SG"/>
        </w:rPr>
        <w:t>International Journal of Research in Engineering, Science and Management</w:t>
      </w:r>
      <w:r w:rsidRPr="001601D4">
        <w:rPr>
          <w:lang w:val="en-SG"/>
        </w:rPr>
        <w:t xml:space="preserve">, 8(2), pp. 45–52. Available at: </w:t>
      </w:r>
      <w:hyperlink r:id="rId24" w:tgtFrame="_new" w:history="1">
        <w:r w:rsidRPr="001601D4">
          <w:rPr>
            <w:rStyle w:val="Hyperlink"/>
            <w:lang w:val="en-SG"/>
          </w:rPr>
          <w:t>https://www.researchgate.net/publication/388659836</w:t>
        </w:r>
      </w:hyperlink>
      <w:r w:rsidRPr="001601D4">
        <w:rPr>
          <w:lang w:val="en-SG"/>
        </w:rPr>
        <w:t xml:space="preserve"> (Accessed: 8 March 2026).</w:t>
      </w:r>
    </w:p>
    <w:p w14:paraId="14DC8E93" w14:textId="77777777" w:rsidR="00B53168" w:rsidRPr="001601D4" w:rsidRDefault="00B53168" w:rsidP="00B53168">
      <w:pPr>
        <w:rPr>
          <w:lang w:val="en-SG"/>
        </w:rPr>
      </w:pPr>
      <w:proofErr w:type="spellStart"/>
      <w:r w:rsidRPr="001601D4">
        <w:rPr>
          <w:lang w:val="en-SG"/>
        </w:rPr>
        <w:t>Constantatos</w:t>
      </w:r>
      <w:proofErr w:type="spellEnd"/>
      <w:r w:rsidRPr="001601D4">
        <w:rPr>
          <w:lang w:val="en-SG"/>
        </w:rPr>
        <w:t xml:space="preserve">, A.-F., Merika, A. and Merika, X.A. (2025) ‘Revision of corporate governance codes in the UK: implications for firm value and earnings management’, </w:t>
      </w:r>
      <w:r w:rsidRPr="001601D4">
        <w:rPr>
          <w:i/>
          <w:iCs/>
          <w:lang w:val="en-SG"/>
        </w:rPr>
        <w:t>Corporate Governance</w:t>
      </w:r>
      <w:r w:rsidRPr="001601D4">
        <w:rPr>
          <w:lang w:val="en-SG"/>
        </w:rPr>
        <w:t xml:space="preserve">. </w:t>
      </w:r>
      <w:hyperlink r:id="rId25" w:tgtFrame="_new" w:history="1">
        <w:r w:rsidRPr="001601D4">
          <w:rPr>
            <w:rStyle w:val="Hyperlink"/>
            <w:lang w:val="en-SG"/>
          </w:rPr>
          <w:t>https://doi.org/10.1108/cg-10-2024-0545</w:t>
        </w:r>
      </w:hyperlink>
      <w:r w:rsidRPr="001601D4">
        <w:rPr>
          <w:lang w:val="en-SG"/>
        </w:rPr>
        <w:t>.</w:t>
      </w:r>
    </w:p>
    <w:p w14:paraId="6C566B8D" w14:textId="77777777" w:rsidR="00B53168" w:rsidRPr="001601D4" w:rsidRDefault="00B53168" w:rsidP="00B53168">
      <w:pPr>
        <w:rPr>
          <w:lang w:val="en-SG"/>
        </w:rPr>
      </w:pPr>
      <w:r w:rsidRPr="001601D4">
        <w:rPr>
          <w:lang w:val="en-SG"/>
        </w:rPr>
        <w:t xml:space="preserve">Daniel, A. (2026) ‘UK oil firm fined £13m for repeatedly publishing inaccurate financial results’, </w:t>
      </w:r>
      <w:r w:rsidRPr="001601D4">
        <w:rPr>
          <w:i/>
          <w:iCs/>
          <w:lang w:val="en-SG"/>
        </w:rPr>
        <w:t>The Guardian</w:t>
      </w:r>
      <w:r w:rsidRPr="001601D4">
        <w:rPr>
          <w:lang w:val="en-SG"/>
        </w:rPr>
        <w:t xml:space="preserve">. Available at: </w:t>
      </w:r>
      <w:hyperlink r:id="rId26" w:tgtFrame="_new" w:history="1">
        <w:r w:rsidRPr="001601D4">
          <w:rPr>
            <w:rStyle w:val="Hyperlink"/>
            <w:lang w:val="en-SG"/>
          </w:rPr>
          <w:t>https://www.theguardian.com/business/2026/mar/04/uk-oil-firm-wood-group-fined-13m-repeatedly-publishing-inaccurate-financial-results</w:t>
        </w:r>
      </w:hyperlink>
      <w:r w:rsidRPr="001601D4">
        <w:rPr>
          <w:lang w:val="en-SG"/>
        </w:rPr>
        <w:t xml:space="preserve"> (Accessed: 8 March 2026).</w:t>
      </w:r>
    </w:p>
    <w:p w14:paraId="4A68EB5F" w14:textId="77777777" w:rsidR="00B53168" w:rsidRPr="001601D4" w:rsidRDefault="00B53168" w:rsidP="00B53168">
      <w:pPr>
        <w:rPr>
          <w:lang w:val="en-SG"/>
        </w:rPr>
      </w:pPr>
      <w:r w:rsidRPr="001601D4">
        <w:rPr>
          <w:lang w:val="en-SG"/>
        </w:rPr>
        <w:t xml:space="preserve">David, L.K., Wang, J., Cisse, I.I., </w:t>
      </w:r>
      <w:proofErr w:type="spellStart"/>
      <w:r w:rsidRPr="001601D4">
        <w:rPr>
          <w:lang w:val="en-SG"/>
        </w:rPr>
        <w:t>Ang’edu</w:t>
      </w:r>
      <w:proofErr w:type="spellEnd"/>
      <w:r w:rsidRPr="001601D4">
        <w:rPr>
          <w:lang w:val="en-SG"/>
        </w:rPr>
        <w:t xml:space="preserve"> Eulalia, N. and Suleman, D.B. (2026) ‘Stakeholder theory is dead: toward an eco-centric ethics’, </w:t>
      </w:r>
      <w:r w:rsidRPr="001601D4">
        <w:rPr>
          <w:i/>
          <w:iCs/>
          <w:lang w:val="en-SG"/>
        </w:rPr>
        <w:t>Business Ethics, the Environment &amp; Responsibility</w:t>
      </w:r>
      <w:r w:rsidRPr="001601D4">
        <w:rPr>
          <w:lang w:val="en-SG"/>
        </w:rPr>
        <w:t xml:space="preserve">. </w:t>
      </w:r>
      <w:hyperlink r:id="rId27" w:tgtFrame="_new" w:history="1">
        <w:r w:rsidRPr="001601D4">
          <w:rPr>
            <w:rStyle w:val="Hyperlink"/>
            <w:lang w:val="en-SG"/>
          </w:rPr>
          <w:t>https://doi.org/10.1111/beer.70094</w:t>
        </w:r>
      </w:hyperlink>
      <w:r w:rsidRPr="001601D4">
        <w:rPr>
          <w:lang w:val="en-SG"/>
        </w:rPr>
        <w:t>.</w:t>
      </w:r>
    </w:p>
    <w:p w14:paraId="361A6BC3" w14:textId="77777777" w:rsidR="00B53168" w:rsidRPr="001601D4" w:rsidRDefault="00B53168" w:rsidP="00B53168">
      <w:pPr>
        <w:rPr>
          <w:lang w:val="en-SG"/>
        </w:rPr>
      </w:pPr>
      <w:proofErr w:type="spellStart"/>
      <w:r w:rsidRPr="001601D4">
        <w:rPr>
          <w:lang w:val="en-SG"/>
        </w:rPr>
        <w:lastRenderedPageBreak/>
        <w:t>DesJardine</w:t>
      </w:r>
      <w:proofErr w:type="spellEnd"/>
      <w:r w:rsidRPr="001601D4">
        <w:rPr>
          <w:lang w:val="en-SG"/>
        </w:rPr>
        <w:t xml:space="preserve">, M.R., Zhang, M. and Shi, W. (2022) ‘How shareholders impact stakeholder interests: a review and map for future research’, </w:t>
      </w:r>
      <w:r w:rsidRPr="001601D4">
        <w:rPr>
          <w:i/>
          <w:iCs/>
          <w:lang w:val="en-SG"/>
        </w:rPr>
        <w:t>Journal of Management</w:t>
      </w:r>
      <w:r w:rsidRPr="001601D4">
        <w:rPr>
          <w:lang w:val="en-SG"/>
        </w:rPr>
        <w:t xml:space="preserve">, 49(1). </w:t>
      </w:r>
      <w:hyperlink r:id="rId28" w:tgtFrame="_new" w:history="1">
        <w:r w:rsidRPr="001601D4">
          <w:rPr>
            <w:rStyle w:val="Hyperlink"/>
            <w:lang w:val="en-SG"/>
          </w:rPr>
          <w:t>https://doi.org/10.1177/01492063221126707</w:t>
        </w:r>
      </w:hyperlink>
      <w:r w:rsidRPr="001601D4">
        <w:rPr>
          <w:lang w:val="en-SG"/>
        </w:rPr>
        <w:t>.</w:t>
      </w:r>
    </w:p>
    <w:p w14:paraId="2EA4DFEC" w14:textId="77777777" w:rsidR="00B53168" w:rsidRPr="001601D4" w:rsidRDefault="00B53168" w:rsidP="00B53168">
      <w:pPr>
        <w:rPr>
          <w:lang w:val="en-SG"/>
        </w:rPr>
      </w:pPr>
      <w:r w:rsidRPr="001601D4">
        <w:rPr>
          <w:lang w:val="en-SG"/>
        </w:rPr>
        <w:t xml:space="preserve">Esposito, P., Marrone, A., Pontrelli, V. and Rella, A. (2024) ‘Exploring drivers and factors of benefit impact reports quality: retracing a stakeholder theory approach’, </w:t>
      </w:r>
      <w:r w:rsidRPr="001601D4">
        <w:rPr>
          <w:i/>
          <w:iCs/>
          <w:lang w:val="en-SG"/>
        </w:rPr>
        <w:t>Business Strategy and the Environment</w:t>
      </w:r>
      <w:r w:rsidRPr="001601D4">
        <w:rPr>
          <w:lang w:val="en-SG"/>
        </w:rPr>
        <w:t xml:space="preserve">. </w:t>
      </w:r>
      <w:hyperlink r:id="rId29" w:tgtFrame="_new" w:history="1">
        <w:r w:rsidRPr="001601D4">
          <w:rPr>
            <w:rStyle w:val="Hyperlink"/>
            <w:lang w:val="en-SG"/>
          </w:rPr>
          <w:t>https://doi.org/10.1002/bse.3974</w:t>
        </w:r>
      </w:hyperlink>
      <w:r w:rsidRPr="001601D4">
        <w:rPr>
          <w:lang w:val="en-SG"/>
        </w:rPr>
        <w:t>.</w:t>
      </w:r>
    </w:p>
    <w:p w14:paraId="062F3089" w14:textId="77777777" w:rsidR="00B53168" w:rsidRPr="001601D4" w:rsidRDefault="00B53168" w:rsidP="00B53168">
      <w:pPr>
        <w:rPr>
          <w:lang w:val="en-SG"/>
        </w:rPr>
      </w:pPr>
      <w:r w:rsidRPr="001601D4">
        <w:rPr>
          <w:lang w:val="en-SG"/>
        </w:rPr>
        <w:t xml:space="preserve">Everard, A. and St. Pierre, K. (2021) ‘Valuation issues, auditor fraud, and PCAOB confirmation: findings from an analysis of lawsuits against large public accounting firms’, </w:t>
      </w:r>
      <w:r w:rsidRPr="001601D4">
        <w:rPr>
          <w:i/>
          <w:iCs/>
          <w:lang w:val="en-SG"/>
        </w:rPr>
        <w:t>Journal of Accounting, Auditing &amp; Finance</w:t>
      </w:r>
      <w:r w:rsidRPr="001601D4">
        <w:rPr>
          <w:lang w:val="en-SG"/>
        </w:rPr>
        <w:t xml:space="preserve">. </w:t>
      </w:r>
      <w:hyperlink r:id="rId30" w:tgtFrame="_new" w:history="1">
        <w:r w:rsidRPr="001601D4">
          <w:rPr>
            <w:rStyle w:val="Hyperlink"/>
            <w:lang w:val="en-SG"/>
          </w:rPr>
          <w:t>https://doi.org/10.1177/0148558X211065856</w:t>
        </w:r>
      </w:hyperlink>
      <w:r w:rsidRPr="001601D4">
        <w:rPr>
          <w:lang w:val="en-SG"/>
        </w:rPr>
        <w:t>.</w:t>
      </w:r>
    </w:p>
    <w:p w14:paraId="5B65BC67" w14:textId="77777777" w:rsidR="00B53168" w:rsidRPr="001601D4" w:rsidRDefault="00B53168" w:rsidP="00B53168">
      <w:pPr>
        <w:rPr>
          <w:lang w:val="en-SG"/>
        </w:rPr>
      </w:pPr>
      <w:r w:rsidRPr="001601D4">
        <w:rPr>
          <w:lang w:val="en-SG"/>
        </w:rPr>
        <w:t xml:space="preserve">Financial Conduct Authority (FCA) (2026) </w:t>
      </w:r>
      <w:r w:rsidRPr="001601D4">
        <w:rPr>
          <w:i/>
          <w:iCs/>
          <w:lang w:val="en-SG"/>
        </w:rPr>
        <w:t>FCA fines John Wood Group PLC for issuing misleading statements</w:t>
      </w:r>
      <w:r w:rsidRPr="001601D4">
        <w:rPr>
          <w:lang w:val="en-SG"/>
        </w:rPr>
        <w:t xml:space="preserve">. Available at: </w:t>
      </w:r>
      <w:hyperlink r:id="rId31" w:tgtFrame="_new" w:history="1">
        <w:r w:rsidRPr="001601D4">
          <w:rPr>
            <w:rStyle w:val="Hyperlink"/>
            <w:lang w:val="en-SG"/>
          </w:rPr>
          <w:t>https://www.fca.org.uk/news/press-releases/fca-fines-john-wood-group-plc-issuing-misleading-statements</w:t>
        </w:r>
      </w:hyperlink>
      <w:r w:rsidRPr="001601D4">
        <w:rPr>
          <w:lang w:val="en-SG"/>
        </w:rPr>
        <w:t xml:space="preserve"> (Accessed: 5 March 2026).</w:t>
      </w:r>
    </w:p>
    <w:p w14:paraId="68F9A3F1" w14:textId="77777777" w:rsidR="00B53168" w:rsidRPr="001601D4" w:rsidRDefault="00B53168" w:rsidP="00B53168">
      <w:pPr>
        <w:rPr>
          <w:lang w:val="en-SG"/>
        </w:rPr>
      </w:pPr>
      <w:proofErr w:type="spellStart"/>
      <w:r w:rsidRPr="001601D4">
        <w:rPr>
          <w:lang w:val="en-SG"/>
        </w:rPr>
        <w:t>Gerged</w:t>
      </w:r>
      <w:proofErr w:type="spellEnd"/>
      <w:r w:rsidRPr="001601D4">
        <w:rPr>
          <w:lang w:val="en-SG"/>
        </w:rPr>
        <w:t xml:space="preserve">, A.M. and </w:t>
      </w:r>
      <w:proofErr w:type="spellStart"/>
      <w:r w:rsidRPr="001601D4">
        <w:rPr>
          <w:lang w:val="en-SG"/>
        </w:rPr>
        <w:t>Masli</w:t>
      </w:r>
      <w:proofErr w:type="spellEnd"/>
      <w:r w:rsidRPr="001601D4">
        <w:rPr>
          <w:lang w:val="en-SG"/>
        </w:rPr>
        <w:t xml:space="preserve">, A.M. (2025) ‘Corporate governance in Libya: a systematic review and comparative analysis with UK standards’, </w:t>
      </w:r>
      <w:r w:rsidRPr="001601D4">
        <w:rPr>
          <w:i/>
          <w:iCs/>
          <w:lang w:val="en-SG"/>
        </w:rPr>
        <w:t>Corporate Governance: The International Journal of Business in Society</w:t>
      </w:r>
      <w:r w:rsidRPr="001601D4">
        <w:rPr>
          <w:lang w:val="en-SG"/>
        </w:rPr>
        <w:t xml:space="preserve">. </w:t>
      </w:r>
      <w:hyperlink r:id="rId32" w:tgtFrame="_new" w:history="1">
        <w:r w:rsidRPr="001601D4">
          <w:rPr>
            <w:rStyle w:val="Hyperlink"/>
            <w:lang w:val="en-SG"/>
          </w:rPr>
          <w:t>https://doi.org/10.1108/cg-09-2024-0480</w:t>
        </w:r>
      </w:hyperlink>
      <w:r w:rsidRPr="001601D4">
        <w:rPr>
          <w:lang w:val="en-SG"/>
        </w:rPr>
        <w:t>.</w:t>
      </w:r>
    </w:p>
    <w:p w14:paraId="4C133D4D" w14:textId="77777777" w:rsidR="00B53168" w:rsidRPr="001601D4" w:rsidRDefault="00B53168" w:rsidP="00B53168">
      <w:pPr>
        <w:rPr>
          <w:lang w:val="en-SG"/>
        </w:rPr>
      </w:pPr>
      <w:r w:rsidRPr="001601D4">
        <w:rPr>
          <w:lang w:val="en-SG"/>
        </w:rPr>
        <w:t xml:space="preserve">Hamzah, Z.L., Sulaiman, N.A. and Ismail, M.M. (2026) </w:t>
      </w:r>
      <w:r w:rsidRPr="001601D4">
        <w:rPr>
          <w:i/>
          <w:iCs/>
          <w:lang w:val="en-SG"/>
        </w:rPr>
        <w:t>Overview of corporate governance</w:t>
      </w:r>
      <w:r w:rsidRPr="001601D4">
        <w:rPr>
          <w:lang w:val="en-SG"/>
        </w:rPr>
        <w:t xml:space="preserve">. </w:t>
      </w:r>
      <w:hyperlink r:id="rId33" w:tgtFrame="_new" w:history="1">
        <w:r w:rsidRPr="001601D4">
          <w:rPr>
            <w:rStyle w:val="Hyperlink"/>
            <w:lang w:val="en-SG"/>
          </w:rPr>
          <w:t>https://doi.org/10.1007/978-981-95-2449-5_3</w:t>
        </w:r>
      </w:hyperlink>
      <w:r w:rsidRPr="001601D4">
        <w:rPr>
          <w:lang w:val="en-SG"/>
        </w:rPr>
        <w:t>.</w:t>
      </w:r>
    </w:p>
    <w:p w14:paraId="19238A44" w14:textId="77777777" w:rsidR="00B53168" w:rsidRPr="001601D4" w:rsidRDefault="00B53168" w:rsidP="00B53168">
      <w:pPr>
        <w:rPr>
          <w:lang w:val="en-SG"/>
        </w:rPr>
      </w:pPr>
      <w:r w:rsidRPr="001601D4">
        <w:rPr>
          <w:lang w:val="en-SG"/>
        </w:rPr>
        <w:t>Ineizeh, N.I., Hussein, O.J., Al-</w:t>
      </w:r>
      <w:proofErr w:type="spellStart"/>
      <w:r w:rsidRPr="001601D4">
        <w:rPr>
          <w:lang w:val="en-SG"/>
        </w:rPr>
        <w:t>Zaqeba</w:t>
      </w:r>
      <w:proofErr w:type="spellEnd"/>
      <w:r w:rsidRPr="001601D4">
        <w:rPr>
          <w:lang w:val="en-SG"/>
        </w:rPr>
        <w:t xml:space="preserve">, M.A. and Al-Shoura, L.B. (2025) ‘Corporate governance mechanisms and earnings management: evidence from Jordan’, </w:t>
      </w:r>
      <w:r w:rsidRPr="001601D4">
        <w:rPr>
          <w:i/>
          <w:iCs/>
          <w:lang w:val="en-SG"/>
        </w:rPr>
        <w:t>Journal of Cultural Analysis and Social Change</w:t>
      </w:r>
      <w:r w:rsidRPr="001601D4">
        <w:rPr>
          <w:lang w:val="en-SG"/>
        </w:rPr>
        <w:t xml:space="preserve">. </w:t>
      </w:r>
      <w:hyperlink r:id="rId34" w:tgtFrame="_new" w:history="1">
        <w:r w:rsidRPr="001601D4">
          <w:rPr>
            <w:rStyle w:val="Hyperlink"/>
            <w:lang w:val="en-SG"/>
          </w:rPr>
          <w:t>https://doi.org/10.64753/jcasc.v10i4.2857</w:t>
        </w:r>
      </w:hyperlink>
      <w:r w:rsidRPr="001601D4">
        <w:rPr>
          <w:lang w:val="en-SG"/>
        </w:rPr>
        <w:t>.</w:t>
      </w:r>
    </w:p>
    <w:p w14:paraId="037C1DA3" w14:textId="77777777" w:rsidR="00B53168" w:rsidRPr="001601D4" w:rsidRDefault="00B53168" w:rsidP="00B53168">
      <w:pPr>
        <w:rPr>
          <w:lang w:val="en-SG"/>
        </w:rPr>
      </w:pPr>
      <w:r w:rsidRPr="001601D4">
        <w:rPr>
          <w:lang w:val="en-SG"/>
        </w:rPr>
        <w:t xml:space="preserve">Larcker, D. and Tayan, B. (2020) </w:t>
      </w:r>
      <w:r w:rsidRPr="001601D4">
        <w:rPr>
          <w:i/>
          <w:iCs/>
          <w:lang w:val="en-SG"/>
        </w:rPr>
        <w:t>Corporate governance matters</w:t>
      </w:r>
      <w:r w:rsidRPr="001601D4">
        <w:rPr>
          <w:lang w:val="en-SG"/>
        </w:rPr>
        <w:t>. Upper Saddle River: FT Press.</w:t>
      </w:r>
    </w:p>
    <w:p w14:paraId="4B899BE7" w14:textId="77777777" w:rsidR="00B53168" w:rsidRPr="001601D4" w:rsidRDefault="00B53168" w:rsidP="00B53168">
      <w:pPr>
        <w:rPr>
          <w:lang w:val="en-SG"/>
        </w:rPr>
      </w:pPr>
      <w:r w:rsidRPr="001601D4">
        <w:rPr>
          <w:lang w:val="en-SG"/>
        </w:rPr>
        <w:t xml:space="preserve">Mallin, C.A. (2019) </w:t>
      </w:r>
      <w:r w:rsidRPr="001601D4">
        <w:rPr>
          <w:i/>
          <w:iCs/>
          <w:lang w:val="en-SG"/>
        </w:rPr>
        <w:t>Corporate governance</w:t>
      </w:r>
      <w:r w:rsidRPr="001601D4">
        <w:rPr>
          <w:lang w:val="en-SG"/>
        </w:rPr>
        <w:t>. Oxford: Oxford University Press.</w:t>
      </w:r>
    </w:p>
    <w:p w14:paraId="792ED4C4" w14:textId="77777777" w:rsidR="00B53168" w:rsidRPr="001601D4" w:rsidRDefault="00B53168" w:rsidP="00B53168">
      <w:pPr>
        <w:rPr>
          <w:lang w:val="en-SG"/>
        </w:rPr>
      </w:pPr>
      <w:r w:rsidRPr="001601D4">
        <w:rPr>
          <w:lang w:val="en-SG"/>
        </w:rPr>
        <w:t xml:space="preserve">Manani, K. and R., P.S. (2025) ‘Future research directions in carbon emissions linkage with corporate governance and earnings management: a systematic review and TCCM synthesis’, </w:t>
      </w:r>
      <w:r w:rsidRPr="001601D4">
        <w:rPr>
          <w:i/>
          <w:iCs/>
          <w:lang w:val="en-SG"/>
        </w:rPr>
        <w:t>Cogent Economics &amp; Finance</w:t>
      </w:r>
      <w:r w:rsidRPr="001601D4">
        <w:rPr>
          <w:lang w:val="en-SG"/>
        </w:rPr>
        <w:t xml:space="preserve">, 13(1). </w:t>
      </w:r>
      <w:hyperlink r:id="rId35" w:tgtFrame="_new" w:history="1">
        <w:r w:rsidRPr="001601D4">
          <w:rPr>
            <w:rStyle w:val="Hyperlink"/>
            <w:lang w:val="en-SG"/>
          </w:rPr>
          <w:t>https://doi.org/10.1080/23322039.2025.2482745</w:t>
        </w:r>
      </w:hyperlink>
      <w:r w:rsidRPr="001601D4">
        <w:rPr>
          <w:lang w:val="en-SG"/>
        </w:rPr>
        <w:t>.</w:t>
      </w:r>
    </w:p>
    <w:p w14:paraId="14A559F8" w14:textId="77777777" w:rsidR="00B53168" w:rsidRPr="001601D4" w:rsidRDefault="00B53168" w:rsidP="00B53168">
      <w:pPr>
        <w:rPr>
          <w:lang w:val="en-SG"/>
        </w:rPr>
      </w:pPr>
      <w:proofErr w:type="spellStart"/>
      <w:r w:rsidRPr="001601D4">
        <w:rPr>
          <w:lang w:val="en-SG"/>
        </w:rPr>
        <w:t>MarketScreener</w:t>
      </w:r>
      <w:proofErr w:type="spellEnd"/>
      <w:r w:rsidRPr="001601D4">
        <w:rPr>
          <w:lang w:val="en-SG"/>
        </w:rPr>
        <w:t xml:space="preserve"> (2025) </w:t>
      </w:r>
      <w:r w:rsidRPr="001601D4">
        <w:rPr>
          <w:i/>
          <w:iCs/>
          <w:lang w:val="en-SG"/>
        </w:rPr>
        <w:t>John Wood Group PLC company profile</w:t>
      </w:r>
      <w:r w:rsidRPr="001601D4">
        <w:rPr>
          <w:lang w:val="en-SG"/>
        </w:rPr>
        <w:t xml:space="preserve">. Available at: </w:t>
      </w:r>
      <w:hyperlink r:id="rId36" w:tgtFrame="_new" w:history="1">
        <w:r w:rsidRPr="001601D4">
          <w:rPr>
            <w:rStyle w:val="Hyperlink"/>
            <w:lang w:val="en-SG"/>
          </w:rPr>
          <w:t>https://www.marketscreener.com/quote/stock/JOHN-WOOD-GROUP-PLC-4003879/company/</w:t>
        </w:r>
      </w:hyperlink>
      <w:r w:rsidRPr="001601D4">
        <w:rPr>
          <w:lang w:val="en-SG"/>
        </w:rPr>
        <w:t xml:space="preserve"> (Accessed: 8 March 2026).</w:t>
      </w:r>
    </w:p>
    <w:p w14:paraId="26792ED3" w14:textId="77777777" w:rsidR="00B53168" w:rsidRPr="001601D4" w:rsidRDefault="00B53168" w:rsidP="00B53168">
      <w:pPr>
        <w:rPr>
          <w:lang w:val="en-SG"/>
        </w:rPr>
      </w:pPr>
      <w:proofErr w:type="spellStart"/>
      <w:r w:rsidRPr="001601D4">
        <w:rPr>
          <w:lang w:val="en-SG"/>
        </w:rPr>
        <w:lastRenderedPageBreak/>
        <w:t>Mlawu</w:t>
      </w:r>
      <w:proofErr w:type="spellEnd"/>
      <w:r w:rsidRPr="001601D4">
        <w:rPr>
          <w:lang w:val="en-SG"/>
        </w:rPr>
        <w:t xml:space="preserve">, L., Matenda, F.R. and Sibanda, M. (2025) ‘Incentives for accrual-based earnings management in emerging economies: a systematic literature review with bibliometric analysis’, </w:t>
      </w:r>
      <w:r w:rsidRPr="001601D4">
        <w:rPr>
          <w:i/>
          <w:iCs/>
          <w:lang w:val="en-SG"/>
        </w:rPr>
        <w:t>Administrative Sciences</w:t>
      </w:r>
      <w:r w:rsidRPr="001601D4">
        <w:rPr>
          <w:lang w:val="en-SG"/>
        </w:rPr>
        <w:t xml:space="preserve">, 15(6), p. 209. </w:t>
      </w:r>
      <w:hyperlink r:id="rId37" w:tgtFrame="_new" w:history="1">
        <w:r w:rsidRPr="001601D4">
          <w:rPr>
            <w:rStyle w:val="Hyperlink"/>
            <w:lang w:val="en-SG"/>
          </w:rPr>
          <w:t>https://doi.org/10.3390/admsci15060209</w:t>
        </w:r>
      </w:hyperlink>
      <w:r w:rsidRPr="001601D4">
        <w:rPr>
          <w:lang w:val="en-SG"/>
        </w:rPr>
        <w:t>.</w:t>
      </w:r>
    </w:p>
    <w:p w14:paraId="1206232E" w14:textId="77777777" w:rsidR="00B53168" w:rsidRPr="001601D4" w:rsidRDefault="00B53168" w:rsidP="00B53168">
      <w:pPr>
        <w:rPr>
          <w:lang w:val="en-SG"/>
        </w:rPr>
      </w:pPr>
      <w:proofErr w:type="spellStart"/>
      <w:r w:rsidRPr="001601D4">
        <w:rPr>
          <w:lang w:val="en-SG"/>
        </w:rPr>
        <w:t>Plouhinec</w:t>
      </w:r>
      <w:proofErr w:type="spellEnd"/>
      <w:r w:rsidRPr="001601D4">
        <w:rPr>
          <w:lang w:val="en-SG"/>
        </w:rPr>
        <w:t xml:space="preserve">, M. (2026) </w:t>
      </w:r>
      <w:r w:rsidRPr="001601D4">
        <w:rPr>
          <w:i/>
          <w:iCs/>
          <w:lang w:val="en-SG"/>
        </w:rPr>
        <w:t>Corporate governance reframed: a 2026 outlook</w:t>
      </w:r>
      <w:r w:rsidRPr="001601D4">
        <w:rPr>
          <w:lang w:val="en-SG"/>
        </w:rPr>
        <w:t xml:space="preserve">. Available at: </w:t>
      </w:r>
      <w:hyperlink r:id="rId38" w:tgtFrame="_new" w:history="1">
        <w:r w:rsidRPr="001601D4">
          <w:rPr>
            <w:rStyle w:val="Hyperlink"/>
            <w:lang w:val="en-SG"/>
          </w:rPr>
          <w:t>https://www.ecgi.global/publications/blog/corporate-governance-reframed-a-2026-outlook</w:t>
        </w:r>
      </w:hyperlink>
      <w:r w:rsidRPr="001601D4">
        <w:rPr>
          <w:lang w:val="en-SG"/>
        </w:rPr>
        <w:t xml:space="preserve"> (Accessed: 8 March 2026).</w:t>
      </w:r>
    </w:p>
    <w:p w14:paraId="10805CFA" w14:textId="77777777" w:rsidR="00B53168" w:rsidRPr="001601D4" w:rsidRDefault="00B53168" w:rsidP="00B53168">
      <w:pPr>
        <w:rPr>
          <w:lang w:val="en-SG"/>
        </w:rPr>
      </w:pPr>
      <w:proofErr w:type="spellStart"/>
      <w:r w:rsidRPr="001601D4">
        <w:rPr>
          <w:lang w:val="en-SG"/>
        </w:rPr>
        <w:t>Qalati</w:t>
      </w:r>
      <w:proofErr w:type="spellEnd"/>
      <w:r w:rsidRPr="001601D4">
        <w:rPr>
          <w:lang w:val="en-SG"/>
        </w:rPr>
        <w:t xml:space="preserve">, S.A., Siddiqui, F. and Wu, Q. (2024) ‘The effect of environmental ethics and spiritual orientation on firms’ outcomes: the role of senior management orientation and stakeholder pressure’, </w:t>
      </w:r>
      <w:r w:rsidRPr="001601D4">
        <w:rPr>
          <w:i/>
          <w:iCs/>
          <w:lang w:val="en-SG"/>
        </w:rPr>
        <w:t>Humanities and Social Sciences Communications</w:t>
      </w:r>
      <w:r w:rsidRPr="001601D4">
        <w:rPr>
          <w:lang w:val="en-SG"/>
        </w:rPr>
        <w:t xml:space="preserve">, 11(1). </w:t>
      </w:r>
      <w:hyperlink r:id="rId39" w:tgtFrame="_new" w:history="1">
        <w:r w:rsidRPr="001601D4">
          <w:rPr>
            <w:rStyle w:val="Hyperlink"/>
            <w:lang w:val="en-SG"/>
          </w:rPr>
          <w:t>https://doi.org/10.1057/s41599-024-04354-x</w:t>
        </w:r>
      </w:hyperlink>
      <w:r w:rsidRPr="001601D4">
        <w:rPr>
          <w:lang w:val="en-SG"/>
        </w:rPr>
        <w:t>.</w:t>
      </w:r>
    </w:p>
    <w:p w14:paraId="277B9E51" w14:textId="77777777" w:rsidR="00B53168" w:rsidRPr="001601D4" w:rsidRDefault="00B53168" w:rsidP="00B53168">
      <w:pPr>
        <w:rPr>
          <w:lang w:val="en-SG"/>
        </w:rPr>
      </w:pPr>
      <w:r w:rsidRPr="001601D4">
        <w:rPr>
          <w:lang w:val="en-SG"/>
        </w:rPr>
        <w:t xml:space="preserve">Rahman, H.U., Khoso, M.A., Zahid, M. and Khan, I. (2026) ‘Boardroom gender diversity and earnings management: bibliometric and systematic analyses to shape the future research, practice and policy’, </w:t>
      </w:r>
      <w:r w:rsidRPr="001601D4">
        <w:rPr>
          <w:i/>
          <w:iCs/>
          <w:lang w:val="en-SG"/>
        </w:rPr>
        <w:t>Journal of Accounting Literature</w:t>
      </w:r>
      <w:r w:rsidRPr="001601D4">
        <w:rPr>
          <w:lang w:val="en-SG"/>
        </w:rPr>
        <w:t xml:space="preserve">. </w:t>
      </w:r>
      <w:hyperlink r:id="rId40" w:tgtFrame="_new" w:history="1">
        <w:r w:rsidRPr="001601D4">
          <w:rPr>
            <w:rStyle w:val="Hyperlink"/>
            <w:lang w:val="en-SG"/>
          </w:rPr>
          <w:t>https://doi.org/10.1108/JAL-11-2024-0329</w:t>
        </w:r>
      </w:hyperlink>
      <w:r w:rsidRPr="001601D4">
        <w:rPr>
          <w:lang w:val="en-SG"/>
        </w:rPr>
        <w:t>.</w:t>
      </w:r>
    </w:p>
    <w:p w14:paraId="4C754571" w14:textId="77777777" w:rsidR="00B53168" w:rsidRPr="001601D4" w:rsidRDefault="00B53168" w:rsidP="00B53168">
      <w:pPr>
        <w:rPr>
          <w:lang w:val="en-SG"/>
        </w:rPr>
      </w:pPr>
      <w:r w:rsidRPr="001601D4">
        <w:rPr>
          <w:lang w:val="en-SG"/>
        </w:rPr>
        <w:t xml:space="preserve">Reuters (2026) ‘Britain fines Wood Group $17 million for inaccurate results’, </w:t>
      </w:r>
      <w:r w:rsidRPr="001601D4">
        <w:rPr>
          <w:i/>
          <w:iCs/>
          <w:lang w:val="en-SG"/>
        </w:rPr>
        <w:t>Reuters</w:t>
      </w:r>
      <w:r w:rsidRPr="001601D4">
        <w:rPr>
          <w:lang w:val="en-SG"/>
        </w:rPr>
        <w:t xml:space="preserve">, 4 March. Available at: </w:t>
      </w:r>
      <w:hyperlink r:id="rId41" w:tgtFrame="_new" w:history="1">
        <w:r w:rsidRPr="001601D4">
          <w:rPr>
            <w:rStyle w:val="Hyperlink"/>
            <w:lang w:val="en-SG"/>
          </w:rPr>
          <w:t>https://www.reuters.com/world/uk/britain-fines-john-wood-group-17-million-inaccurate-results-2026-03-04/</w:t>
        </w:r>
      </w:hyperlink>
      <w:r w:rsidRPr="001601D4">
        <w:rPr>
          <w:lang w:val="en-SG"/>
        </w:rPr>
        <w:t xml:space="preserve"> (Accessed: 8 March 2026).</w:t>
      </w:r>
    </w:p>
    <w:p w14:paraId="49F5ECD9" w14:textId="77777777" w:rsidR="00B53168" w:rsidRPr="001601D4" w:rsidRDefault="00B53168" w:rsidP="00B53168">
      <w:pPr>
        <w:rPr>
          <w:lang w:val="en-SG"/>
        </w:rPr>
      </w:pPr>
      <w:r w:rsidRPr="001601D4">
        <w:rPr>
          <w:lang w:val="en-SG"/>
        </w:rPr>
        <w:t xml:space="preserve">Saker-Clark, H. (2026) ‘Wood Group fined £13m by watchdog over inaccurate accounts’, </w:t>
      </w:r>
      <w:r w:rsidRPr="001601D4">
        <w:rPr>
          <w:i/>
          <w:iCs/>
          <w:lang w:val="en-SG"/>
        </w:rPr>
        <w:t>Yahoo Finance</w:t>
      </w:r>
      <w:r w:rsidRPr="001601D4">
        <w:rPr>
          <w:lang w:val="en-SG"/>
        </w:rPr>
        <w:t xml:space="preserve">. Available at: </w:t>
      </w:r>
      <w:hyperlink r:id="rId42" w:tgtFrame="_new" w:history="1">
        <w:r w:rsidRPr="001601D4">
          <w:rPr>
            <w:rStyle w:val="Hyperlink"/>
            <w:lang w:val="en-SG"/>
          </w:rPr>
          <w:t>https://uk.finance.yahoo.com/news/wood-group-fined-13m-watchdog-115141843.html</w:t>
        </w:r>
      </w:hyperlink>
      <w:r w:rsidRPr="001601D4">
        <w:rPr>
          <w:lang w:val="en-SG"/>
        </w:rPr>
        <w:t xml:space="preserve"> (Accessed: 9 March 2026).</w:t>
      </w:r>
    </w:p>
    <w:p w14:paraId="7A8C10C7" w14:textId="77777777" w:rsidR="00B53168" w:rsidRPr="001601D4" w:rsidRDefault="00B53168" w:rsidP="00B53168">
      <w:pPr>
        <w:rPr>
          <w:lang w:val="en-SG"/>
        </w:rPr>
      </w:pPr>
      <w:r w:rsidRPr="001601D4">
        <w:rPr>
          <w:lang w:val="en-SG"/>
        </w:rPr>
        <w:t xml:space="preserve">Suck, E., Morshed, G. and Koll, O. (2023) ‘Stakeholder expectations and contributions to creating a market for automated, connected, electric and shared vehicles’, </w:t>
      </w:r>
      <w:r w:rsidRPr="001601D4">
        <w:rPr>
          <w:i/>
          <w:iCs/>
          <w:lang w:val="en-SG"/>
        </w:rPr>
        <w:t>Research in Transportation Business &amp; Management</w:t>
      </w:r>
      <w:r w:rsidRPr="001601D4">
        <w:rPr>
          <w:lang w:val="en-SG"/>
        </w:rPr>
        <w:t xml:space="preserve">, 50, p. 101036. </w:t>
      </w:r>
      <w:hyperlink r:id="rId43" w:tgtFrame="_new" w:history="1">
        <w:r w:rsidRPr="001601D4">
          <w:rPr>
            <w:rStyle w:val="Hyperlink"/>
            <w:lang w:val="en-SG"/>
          </w:rPr>
          <w:t>https://doi.org/10.1016/j.rtbm.2023.101036</w:t>
        </w:r>
      </w:hyperlink>
      <w:r w:rsidRPr="001601D4">
        <w:rPr>
          <w:lang w:val="en-SG"/>
        </w:rPr>
        <w:t>.</w:t>
      </w:r>
    </w:p>
    <w:p w14:paraId="6A6C9B3A" w14:textId="77777777" w:rsidR="00B53168" w:rsidRPr="001601D4" w:rsidRDefault="00B53168" w:rsidP="00B53168">
      <w:pPr>
        <w:rPr>
          <w:lang w:val="en-SG"/>
        </w:rPr>
      </w:pPr>
      <w:r w:rsidRPr="001601D4">
        <w:rPr>
          <w:lang w:val="en-SG"/>
        </w:rPr>
        <w:t xml:space="preserve">Turner, J.D. (2024) ‘Three centuries of corporate governance in the United Kingdom’, </w:t>
      </w:r>
      <w:r w:rsidRPr="001601D4">
        <w:rPr>
          <w:i/>
          <w:iCs/>
          <w:lang w:val="en-SG"/>
        </w:rPr>
        <w:t>The Economic History Review</w:t>
      </w:r>
      <w:r w:rsidRPr="001601D4">
        <w:rPr>
          <w:lang w:val="en-SG"/>
        </w:rPr>
        <w:t xml:space="preserve">. </w:t>
      </w:r>
      <w:hyperlink r:id="rId44" w:tgtFrame="_new" w:history="1">
        <w:r w:rsidRPr="001601D4">
          <w:rPr>
            <w:rStyle w:val="Hyperlink"/>
            <w:lang w:val="en-SG"/>
          </w:rPr>
          <w:t>https://doi.org/10.1111/ehr.13326</w:t>
        </w:r>
      </w:hyperlink>
      <w:r w:rsidRPr="001601D4">
        <w:rPr>
          <w:lang w:val="en-SG"/>
        </w:rPr>
        <w:t>.</w:t>
      </w:r>
    </w:p>
    <w:p w14:paraId="638BE080" w14:textId="77777777" w:rsidR="00B53168" w:rsidRPr="001601D4" w:rsidRDefault="00B53168" w:rsidP="00B53168">
      <w:pPr>
        <w:rPr>
          <w:lang w:val="en-SG"/>
        </w:rPr>
      </w:pPr>
      <w:r w:rsidRPr="001601D4">
        <w:rPr>
          <w:lang w:val="en-SG"/>
        </w:rPr>
        <w:t xml:space="preserve">Wilson, H. (2025) ‘Fraud in Afghanistan: analysis of internal control </w:t>
      </w:r>
      <w:proofErr w:type="gramStart"/>
      <w:r w:rsidRPr="001601D4">
        <w:rPr>
          <w:lang w:val="en-SG"/>
        </w:rPr>
        <w:t>failures’</w:t>
      </w:r>
      <w:proofErr w:type="gramEnd"/>
      <w:r w:rsidRPr="001601D4">
        <w:rPr>
          <w:lang w:val="en-SG"/>
        </w:rPr>
        <w:t xml:space="preserve">. Available at: </w:t>
      </w:r>
      <w:hyperlink r:id="rId45" w:tgtFrame="_new" w:history="1">
        <w:r w:rsidRPr="001601D4">
          <w:rPr>
            <w:rStyle w:val="Hyperlink"/>
            <w:lang w:val="en-SG"/>
          </w:rPr>
          <w:t>https://dair.nps.edu/handle/123456789/5318</w:t>
        </w:r>
      </w:hyperlink>
      <w:r w:rsidRPr="001601D4">
        <w:rPr>
          <w:lang w:val="en-SG"/>
        </w:rPr>
        <w:t>.</w:t>
      </w:r>
    </w:p>
    <w:p w14:paraId="083085F0" w14:textId="77777777" w:rsidR="00B53168" w:rsidRPr="001601D4" w:rsidRDefault="00B53168" w:rsidP="00B53168">
      <w:pPr>
        <w:rPr>
          <w:lang w:val="en-SG"/>
        </w:rPr>
      </w:pPr>
      <w:r w:rsidRPr="001601D4">
        <w:rPr>
          <w:lang w:val="en-SG"/>
        </w:rPr>
        <w:t xml:space="preserve">Wood (2019) </w:t>
      </w:r>
      <w:r w:rsidRPr="001601D4">
        <w:rPr>
          <w:i/>
          <w:iCs/>
          <w:lang w:val="en-SG"/>
        </w:rPr>
        <w:t>Wood</w:t>
      </w:r>
      <w:r w:rsidRPr="001601D4">
        <w:rPr>
          <w:lang w:val="en-SG"/>
        </w:rPr>
        <w:t xml:space="preserve">. Available at: </w:t>
      </w:r>
      <w:hyperlink r:id="rId46" w:tgtFrame="_new" w:history="1">
        <w:r w:rsidRPr="001601D4">
          <w:rPr>
            <w:rStyle w:val="Hyperlink"/>
            <w:lang w:val="en-SG"/>
          </w:rPr>
          <w:t>https://www.woodplc.com/</w:t>
        </w:r>
      </w:hyperlink>
      <w:r w:rsidRPr="001601D4">
        <w:rPr>
          <w:lang w:val="en-SG"/>
        </w:rPr>
        <w:t xml:space="preserve"> (Accessed: 2 March 2026).</w:t>
      </w:r>
    </w:p>
    <w:p w14:paraId="488F1032" w14:textId="77777777" w:rsidR="00B53168" w:rsidRPr="001601D4" w:rsidRDefault="00B53168" w:rsidP="00B53168">
      <w:pPr>
        <w:rPr>
          <w:lang w:val="en-SG"/>
        </w:rPr>
      </w:pPr>
      <w:r w:rsidRPr="001601D4">
        <w:rPr>
          <w:lang w:val="en-SG"/>
        </w:rPr>
        <w:lastRenderedPageBreak/>
        <w:t xml:space="preserve">Wood (2025) </w:t>
      </w:r>
      <w:r w:rsidRPr="001601D4">
        <w:rPr>
          <w:i/>
          <w:iCs/>
          <w:lang w:val="en-SG"/>
        </w:rPr>
        <w:t>Update on FY24 &amp; HY25 results and meetings</w:t>
      </w:r>
      <w:r w:rsidRPr="001601D4">
        <w:rPr>
          <w:lang w:val="en-SG"/>
        </w:rPr>
        <w:t xml:space="preserve">. Available at: </w:t>
      </w:r>
      <w:hyperlink r:id="rId47" w:tgtFrame="_new" w:history="1">
        <w:r w:rsidRPr="001601D4">
          <w:rPr>
            <w:rStyle w:val="Hyperlink"/>
            <w:lang w:val="en-SG"/>
          </w:rPr>
          <w:t>https://www.woodplc.com/news/latest-press-releases/2025/update-on-fy24-and-hy25-results-and-meetings</w:t>
        </w:r>
      </w:hyperlink>
      <w:r w:rsidRPr="001601D4">
        <w:rPr>
          <w:lang w:val="en-SG"/>
        </w:rPr>
        <w:t xml:space="preserve"> (Accessed: 6 March 2026).</w:t>
      </w:r>
    </w:p>
    <w:p w14:paraId="336D16FF" w14:textId="77777777" w:rsidR="00B53168" w:rsidRDefault="00B53168" w:rsidP="00B53168"/>
    <w:p w14:paraId="7B17FD64" w14:textId="77777777" w:rsidR="00B53168" w:rsidRDefault="00B53168" w:rsidP="00B53168"/>
    <w:p w14:paraId="6260CD7A" w14:textId="77777777" w:rsidR="00B53168" w:rsidRDefault="00B53168" w:rsidP="00B53168"/>
    <w:p w14:paraId="1884B184" w14:textId="36B7ADBE" w:rsidR="00D4125A" w:rsidRPr="002C4328" w:rsidRDefault="00D4125A" w:rsidP="00B53168">
      <w:pPr>
        <w:rPr>
          <w:lang w:val="en-SG"/>
        </w:rPr>
      </w:pPr>
    </w:p>
    <w:p w14:paraId="1166D8C3" w14:textId="359AD5D8" w:rsidR="00906FE1" w:rsidRDefault="00906FE1" w:rsidP="00906FE1">
      <w:pPr>
        <w:rPr>
          <w:lang w:eastAsia="en-GB"/>
        </w:rPr>
      </w:pPr>
    </w:p>
    <w:sectPr w:rsidR="00906FE1" w:rsidSect="009C7063">
      <w:footerReference w:type="default" r:id="rId4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48549" w14:textId="77777777" w:rsidR="000A0F01" w:rsidRDefault="000A0F01" w:rsidP="00646474">
      <w:pPr>
        <w:spacing w:after="0" w:line="240" w:lineRule="auto"/>
      </w:pPr>
      <w:r>
        <w:separator/>
      </w:r>
    </w:p>
  </w:endnote>
  <w:endnote w:type="continuationSeparator" w:id="0">
    <w:p w14:paraId="2E3760C9" w14:textId="77777777" w:rsidR="000A0F01" w:rsidRDefault="000A0F01" w:rsidP="00646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5518361"/>
      <w:docPartObj>
        <w:docPartGallery w:val="Page Numbers (Bottom of Page)"/>
        <w:docPartUnique/>
      </w:docPartObj>
    </w:sdtPr>
    <w:sdtContent>
      <w:p w14:paraId="60C4E8AA" w14:textId="1F5753CD" w:rsidR="009C7063" w:rsidRDefault="009C706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F654433" w14:textId="50C41C19" w:rsidR="00B42CC0" w:rsidRDefault="00B42CC0" w:rsidP="009C706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412F7" w14:textId="77777777" w:rsidR="000A0F01" w:rsidRDefault="000A0F01" w:rsidP="00646474">
      <w:pPr>
        <w:spacing w:after="0" w:line="240" w:lineRule="auto"/>
      </w:pPr>
      <w:r>
        <w:separator/>
      </w:r>
    </w:p>
  </w:footnote>
  <w:footnote w:type="continuationSeparator" w:id="0">
    <w:p w14:paraId="4E8DA578" w14:textId="77777777" w:rsidR="000A0F01" w:rsidRDefault="000A0F01" w:rsidP="006464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A51437"/>
    <w:multiLevelType w:val="multilevel"/>
    <w:tmpl w:val="66FEA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C60711"/>
    <w:multiLevelType w:val="multilevel"/>
    <w:tmpl w:val="AA26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0571796">
    <w:abstractNumId w:val="0"/>
  </w:num>
  <w:num w:numId="2" w16cid:durableId="14427197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74"/>
    <w:rsid w:val="00025979"/>
    <w:rsid w:val="000460EF"/>
    <w:rsid w:val="0005045D"/>
    <w:rsid w:val="000A0F01"/>
    <w:rsid w:val="00100C59"/>
    <w:rsid w:val="00103E84"/>
    <w:rsid w:val="00115539"/>
    <w:rsid w:val="0011665C"/>
    <w:rsid w:val="0013715D"/>
    <w:rsid w:val="0014177A"/>
    <w:rsid w:val="00170AAA"/>
    <w:rsid w:val="001A272B"/>
    <w:rsid w:val="001A54FA"/>
    <w:rsid w:val="001C19A8"/>
    <w:rsid w:val="00215441"/>
    <w:rsid w:val="002311BA"/>
    <w:rsid w:val="002553CB"/>
    <w:rsid w:val="00257C6F"/>
    <w:rsid w:val="002C18BA"/>
    <w:rsid w:val="00300C19"/>
    <w:rsid w:val="00311889"/>
    <w:rsid w:val="0031584F"/>
    <w:rsid w:val="0034305C"/>
    <w:rsid w:val="0036794F"/>
    <w:rsid w:val="003E5DEC"/>
    <w:rsid w:val="003F2065"/>
    <w:rsid w:val="003F3E7B"/>
    <w:rsid w:val="003F7439"/>
    <w:rsid w:val="004150CC"/>
    <w:rsid w:val="00421763"/>
    <w:rsid w:val="00425A78"/>
    <w:rsid w:val="00440BF3"/>
    <w:rsid w:val="00457A63"/>
    <w:rsid w:val="004706F9"/>
    <w:rsid w:val="004769E2"/>
    <w:rsid w:val="00522142"/>
    <w:rsid w:val="00525689"/>
    <w:rsid w:val="00527E47"/>
    <w:rsid w:val="00534FD3"/>
    <w:rsid w:val="005444F1"/>
    <w:rsid w:val="00637BD0"/>
    <w:rsid w:val="00646474"/>
    <w:rsid w:val="00665A94"/>
    <w:rsid w:val="00670370"/>
    <w:rsid w:val="006927D9"/>
    <w:rsid w:val="006A40F0"/>
    <w:rsid w:val="006D6464"/>
    <w:rsid w:val="006E5126"/>
    <w:rsid w:val="006F3D28"/>
    <w:rsid w:val="006F3FED"/>
    <w:rsid w:val="0072114D"/>
    <w:rsid w:val="00743D02"/>
    <w:rsid w:val="00792793"/>
    <w:rsid w:val="0081640E"/>
    <w:rsid w:val="00897A99"/>
    <w:rsid w:val="00906FE1"/>
    <w:rsid w:val="00915775"/>
    <w:rsid w:val="00974EEA"/>
    <w:rsid w:val="009800DA"/>
    <w:rsid w:val="009850BE"/>
    <w:rsid w:val="009C7063"/>
    <w:rsid w:val="00A405B6"/>
    <w:rsid w:val="00A628F3"/>
    <w:rsid w:val="00A66BA8"/>
    <w:rsid w:val="00A8061A"/>
    <w:rsid w:val="00AA122B"/>
    <w:rsid w:val="00AA1B82"/>
    <w:rsid w:val="00B36E0B"/>
    <w:rsid w:val="00B42CC0"/>
    <w:rsid w:val="00B53168"/>
    <w:rsid w:val="00B955AC"/>
    <w:rsid w:val="00BA303F"/>
    <w:rsid w:val="00BC75BA"/>
    <w:rsid w:val="00BD5C9B"/>
    <w:rsid w:val="00C105D6"/>
    <w:rsid w:val="00C16AEB"/>
    <w:rsid w:val="00C22D8D"/>
    <w:rsid w:val="00C45020"/>
    <w:rsid w:val="00CE5408"/>
    <w:rsid w:val="00CF6C2D"/>
    <w:rsid w:val="00D1039F"/>
    <w:rsid w:val="00D4125A"/>
    <w:rsid w:val="00D51F62"/>
    <w:rsid w:val="00D665CB"/>
    <w:rsid w:val="00D82B5A"/>
    <w:rsid w:val="00D85B7A"/>
    <w:rsid w:val="00D9695A"/>
    <w:rsid w:val="00E508B6"/>
    <w:rsid w:val="00E55D8F"/>
    <w:rsid w:val="00EC1ACE"/>
    <w:rsid w:val="00EC7AD6"/>
    <w:rsid w:val="00F671C1"/>
    <w:rsid w:val="00FA6780"/>
    <w:rsid w:val="00FD091D"/>
    <w:rsid w:val="00FF3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797E1"/>
  <w15:chartTrackingRefBased/>
  <w15:docId w15:val="{6FB713C0-DE95-4F10-99F9-16DD3A447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474"/>
    <w:pPr>
      <w:spacing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646474"/>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646474"/>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646474"/>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46474"/>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646474"/>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646474"/>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646474"/>
    <w:pPr>
      <w:keepNext/>
      <w:keepLines/>
      <w:spacing w:before="40" w:after="0" w:line="278"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646474"/>
    <w:pPr>
      <w:keepNext/>
      <w:keepLines/>
      <w:spacing w:after="0" w:line="278"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646474"/>
    <w:pPr>
      <w:keepNext/>
      <w:keepLines/>
      <w:spacing w:after="0" w:line="278"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4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74"/>
    <w:rPr>
      <w:rFonts w:eastAsiaTheme="majorEastAsia" w:cstheme="majorBidi"/>
      <w:color w:val="272727" w:themeColor="text1" w:themeTint="D8"/>
    </w:rPr>
  </w:style>
  <w:style w:type="paragraph" w:styleId="Title">
    <w:name w:val="Title"/>
    <w:basedOn w:val="Normal"/>
    <w:next w:val="Normal"/>
    <w:link w:val="TitleChar"/>
    <w:uiPriority w:val="10"/>
    <w:qFormat/>
    <w:rsid w:val="00646474"/>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464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74"/>
    <w:pPr>
      <w:numPr>
        <w:ilvl w:val="1"/>
      </w:numPr>
      <w:spacing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464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74"/>
    <w:pPr>
      <w:spacing w:before="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646474"/>
    <w:rPr>
      <w:i/>
      <w:iCs/>
      <w:color w:val="404040" w:themeColor="text1" w:themeTint="BF"/>
    </w:rPr>
  </w:style>
  <w:style w:type="paragraph" w:styleId="ListParagraph">
    <w:name w:val="List Paragraph"/>
    <w:basedOn w:val="Normal"/>
    <w:uiPriority w:val="34"/>
    <w:qFormat/>
    <w:rsid w:val="00646474"/>
    <w:pPr>
      <w:spacing w:line="278" w:lineRule="auto"/>
      <w:ind w:left="720"/>
      <w:contextualSpacing/>
      <w:jc w:val="left"/>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646474"/>
    <w:rPr>
      <w:i/>
      <w:iCs/>
      <w:color w:val="0F4761" w:themeColor="accent1" w:themeShade="BF"/>
    </w:rPr>
  </w:style>
  <w:style w:type="paragraph" w:styleId="IntenseQuote">
    <w:name w:val="Intense Quote"/>
    <w:basedOn w:val="Normal"/>
    <w:next w:val="Normal"/>
    <w:link w:val="IntenseQuoteChar"/>
    <w:uiPriority w:val="30"/>
    <w:qFormat/>
    <w:rsid w:val="0064647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646474"/>
    <w:rPr>
      <w:i/>
      <w:iCs/>
      <w:color w:val="0F4761" w:themeColor="accent1" w:themeShade="BF"/>
    </w:rPr>
  </w:style>
  <w:style w:type="character" w:styleId="IntenseReference">
    <w:name w:val="Intense Reference"/>
    <w:basedOn w:val="DefaultParagraphFont"/>
    <w:uiPriority w:val="32"/>
    <w:qFormat/>
    <w:rsid w:val="00646474"/>
    <w:rPr>
      <w:b/>
      <w:bCs/>
      <w:smallCaps/>
      <w:color w:val="0F4761" w:themeColor="accent1" w:themeShade="BF"/>
      <w:spacing w:val="5"/>
    </w:rPr>
  </w:style>
  <w:style w:type="character" w:styleId="Hyperlink">
    <w:name w:val="Hyperlink"/>
    <w:basedOn w:val="DefaultParagraphFont"/>
    <w:uiPriority w:val="99"/>
    <w:unhideWhenUsed/>
    <w:rsid w:val="00646474"/>
    <w:rPr>
      <w:color w:val="467886" w:themeColor="hyperlink"/>
      <w:u w:val="single"/>
    </w:rPr>
  </w:style>
  <w:style w:type="paragraph" w:styleId="TOCHeading">
    <w:name w:val="TOC Heading"/>
    <w:basedOn w:val="Heading1"/>
    <w:next w:val="Normal"/>
    <w:uiPriority w:val="39"/>
    <w:unhideWhenUsed/>
    <w:qFormat/>
    <w:rsid w:val="0064647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46474"/>
    <w:pPr>
      <w:spacing w:after="100"/>
    </w:pPr>
  </w:style>
  <w:style w:type="paragraph" w:styleId="TOC2">
    <w:name w:val="toc 2"/>
    <w:basedOn w:val="Normal"/>
    <w:next w:val="Normal"/>
    <w:autoRedefine/>
    <w:uiPriority w:val="39"/>
    <w:unhideWhenUsed/>
    <w:rsid w:val="00BA303F"/>
    <w:pPr>
      <w:tabs>
        <w:tab w:val="right" w:leader="dot" w:pos="9016"/>
      </w:tabs>
      <w:spacing w:after="100"/>
      <w:ind w:left="240"/>
    </w:pPr>
    <w:rPr>
      <w:rFonts w:asciiTheme="minorHAnsi" w:hAnsiTheme="minorHAnsi"/>
      <w:noProof/>
      <w:lang w:val="en-SG"/>
    </w:rPr>
  </w:style>
  <w:style w:type="paragraph" w:styleId="Header">
    <w:name w:val="header"/>
    <w:basedOn w:val="Normal"/>
    <w:link w:val="HeaderChar"/>
    <w:uiPriority w:val="99"/>
    <w:unhideWhenUsed/>
    <w:rsid w:val="006464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474"/>
    <w:rPr>
      <w:rFonts w:ascii="Times New Roman" w:hAnsi="Times New Roman"/>
      <w:kern w:val="0"/>
      <w:szCs w:val="22"/>
      <w14:ligatures w14:val="none"/>
    </w:rPr>
  </w:style>
  <w:style w:type="paragraph" w:styleId="Footer">
    <w:name w:val="footer"/>
    <w:basedOn w:val="Normal"/>
    <w:link w:val="FooterChar"/>
    <w:uiPriority w:val="99"/>
    <w:unhideWhenUsed/>
    <w:rsid w:val="006464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474"/>
    <w:rPr>
      <w:rFonts w:ascii="Times New Roman" w:hAnsi="Times New Roman"/>
      <w:kern w:val="0"/>
      <w:szCs w:val="22"/>
      <w14:ligatures w14:val="none"/>
    </w:rPr>
  </w:style>
  <w:style w:type="paragraph" w:styleId="NormalWeb">
    <w:name w:val="Normal (Web)"/>
    <w:basedOn w:val="Normal"/>
    <w:uiPriority w:val="99"/>
    <w:unhideWhenUsed/>
    <w:rsid w:val="00D1039F"/>
    <w:pPr>
      <w:spacing w:before="100" w:beforeAutospacing="1" w:after="100" w:afterAutospacing="1" w:line="240" w:lineRule="auto"/>
      <w:jc w:val="left"/>
    </w:pPr>
    <w:rPr>
      <w:rFonts w:eastAsia="Times New Roman" w:cs="Times New Roman"/>
      <w:szCs w:val="24"/>
      <w:lang w:val="en-SG" w:eastAsia="en-SG"/>
    </w:rPr>
  </w:style>
  <w:style w:type="paragraph" w:styleId="TOC3">
    <w:name w:val="toc 3"/>
    <w:basedOn w:val="Normal"/>
    <w:next w:val="Normal"/>
    <w:autoRedefine/>
    <w:uiPriority w:val="39"/>
    <w:unhideWhenUsed/>
    <w:rsid w:val="00D1039F"/>
    <w:pPr>
      <w:spacing w:after="100"/>
      <w:ind w:left="480"/>
    </w:pPr>
  </w:style>
  <w:style w:type="paragraph" w:styleId="Caption">
    <w:name w:val="caption"/>
    <w:basedOn w:val="Normal"/>
    <w:next w:val="Normal"/>
    <w:uiPriority w:val="35"/>
    <w:unhideWhenUsed/>
    <w:qFormat/>
    <w:rsid w:val="00D1039F"/>
    <w:pPr>
      <w:spacing w:after="200"/>
      <w:jc w:val="center"/>
    </w:pPr>
    <w:rPr>
      <w:i/>
      <w:iCs/>
      <w:color w:val="000000" w:themeColor="text1"/>
      <w:szCs w:val="18"/>
    </w:rPr>
  </w:style>
  <w:style w:type="table" w:styleId="GridTable4-Accent2">
    <w:name w:val="Grid Table 4 Accent 2"/>
    <w:basedOn w:val="TableNormal"/>
    <w:uiPriority w:val="49"/>
    <w:rsid w:val="00D1039F"/>
    <w:pPr>
      <w:spacing w:after="0" w:line="240" w:lineRule="auto"/>
      <w:jc w:val="both"/>
    </w:pPr>
    <w:rPr>
      <w:rFonts w:ascii="Times New Roman" w:hAnsi="Times New Roman"/>
      <w:sz w:val="22"/>
      <w:szCs w:val="22"/>
      <w:lang w:val="en-SG"/>
    </w:rPr>
    <w:tblPr>
      <w:tblStyleRowBandSize w:val="1"/>
      <w:tblStyleColBandSize w:val="1"/>
      <w:tblInd w:w="0" w:type="nil"/>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Strong">
    <w:name w:val="Strong"/>
    <w:basedOn w:val="DefaultParagraphFont"/>
    <w:uiPriority w:val="22"/>
    <w:qFormat/>
    <w:rsid w:val="00D1039F"/>
    <w:rPr>
      <w:b/>
      <w:bCs/>
    </w:rPr>
  </w:style>
  <w:style w:type="character" w:styleId="UnresolvedMention">
    <w:name w:val="Unresolved Mention"/>
    <w:basedOn w:val="DefaultParagraphFont"/>
    <w:uiPriority w:val="99"/>
    <w:semiHidden/>
    <w:unhideWhenUsed/>
    <w:rsid w:val="00C22D8D"/>
    <w:rPr>
      <w:color w:val="605E5C"/>
      <w:shd w:val="clear" w:color="auto" w:fill="E1DFDD"/>
    </w:rPr>
  </w:style>
  <w:style w:type="character" w:styleId="FollowedHyperlink">
    <w:name w:val="FollowedHyperlink"/>
    <w:basedOn w:val="DefaultParagraphFont"/>
    <w:uiPriority w:val="99"/>
    <w:semiHidden/>
    <w:unhideWhenUsed/>
    <w:rsid w:val="00C22D8D"/>
    <w:rPr>
      <w:color w:val="96607D" w:themeColor="followedHyperlink"/>
      <w:u w:val="single"/>
    </w:rPr>
  </w:style>
  <w:style w:type="table" w:styleId="TableGrid">
    <w:name w:val="Table Grid"/>
    <w:basedOn w:val="TableNormal"/>
    <w:uiPriority w:val="39"/>
    <w:rsid w:val="00C22D8D"/>
    <w:pPr>
      <w:spacing w:after="0" w:line="240" w:lineRule="auto"/>
      <w:jc w:val="both"/>
    </w:pPr>
    <w:rPr>
      <w:rFonts w:ascii="Times New Roman" w:hAnsi="Times New Roman"/>
      <w:sz w:val="22"/>
      <w:szCs w:val="22"/>
      <w:lang w:val="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C22D8D"/>
    <w:pPr>
      <w:spacing w:after="0" w:line="240" w:lineRule="auto"/>
      <w:jc w:val="both"/>
    </w:pPr>
    <w:rPr>
      <w:rFonts w:ascii="Times New Roman" w:hAnsi="Times New Roman"/>
      <w:sz w:val="22"/>
      <w:szCs w:val="22"/>
      <w:lang w:val="en-SG"/>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23311975.2023.2194088" TargetMode="External"/><Relationship Id="rId18" Type="http://schemas.openxmlformats.org/officeDocument/2006/relationships/hyperlink" Target="https://doi.org/10.1186/s40991-024-00094-y" TargetMode="External"/><Relationship Id="rId26" Type="http://schemas.openxmlformats.org/officeDocument/2006/relationships/hyperlink" Target="https://www.theguardian.com/business/2026/mar/04/uk-oil-firm-wood-group-fined-13m-repeatedly-publishing-inaccurate-financial-results" TargetMode="External"/><Relationship Id="rId39" Type="http://schemas.openxmlformats.org/officeDocument/2006/relationships/hyperlink" Target="https://doi.org/10.1057/s41599-024-04354-x" TargetMode="External"/><Relationship Id="rId21" Type="http://schemas.openxmlformats.org/officeDocument/2006/relationships/hyperlink" Target="https://doi.org/10.1016/j.accinf.2024.100682" TargetMode="External"/><Relationship Id="rId34" Type="http://schemas.openxmlformats.org/officeDocument/2006/relationships/hyperlink" Target="https://doi.org/10.64753/jcasc.v10i4.2857" TargetMode="External"/><Relationship Id="rId42" Type="http://schemas.openxmlformats.org/officeDocument/2006/relationships/hyperlink" Target="https://uk.finance.yahoo.com/news/wood-group-fined-13m-watchdog-115141843.html" TargetMode="External"/><Relationship Id="rId47" Type="http://schemas.openxmlformats.org/officeDocument/2006/relationships/hyperlink" Target="https://www.woodplc.com/news/latest-press-releases/2025/update-on-fy24-and-hy25-results-and-meetings" TargetMode="External"/><Relationship Id="rId50"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1108/IJLMA-04-2025-0150" TargetMode="External"/><Relationship Id="rId29" Type="http://schemas.openxmlformats.org/officeDocument/2006/relationships/hyperlink" Target="https://doi.org/10.1002/bse.3974" TargetMode="External"/><Relationship Id="rId11" Type="http://schemas.openxmlformats.org/officeDocument/2006/relationships/hyperlink" Target="https://www.ijidjournal.org/index.php/ijid/article/view/1033" TargetMode="External"/><Relationship Id="rId24" Type="http://schemas.openxmlformats.org/officeDocument/2006/relationships/hyperlink" Target="https://www.researchgate.net/publication/388659836" TargetMode="External"/><Relationship Id="rId32" Type="http://schemas.openxmlformats.org/officeDocument/2006/relationships/hyperlink" Target="https://doi.org/10.1108/cg-09-2024-0480" TargetMode="External"/><Relationship Id="rId37" Type="http://schemas.openxmlformats.org/officeDocument/2006/relationships/hyperlink" Target="https://doi.org/10.3390/admsci15060209" TargetMode="External"/><Relationship Id="rId40" Type="http://schemas.openxmlformats.org/officeDocument/2006/relationships/hyperlink" Target="https://doi.org/10.1108/JAL-11-2024-0329" TargetMode="External"/><Relationship Id="rId45" Type="http://schemas.openxmlformats.org/officeDocument/2006/relationships/hyperlink" Target="https://dair.nps.edu/handle/123456789/5318" TargetMode="External"/><Relationship Id="rId5" Type="http://schemas.openxmlformats.org/officeDocument/2006/relationships/footnotes" Target="footnotes.xml"/><Relationship Id="rId15" Type="http://schemas.openxmlformats.org/officeDocument/2006/relationships/hyperlink" Target="https://doi.org/10.1108/arj-05-2024-0174" TargetMode="External"/><Relationship Id="rId23" Type="http://schemas.openxmlformats.org/officeDocument/2006/relationships/hyperlink" Target="https://doi.org/10.1080/23311975.2024.2333941" TargetMode="External"/><Relationship Id="rId28" Type="http://schemas.openxmlformats.org/officeDocument/2006/relationships/hyperlink" Target="https://doi.org/10.1177/01492063221126707" TargetMode="External"/><Relationship Id="rId36" Type="http://schemas.openxmlformats.org/officeDocument/2006/relationships/hyperlink" Target="https://www.marketscreener.com/quote/stock/JOHN-WOOD-GROUP-PLC-4003879/company/" TargetMode="External"/><Relationship Id="rId49" Type="http://schemas.openxmlformats.org/officeDocument/2006/relationships/fontTable" Target="fontTable.xml"/><Relationship Id="rId10" Type="http://schemas.openxmlformats.org/officeDocument/2006/relationships/hyperlink" Target="https://doi.org/10.1108/lbsjmr-03-2024-0015" TargetMode="External"/><Relationship Id="rId19" Type="http://schemas.openxmlformats.org/officeDocument/2006/relationships/hyperlink" Target="https://doi.org/10.1108/jal-10-2022-0107" TargetMode="External"/><Relationship Id="rId31" Type="http://schemas.openxmlformats.org/officeDocument/2006/relationships/hyperlink" Target="https://www.fca.org.uk/news/press-releases/fca-fines-john-wood-group-plc-issuing-misleading-statements" TargetMode="External"/><Relationship Id="rId44" Type="http://schemas.openxmlformats.org/officeDocument/2006/relationships/hyperlink" Target="https://doi.org/10.1111/ehr.1332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07/978-3-031-71318-7_51" TargetMode="External"/><Relationship Id="rId22" Type="http://schemas.openxmlformats.org/officeDocument/2006/relationships/hyperlink" Target="https://doi.org/10.1002/csr.2343" TargetMode="External"/><Relationship Id="rId27" Type="http://schemas.openxmlformats.org/officeDocument/2006/relationships/hyperlink" Target="https://doi.org/10.1111/beer.70094" TargetMode="External"/><Relationship Id="rId30" Type="http://schemas.openxmlformats.org/officeDocument/2006/relationships/hyperlink" Target="https://doi.org/10.1177/0148558X211065856" TargetMode="External"/><Relationship Id="rId35" Type="http://schemas.openxmlformats.org/officeDocument/2006/relationships/hyperlink" Target="https://doi.org/10.1080/23322039.2025.2482745" TargetMode="External"/><Relationship Id="rId43" Type="http://schemas.openxmlformats.org/officeDocument/2006/relationships/hyperlink" Target="https://doi.org/10.1016/j.rtbm.2023.101036" TargetMode="External"/><Relationship Id="rId48"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accountancydaily.co/wood-group-fined-ps13m-misleading-financial-statements" TargetMode="External"/><Relationship Id="rId17" Type="http://schemas.openxmlformats.org/officeDocument/2006/relationships/hyperlink" Target="https://doi.org/10.3390/su151612254" TargetMode="External"/><Relationship Id="rId25" Type="http://schemas.openxmlformats.org/officeDocument/2006/relationships/hyperlink" Target="https://doi.org/10.1108/cg-10-2024-0545" TargetMode="External"/><Relationship Id="rId33" Type="http://schemas.openxmlformats.org/officeDocument/2006/relationships/hyperlink" Target="https://doi.org/10.1007/978-981-95-2449-5_3" TargetMode="External"/><Relationship Id="rId38" Type="http://schemas.openxmlformats.org/officeDocument/2006/relationships/hyperlink" Target="https://www.ecgi.global/publications/blog/corporate-governance-reframed-a-2026-outlook" TargetMode="External"/><Relationship Id="rId46" Type="http://schemas.openxmlformats.org/officeDocument/2006/relationships/hyperlink" Target="https://www.woodplc.com/" TargetMode="External"/><Relationship Id="rId20" Type="http://schemas.openxmlformats.org/officeDocument/2006/relationships/hyperlink" Target="https://doi.org/10.3390/jrfm19010026" TargetMode="External"/><Relationship Id="rId41" Type="http://schemas.openxmlformats.org/officeDocument/2006/relationships/hyperlink" Target="https://www.reuters.com/world/uk/britain-fines-john-wood-group-17-million-inaccurate-results-2026-03-04/"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2133</TotalTime>
  <Pages>24</Pages>
  <Words>7848</Words>
  <Characters>44740</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Josim Uddin (2516714)</dc:creator>
  <cp:keywords/>
  <dc:description/>
  <cp:lastModifiedBy>Md Josim Uddin (2516714)</cp:lastModifiedBy>
  <cp:revision>34</cp:revision>
  <dcterms:created xsi:type="dcterms:W3CDTF">2026-03-10T21:55:00Z</dcterms:created>
  <dcterms:modified xsi:type="dcterms:W3CDTF">2026-03-27T00:55:00Z</dcterms:modified>
</cp:coreProperties>
</file>