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F4457B" w14:textId="55679512" w:rsidR="0037082F" w:rsidRPr="008735F9" w:rsidRDefault="008735F9" w:rsidP="008735F9">
      <w:pPr>
        <w:jc w:val="center"/>
        <w:rPr>
          <w:b/>
          <w:u w:val="single"/>
        </w:rPr>
      </w:pPr>
      <w:r w:rsidRPr="008735F9">
        <w:rPr>
          <w:b/>
          <w:u w:val="single"/>
        </w:rPr>
        <w:t>Critical Source Review</w:t>
      </w:r>
    </w:p>
    <w:p w14:paraId="01CEC97B" w14:textId="49785109" w:rsidR="008735F9" w:rsidRDefault="008735F9" w:rsidP="00F625D9">
      <w:pPr>
        <w:jc w:val="both"/>
      </w:pPr>
      <w:r>
        <w:t xml:space="preserve">This critical source review will examine the three core literary texts that are integral to the proposed dissertation title of “Did Aristotle’s </w:t>
      </w:r>
      <w:r w:rsidRPr="008735F9">
        <w:rPr>
          <w:i/>
        </w:rPr>
        <w:t>Poetics</w:t>
      </w:r>
      <w:r>
        <w:t xml:space="preserve"> correctly cite Sophocles’ </w:t>
      </w:r>
      <w:r w:rsidRPr="008735F9">
        <w:rPr>
          <w:i/>
        </w:rPr>
        <w:t>Oedipus Rex</w:t>
      </w:r>
      <w:r>
        <w:t xml:space="preserve"> as a dramatic text exemplifying </w:t>
      </w:r>
      <w:r w:rsidRPr="008735F9">
        <w:rPr>
          <w:i/>
        </w:rPr>
        <w:t>hamartia</w:t>
      </w:r>
      <w:r>
        <w:t xml:space="preserve">?” The three texts to be considered are the </w:t>
      </w:r>
      <w:r w:rsidRPr="00D66A8A">
        <w:rPr>
          <w:i/>
        </w:rPr>
        <w:t>Poetics</w:t>
      </w:r>
      <w:r>
        <w:t xml:space="preserve"> </w:t>
      </w:r>
      <w:r w:rsidR="00D66A8A">
        <w:t xml:space="preserve">and </w:t>
      </w:r>
      <w:r w:rsidR="00D66A8A" w:rsidRPr="00D66A8A">
        <w:rPr>
          <w:i/>
        </w:rPr>
        <w:t>The Nicomachean Ethics</w:t>
      </w:r>
      <w:r w:rsidR="00D66A8A">
        <w:t xml:space="preserve"> </w:t>
      </w:r>
      <w:r>
        <w:t>by Aristotle</w:t>
      </w:r>
      <w:r w:rsidR="00D66A8A">
        <w:t xml:space="preserve"> and </w:t>
      </w:r>
      <w:r w:rsidRPr="00E90604">
        <w:rPr>
          <w:i/>
        </w:rPr>
        <w:t>Oedipus Rex</w:t>
      </w:r>
      <w:r>
        <w:t xml:space="preserve"> by Sophocles</w:t>
      </w:r>
      <w:r w:rsidR="00D66A8A">
        <w:t>. The strengths, weaknesses and relevance to the overall argument of each text will be analysed. Furthermore, this review will also consider how</w:t>
      </w:r>
      <w:r w:rsidR="00132F37">
        <w:t xml:space="preserve">, within a framework of Aristotelian tragic theory, </w:t>
      </w:r>
      <w:r w:rsidR="00D66A8A">
        <w:t xml:space="preserve">scholarship has responded to these texts in turn and </w:t>
      </w:r>
      <w:r w:rsidR="00132F37">
        <w:t>as a result what stance this dissertation will adopt in response to such scholarship.</w:t>
      </w:r>
    </w:p>
    <w:p w14:paraId="6E308BA1" w14:textId="77777777" w:rsidR="00570B0E" w:rsidRDefault="00570B0E"/>
    <w:p w14:paraId="685F61D4" w14:textId="6BBACDC1" w:rsidR="004E0A0A" w:rsidRDefault="000E4672">
      <w:pPr>
        <w:rPr>
          <w:b/>
          <w:i/>
          <w:u w:val="single"/>
        </w:rPr>
      </w:pPr>
      <w:r>
        <w:rPr>
          <w:b/>
          <w:i/>
          <w:u w:val="single"/>
        </w:rPr>
        <w:t>The p</w:t>
      </w:r>
      <w:r w:rsidR="004E0A0A">
        <w:rPr>
          <w:b/>
          <w:i/>
          <w:u w:val="single"/>
        </w:rPr>
        <w:t>hilology of hamartia</w:t>
      </w:r>
    </w:p>
    <w:p w14:paraId="1A0EF858" w14:textId="18AE8C4A" w:rsidR="004D09ED" w:rsidRPr="00693DAA" w:rsidRDefault="004D09ED" w:rsidP="00F625D9">
      <w:pPr>
        <w:jc w:val="both"/>
      </w:pPr>
      <w:r>
        <w:t xml:space="preserve">When considering whether Oedipus committed </w:t>
      </w:r>
      <w:r w:rsidRPr="004D09ED">
        <w:rPr>
          <w:i/>
        </w:rPr>
        <w:t>hamartia</w:t>
      </w:r>
      <w:r>
        <w:t xml:space="preserve">, and thus was undeserving of his punishment, a philological examination of </w:t>
      </w:r>
      <w:r w:rsidRPr="00693DAA">
        <w:t xml:space="preserve">the term itself is necessary. The obvious benefit of starting with a linguistic analysis is that it offers a plethora of meanings spanning the entire history of the word’s usage. </w:t>
      </w:r>
      <w:r w:rsidR="00F354BC" w:rsidRPr="00693DAA">
        <w:t xml:space="preserve">Referring to Erin Roberts alongside philological databases such as </w:t>
      </w:r>
      <w:r w:rsidRPr="00693DAA">
        <w:t>XYZ</w:t>
      </w:r>
      <w:r w:rsidR="00F354BC" w:rsidRPr="00693DAA">
        <w:t xml:space="preserve"> will prove instructive here. Her commentary ‘focuses on the evolution of hamartia to show its semantic flexibility’</w:t>
      </w:r>
      <w:r w:rsidR="007C6B56" w:rsidRPr="00693DAA">
        <w:rPr>
          <w:rStyle w:val="FootnoteReference"/>
        </w:rPr>
        <w:footnoteReference w:id="1"/>
      </w:r>
      <w:r w:rsidR="00F354BC" w:rsidRPr="00693DAA">
        <w:t xml:space="preserve"> and it is the term’s elasticity which can, if not correctly understood, prove problematic.  Fortunately however, she charts the word’s use in Homer, where it simply means ‘miss something, to fall short, or go astray of a goal or target’</w:t>
      </w:r>
      <w:r w:rsidR="007C6B56" w:rsidRPr="00693DAA">
        <w:rPr>
          <w:rStyle w:val="FootnoteReference"/>
        </w:rPr>
        <w:footnoteReference w:id="2"/>
      </w:r>
      <w:r w:rsidR="00F354BC" w:rsidRPr="00693DAA">
        <w:t>, up until Aristotle, and in doing so, ‘reveals three main categories of meaning.’</w:t>
      </w:r>
      <w:r w:rsidR="007C6B56" w:rsidRPr="00693DAA">
        <w:rPr>
          <w:rStyle w:val="FootnoteReference"/>
        </w:rPr>
        <w:footnoteReference w:id="3"/>
      </w:r>
      <w:r w:rsidR="00F354BC" w:rsidRPr="00693DAA">
        <w:t xml:space="preserve"> Sifting through these, one can locate a point of </w:t>
      </w:r>
      <w:r w:rsidR="007C6B56" w:rsidRPr="00693DAA">
        <w:t>relevance</w:t>
      </w:r>
      <w:r w:rsidR="00F354BC" w:rsidRPr="00693DAA">
        <w:t xml:space="preserve"> in the 4</w:t>
      </w:r>
      <w:r w:rsidR="00F354BC" w:rsidRPr="00693DAA">
        <w:rPr>
          <w:vertAlign w:val="superscript"/>
        </w:rPr>
        <w:t>th</w:t>
      </w:r>
      <w:r w:rsidR="00F354BC" w:rsidRPr="00693DAA">
        <w:t xml:space="preserve"> century BCE, notably in Aristotle’s works, where hamartia</w:t>
      </w:r>
      <w:r w:rsidR="007C6B56" w:rsidRPr="00693DAA">
        <w:t xml:space="preserve"> resonates with ‘agency in a more sophisticated way.’</w:t>
      </w:r>
      <w:r w:rsidR="007C6B56" w:rsidRPr="00693DAA">
        <w:rPr>
          <w:rStyle w:val="FootnoteReference"/>
        </w:rPr>
        <w:footnoteReference w:id="4"/>
      </w:r>
      <w:r w:rsidR="007C6B56" w:rsidRPr="00693DAA">
        <w:t xml:space="preserve"> Th</w:t>
      </w:r>
      <w:r w:rsidR="00AE62E9" w:rsidRPr="00693DAA">
        <w:t>is</w:t>
      </w:r>
      <w:r w:rsidR="007C6B56" w:rsidRPr="00693DAA">
        <w:t xml:space="preserve"> introduction of agency in tandem with the notion of failure allows inquiry into Oedipus’ accountability for his own demise, whilst also appreciating that, to quote Nancy Sherman, tragedy ‘is about human action, its circumstances and errors.’</w:t>
      </w:r>
      <w:r w:rsidR="007C6B56" w:rsidRPr="00693DAA">
        <w:rPr>
          <w:rStyle w:val="FootnoteReference"/>
        </w:rPr>
        <w:footnoteReference w:id="5"/>
      </w:r>
      <w:r w:rsidR="007C6B56" w:rsidRPr="00693DAA">
        <w:t xml:space="preserve"> </w:t>
      </w:r>
      <w:r w:rsidR="00AE62E9" w:rsidRPr="00693DAA">
        <w:t>Thus, surveying the semantic lineage of hamartia reveals that it is only the word’s 4</w:t>
      </w:r>
      <w:r w:rsidR="00AE62E9" w:rsidRPr="00693DAA">
        <w:rPr>
          <w:vertAlign w:val="superscript"/>
        </w:rPr>
        <w:t>th</w:t>
      </w:r>
      <w:r w:rsidR="00AE62E9" w:rsidRPr="00693DAA">
        <w:t xml:space="preserve"> century BCE variant that really carries any tragic relevance.</w:t>
      </w:r>
    </w:p>
    <w:p w14:paraId="7B48AD2C" w14:textId="773517DA" w:rsidR="00AE62E9" w:rsidRDefault="00AE62E9" w:rsidP="00F625D9">
      <w:pPr>
        <w:jc w:val="both"/>
      </w:pPr>
      <w:r>
        <w:t xml:space="preserve">Another boon to starting with a semantic appraisal is that </w:t>
      </w:r>
      <w:r w:rsidR="00333D31">
        <w:t xml:space="preserve">it </w:t>
      </w:r>
      <w:r>
        <w:t xml:space="preserve">offers insight as to the practical usage of </w:t>
      </w:r>
      <w:r w:rsidRPr="00AE62E9">
        <w:rPr>
          <w:i/>
        </w:rPr>
        <w:t>hamartia</w:t>
      </w:r>
      <w:r>
        <w:t xml:space="preserve">. Eckart </w:t>
      </w:r>
      <w:proofErr w:type="spellStart"/>
      <w:r>
        <w:t>Schutrumpf</w:t>
      </w:r>
      <w:proofErr w:type="spellEnd"/>
      <w:r>
        <w:t xml:space="preserve"> points </w:t>
      </w:r>
      <w:r w:rsidRPr="008C2E80">
        <w:t xml:space="preserve">out that Aristotle’s use of </w:t>
      </w:r>
      <w:r w:rsidRPr="008C2E80">
        <w:rPr>
          <w:i/>
        </w:rPr>
        <w:t>hamartia</w:t>
      </w:r>
      <w:r w:rsidRPr="008C2E80">
        <w:t xml:space="preserve"> </w:t>
      </w:r>
      <w:r w:rsidR="0007109E" w:rsidRPr="008C2E80">
        <w:t xml:space="preserve">stems from ‘the discussion of criminal law in Plato’s </w:t>
      </w:r>
      <w:r w:rsidR="0007109E" w:rsidRPr="008C2E80">
        <w:rPr>
          <w:i/>
        </w:rPr>
        <w:t>Laws</w:t>
      </w:r>
      <w:r w:rsidR="0007109E" w:rsidRPr="008C2E80">
        <w:t>’</w:t>
      </w:r>
      <w:r w:rsidR="0007109E" w:rsidRPr="008C2E80">
        <w:rPr>
          <w:rStyle w:val="FootnoteReference"/>
        </w:rPr>
        <w:footnoteReference w:id="6"/>
      </w:r>
      <w:r w:rsidR="0007109E" w:rsidRPr="008C2E80">
        <w:t>. Understanding the contemporaneous legal use of the term informs us that the deciding as to whether Oedipus can</w:t>
      </w:r>
      <w:r w:rsidR="0007109E">
        <w:t xml:space="preserve"> </w:t>
      </w:r>
      <w:r w:rsidR="0007109E" w:rsidRPr="008C2E80">
        <w:t xml:space="preserve">be excused from patricide and incest </w:t>
      </w:r>
      <w:proofErr w:type="gramStart"/>
      <w:r w:rsidR="0007109E" w:rsidRPr="008C2E80">
        <w:t>on account of</w:t>
      </w:r>
      <w:proofErr w:type="gramEnd"/>
      <w:r w:rsidR="0007109E" w:rsidRPr="008C2E80">
        <w:t xml:space="preserve"> </w:t>
      </w:r>
      <w:r w:rsidR="0007109E" w:rsidRPr="008C2E80">
        <w:rPr>
          <w:i/>
        </w:rPr>
        <w:t>hamartia</w:t>
      </w:r>
      <w:r w:rsidR="0007109E" w:rsidRPr="008C2E80">
        <w:t xml:space="preserve"> should be a trial-like exercise. As </w:t>
      </w:r>
      <w:proofErr w:type="spellStart"/>
      <w:r w:rsidR="0007109E" w:rsidRPr="008C2E80">
        <w:t>Schutrumpf</w:t>
      </w:r>
      <w:proofErr w:type="spellEnd"/>
      <w:r w:rsidR="0007109E" w:rsidRPr="008C2E80">
        <w:t xml:space="preserve"> makes clear, the concept ‘presupposes criminal law and implies that the protagonist cannot be regarded as guilty in a legal sense’</w:t>
      </w:r>
      <w:r w:rsidR="0007109E" w:rsidRPr="008C2E80">
        <w:rPr>
          <w:rStyle w:val="FootnoteReference"/>
        </w:rPr>
        <w:footnoteReference w:id="7"/>
      </w:r>
      <w:r w:rsidR="0007109E" w:rsidRPr="008C2E80">
        <w:t xml:space="preserve">. </w:t>
      </w:r>
      <w:r w:rsidR="00095141" w:rsidRPr="008C2E80">
        <w:t>With the addition of this judicial framework, further legalese</w:t>
      </w:r>
      <w:r w:rsidR="00095141">
        <w:t xml:space="preserve"> can be sourced, such as </w:t>
      </w:r>
      <w:proofErr w:type="spellStart"/>
      <w:r w:rsidR="00095141">
        <w:t>Drakon’s</w:t>
      </w:r>
      <w:proofErr w:type="spellEnd"/>
      <w:r w:rsidR="00095141">
        <w:t xml:space="preserve"> law on homicide and other relevant laws pertaining to parricide and incest,</w:t>
      </w:r>
      <w:r w:rsidR="00095141">
        <w:rPr>
          <w:rStyle w:val="FootnoteReference"/>
        </w:rPr>
        <w:footnoteReference w:id="8"/>
      </w:r>
      <w:r w:rsidR="00095141">
        <w:t xml:space="preserve"> to refine the dissertation’s judgement of Oedipus’ conduct.</w:t>
      </w:r>
    </w:p>
    <w:p w14:paraId="3FBF7069" w14:textId="5F0701ED" w:rsidR="00095141" w:rsidRPr="008C2E80" w:rsidRDefault="00095141" w:rsidP="00F625D9">
      <w:pPr>
        <w:jc w:val="both"/>
      </w:pPr>
      <w:r w:rsidRPr="008C2E80">
        <w:t xml:space="preserve">The predominant weakness in using the philology of hamartia and </w:t>
      </w:r>
      <w:proofErr w:type="gramStart"/>
      <w:r w:rsidRPr="008C2E80">
        <w:t>its</w:t>
      </w:r>
      <w:proofErr w:type="gramEnd"/>
      <w:r w:rsidRPr="008C2E80">
        <w:t xml:space="preserve"> focusing on its more tragically relevant variant is that it omits any discussion of the overarching prophecy. As such, solely relying on this method does not engage with questions as to what extent Apollo’s prophecy impacted </w:t>
      </w:r>
      <w:r w:rsidR="00C6182D" w:rsidRPr="008C2E80">
        <w:t xml:space="preserve">upon Oedipus’ behaviour. In short, this approach side-steps the contentious free-will and determinism </w:t>
      </w:r>
      <w:r w:rsidR="00C6182D" w:rsidRPr="008C2E80">
        <w:lastRenderedPageBreak/>
        <w:t xml:space="preserve">debate that has been a staple of the criticism of the play. Interestingly, in the aforementioned </w:t>
      </w:r>
      <w:proofErr w:type="gramStart"/>
      <w:r w:rsidR="00C6182D" w:rsidRPr="008C2E80">
        <w:t>works  of</w:t>
      </w:r>
      <w:proofErr w:type="gramEnd"/>
      <w:r w:rsidR="00C6182D" w:rsidRPr="008C2E80">
        <w:t xml:space="preserve"> Nancy Sherman and Erin Roberts, neither critic </w:t>
      </w:r>
      <w:r w:rsidR="00390691" w:rsidRPr="008C2E80">
        <w:t xml:space="preserve">has recognised the possibility that </w:t>
      </w:r>
      <w:r w:rsidR="00C6182D" w:rsidRPr="008C2E80">
        <w:rPr>
          <w:i/>
        </w:rPr>
        <w:t>hamartia</w:t>
      </w:r>
      <w:r w:rsidR="00C6182D" w:rsidRPr="008C2E80">
        <w:t xml:space="preserve"> may be unfit to grapple with </w:t>
      </w:r>
      <w:r w:rsidR="00390691" w:rsidRPr="008C2E80">
        <w:t xml:space="preserve">Apollo’s scripting of Oedipus’ actions. For example, whilst </w:t>
      </w:r>
      <w:r w:rsidR="00194D24" w:rsidRPr="008C2E80">
        <w:t xml:space="preserve">Sherman is right in saying </w:t>
      </w:r>
      <w:r w:rsidR="00390691" w:rsidRPr="008C2E80">
        <w:t>that tragic hamartia insists that ‘the agent chooses’ and ‘chooses in a way that leads to calamity’,</w:t>
      </w:r>
      <w:r w:rsidR="00390691" w:rsidRPr="008C2E80">
        <w:rPr>
          <w:rStyle w:val="FootnoteReference"/>
        </w:rPr>
        <w:footnoteReference w:id="9"/>
      </w:r>
      <w:r w:rsidR="00390691" w:rsidRPr="008C2E80">
        <w:t xml:space="preserve"> she </w:t>
      </w:r>
      <w:r w:rsidR="00194D24" w:rsidRPr="008C2E80">
        <w:t xml:space="preserve">ignores how Apollo’s foretelling may have rendered Oedipus choice void </w:t>
      </w:r>
      <w:r w:rsidR="00194D24" w:rsidRPr="008C2E80">
        <w:rPr>
          <w:i/>
        </w:rPr>
        <w:t>ab initio</w:t>
      </w:r>
      <w:r w:rsidR="00194D24" w:rsidRPr="008C2E80">
        <w:t>. Roberts does likewise with her adamant assertion that Oedipus ‘intentionally killed a stranger who turned out to be his father’</w:t>
      </w:r>
      <w:r w:rsidR="00194D24" w:rsidRPr="008C2E80">
        <w:rPr>
          <w:rStyle w:val="FootnoteReference"/>
        </w:rPr>
        <w:footnoteReference w:id="10"/>
      </w:r>
      <w:r w:rsidR="00194D24" w:rsidRPr="008C2E80">
        <w:t>; neither here nor elsewhere in the article does she qualify this with a discussion of Apollo.</w:t>
      </w:r>
    </w:p>
    <w:p w14:paraId="2521ECB0" w14:textId="77777777" w:rsidR="00095141" w:rsidRDefault="00095141" w:rsidP="004D09ED"/>
    <w:p w14:paraId="60340914" w14:textId="3EA20324" w:rsidR="00132F37" w:rsidRPr="00132F37" w:rsidRDefault="00132F37">
      <w:pPr>
        <w:rPr>
          <w:b/>
          <w:u w:val="single"/>
        </w:rPr>
      </w:pPr>
      <w:r w:rsidRPr="00132F37">
        <w:rPr>
          <w:b/>
          <w:i/>
          <w:u w:val="single"/>
        </w:rPr>
        <w:t>Poetics</w:t>
      </w:r>
      <w:r w:rsidRPr="00132F37">
        <w:rPr>
          <w:b/>
          <w:u w:val="single"/>
        </w:rPr>
        <w:t xml:space="preserve"> by Aristotle</w:t>
      </w:r>
    </w:p>
    <w:p w14:paraId="16D6353C" w14:textId="3FE55A09" w:rsidR="00BF58BC" w:rsidRPr="000E4672" w:rsidRDefault="00C20FED" w:rsidP="00F625D9">
      <w:pPr>
        <w:jc w:val="both"/>
      </w:pPr>
      <w:r w:rsidRPr="000E4672">
        <w:t xml:space="preserve">Undoubtedly, the key benefit of using the </w:t>
      </w:r>
      <w:r w:rsidRPr="000E4672">
        <w:rPr>
          <w:i/>
        </w:rPr>
        <w:t>Poetics</w:t>
      </w:r>
      <w:r w:rsidRPr="000E4672">
        <w:t xml:space="preserve"> is that it</w:t>
      </w:r>
      <w:r w:rsidR="00BF58BC" w:rsidRPr="000E4672">
        <w:t xml:space="preserve"> allows one to explore whether </w:t>
      </w:r>
      <w:r w:rsidR="00BF58BC" w:rsidRPr="000E4672">
        <w:rPr>
          <w:i/>
        </w:rPr>
        <w:t>hamartia</w:t>
      </w:r>
      <w:r w:rsidR="00BF58BC" w:rsidRPr="000E4672">
        <w:t xml:space="preserve"> best describes Oedipus’ central acts by reference to Aristotle’s own opinions on the term’s function within the tragic genre. Using the </w:t>
      </w:r>
      <w:r w:rsidR="00BF58BC" w:rsidRPr="000E4672">
        <w:rPr>
          <w:i/>
        </w:rPr>
        <w:t>Poetics</w:t>
      </w:r>
      <w:r w:rsidR="00BF58BC" w:rsidRPr="000E4672">
        <w:t xml:space="preserve"> allows one to understand an utterly crucial point: that for Aristotle, the error implied by </w:t>
      </w:r>
      <w:r w:rsidR="00BF58BC" w:rsidRPr="000E4672">
        <w:rPr>
          <w:i/>
        </w:rPr>
        <w:t>hamartia</w:t>
      </w:r>
      <w:r w:rsidR="00BF58BC" w:rsidRPr="000E4672">
        <w:t xml:space="preserve"> absolutely was not a moral </w:t>
      </w:r>
      <w:r w:rsidR="00E57E54" w:rsidRPr="000E4672">
        <w:t>issue. As he himself argued, ‘The theoretically best tragedy, then, has a plot of this description, that is a plot with a single issue in which the change in the hero’s fortunes is from happiness to misery, not through an</w:t>
      </w:r>
      <w:bookmarkStart w:id="2" w:name="_GoBack"/>
      <w:bookmarkEnd w:id="2"/>
      <w:r w:rsidR="00E57E54" w:rsidRPr="000E4672">
        <w:t>y depravity but because of ‘some great error on his part’’.</w:t>
      </w:r>
      <w:r w:rsidR="00E57E54" w:rsidRPr="000E4672">
        <w:rPr>
          <w:rStyle w:val="FootnoteReference"/>
        </w:rPr>
        <w:footnoteReference w:id="11"/>
      </w:r>
      <w:r w:rsidR="00E57E54" w:rsidRPr="000E4672">
        <w:t xml:space="preserve"> For Aristotle, tragedy and thus an individual’s undeserved suffering is not caused by an immoral or unethical deed (which presumably would make them blameworthy), but an amoral and non-ethical miscalculation. Appreciating this will allow a more accurate scrutiny of Oedipus’ behaviour using Aristotle’s own criteria.</w:t>
      </w:r>
    </w:p>
    <w:p w14:paraId="47353940" w14:textId="4D21AEA1" w:rsidR="00280FD7" w:rsidRPr="000E4672" w:rsidRDefault="00E641AF" w:rsidP="00F625D9">
      <w:pPr>
        <w:jc w:val="both"/>
      </w:pPr>
      <w:r w:rsidRPr="000E4672">
        <w:t>Although</w:t>
      </w:r>
      <w:r w:rsidR="00CC64E0" w:rsidRPr="000E4672">
        <w:t xml:space="preserve"> scholars have tended to endorse the </w:t>
      </w:r>
      <w:r w:rsidR="00CC64E0" w:rsidRPr="000E4672">
        <w:rPr>
          <w:i/>
        </w:rPr>
        <w:t>Poetics</w:t>
      </w:r>
      <w:r w:rsidR="00CC64E0" w:rsidRPr="000E4672">
        <w:t>, it does have</w:t>
      </w:r>
      <w:r w:rsidR="00E57E54" w:rsidRPr="000E4672">
        <w:t xml:space="preserve"> several flaws. Chief among them is that </w:t>
      </w:r>
      <w:r w:rsidR="00B43214" w:rsidRPr="000E4672">
        <w:t xml:space="preserve">its definition of </w:t>
      </w:r>
      <w:r w:rsidR="00B43214" w:rsidRPr="000E4672">
        <w:rPr>
          <w:i/>
        </w:rPr>
        <w:t>hamartia</w:t>
      </w:r>
      <w:r w:rsidR="00B43214" w:rsidRPr="000E4672">
        <w:t xml:space="preserve"> is vague at best. The fact that, as </w:t>
      </w:r>
      <w:proofErr w:type="spellStart"/>
      <w:r w:rsidR="00B43214" w:rsidRPr="000E4672">
        <w:t>Schutrumpf</w:t>
      </w:r>
      <w:proofErr w:type="spellEnd"/>
      <w:r w:rsidR="00B43214" w:rsidRPr="000E4672">
        <w:t xml:space="preserve"> points out, ‘it is impossible to explain the meaning of hamartia in the Poetics </w:t>
      </w:r>
      <w:proofErr w:type="gramStart"/>
      <w:r w:rsidR="00B43214" w:rsidRPr="000E4672">
        <w:t>on the basis of</w:t>
      </w:r>
      <w:proofErr w:type="gramEnd"/>
      <w:r w:rsidR="00B43214" w:rsidRPr="000E4672">
        <w:t xml:space="preserve"> the word’s history,’</w:t>
      </w:r>
      <w:r w:rsidR="00B43214" w:rsidRPr="000E4672">
        <w:rPr>
          <w:rStyle w:val="FootnoteReference"/>
        </w:rPr>
        <w:footnoteReference w:id="12"/>
      </w:r>
      <w:r w:rsidR="00B43214" w:rsidRPr="000E4672">
        <w:t xml:space="preserve"> and thus difficult to know truly how to apply it. Moreover, it seems improbable that a man with the intelligence to solve the Sphinx’s riddle lacked the constructive knowledge to deduce the risk in slaying a man older than himself and marrying an older woman, and that he simply erred in committing both. While this can </w:t>
      </w:r>
      <w:r w:rsidR="00881C51" w:rsidRPr="000E4672">
        <w:t xml:space="preserve">be </w:t>
      </w:r>
      <w:r w:rsidR="00B43214" w:rsidRPr="000E4672">
        <w:t>interpreted as dramatic irony</w:t>
      </w:r>
      <w:r w:rsidR="00881C51" w:rsidRPr="000E4672">
        <w:t xml:space="preserve">, it may be the case that Oedipus discarded all thoughts of </w:t>
      </w:r>
      <w:r w:rsidR="00442E7D" w:rsidRPr="000E4672">
        <w:t xml:space="preserve">prophetic </w:t>
      </w:r>
      <w:r w:rsidR="00881C51" w:rsidRPr="000E4672">
        <w:t xml:space="preserve">risk, and at one moment angrily slaughtered Laius’ party for their insult, and at another proudly married queen Jocasta, </w:t>
      </w:r>
      <w:proofErr w:type="gramStart"/>
      <w:r w:rsidR="00881C51" w:rsidRPr="000E4672">
        <w:t>in order to</w:t>
      </w:r>
      <w:proofErr w:type="gramEnd"/>
      <w:r w:rsidR="00881C51" w:rsidRPr="000E4672">
        <w:t xml:space="preserve"> restore the regal nobility that he had lost in departing Corinth. This point has received little to no academic commentary. </w:t>
      </w:r>
      <w:r w:rsidR="00BE1DFC" w:rsidRPr="000E4672">
        <w:t xml:space="preserve">If Oedipus did </w:t>
      </w:r>
      <w:r w:rsidR="00442E7D" w:rsidRPr="000E4672">
        <w:t xml:space="preserve">forgo sensible thinking in favour </w:t>
      </w:r>
      <w:r w:rsidR="00BE1DFC" w:rsidRPr="000E4672">
        <w:t xml:space="preserve">of such intemperate emotions, it would be hard to not view his </w:t>
      </w:r>
      <w:r w:rsidR="00596FAB" w:rsidRPr="000E4672">
        <w:t>choices</w:t>
      </w:r>
      <w:r w:rsidR="00BE1DFC" w:rsidRPr="000E4672">
        <w:t xml:space="preserve"> as </w:t>
      </w:r>
      <w:r w:rsidR="00C55D0C" w:rsidRPr="000E4672">
        <w:t>somewhat informed, reckless</w:t>
      </w:r>
      <w:r w:rsidR="00442E7D" w:rsidRPr="000E4672">
        <w:t xml:space="preserve"> and thus not </w:t>
      </w:r>
      <w:r w:rsidR="00442E7D" w:rsidRPr="000E4672">
        <w:rPr>
          <w:i/>
        </w:rPr>
        <w:t>hamartia</w:t>
      </w:r>
      <w:r w:rsidR="00BE1DFC" w:rsidRPr="000E4672">
        <w:t xml:space="preserve">. </w:t>
      </w:r>
      <w:r w:rsidR="00442E7D" w:rsidRPr="000E4672">
        <w:t xml:space="preserve">If so, it then would be hard to deliberate </w:t>
      </w:r>
      <w:r w:rsidR="00203262" w:rsidRPr="000E4672">
        <w:t xml:space="preserve">as to whether Oedipus is a tragic figure </w:t>
      </w:r>
      <w:r w:rsidR="00442E7D" w:rsidRPr="000E4672">
        <w:t xml:space="preserve">by solely focusing on the decline of his fortunes, as Aristotle theorised, </w:t>
      </w:r>
      <w:r w:rsidR="00203262" w:rsidRPr="000E4672">
        <w:t xml:space="preserve">without weighing this against </w:t>
      </w:r>
      <w:r w:rsidR="000352E6" w:rsidRPr="000E4672">
        <w:t xml:space="preserve">his </w:t>
      </w:r>
      <w:r w:rsidR="00203262" w:rsidRPr="000E4672">
        <w:t>moral failings. As Philip Tonner mentions, Oedipus’ grief at the play’s end ‘is not about the act of committing an intended killing. Rather it is about his ignorance regarding the identity of his victim.’</w:t>
      </w:r>
      <w:r w:rsidR="00203262" w:rsidRPr="000E4672">
        <w:rPr>
          <w:rStyle w:val="FootnoteReference"/>
        </w:rPr>
        <w:footnoteReference w:id="13"/>
      </w:r>
      <w:r w:rsidR="00203262" w:rsidRPr="000E4672">
        <w:t xml:space="preserve"> </w:t>
      </w:r>
      <w:r w:rsidR="000352E6" w:rsidRPr="000E4672">
        <w:t xml:space="preserve">In other words, Oedipus did not regret his several retaliatory and disproportionate murders, but rather just laments that his father was amongst them. </w:t>
      </w:r>
      <w:r w:rsidR="00203262" w:rsidRPr="000E4672">
        <w:t xml:space="preserve">Although one may retort that, as Tonner </w:t>
      </w:r>
      <w:r w:rsidR="000352E6" w:rsidRPr="000E4672">
        <w:t>explains</w:t>
      </w:r>
      <w:r w:rsidR="00203262" w:rsidRPr="000E4672">
        <w:t>, this ‘act of intended killing is not necessarily problematic on an Aristotelian account of noble character’,</w:t>
      </w:r>
      <w:r w:rsidR="00203262" w:rsidRPr="000E4672">
        <w:rPr>
          <w:rStyle w:val="FootnoteReference"/>
        </w:rPr>
        <w:footnoteReference w:id="14"/>
      </w:r>
      <w:r w:rsidR="00203262" w:rsidRPr="000E4672">
        <w:t xml:space="preserve"> it may </w:t>
      </w:r>
      <w:r w:rsidR="000352E6" w:rsidRPr="000E4672">
        <w:t xml:space="preserve">also </w:t>
      </w:r>
      <w:r w:rsidR="00203262" w:rsidRPr="000E4672">
        <w:t xml:space="preserve">be worth examining whether Aristotle’s </w:t>
      </w:r>
      <w:r w:rsidR="00AC7703" w:rsidRPr="000E4672">
        <w:t>heroism</w:t>
      </w:r>
      <w:r w:rsidR="00203262" w:rsidRPr="000E4672">
        <w:t xml:space="preserve"> is somewhat un-tragic.</w:t>
      </w:r>
      <w:r w:rsidR="00203262" w:rsidRPr="000E4672">
        <w:rPr>
          <w:rStyle w:val="FootnoteReference"/>
        </w:rPr>
        <w:footnoteReference w:id="15"/>
      </w:r>
      <w:r w:rsidR="0072188C" w:rsidRPr="000E4672">
        <w:t xml:space="preserve"> Lastly, the </w:t>
      </w:r>
      <w:r w:rsidR="0072188C" w:rsidRPr="000E4672">
        <w:rPr>
          <w:i/>
        </w:rPr>
        <w:t>Poetics</w:t>
      </w:r>
      <w:r w:rsidR="0072188C" w:rsidRPr="000E4672">
        <w:t xml:space="preserve"> makes no mention of whether Apollo deprived Oedipus of free-will however critics like David Kovacs have written extensively on this issue.</w:t>
      </w:r>
      <w:r w:rsidR="0072188C" w:rsidRPr="000E4672">
        <w:rPr>
          <w:rStyle w:val="FootnoteReference"/>
        </w:rPr>
        <w:footnoteReference w:id="16"/>
      </w:r>
    </w:p>
    <w:p w14:paraId="454BB2D0" w14:textId="77777777" w:rsidR="00F952B4" w:rsidRPr="00F952B4" w:rsidRDefault="00F952B4" w:rsidP="000D304F"/>
    <w:p w14:paraId="25B2A128" w14:textId="3F4C9205" w:rsidR="00132F37" w:rsidRPr="00132F37" w:rsidRDefault="00132F37" w:rsidP="00132F37">
      <w:pPr>
        <w:rPr>
          <w:b/>
          <w:u w:val="single"/>
        </w:rPr>
      </w:pPr>
      <w:r w:rsidRPr="00132F37">
        <w:rPr>
          <w:b/>
          <w:i/>
          <w:u w:val="single"/>
        </w:rPr>
        <w:t>The Nicomachean Ethics</w:t>
      </w:r>
      <w:r w:rsidRPr="00132F37">
        <w:rPr>
          <w:b/>
          <w:u w:val="single"/>
        </w:rPr>
        <w:t xml:space="preserve"> by Aristotle</w:t>
      </w:r>
    </w:p>
    <w:p w14:paraId="5CD806D5" w14:textId="77777777" w:rsidR="00A00C6A" w:rsidRPr="000E4672" w:rsidRDefault="00273987" w:rsidP="00A00C6A">
      <w:pPr>
        <w:jc w:val="both"/>
      </w:pPr>
      <w:r w:rsidRPr="000E4672">
        <w:t xml:space="preserve">The </w:t>
      </w:r>
      <w:r w:rsidRPr="000E4672">
        <w:rPr>
          <w:i/>
        </w:rPr>
        <w:t>Ethics</w:t>
      </w:r>
      <w:r w:rsidRPr="000E4672">
        <w:t xml:space="preserve"> are especially useful as </w:t>
      </w:r>
      <w:r w:rsidR="009C66FF" w:rsidRPr="000E4672">
        <w:t>Aristotle</w:t>
      </w:r>
      <w:r w:rsidRPr="000E4672">
        <w:t xml:space="preserve"> flesh</w:t>
      </w:r>
      <w:r w:rsidR="009C66FF" w:rsidRPr="000E4672">
        <w:t>es</w:t>
      </w:r>
      <w:r w:rsidR="00E36AFC" w:rsidRPr="000E4672">
        <w:t xml:space="preserve"> out</w:t>
      </w:r>
      <w:r w:rsidRPr="000E4672">
        <w:t xml:space="preserve"> the thin definition of </w:t>
      </w:r>
      <w:r w:rsidRPr="000E4672">
        <w:rPr>
          <w:i/>
        </w:rPr>
        <w:t>hamartia</w:t>
      </w:r>
      <w:r w:rsidRPr="000E4672">
        <w:t xml:space="preserve"> in the </w:t>
      </w:r>
      <w:r w:rsidRPr="000E4672">
        <w:rPr>
          <w:i/>
        </w:rPr>
        <w:t>Poetics</w:t>
      </w:r>
      <w:r w:rsidR="009C66FF" w:rsidRPr="000E4672">
        <w:t xml:space="preserve">. He says that </w:t>
      </w:r>
      <w:r w:rsidR="009C66FF" w:rsidRPr="000E4672">
        <w:rPr>
          <w:i/>
        </w:rPr>
        <w:t>hamartia</w:t>
      </w:r>
      <w:r w:rsidR="009C66FF" w:rsidRPr="000E4672">
        <w:t xml:space="preserve"> occurs ‘in cases where ignorance is a factor’ and when the harm ‘could reasonably have been </w:t>
      </w:r>
      <w:proofErr w:type="gramStart"/>
      <w:r w:rsidR="009C66FF" w:rsidRPr="000E4672">
        <w:t>expected, but</w:t>
      </w:r>
      <w:proofErr w:type="gramEnd"/>
      <w:r w:rsidR="009C66FF" w:rsidRPr="000E4672">
        <w:t xml:space="preserve"> is inflicted without bad intent’.</w:t>
      </w:r>
      <w:r w:rsidR="009C66FF" w:rsidRPr="000E4672">
        <w:rPr>
          <w:rStyle w:val="FootnoteReference"/>
        </w:rPr>
        <w:footnoteReference w:id="17"/>
      </w:r>
      <w:r w:rsidR="009C66FF" w:rsidRPr="000E4672">
        <w:t xml:space="preserve"> </w:t>
      </w:r>
      <w:r w:rsidR="00B073EA" w:rsidRPr="000E4672">
        <w:t xml:space="preserve">Moreover, the commentary on this aspect of the </w:t>
      </w:r>
      <w:r w:rsidR="00B073EA" w:rsidRPr="000E4672">
        <w:rPr>
          <w:i/>
        </w:rPr>
        <w:t>Ethics</w:t>
      </w:r>
      <w:r w:rsidR="00B073EA" w:rsidRPr="000E4672">
        <w:t xml:space="preserve"> is especially useful. Sherman </w:t>
      </w:r>
      <w:r w:rsidR="00A00C6A" w:rsidRPr="000E4672">
        <w:t>surmises that</w:t>
      </w:r>
      <w:r w:rsidR="00B073EA" w:rsidRPr="000E4672">
        <w:t xml:space="preserve"> </w:t>
      </w:r>
      <w:r w:rsidR="00B073EA" w:rsidRPr="000E4672">
        <w:rPr>
          <w:i/>
        </w:rPr>
        <w:t>hamartia</w:t>
      </w:r>
      <w:r w:rsidR="00B073EA" w:rsidRPr="000E4672">
        <w:t xml:space="preserve"> ‘is a kind of culpable negligence’ and ‘a failure to take care, a reproachable ignorance’</w:t>
      </w:r>
      <w:r w:rsidR="00A00C6A" w:rsidRPr="000E4672">
        <w:t>,</w:t>
      </w:r>
      <w:r w:rsidR="00B073EA" w:rsidRPr="000E4672">
        <w:rPr>
          <w:rStyle w:val="FootnoteReference"/>
        </w:rPr>
        <w:footnoteReference w:id="18"/>
      </w:r>
      <w:r w:rsidR="00B073EA" w:rsidRPr="000E4672">
        <w:t xml:space="preserve"> </w:t>
      </w:r>
      <w:r w:rsidR="00A00C6A" w:rsidRPr="000E4672">
        <w:t xml:space="preserve">and Gerald </w:t>
      </w:r>
      <w:proofErr w:type="spellStart"/>
      <w:r w:rsidR="00A00C6A" w:rsidRPr="000E4672">
        <w:t>Gresseth</w:t>
      </w:r>
      <w:proofErr w:type="spellEnd"/>
      <w:r w:rsidR="00A00C6A" w:rsidRPr="000E4672">
        <w:t xml:space="preserve"> adds that ‘The more proper term for reprehensible acts, though not done by a person with a fixed disposition towards evil, is </w:t>
      </w:r>
      <w:r w:rsidR="00A00C6A" w:rsidRPr="000E4672">
        <w:rPr>
          <w:i/>
        </w:rPr>
        <w:t>hamartia</w:t>
      </w:r>
      <w:r w:rsidR="00A00C6A" w:rsidRPr="000E4672">
        <w:t xml:space="preserve">.’ </w:t>
      </w:r>
      <w:r w:rsidR="00B073EA" w:rsidRPr="000E4672">
        <w:t xml:space="preserve">Aristotle goes further still by placing </w:t>
      </w:r>
      <w:r w:rsidR="00B073EA" w:rsidRPr="000E4672">
        <w:rPr>
          <w:i/>
        </w:rPr>
        <w:t>hamartia</w:t>
      </w:r>
      <w:r w:rsidR="00B073EA" w:rsidRPr="000E4672">
        <w:t xml:space="preserve"> within a hierarchy of acts according to their ethical severity: accidents, errors (hamartia) and wrongdoings.</w:t>
      </w:r>
      <w:r w:rsidR="00B073EA" w:rsidRPr="000E4672">
        <w:rPr>
          <w:rStyle w:val="FootnoteReference"/>
        </w:rPr>
        <w:footnoteReference w:id="19"/>
      </w:r>
      <w:r w:rsidR="00B073EA" w:rsidRPr="000E4672">
        <w:t xml:space="preserve"> He </w:t>
      </w:r>
      <w:r w:rsidR="000A24EE" w:rsidRPr="000E4672">
        <w:t xml:space="preserve">considers </w:t>
      </w:r>
      <w:r w:rsidR="000A24EE" w:rsidRPr="000E4672">
        <w:rPr>
          <w:i/>
        </w:rPr>
        <w:t>hamartia</w:t>
      </w:r>
      <w:r w:rsidR="000A24EE" w:rsidRPr="000E4672">
        <w:t xml:space="preserve"> more severe than an accident where ‘the harm occurs contrary to reasonable expectation’, but less severe than a wrongdoing where ‘the harm is inflicted as a result of decision’.</w:t>
      </w:r>
      <w:r w:rsidR="000A24EE" w:rsidRPr="000E4672">
        <w:rPr>
          <w:rStyle w:val="FootnoteReference"/>
        </w:rPr>
        <w:footnoteReference w:id="20"/>
      </w:r>
      <w:r w:rsidR="009E5CC1" w:rsidRPr="000E4672">
        <w:t xml:space="preserve"> This ranking system in tandem with the expanded definition of </w:t>
      </w:r>
      <w:r w:rsidR="009E5CC1" w:rsidRPr="000E4672">
        <w:rPr>
          <w:i/>
        </w:rPr>
        <w:t>hamartia</w:t>
      </w:r>
      <w:r w:rsidR="009E5CC1" w:rsidRPr="000E4672">
        <w:t xml:space="preserve"> is invaluable to this inquiry as it makes clear that Oedipus, rather than maliciously committing patricide and incest, would have </w:t>
      </w:r>
      <w:r w:rsidR="00A00C6A" w:rsidRPr="000E4672">
        <w:t xml:space="preserve">had </w:t>
      </w:r>
      <w:r w:rsidR="009E5CC1" w:rsidRPr="000E4672">
        <w:t xml:space="preserve">to have been entirely ignorant of the risk that these acts could occur to be excused as having committed </w:t>
      </w:r>
      <w:r w:rsidR="009E5CC1" w:rsidRPr="000E4672">
        <w:rPr>
          <w:i/>
        </w:rPr>
        <w:t>hamartia</w:t>
      </w:r>
      <w:r w:rsidR="009E5CC1" w:rsidRPr="000E4672">
        <w:t xml:space="preserve">. </w:t>
      </w:r>
    </w:p>
    <w:p w14:paraId="048FCF08" w14:textId="17D544E5" w:rsidR="009C66FF" w:rsidRPr="000E4672" w:rsidRDefault="00A00C6A" w:rsidP="00A00C6A">
      <w:pPr>
        <w:jc w:val="both"/>
        <w:rPr>
          <w:rFonts w:cstheme="minorHAnsi"/>
        </w:rPr>
      </w:pPr>
      <w:r w:rsidRPr="000E4672">
        <w:t xml:space="preserve">This may prove to not be the case if Oedipus is deemed to have </w:t>
      </w:r>
      <w:r w:rsidR="0006468B" w:rsidRPr="000E4672">
        <w:t>angrily dismiss</w:t>
      </w:r>
      <w:r w:rsidR="00846D01" w:rsidRPr="000E4672">
        <w:t>ed</w:t>
      </w:r>
      <w:r w:rsidR="0006468B" w:rsidRPr="000E4672">
        <w:t xml:space="preserve"> his </w:t>
      </w:r>
      <w:r w:rsidRPr="000E4672">
        <w:t>constructive knowledge of the risks</w:t>
      </w:r>
      <w:r w:rsidR="00846D01" w:rsidRPr="000E4672">
        <w:t xml:space="preserve"> posed by the prophecy</w:t>
      </w:r>
      <w:r w:rsidR="0006468B" w:rsidRPr="000E4672">
        <w:t>, acquired</w:t>
      </w:r>
      <w:r w:rsidRPr="000E4672">
        <w:t xml:space="preserve"> by virtue of the short time period between his receipt of the prophecy and his committal of the acts, the obvious peril inherent in interacting with an older man and woman in the </w:t>
      </w:r>
      <w:r w:rsidR="00846D01" w:rsidRPr="000E4672">
        <w:t>foretold</w:t>
      </w:r>
      <w:r w:rsidRPr="000E4672">
        <w:t xml:space="preserve"> way, and his vast intelligence. The </w:t>
      </w:r>
      <w:r w:rsidRPr="000E4672">
        <w:rPr>
          <w:i/>
        </w:rPr>
        <w:t>Ethics</w:t>
      </w:r>
      <w:r w:rsidRPr="000E4672">
        <w:t xml:space="preserve"> aids in determining this point as it </w:t>
      </w:r>
      <w:r w:rsidR="006170CF" w:rsidRPr="000E4672">
        <w:t xml:space="preserve">explains that one would need to act in </w:t>
      </w:r>
      <w:r w:rsidR="0006468B" w:rsidRPr="000E4672">
        <w:t xml:space="preserve">total </w:t>
      </w:r>
      <w:r w:rsidR="006170CF" w:rsidRPr="000E4672">
        <w:t xml:space="preserve">ignorance of the immediate circumstances and thus be acting </w:t>
      </w:r>
      <w:r w:rsidR="00846D01" w:rsidRPr="000E4672">
        <w:t>because</w:t>
      </w:r>
      <w:r w:rsidR="006170CF" w:rsidRPr="000E4672">
        <w:t xml:space="preserve"> of ignorance, with it being the cause of the error.</w:t>
      </w:r>
      <w:r w:rsidR="006170CF" w:rsidRPr="000E4672">
        <w:rPr>
          <w:rStyle w:val="FootnoteReference"/>
        </w:rPr>
        <w:footnoteReference w:id="21"/>
      </w:r>
      <w:r w:rsidR="006170CF" w:rsidRPr="000E4672">
        <w:t xml:space="preserve"> However, this does not see</w:t>
      </w:r>
      <w:r w:rsidR="0006468B" w:rsidRPr="000E4672">
        <w:t>m to apply</w:t>
      </w:r>
      <w:r w:rsidRPr="000E4672">
        <w:t xml:space="preserve"> </w:t>
      </w:r>
      <w:r w:rsidR="001F5059" w:rsidRPr="000E4672">
        <w:t>Oedipus</w:t>
      </w:r>
      <w:r w:rsidR="0006468B" w:rsidRPr="000E4672">
        <w:t xml:space="preserve">’ highway rage. The </w:t>
      </w:r>
      <w:r w:rsidR="0006468B" w:rsidRPr="000E4672">
        <w:rPr>
          <w:i/>
        </w:rPr>
        <w:t>Ethics</w:t>
      </w:r>
      <w:r w:rsidR="0006468B" w:rsidRPr="000E4672">
        <w:t xml:space="preserve"> makes clear, as T.C.W. Swinton relates, that </w:t>
      </w:r>
      <w:bookmarkStart w:id="6" w:name="_Hlk535172389"/>
      <w:r w:rsidR="0006468B" w:rsidRPr="000E4672">
        <w:t xml:space="preserve">‘Acts done through ignorance are unintentional unless […] the ignorance is the result of some </w:t>
      </w:r>
      <w:r w:rsidR="0006468B" w:rsidRPr="000E4672">
        <w:rPr>
          <w:rFonts w:cstheme="minorHAnsi"/>
        </w:rPr>
        <w:t>π</w:t>
      </w:r>
      <w:proofErr w:type="spellStart"/>
      <w:r w:rsidR="0006468B" w:rsidRPr="000E4672">
        <w:rPr>
          <w:rFonts w:cstheme="minorHAnsi"/>
        </w:rPr>
        <w:t>άθος</w:t>
      </w:r>
      <w:proofErr w:type="spellEnd"/>
      <w:r w:rsidR="0006468B" w:rsidRPr="000E4672">
        <w:rPr>
          <w:rFonts w:cstheme="minorHAnsi"/>
        </w:rPr>
        <w:t xml:space="preserve">, e.g. drunkenness or anger, in which case the agent acts not </w:t>
      </w:r>
      <w:r w:rsidR="0006468B" w:rsidRPr="000E4672">
        <w:rPr>
          <w:rFonts w:cstheme="minorHAnsi"/>
          <w:i/>
        </w:rPr>
        <w:t>through</w:t>
      </w:r>
      <w:r w:rsidR="0006468B" w:rsidRPr="000E4672">
        <w:rPr>
          <w:rFonts w:cstheme="minorHAnsi"/>
        </w:rPr>
        <w:t xml:space="preserve"> ignorance but </w:t>
      </w:r>
      <w:r w:rsidR="0006468B" w:rsidRPr="000E4672">
        <w:rPr>
          <w:rFonts w:cstheme="minorHAnsi"/>
          <w:i/>
        </w:rPr>
        <w:t>in</w:t>
      </w:r>
      <w:r w:rsidR="0006468B" w:rsidRPr="000E4672">
        <w:rPr>
          <w:rFonts w:cstheme="minorHAnsi"/>
        </w:rPr>
        <w:t xml:space="preserve"> ignorance’.</w:t>
      </w:r>
      <w:r w:rsidR="0006468B" w:rsidRPr="000E4672">
        <w:rPr>
          <w:rStyle w:val="FootnoteReference"/>
          <w:rFonts w:cstheme="minorHAnsi"/>
        </w:rPr>
        <w:footnoteReference w:id="22"/>
      </w:r>
      <w:r w:rsidR="0006468B" w:rsidRPr="000E4672">
        <w:rPr>
          <w:rFonts w:cstheme="minorHAnsi"/>
        </w:rPr>
        <w:t xml:space="preserve"> </w:t>
      </w:r>
      <w:bookmarkEnd w:id="6"/>
      <w:r w:rsidR="00846D01" w:rsidRPr="000E4672">
        <w:rPr>
          <w:rFonts w:cstheme="minorHAnsi"/>
        </w:rPr>
        <w:t xml:space="preserve">Thus, arguments like Sherman’s that </w:t>
      </w:r>
      <w:bookmarkStart w:id="8" w:name="_Hlk535172308"/>
      <w:r w:rsidR="00846D01" w:rsidRPr="000E4672">
        <w:rPr>
          <w:rFonts w:cstheme="minorHAnsi"/>
        </w:rPr>
        <w:t xml:space="preserve">‘Oedipus acts out of an ignorance that is stultifying’ </w:t>
      </w:r>
      <w:bookmarkEnd w:id="8"/>
      <w:r w:rsidR="00846D01" w:rsidRPr="000E4672">
        <w:rPr>
          <w:rFonts w:cstheme="minorHAnsi"/>
        </w:rPr>
        <w:t>and</w:t>
      </w:r>
      <w:r w:rsidR="004D465D" w:rsidRPr="000E4672">
        <w:rPr>
          <w:rFonts w:cstheme="minorHAnsi"/>
        </w:rPr>
        <w:t xml:space="preserve"> </w:t>
      </w:r>
      <w:r w:rsidR="00846D01" w:rsidRPr="000E4672">
        <w:rPr>
          <w:rFonts w:cstheme="minorHAnsi"/>
        </w:rPr>
        <w:t>‘that there ‘is little he contributed to bring it on, and little he could have done at crucial moments to come to an earlier recognition’ seems implausible.</w:t>
      </w:r>
      <w:r w:rsidR="00846D01" w:rsidRPr="000E4672">
        <w:rPr>
          <w:rStyle w:val="FootnoteReference"/>
          <w:rFonts w:cstheme="minorHAnsi"/>
        </w:rPr>
        <w:footnoteReference w:id="23"/>
      </w:r>
      <w:r w:rsidR="0027373C" w:rsidRPr="000E4672">
        <w:rPr>
          <w:rFonts w:cstheme="minorHAnsi"/>
        </w:rPr>
        <w:t xml:space="preserve"> </w:t>
      </w:r>
    </w:p>
    <w:p w14:paraId="606B8F66" w14:textId="04641929" w:rsidR="00241B06" w:rsidRPr="000E4672" w:rsidRDefault="00241B06" w:rsidP="00A00C6A">
      <w:pPr>
        <w:jc w:val="both"/>
        <w:rPr>
          <w:rFonts w:cstheme="minorHAnsi"/>
        </w:rPr>
      </w:pPr>
      <w:r w:rsidRPr="000E4672">
        <w:rPr>
          <w:rFonts w:cstheme="minorHAnsi"/>
        </w:rPr>
        <w:t xml:space="preserve">In contrast to the </w:t>
      </w:r>
      <w:r w:rsidRPr="000E4672">
        <w:rPr>
          <w:rFonts w:cstheme="minorHAnsi"/>
          <w:i/>
        </w:rPr>
        <w:t>Poetics</w:t>
      </w:r>
      <w:r w:rsidRPr="000E4672">
        <w:rPr>
          <w:rFonts w:cstheme="minorHAnsi"/>
        </w:rPr>
        <w:t xml:space="preserve">, the </w:t>
      </w:r>
      <w:r w:rsidRPr="000E4672">
        <w:rPr>
          <w:rFonts w:cstheme="minorHAnsi"/>
          <w:i/>
        </w:rPr>
        <w:t>Ethics</w:t>
      </w:r>
      <w:r w:rsidRPr="000E4672">
        <w:rPr>
          <w:rFonts w:cstheme="minorHAnsi"/>
        </w:rPr>
        <w:t xml:space="preserve"> allows us to explore whether Apollo prophetic design deprived Oedipus of choice. As Ho Kim explains, ‘actions which take place under compulsion or through ignorance are regarded as involuntary’.</w:t>
      </w:r>
      <w:r w:rsidRPr="000E4672">
        <w:rPr>
          <w:rStyle w:val="FootnoteReference"/>
          <w:rFonts w:cstheme="minorHAnsi"/>
        </w:rPr>
        <w:footnoteReference w:id="24"/>
      </w:r>
      <w:r w:rsidRPr="000E4672">
        <w:rPr>
          <w:rFonts w:cstheme="minorHAnsi"/>
        </w:rPr>
        <w:t xml:space="preserve"> Kim clarifies his sense of compulsion as being where ‘the moving principle or initial cause is outside the agent and the person compelled contributes nothing to its origin or cause’.</w:t>
      </w:r>
      <w:r w:rsidRPr="000E4672">
        <w:rPr>
          <w:rStyle w:val="FootnoteReference"/>
          <w:rFonts w:cstheme="minorHAnsi"/>
        </w:rPr>
        <w:footnoteReference w:id="25"/>
      </w:r>
    </w:p>
    <w:p w14:paraId="1AA6D63C" w14:textId="77777777" w:rsidR="00241B06" w:rsidRDefault="00241B06" w:rsidP="00132F37">
      <w:pPr>
        <w:rPr>
          <w:b/>
          <w:i/>
          <w:u w:val="single"/>
        </w:rPr>
      </w:pPr>
    </w:p>
    <w:p w14:paraId="78B9DF7E" w14:textId="1CF5BED6" w:rsidR="00132F37" w:rsidRPr="00132F37" w:rsidRDefault="00132F37" w:rsidP="00132F37">
      <w:pPr>
        <w:rPr>
          <w:b/>
          <w:u w:val="single"/>
        </w:rPr>
      </w:pPr>
      <w:r w:rsidRPr="00132F37">
        <w:rPr>
          <w:b/>
          <w:i/>
          <w:u w:val="single"/>
        </w:rPr>
        <w:t>Oedipus Rex</w:t>
      </w:r>
      <w:r>
        <w:rPr>
          <w:b/>
          <w:u w:val="single"/>
        </w:rPr>
        <w:t xml:space="preserve"> by Sophocles</w:t>
      </w:r>
    </w:p>
    <w:p w14:paraId="0F9F6ABD" w14:textId="56FBB047" w:rsidR="00241B06" w:rsidRPr="000E4672" w:rsidRDefault="003B1B18" w:rsidP="00B838AE">
      <w:pPr>
        <w:jc w:val="both"/>
      </w:pPr>
      <w:proofErr w:type="gramStart"/>
      <w:r w:rsidRPr="000E4672">
        <w:t>Obviously</w:t>
      </w:r>
      <w:proofErr w:type="gramEnd"/>
      <w:r w:rsidRPr="000E4672">
        <w:t xml:space="preserve"> the main allure of using the text is that Aristotle forwarded it as the perfect embodiment of </w:t>
      </w:r>
      <w:r w:rsidRPr="000E4672">
        <w:rPr>
          <w:i/>
        </w:rPr>
        <w:t>hamartia</w:t>
      </w:r>
      <w:r w:rsidRPr="000E4672">
        <w:t xml:space="preserve"> which enables a thorough examination of Aristotle’s analysis of the tragic genre.</w:t>
      </w:r>
      <w:r w:rsidR="002D10CB" w:rsidRPr="000E4672">
        <w:t xml:space="preserve"> This position is generally supported by academics. Kim agrees that the text is correctly ‘exemplified as the finest plot-structure’,</w:t>
      </w:r>
      <w:r w:rsidR="002D10CB" w:rsidRPr="000E4672">
        <w:rPr>
          <w:rStyle w:val="FootnoteReference"/>
        </w:rPr>
        <w:footnoteReference w:id="26"/>
      </w:r>
      <w:r w:rsidR="002D10CB" w:rsidRPr="000E4672">
        <w:t xml:space="preserve"> as does Hyde who upholds Aristotle’s choice of ‘pattern play’.</w:t>
      </w:r>
      <w:r w:rsidR="002D10CB" w:rsidRPr="000E4672">
        <w:rPr>
          <w:rStyle w:val="FootnoteReference"/>
        </w:rPr>
        <w:footnoteReference w:id="27"/>
      </w:r>
      <w:r w:rsidR="002D10CB" w:rsidRPr="000E4672">
        <w:t xml:space="preserve"> However, </w:t>
      </w:r>
      <w:r w:rsidR="005C23E9" w:rsidRPr="000E4672">
        <w:t xml:space="preserve">ignoring the above reading and assuming for a moment that Oedipus committed </w:t>
      </w:r>
      <w:r w:rsidR="005C23E9" w:rsidRPr="000E4672">
        <w:rPr>
          <w:i/>
        </w:rPr>
        <w:t>hamartia</w:t>
      </w:r>
      <w:r w:rsidR="005C23E9" w:rsidRPr="000E4672">
        <w:t xml:space="preserve">, even so, as Leon Golden points out, </w:t>
      </w:r>
      <w:bookmarkStart w:id="11" w:name="_Hlk535351556"/>
      <w:r w:rsidR="005C23E9" w:rsidRPr="000E4672">
        <w:t>‘The specific pattern of tragic action involved in Aristotle’s definition of tragedy can be found in Othello and in very few other works.’</w:t>
      </w:r>
      <w:r w:rsidR="005C23E9" w:rsidRPr="000E4672">
        <w:rPr>
          <w:rStyle w:val="FootnoteReference"/>
        </w:rPr>
        <w:footnoteReference w:id="28"/>
      </w:r>
      <w:r w:rsidR="005C23E9" w:rsidRPr="000E4672">
        <w:t xml:space="preserve"> He argues, and perhaps rightly so, that it is more often the case that protagonists ‘commit moral as well as intellectual errors and whose destinies evoke, not pity and fear from the audience, but, at best, some hint or trace of pity and, at worst, outright rejection and condemnation.’</w:t>
      </w:r>
      <w:r w:rsidR="005C23E9" w:rsidRPr="000E4672">
        <w:rPr>
          <w:rStyle w:val="FootnoteReference"/>
        </w:rPr>
        <w:footnoteReference w:id="29"/>
      </w:r>
      <w:r w:rsidR="00B838AE" w:rsidRPr="000E4672">
        <w:t xml:space="preserve"> </w:t>
      </w:r>
      <w:bookmarkEnd w:id="11"/>
      <w:r w:rsidR="00B838AE" w:rsidRPr="000E4672">
        <w:t xml:space="preserve">In fact, </w:t>
      </w:r>
      <w:proofErr w:type="spellStart"/>
      <w:r w:rsidR="00B838AE" w:rsidRPr="000E4672">
        <w:t>Golden’s</w:t>
      </w:r>
      <w:proofErr w:type="spellEnd"/>
      <w:r w:rsidR="00B838AE" w:rsidRPr="000E4672">
        <w:t xml:space="preserve"> critique here may resonate more with modern sensibilities that may find it distasteful to wholeheartedly sympathise with Oedipus and his unrepentant highway murders, regardless of whether his acts would have been considered standard heroic fare by the play’s original </w:t>
      </w:r>
      <w:r w:rsidR="0043266E" w:rsidRPr="000E4672">
        <w:t>spectators</w:t>
      </w:r>
      <w:r w:rsidR="00B838AE" w:rsidRPr="000E4672">
        <w:t>.</w:t>
      </w:r>
    </w:p>
    <w:p w14:paraId="0D21A5B8" w14:textId="77777777" w:rsidR="004E0A0A" w:rsidRDefault="004E0A0A" w:rsidP="00132771"/>
    <w:p w14:paraId="5A21C0C9" w14:textId="4C723828" w:rsidR="00E90604" w:rsidRDefault="00E90604">
      <w:r>
        <w:br w:type="page"/>
      </w:r>
    </w:p>
    <w:p w14:paraId="099C7233" w14:textId="77777777" w:rsidR="00E90604" w:rsidRPr="007207B1" w:rsidRDefault="00E90604" w:rsidP="00E90604">
      <w:pPr>
        <w:tabs>
          <w:tab w:val="left" w:pos="2595"/>
        </w:tabs>
        <w:jc w:val="both"/>
        <w:rPr>
          <w:rFonts w:ascii="Calibri" w:hAnsi="Calibri" w:cs="Calibri"/>
          <w:b/>
          <w:color w:val="000000"/>
          <w:u w:val="single"/>
          <w:shd w:val="clear" w:color="auto" w:fill="FFFFFF"/>
        </w:rPr>
      </w:pPr>
      <w:bookmarkStart w:id="13" w:name="_Hlk535356516"/>
      <w:r w:rsidRPr="007207B1">
        <w:rPr>
          <w:rFonts w:ascii="Calibri" w:hAnsi="Calibri" w:cs="Calibri"/>
          <w:b/>
          <w:color w:val="000000"/>
          <w:u w:val="single"/>
          <w:shd w:val="clear" w:color="auto" w:fill="FFFFFF"/>
        </w:rPr>
        <w:t>Primary Texts</w:t>
      </w:r>
    </w:p>
    <w:p w14:paraId="51D5C17A" w14:textId="77777777" w:rsidR="00E90604" w:rsidRPr="007207B1" w:rsidRDefault="00E90604" w:rsidP="00E90604">
      <w:pPr>
        <w:pStyle w:val="ListParagraph"/>
        <w:numPr>
          <w:ilvl w:val="0"/>
          <w:numId w:val="5"/>
        </w:numPr>
        <w:tabs>
          <w:tab w:val="left" w:pos="2595"/>
        </w:tabs>
        <w:jc w:val="both"/>
        <w:rPr>
          <w:rFonts w:ascii="Calibri" w:hAnsi="Calibri" w:cs="Calibri"/>
          <w:color w:val="000000"/>
          <w:shd w:val="clear" w:color="auto" w:fill="FFFFFF"/>
        </w:rPr>
      </w:pPr>
      <w:r>
        <w:rPr>
          <w:rFonts w:ascii="Arial" w:hAnsi="Arial" w:cs="Arial"/>
          <w:color w:val="000000"/>
          <w:sz w:val="20"/>
          <w:szCs w:val="20"/>
          <w:shd w:val="clear" w:color="auto" w:fill="FFFFFF"/>
        </w:rPr>
        <w:t>Aristoteles. and Brown, L. (2009). </w:t>
      </w:r>
      <w:r>
        <w:rPr>
          <w:rFonts w:ascii="Arial" w:hAnsi="Arial" w:cs="Arial"/>
          <w:i/>
          <w:iCs/>
          <w:color w:val="000000"/>
          <w:sz w:val="20"/>
          <w:szCs w:val="20"/>
          <w:shd w:val="clear" w:color="auto" w:fill="FFFFFF"/>
        </w:rPr>
        <w:t>The Nicomachean ethics</w:t>
      </w:r>
      <w:r>
        <w:rPr>
          <w:rFonts w:ascii="Arial" w:hAnsi="Arial" w:cs="Arial"/>
          <w:color w:val="000000"/>
          <w:sz w:val="20"/>
          <w:szCs w:val="20"/>
          <w:shd w:val="clear" w:color="auto" w:fill="FFFFFF"/>
        </w:rPr>
        <w:t>. Oxford: Oxford University Press.</w:t>
      </w:r>
    </w:p>
    <w:p w14:paraId="106C52F2" w14:textId="77777777" w:rsidR="00E90604" w:rsidRPr="007207B1" w:rsidRDefault="00E90604" w:rsidP="00E90604">
      <w:pPr>
        <w:pStyle w:val="ListParagraph"/>
        <w:numPr>
          <w:ilvl w:val="0"/>
          <w:numId w:val="5"/>
        </w:numPr>
        <w:tabs>
          <w:tab w:val="left" w:pos="2595"/>
        </w:tabs>
        <w:jc w:val="both"/>
        <w:rPr>
          <w:rFonts w:ascii="Calibri" w:hAnsi="Calibri" w:cs="Calibri"/>
          <w:color w:val="000000"/>
          <w:shd w:val="clear" w:color="auto" w:fill="FFFFFF"/>
        </w:rPr>
      </w:pPr>
      <w:r>
        <w:rPr>
          <w:rFonts w:ascii="Arial" w:hAnsi="Arial" w:cs="Arial"/>
          <w:color w:val="000000"/>
          <w:sz w:val="20"/>
          <w:szCs w:val="20"/>
          <w:shd w:val="clear" w:color="auto" w:fill="FFFFFF"/>
        </w:rPr>
        <w:t>Aristoteles. and Heath, M. (1996). </w:t>
      </w:r>
      <w:r>
        <w:rPr>
          <w:rFonts w:ascii="Arial" w:hAnsi="Arial" w:cs="Arial"/>
          <w:i/>
          <w:iCs/>
          <w:color w:val="000000"/>
          <w:sz w:val="20"/>
          <w:szCs w:val="20"/>
          <w:shd w:val="clear" w:color="auto" w:fill="FFFFFF"/>
        </w:rPr>
        <w:t>Poetics</w:t>
      </w:r>
      <w:r>
        <w:rPr>
          <w:rFonts w:ascii="Arial" w:hAnsi="Arial" w:cs="Arial"/>
          <w:color w:val="000000"/>
          <w:sz w:val="20"/>
          <w:szCs w:val="20"/>
          <w:shd w:val="clear" w:color="auto" w:fill="FFFFFF"/>
        </w:rPr>
        <w:t>. London [etc.]: Penguin Books.</w:t>
      </w:r>
    </w:p>
    <w:p w14:paraId="26B6B76D" w14:textId="77777777" w:rsidR="00E90604" w:rsidRPr="007207B1" w:rsidRDefault="00E90604" w:rsidP="00E90604">
      <w:pPr>
        <w:pStyle w:val="ListParagraph"/>
        <w:numPr>
          <w:ilvl w:val="0"/>
          <w:numId w:val="5"/>
        </w:numPr>
        <w:tabs>
          <w:tab w:val="left" w:pos="2595"/>
        </w:tabs>
        <w:jc w:val="both"/>
        <w:rPr>
          <w:rFonts w:ascii="Calibri" w:hAnsi="Calibri" w:cs="Calibri"/>
          <w:color w:val="000000"/>
          <w:shd w:val="clear" w:color="auto" w:fill="FFFFFF"/>
        </w:rPr>
      </w:pPr>
      <w:r>
        <w:rPr>
          <w:rFonts w:ascii="Arial" w:hAnsi="Arial" w:cs="Arial"/>
          <w:color w:val="000000"/>
          <w:sz w:val="20"/>
          <w:szCs w:val="20"/>
          <w:shd w:val="clear" w:color="auto" w:fill="FFFFFF"/>
        </w:rPr>
        <w:t>Knox, B. and Sophocles. (2014). </w:t>
      </w:r>
      <w:r>
        <w:rPr>
          <w:rFonts w:ascii="Arial" w:hAnsi="Arial" w:cs="Arial"/>
          <w:i/>
          <w:iCs/>
          <w:color w:val="000000"/>
          <w:sz w:val="20"/>
          <w:szCs w:val="20"/>
          <w:shd w:val="clear" w:color="auto" w:fill="FFFFFF"/>
        </w:rPr>
        <w:t>The Three Theban plays</w:t>
      </w:r>
      <w:r>
        <w:rPr>
          <w:rFonts w:ascii="Arial" w:hAnsi="Arial" w:cs="Arial"/>
          <w:color w:val="000000"/>
          <w:sz w:val="20"/>
          <w:szCs w:val="20"/>
          <w:shd w:val="clear" w:color="auto" w:fill="FFFFFF"/>
        </w:rPr>
        <w:t>. New York: Penguin Books.</w:t>
      </w:r>
    </w:p>
    <w:p w14:paraId="54E12189" w14:textId="3D9B7796" w:rsidR="00E90604" w:rsidRDefault="00E90604"/>
    <w:p w14:paraId="1548E747" w14:textId="77777777" w:rsidR="00E90604" w:rsidRPr="007207B1" w:rsidRDefault="00E90604" w:rsidP="00E90604">
      <w:pPr>
        <w:tabs>
          <w:tab w:val="left" w:pos="2595"/>
        </w:tabs>
        <w:jc w:val="both"/>
        <w:rPr>
          <w:rFonts w:ascii="Calibri" w:hAnsi="Calibri" w:cs="Calibri"/>
          <w:b/>
          <w:color w:val="000000"/>
          <w:u w:val="single"/>
          <w:shd w:val="clear" w:color="auto" w:fill="FFFFFF"/>
        </w:rPr>
      </w:pPr>
      <w:r w:rsidRPr="007207B1">
        <w:rPr>
          <w:rFonts w:ascii="Calibri" w:hAnsi="Calibri" w:cs="Calibri"/>
          <w:b/>
          <w:color w:val="000000"/>
          <w:u w:val="single"/>
          <w:shd w:val="clear" w:color="auto" w:fill="FFFFFF"/>
        </w:rPr>
        <w:t>Secondary Texts</w:t>
      </w:r>
    </w:p>
    <w:p w14:paraId="11322462" w14:textId="1F8E13CD" w:rsidR="00647716" w:rsidRDefault="00647716" w:rsidP="00E90604">
      <w:pPr>
        <w:pStyle w:val="ListParagraph"/>
        <w:numPr>
          <w:ilvl w:val="0"/>
          <w:numId w:val="6"/>
        </w:numPr>
        <w:tabs>
          <w:tab w:val="left" w:pos="2595"/>
        </w:tabs>
        <w:jc w:val="both"/>
        <w:rPr>
          <w:rFonts w:ascii="Calibri" w:hAnsi="Calibri" w:cs="Calibri"/>
          <w:color w:val="000000"/>
          <w:shd w:val="clear" w:color="auto" w:fill="FFFFFF"/>
        </w:rPr>
      </w:pPr>
      <w:r w:rsidRPr="00647716">
        <w:rPr>
          <w:rFonts w:ascii="Calibri" w:hAnsi="Calibri" w:cs="Calibri"/>
          <w:color w:val="000000"/>
          <w:shd w:val="clear" w:color="auto" w:fill="FFFFFF"/>
        </w:rPr>
        <w:t xml:space="preserve">Golden, L., 1976. </w:t>
      </w:r>
      <w:bookmarkStart w:id="14" w:name="_Hlk535355980"/>
      <w:r w:rsidRPr="00647716">
        <w:rPr>
          <w:rFonts w:ascii="Calibri" w:hAnsi="Calibri" w:cs="Calibri"/>
          <w:color w:val="000000"/>
          <w:shd w:val="clear" w:color="auto" w:fill="FFFFFF"/>
        </w:rPr>
        <w:t>Toward a definition of tragedy</w:t>
      </w:r>
      <w:bookmarkEnd w:id="14"/>
      <w:r w:rsidRPr="00647716">
        <w:rPr>
          <w:rFonts w:ascii="Calibri" w:hAnsi="Calibri" w:cs="Calibri"/>
          <w:color w:val="000000"/>
          <w:shd w:val="clear" w:color="auto" w:fill="FFFFFF"/>
        </w:rPr>
        <w:t xml:space="preserve">. </w:t>
      </w:r>
      <w:r w:rsidRPr="00647716">
        <w:rPr>
          <w:rFonts w:ascii="Calibri" w:hAnsi="Calibri" w:cs="Calibri"/>
          <w:i/>
          <w:color w:val="000000"/>
          <w:shd w:val="clear" w:color="auto" w:fill="FFFFFF"/>
        </w:rPr>
        <w:t>The Classical Journal</w:t>
      </w:r>
      <w:r w:rsidRPr="00647716">
        <w:rPr>
          <w:rFonts w:ascii="Calibri" w:hAnsi="Calibri" w:cs="Calibri"/>
          <w:color w:val="000000"/>
          <w:shd w:val="clear" w:color="auto" w:fill="FFFFFF"/>
        </w:rPr>
        <w:t>, 72(1), pp.21-33.</w:t>
      </w:r>
    </w:p>
    <w:p w14:paraId="5989CBE4" w14:textId="2CBAB157" w:rsidR="008C2E80" w:rsidRPr="008C2E80" w:rsidRDefault="008C2E80" w:rsidP="00E90604">
      <w:pPr>
        <w:pStyle w:val="ListParagraph"/>
        <w:numPr>
          <w:ilvl w:val="0"/>
          <w:numId w:val="6"/>
        </w:numPr>
        <w:tabs>
          <w:tab w:val="left" w:pos="2595"/>
        </w:tabs>
        <w:jc w:val="both"/>
        <w:rPr>
          <w:rFonts w:ascii="Calibri" w:hAnsi="Calibri" w:cs="Calibri"/>
          <w:color w:val="000000"/>
          <w:shd w:val="clear" w:color="auto" w:fill="FFFFFF"/>
        </w:rPr>
      </w:pPr>
      <w:r w:rsidRPr="008C2E80">
        <w:rPr>
          <w:rFonts w:ascii="Calibri" w:hAnsi="Calibri" w:cs="Calibri"/>
          <w:color w:val="000000"/>
          <w:shd w:val="clear" w:color="auto" w:fill="FFFFFF"/>
        </w:rPr>
        <w:t xml:space="preserve">Hyde, I., 1963. The Tragic Flaw: Is It a Tragic </w:t>
      </w:r>
      <w:proofErr w:type="gramStart"/>
      <w:r w:rsidRPr="008C2E80">
        <w:rPr>
          <w:rFonts w:ascii="Calibri" w:hAnsi="Calibri" w:cs="Calibri"/>
          <w:color w:val="000000"/>
          <w:shd w:val="clear" w:color="auto" w:fill="FFFFFF"/>
        </w:rPr>
        <w:t>Error?.</w:t>
      </w:r>
      <w:proofErr w:type="gramEnd"/>
      <w:r w:rsidRPr="008C2E80">
        <w:rPr>
          <w:rFonts w:ascii="Calibri" w:hAnsi="Calibri" w:cs="Calibri"/>
          <w:color w:val="000000"/>
          <w:shd w:val="clear" w:color="auto" w:fill="FFFFFF"/>
        </w:rPr>
        <w:t xml:space="preserve"> </w:t>
      </w:r>
      <w:r w:rsidRPr="008C2E80">
        <w:rPr>
          <w:rFonts w:ascii="Calibri" w:hAnsi="Calibri" w:cs="Calibri"/>
          <w:i/>
          <w:color w:val="000000"/>
          <w:shd w:val="clear" w:color="auto" w:fill="FFFFFF"/>
        </w:rPr>
        <w:t>The Modern Language Review</w:t>
      </w:r>
      <w:r w:rsidRPr="008C2E80">
        <w:rPr>
          <w:rFonts w:ascii="Calibri" w:hAnsi="Calibri" w:cs="Calibri"/>
          <w:color w:val="000000"/>
          <w:shd w:val="clear" w:color="auto" w:fill="FFFFFF"/>
        </w:rPr>
        <w:t>, 58(3), pp.321-325.</w:t>
      </w:r>
    </w:p>
    <w:p w14:paraId="409A78DA" w14:textId="6C180018" w:rsidR="00647716" w:rsidRDefault="00647716" w:rsidP="00E90604">
      <w:pPr>
        <w:pStyle w:val="ListParagraph"/>
        <w:numPr>
          <w:ilvl w:val="0"/>
          <w:numId w:val="6"/>
        </w:numPr>
        <w:tabs>
          <w:tab w:val="left" w:pos="2595"/>
        </w:tabs>
        <w:jc w:val="both"/>
        <w:rPr>
          <w:rFonts w:ascii="Calibri" w:hAnsi="Calibri" w:cs="Calibri"/>
          <w:color w:val="000000"/>
          <w:shd w:val="clear" w:color="auto" w:fill="FFFFFF"/>
        </w:rPr>
      </w:pPr>
      <w:r w:rsidRPr="00647716">
        <w:rPr>
          <w:rFonts w:ascii="Calibri" w:hAnsi="Calibri" w:cs="Calibri"/>
          <w:color w:val="000000"/>
          <w:shd w:val="clear" w:color="auto" w:fill="FFFFFF"/>
        </w:rPr>
        <w:t xml:space="preserve">Kim, H., 2010. </w:t>
      </w:r>
      <w:bookmarkStart w:id="15" w:name="_Hlk535355786"/>
      <w:r>
        <w:rPr>
          <w:rFonts w:ascii="Calibri" w:hAnsi="Calibri" w:cs="Calibri"/>
          <w:color w:val="000000"/>
          <w:shd w:val="clear" w:color="auto" w:fill="FFFFFF"/>
        </w:rPr>
        <w:t>Aristotle’s Hamartia Reconsidered</w:t>
      </w:r>
      <w:bookmarkEnd w:id="15"/>
      <w:r w:rsidRPr="00647716">
        <w:rPr>
          <w:rFonts w:ascii="Calibri" w:hAnsi="Calibri" w:cs="Calibri"/>
          <w:color w:val="000000"/>
          <w:shd w:val="clear" w:color="auto" w:fill="FFFFFF"/>
        </w:rPr>
        <w:t xml:space="preserve">. </w:t>
      </w:r>
      <w:r w:rsidRPr="00647716">
        <w:rPr>
          <w:rFonts w:ascii="Calibri" w:hAnsi="Calibri" w:cs="Calibri"/>
          <w:i/>
          <w:color w:val="000000"/>
          <w:shd w:val="clear" w:color="auto" w:fill="FFFFFF"/>
        </w:rPr>
        <w:t>Harvard Studies in Classical Philology</w:t>
      </w:r>
      <w:r w:rsidRPr="00647716">
        <w:rPr>
          <w:rFonts w:ascii="Calibri" w:hAnsi="Calibri" w:cs="Calibri"/>
          <w:color w:val="000000"/>
          <w:shd w:val="clear" w:color="auto" w:fill="FFFFFF"/>
        </w:rPr>
        <w:t>, 105, pp.33-52.</w:t>
      </w:r>
    </w:p>
    <w:p w14:paraId="59EF0153" w14:textId="33C5A6BD" w:rsidR="00D077FA" w:rsidRPr="00D077FA" w:rsidRDefault="00D077FA" w:rsidP="00E90604">
      <w:pPr>
        <w:pStyle w:val="ListParagraph"/>
        <w:numPr>
          <w:ilvl w:val="0"/>
          <w:numId w:val="6"/>
        </w:numPr>
        <w:tabs>
          <w:tab w:val="left" w:pos="2595"/>
        </w:tabs>
        <w:jc w:val="both"/>
        <w:rPr>
          <w:rFonts w:ascii="Calibri" w:hAnsi="Calibri" w:cs="Calibri"/>
          <w:color w:val="000000"/>
          <w:shd w:val="clear" w:color="auto" w:fill="FFFFFF"/>
        </w:rPr>
      </w:pPr>
      <w:r w:rsidRPr="00D077FA">
        <w:rPr>
          <w:rFonts w:ascii="Calibri" w:hAnsi="Calibri" w:cs="Calibri"/>
          <w:color w:val="000000"/>
          <w:shd w:val="clear" w:color="auto" w:fill="FFFFFF"/>
        </w:rPr>
        <w:t xml:space="preserve">Kovacs, D., 2009. The Role of Apollo in Oedipus Tyrannus. </w:t>
      </w:r>
      <w:r w:rsidRPr="00D077FA">
        <w:rPr>
          <w:rFonts w:ascii="Calibri" w:hAnsi="Calibri" w:cs="Calibri"/>
          <w:i/>
          <w:color w:val="000000"/>
          <w:shd w:val="clear" w:color="auto" w:fill="FFFFFF"/>
        </w:rPr>
        <w:t xml:space="preserve">The Play of Texts and Fragments: Essays in Honour of Martin </w:t>
      </w:r>
      <w:proofErr w:type="spellStart"/>
      <w:r w:rsidRPr="00D077FA">
        <w:rPr>
          <w:rFonts w:ascii="Calibri" w:hAnsi="Calibri" w:cs="Calibri"/>
          <w:i/>
          <w:color w:val="000000"/>
          <w:shd w:val="clear" w:color="auto" w:fill="FFFFFF"/>
        </w:rPr>
        <w:t>Cropp</w:t>
      </w:r>
      <w:proofErr w:type="spellEnd"/>
      <w:r w:rsidRPr="00D077FA">
        <w:rPr>
          <w:rFonts w:ascii="Calibri" w:hAnsi="Calibri" w:cs="Calibri"/>
          <w:color w:val="000000"/>
          <w:shd w:val="clear" w:color="auto" w:fill="FFFFFF"/>
        </w:rPr>
        <w:t>, pp.357-68.</w:t>
      </w:r>
    </w:p>
    <w:p w14:paraId="4C94739B" w14:textId="26C11FD5" w:rsidR="00E90604" w:rsidRPr="00BF6CF4" w:rsidRDefault="00E90604" w:rsidP="00E90604">
      <w:pPr>
        <w:pStyle w:val="ListParagraph"/>
        <w:numPr>
          <w:ilvl w:val="0"/>
          <w:numId w:val="6"/>
        </w:numPr>
        <w:tabs>
          <w:tab w:val="left" w:pos="2595"/>
        </w:tabs>
        <w:jc w:val="both"/>
        <w:rPr>
          <w:rFonts w:ascii="Calibri" w:hAnsi="Calibri" w:cs="Calibri"/>
          <w:color w:val="000000"/>
          <w:shd w:val="clear" w:color="auto" w:fill="FFFFFF"/>
        </w:rPr>
      </w:pPr>
      <w:r>
        <w:rPr>
          <w:rFonts w:ascii="Arial" w:hAnsi="Arial" w:cs="Arial"/>
          <w:color w:val="000000"/>
          <w:sz w:val="20"/>
          <w:szCs w:val="20"/>
          <w:shd w:val="clear" w:color="auto" w:fill="FFFFFF"/>
        </w:rPr>
        <w:t>Roberts, E. (2014). Reconsidering Hamartia as “Sin” in 1 Corinthians. </w:t>
      </w:r>
      <w:r>
        <w:rPr>
          <w:rFonts w:ascii="Arial" w:hAnsi="Arial" w:cs="Arial"/>
          <w:i/>
          <w:iCs/>
          <w:color w:val="000000"/>
          <w:sz w:val="20"/>
          <w:szCs w:val="20"/>
          <w:shd w:val="clear" w:color="auto" w:fill="FFFFFF"/>
        </w:rPr>
        <w:t>Method &amp; Theory in the Study of Religion</w:t>
      </w:r>
      <w:r>
        <w:rPr>
          <w:rFonts w:ascii="Arial" w:hAnsi="Arial" w:cs="Arial"/>
          <w:color w:val="000000"/>
          <w:sz w:val="20"/>
          <w:szCs w:val="20"/>
          <w:shd w:val="clear" w:color="auto" w:fill="FFFFFF"/>
        </w:rPr>
        <w:t>, 26(4-5), pp.340-364.</w:t>
      </w:r>
    </w:p>
    <w:p w14:paraId="64AB75B8" w14:textId="2BF17E16" w:rsidR="00693DAA" w:rsidRDefault="00693DAA" w:rsidP="00E90604">
      <w:pPr>
        <w:pStyle w:val="ListParagraph"/>
        <w:numPr>
          <w:ilvl w:val="0"/>
          <w:numId w:val="6"/>
        </w:numPr>
        <w:tabs>
          <w:tab w:val="left" w:pos="2595"/>
        </w:tabs>
        <w:jc w:val="both"/>
        <w:rPr>
          <w:rFonts w:ascii="Arial" w:hAnsi="Arial" w:cs="Arial"/>
          <w:color w:val="000000"/>
          <w:sz w:val="20"/>
          <w:shd w:val="clear" w:color="auto" w:fill="FFFFFF"/>
        </w:rPr>
      </w:pPr>
      <w:bookmarkStart w:id="16" w:name="_Hlk535353848"/>
      <w:proofErr w:type="spellStart"/>
      <w:r>
        <w:rPr>
          <w:rFonts w:ascii="Arial" w:hAnsi="Arial" w:cs="Arial"/>
          <w:color w:val="222222"/>
          <w:sz w:val="20"/>
          <w:szCs w:val="20"/>
          <w:shd w:val="clear" w:color="auto" w:fill="FFFFFF"/>
        </w:rPr>
        <w:t>Schütrumpf</w:t>
      </w:r>
      <w:proofErr w:type="spellEnd"/>
      <w:r>
        <w:rPr>
          <w:rFonts w:ascii="Arial" w:hAnsi="Arial" w:cs="Arial"/>
          <w:color w:val="222222"/>
          <w:sz w:val="20"/>
          <w:szCs w:val="20"/>
          <w:shd w:val="clear" w:color="auto" w:fill="FFFFFF"/>
        </w:rPr>
        <w:t>, E., 1989. Traditional Elements in the concept of Hamartia in Aristotle's Poetics</w:t>
      </w:r>
      <w:bookmarkEnd w:id="16"/>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Harvard Studies in Classical Philology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92</w:t>
      </w:r>
      <w:r>
        <w:rPr>
          <w:rFonts w:ascii="Arial" w:hAnsi="Arial" w:cs="Arial"/>
          <w:color w:val="222222"/>
          <w:sz w:val="20"/>
          <w:szCs w:val="20"/>
          <w:shd w:val="clear" w:color="auto" w:fill="FFFFFF"/>
        </w:rPr>
        <w:t>, pp.137-156.</w:t>
      </w:r>
    </w:p>
    <w:p w14:paraId="45730CEC" w14:textId="3776D3E3" w:rsidR="00693DAA" w:rsidRPr="00693DAA" w:rsidRDefault="00693DAA" w:rsidP="00E90604">
      <w:pPr>
        <w:pStyle w:val="ListParagraph"/>
        <w:numPr>
          <w:ilvl w:val="0"/>
          <w:numId w:val="6"/>
        </w:numPr>
        <w:tabs>
          <w:tab w:val="left" w:pos="2595"/>
        </w:tabs>
        <w:jc w:val="both"/>
        <w:rPr>
          <w:rFonts w:ascii="Arial" w:hAnsi="Arial" w:cs="Arial"/>
          <w:color w:val="000000"/>
          <w:sz w:val="20"/>
          <w:shd w:val="clear" w:color="auto" w:fill="FFFFFF"/>
        </w:rPr>
      </w:pPr>
      <w:r w:rsidRPr="00693DAA">
        <w:rPr>
          <w:rFonts w:ascii="Arial" w:hAnsi="Arial" w:cs="Arial"/>
          <w:color w:val="000000"/>
          <w:sz w:val="20"/>
          <w:shd w:val="clear" w:color="auto" w:fill="FFFFFF"/>
        </w:rPr>
        <w:t xml:space="preserve">Sherman, N., 1992. Hamartia and virtue. </w:t>
      </w:r>
      <w:r w:rsidRPr="00693DAA">
        <w:rPr>
          <w:rFonts w:ascii="Arial" w:hAnsi="Arial" w:cs="Arial"/>
          <w:i/>
          <w:color w:val="000000"/>
          <w:sz w:val="20"/>
          <w:shd w:val="clear" w:color="auto" w:fill="FFFFFF"/>
        </w:rPr>
        <w:t>Essays on Aristotle’s poetics</w:t>
      </w:r>
      <w:r w:rsidRPr="00693DAA">
        <w:rPr>
          <w:rFonts w:ascii="Arial" w:hAnsi="Arial" w:cs="Arial"/>
          <w:color w:val="000000"/>
          <w:sz w:val="20"/>
          <w:shd w:val="clear" w:color="auto" w:fill="FFFFFF"/>
        </w:rPr>
        <w:t>, pp.177-96.</w:t>
      </w:r>
    </w:p>
    <w:p w14:paraId="2DA0268C" w14:textId="0F1319B8" w:rsidR="00647716" w:rsidRPr="00647716" w:rsidRDefault="00647716" w:rsidP="00E90604">
      <w:pPr>
        <w:pStyle w:val="ListParagraph"/>
        <w:numPr>
          <w:ilvl w:val="0"/>
          <w:numId w:val="6"/>
        </w:numPr>
        <w:tabs>
          <w:tab w:val="left" w:pos="2595"/>
        </w:tabs>
        <w:jc w:val="both"/>
        <w:rPr>
          <w:rFonts w:ascii="Calibri" w:hAnsi="Calibri" w:cs="Calibri"/>
          <w:color w:val="000000"/>
          <w:shd w:val="clear" w:color="auto" w:fill="FFFFFF"/>
        </w:rPr>
      </w:pPr>
      <w:bookmarkStart w:id="17" w:name="_Hlk535355505"/>
      <w:proofErr w:type="spellStart"/>
      <w:r w:rsidRPr="00647716">
        <w:rPr>
          <w:rFonts w:ascii="Calibri" w:hAnsi="Calibri" w:cs="Calibri"/>
          <w:color w:val="000000"/>
          <w:shd w:val="clear" w:color="auto" w:fill="FFFFFF"/>
        </w:rPr>
        <w:t>Stinton</w:t>
      </w:r>
      <w:proofErr w:type="spellEnd"/>
      <w:r w:rsidRPr="00647716">
        <w:rPr>
          <w:rFonts w:ascii="Calibri" w:hAnsi="Calibri" w:cs="Calibri"/>
          <w:color w:val="000000"/>
          <w:shd w:val="clear" w:color="auto" w:fill="FFFFFF"/>
        </w:rPr>
        <w:t>, T.C., 1975. Hamartia in Aristotle and Greek tragedy</w:t>
      </w:r>
      <w:bookmarkEnd w:id="17"/>
      <w:r w:rsidRPr="00647716">
        <w:rPr>
          <w:rFonts w:ascii="Calibri" w:hAnsi="Calibri" w:cs="Calibri"/>
          <w:color w:val="000000"/>
          <w:shd w:val="clear" w:color="auto" w:fill="FFFFFF"/>
        </w:rPr>
        <w:t xml:space="preserve">. </w:t>
      </w:r>
      <w:r w:rsidRPr="00647716">
        <w:rPr>
          <w:rFonts w:ascii="Calibri" w:hAnsi="Calibri" w:cs="Calibri"/>
          <w:i/>
          <w:color w:val="000000"/>
          <w:shd w:val="clear" w:color="auto" w:fill="FFFFFF"/>
        </w:rPr>
        <w:t>The Classical Quarterly</w:t>
      </w:r>
      <w:r w:rsidRPr="00647716">
        <w:rPr>
          <w:rFonts w:ascii="Calibri" w:hAnsi="Calibri" w:cs="Calibri"/>
          <w:color w:val="000000"/>
          <w:shd w:val="clear" w:color="auto" w:fill="FFFFFF"/>
        </w:rPr>
        <w:t>, 25(2), pp.221-254.</w:t>
      </w:r>
    </w:p>
    <w:p w14:paraId="7623EB41" w14:textId="51DD30A6" w:rsidR="00E90604" w:rsidRPr="00693DAA" w:rsidRDefault="00E90604" w:rsidP="00E90604">
      <w:pPr>
        <w:pStyle w:val="ListParagraph"/>
        <w:numPr>
          <w:ilvl w:val="0"/>
          <w:numId w:val="6"/>
        </w:numPr>
        <w:tabs>
          <w:tab w:val="left" w:pos="2595"/>
        </w:tabs>
        <w:jc w:val="both"/>
        <w:rPr>
          <w:rFonts w:ascii="Calibri" w:hAnsi="Calibri" w:cs="Calibri"/>
          <w:color w:val="000000"/>
          <w:shd w:val="clear" w:color="auto" w:fill="FFFFFF"/>
        </w:rPr>
      </w:pPr>
      <w:r w:rsidRPr="00BF6CF4">
        <w:rPr>
          <w:rFonts w:ascii="Arial" w:eastAsia="Times New Roman" w:hAnsi="Arial" w:cs="Arial"/>
          <w:color w:val="222222"/>
          <w:sz w:val="20"/>
          <w:szCs w:val="20"/>
          <w:lang w:eastAsia="en-GB"/>
        </w:rPr>
        <w:t>Tonner, P., 2008. Action and Hamartia in Aristotle’s Poetics. </w:t>
      </w:r>
      <w:r w:rsidRPr="00BF6CF4">
        <w:rPr>
          <w:rFonts w:ascii="Arial" w:eastAsia="Times New Roman" w:hAnsi="Arial" w:cs="Arial"/>
          <w:i/>
          <w:iCs/>
          <w:color w:val="222222"/>
          <w:sz w:val="20"/>
          <w:szCs w:val="20"/>
          <w:lang w:eastAsia="en-GB"/>
        </w:rPr>
        <w:t xml:space="preserve">Electronics Journal </w:t>
      </w:r>
      <w:proofErr w:type="gramStart"/>
      <w:r w:rsidRPr="00BF6CF4">
        <w:rPr>
          <w:rFonts w:ascii="Arial" w:eastAsia="Times New Roman" w:hAnsi="Arial" w:cs="Arial"/>
          <w:i/>
          <w:iCs/>
          <w:color w:val="222222"/>
          <w:sz w:val="20"/>
          <w:szCs w:val="20"/>
          <w:lang w:eastAsia="en-GB"/>
        </w:rPr>
        <w:t>For</w:t>
      </w:r>
      <w:proofErr w:type="gramEnd"/>
      <w:r w:rsidRPr="00BF6CF4">
        <w:rPr>
          <w:rFonts w:ascii="Arial" w:eastAsia="Times New Roman" w:hAnsi="Arial" w:cs="Arial"/>
          <w:i/>
          <w:iCs/>
          <w:color w:val="222222"/>
          <w:sz w:val="20"/>
          <w:szCs w:val="20"/>
          <w:lang w:eastAsia="en-GB"/>
        </w:rPr>
        <w:t xml:space="preserve"> Philosophy</w:t>
      </w:r>
      <w:r w:rsidRPr="00BF6CF4">
        <w:rPr>
          <w:rFonts w:ascii="Arial" w:eastAsia="Times New Roman" w:hAnsi="Arial" w:cs="Arial"/>
          <w:color w:val="222222"/>
          <w:sz w:val="20"/>
          <w:szCs w:val="20"/>
          <w:lang w:eastAsia="en-GB"/>
        </w:rPr>
        <w:t>, </w:t>
      </w:r>
      <w:r w:rsidRPr="00BF6CF4">
        <w:rPr>
          <w:rFonts w:ascii="Arial" w:eastAsia="Times New Roman" w:hAnsi="Arial" w:cs="Arial"/>
          <w:i/>
          <w:iCs/>
          <w:color w:val="222222"/>
          <w:sz w:val="20"/>
          <w:szCs w:val="20"/>
          <w:lang w:eastAsia="en-GB"/>
        </w:rPr>
        <w:t>1</w:t>
      </w:r>
      <w:r w:rsidRPr="00BF6CF4">
        <w:rPr>
          <w:rFonts w:ascii="Arial" w:eastAsia="Times New Roman" w:hAnsi="Arial" w:cs="Arial"/>
          <w:color w:val="222222"/>
          <w:sz w:val="20"/>
          <w:szCs w:val="20"/>
          <w:lang w:eastAsia="en-GB"/>
        </w:rPr>
        <w:t>, pp.1-23.</w:t>
      </w:r>
    </w:p>
    <w:bookmarkEnd w:id="13"/>
    <w:p w14:paraId="10478944" w14:textId="77777777" w:rsidR="00E90604" w:rsidRDefault="00E90604"/>
    <w:sectPr w:rsidR="00E9060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D7A608" w14:textId="77777777" w:rsidR="00AB3292" w:rsidRDefault="00AB3292" w:rsidP="007C6B56">
      <w:pPr>
        <w:spacing w:after="0" w:line="240" w:lineRule="auto"/>
      </w:pPr>
      <w:r>
        <w:separator/>
      </w:r>
    </w:p>
  </w:endnote>
  <w:endnote w:type="continuationSeparator" w:id="0">
    <w:p w14:paraId="21DC9833" w14:textId="77777777" w:rsidR="00AB3292" w:rsidRDefault="00AB3292" w:rsidP="007C6B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CCDA6D" w14:textId="77777777" w:rsidR="00AB3292" w:rsidRDefault="00AB3292" w:rsidP="007C6B56">
      <w:pPr>
        <w:spacing w:after="0" w:line="240" w:lineRule="auto"/>
      </w:pPr>
      <w:r>
        <w:separator/>
      </w:r>
    </w:p>
  </w:footnote>
  <w:footnote w:type="continuationSeparator" w:id="0">
    <w:p w14:paraId="0DA8D54B" w14:textId="77777777" w:rsidR="00AB3292" w:rsidRDefault="00AB3292" w:rsidP="007C6B56">
      <w:pPr>
        <w:spacing w:after="0" w:line="240" w:lineRule="auto"/>
      </w:pPr>
      <w:r>
        <w:continuationSeparator/>
      </w:r>
    </w:p>
  </w:footnote>
  <w:footnote w:id="1">
    <w:p w14:paraId="16E48F85" w14:textId="0CFE3F04" w:rsidR="008C2E80" w:rsidRDefault="008C2E80">
      <w:pPr>
        <w:pStyle w:val="FootnoteText"/>
      </w:pPr>
      <w:r>
        <w:rPr>
          <w:rStyle w:val="FootnoteReference"/>
        </w:rPr>
        <w:footnoteRef/>
      </w:r>
      <w:r>
        <w:t xml:space="preserve"> </w:t>
      </w:r>
      <w:bookmarkStart w:id="0" w:name="_Hlk535356037"/>
      <w:r w:rsidRPr="00E90604">
        <w:t>Reconsidering Hamartia as “Sin” in 1 Corinthians</w:t>
      </w:r>
      <w:r>
        <w:t xml:space="preserve">, Erin Roberts </w:t>
      </w:r>
      <w:bookmarkEnd w:id="0"/>
    </w:p>
  </w:footnote>
  <w:footnote w:id="2">
    <w:p w14:paraId="7FC8AEA9" w14:textId="7B3B628F" w:rsidR="008C2E80" w:rsidRDefault="008C2E80">
      <w:pPr>
        <w:pStyle w:val="FootnoteText"/>
      </w:pPr>
      <w:r>
        <w:rPr>
          <w:rStyle w:val="FootnoteReference"/>
        </w:rPr>
        <w:footnoteRef/>
      </w:r>
      <w:r>
        <w:t xml:space="preserve"> ibid.</w:t>
      </w:r>
    </w:p>
  </w:footnote>
  <w:footnote w:id="3">
    <w:p w14:paraId="5525A9B8" w14:textId="067627B5" w:rsidR="008C2E80" w:rsidRDefault="008C2E80">
      <w:pPr>
        <w:pStyle w:val="FootnoteText"/>
      </w:pPr>
      <w:r>
        <w:rPr>
          <w:rStyle w:val="FootnoteReference"/>
        </w:rPr>
        <w:footnoteRef/>
      </w:r>
      <w:r>
        <w:t xml:space="preserve"> ibid.</w:t>
      </w:r>
    </w:p>
  </w:footnote>
  <w:footnote w:id="4">
    <w:p w14:paraId="5C103089" w14:textId="4AB954B9" w:rsidR="008C2E80" w:rsidRDefault="008C2E80">
      <w:pPr>
        <w:pStyle w:val="FootnoteText"/>
      </w:pPr>
      <w:r>
        <w:rPr>
          <w:rStyle w:val="FootnoteReference"/>
        </w:rPr>
        <w:footnoteRef/>
      </w:r>
      <w:r>
        <w:t xml:space="preserve"> ibid.</w:t>
      </w:r>
    </w:p>
  </w:footnote>
  <w:footnote w:id="5">
    <w:p w14:paraId="094D17EE" w14:textId="2445F392" w:rsidR="008C2E80" w:rsidRDefault="008C2E80">
      <w:pPr>
        <w:pStyle w:val="FootnoteText"/>
      </w:pPr>
      <w:r>
        <w:rPr>
          <w:rStyle w:val="FootnoteReference"/>
        </w:rPr>
        <w:footnoteRef/>
      </w:r>
      <w:r>
        <w:t xml:space="preserve"> Hamartia and virtue, Nancy Sherman</w:t>
      </w:r>
    </w:p>
  </w:footnote>
  <w:footnote w:id="6">
    <w:p w14:paraId="061E28CF" w14:textId="7CBFD759" w:rsidR="008C2E80" w:rsidRDefault="008C2E80">
      <w:pPr>
        <w:pStyle w:val="FootnoteText"/>
      </w:pPr>
      <w:r>
        <w:rPr>
          <w:rStyle w:val="FootnoteReference"/>
        </w:rPr>
        <w:footnoteRef/>
      </w:r>
      <w:r>
        <w:t xml:space="preserve"> </w:t>
      </w:r>
      <w:bookmarkStart w:id="1" w:name="_Hlk535354021"/>
      <w:r w:rsidRPr="008C2E80">
        <w:t>Traditional Elements in the concept of Hamartia in Aristotle's Poetics</w:t>
      </w:r>
      <w:r>
        <w:t xml:space="preserve">, Eckart </w:t>
      </w:r>
      <w:proofErr w:type="spellStart"/>
      <w:r w:rsidRPr="008C2E80">
        <w:t>Schütrumpf</w:t>
      </w:r>
      <w:proofErr w:type="spellEnd"/>
    </w:p>
    <w:bookmarkEnd w:id="1"/>
  </w:footnote>
  <w:footnote w:id="7">
    <w:p w14:paraId="62521BE8" w14:textId="08758392" w:rsidR="008C2E80" w:rsidRDefault="008C2E80">
      <w:pPr>
        <w:pStyle w:val="FootnoteText"/>
      </w:pPr>
      <w:r>
        <w:rPr>
          <w:rStyle w:val="FootnoteReference"/>
        </w:rPr>
        <w:footnoteRef/>
      </w:r>
      <w:r>
        <w:t xml:space="preserve"> ibid.</w:t>
      </w:r>
    </w:p>
  </w:footnote>
  <w:footnote w:id="8">
    <w:p w14:paraId="29FDF34C" w14:textId="76FC8322" w:rsidR="008C2E80" w:rsidRDefault="008C2E80">
      <w:pPr>
        <w:pStyle w:val="FootnoteText"/>
      </w:pPr>
      <w:r>
        <w:rPr>
          <w:rStyle w:val="FootnoteReference"/>
        </w:rPr>
        <w:footnoteRef/>
      </w:r>
      <w:r>
        <w:t xml:space="preserve"> ibid.</w:t>
      </w:r>
    </w:p>
  </w:footnote>
  <w:footnote w:id="9">
    <w:p w14:paraId="6A85146A" w14:textId="7E53E375" w:rsidR="008C2E80" w:rsidRDefault="008C2E80">
      <w:pPr>
        <w:pStyle w:val="FootnoteText"/>
      </w:pPr>
      <w:r>
        <w:rPr>
          <w:rStyle w:val="FootnoteReference"/>
        </w:rPr>
        <w:footnoteRef/>
      </w:r>
      <w:r>
        <w:t xml:space="preserve"> Hamartia and virtue, Nancy Sherman</w:t>
      </w:r>
    </w:p>
  </w:footnote>
  <w:footnote w:id="10">
    <w:p w14:paraId="781BB7F5" w14:textId="42E014E6" w:rsidR="008C2E80" w:rsidRDefault="008C2E80">
      <w:pPr>
        <w:pStyle w:val="FootnoteText"/>
      </w:pPr>
      <w:r>
        <w:rPr>
          <w:rStyle w:val="FootnoteReference"/>
        </w:rPr>
        <w:footnoteRef/>
      </w:r>
      <w:r>
        <w:t xml:space="preserve"> </w:t>
      </w:r>
      <w:r w:rsidRPr="00E90604">
        <w:t>Reconsidering Hamartia as “Sin” in 1 Corinthians</w:t>
      </w:r>
      <w:r>
        <w:t>, Erin Roberts</w:t>
      </w:r>
    </w:p>
  </w:footnote>
  <w:footnote w:id="11">
    <w:p w14:paraId="6CFA6E50" w14:textId="754E10F2" w:rsidR="008C2E80" w:rsidRPr="008C2E80" w:rsidRDefault="008C2E80">
      <w:pPr>
        <w:pStyle w:val="FootnoteText"/>
        <w:rPr>
          <w:b/>
        </w:rPr>
      </w:pPr>
      <w:r w:rsidRPr="008C2E80">
        <w:rPr>
          <w:rStyle w:val="FootnoteReference"/>
          <w:b/>
        </w:rPr>
        <w:footnoteRef/>
      </w:r>
      <w:r w:rsidRPr="008C2E80">
        <w:rPr>
          <w:b/>
        </w:rPr>
        <w:t xml:space="preserve"> </w:t>
      </w:r>
      <w:r w:rsidR="00D077FA" w:rsidRPr="008C2E80">
        <w:rPr>
          <w:rFonts w:ascii="Calibri" w:hAnsi="Calibri" w:cs="Calibri"/>
          <w:color w:val="000000"/>
          <w:shd w:val="clear" w:color="auto" w:fill="FFFFFF"/>
        </w:rPr>
        <w:t xml:space="preserve">The Tragic Flaw: Is It a Tragic </w:t>
      </w:r>
      <w:proofErr w:type="gramStart"/>
      <w:r w:rsidR="00D077FA" w:rsidRPr="008C2E80">
        <w:rPr>
          <w:rFonts w:ascii="Calibri" w:hAnsi="Calibri" w:cs="Calibri"/>
          <w:color w:val="000000"/>
          <w:shd w:val="clear" w:color="auto" w:fill="FFFFFF"/>
        </w:rPr>
        <w:t>Error?</w:t>
      </w:r>
      <w:r w:rsidR="00D077FA">
        <w:rPr>
          <w:rFonts w:ascii="Calibri" w:hAnsi="Calibri" w:cs="Calibri"/>
          <w:color w:val="000000"/>
          <w:shd w:val="clear" w:color="auto" w:fill="FFFFFF"/>
        </w:rPr>
        <w:t>,</w:t>
      </w:r>
      <w:proofErr w:type="gramEnd"/>
      <w:r w:rsidR="00D077FA">
        <w:rPr>
          <w:rFonts w:ascii="Calibri" w:hAnsi="Calibri" w:cs="Calibri"/>
          <w:color w:val="000000"/>
          <w:shd w:val="clear" w:color="auto" w:fill="FFFFFF"/>
        </w:rPr>
        <w:t xml:space="preserve"> Isabel Hyde</w:t>
      </w:r>
    </w:p>
  </w:footnote>
  <w:footnote w:id="12">
    <w:p w14:paraId="0D0D2C9E" w14:textId="3F753C0B" w:rsidR="008C2E80" w:rsidRDefault="008C2E80">
      <w:pPr>
        <w:pStyle w:val="FootnoteText"/>
      </w:pPr>
      <w:r>
        <w:rPr>
          <w:rStyle w:val="FootnoteReference"/>
        </w:rPr>
        <w:footnoteRef/>
      </w:r>
      <w:r>
        <w:t xml:space="preserve"> </w:t>
      </w:r>
      <w:bookmarkStart w:id="3" w:name="_Hlk535356134"/>
      <w:r w:rsidRPr="008C2E80">
        <w:t xml:space="preserve">Traditional Elements in the concept of Hamartia in Aristotle's Poetics, Eckart </w:t>
      </w:r>
      <w:proofErr w:type="spellStart"/>
      <w:r w:rsidRPr="008C2E80">
        <w:t>Schütrumpf</w:t>
      </w:r>
      <w:bookmarkEnd w:id="3"/>
      <w:proofErr w:type="spellEnd"/>
    </w:p>
  </w:footnote>
  <w:footnote w:id="13">
    <w:p w14:paraId="19B9DF28" w14:textId="5CD0EE17" w:rsidR="008C2E80" w:rsidRDefault="008C2E80">
      <w:pPr>
        <w:pStyle w:val="FootnoteText"/>
      </w:pPr>
      <w:r>
        <w:rPr>
          <w:rStyle w:val="FootnoteReference"/>
        </w:rPr>
        <w:footnoteRef/>
      </w:r>
      <w:r>
        <w:t xml:space="preserve"> </w:t>
      </w:r>
      <w:r w:rsidRPr="00E90604">
        <w:t>Action and Hamartia in Aristotle’s Poetics, Philip Tonne</w:t>
      </w:r>
      <w:r>
        <w:t>r</w:t>
      </w:r>
    </w:p>
  </w:footnote>
  <w:footnote w:id="14">
    <w:p w14:paraId="749241BD" w14:textId="79C725D3" w:rsidR="008C2E80" w:rsidRDefault="008C2E80">
      <w:pPr>
        <w:pStyle w:val="FootnoteText"/>
      </w:pPr>
      <w:r>
        <w:rPr>
          <w:rStyle w:val="FootnoteReference"/>
        </w:rPr>
        <w:footnoteRef/>
      </w:r>
      <w:r>
        <w:t xml:space="preserve"> ibid.</w:t>
      </w:r>
    </w:p>
  </w:footnote>
  <w:footnote w:id="15">
    <w:p w14:paraId="0482E4CD" w14:textId="2511DE04" w:rsidR="008C2E80" w:rsidRDefault="008C2E80">
      <w:pPr>
        <w:pStyle w:val="FootnoteText"/>
      </w:pPr>
      <w:r>
        <w:rPr>
          <w:rStyle w:val="FootnoteReference"/>
        </w:rPr>
        <w:footnoteRef/>
      </w:r>
      <w:r>
        <w:t xml:space="preserve"> </w:t>
      </w:r>
      <w:bookmarkStart w:id="4" w:name="_Hlk535356320"/>
      <w:r w:rsidRPr="00E90604">
        <w:t>Action and Hamartia in Aristotle’s Poetics, Philip Tonner</w:t>
      </w:r>
      <w:bookmarkEnd w:id="4"/>
    </w:p>
  </w:footnote>
  <w:footnote w:id="16">
    <w:p w14:paraId="2BD1E5E1" w14:textId="60BDB52A" w:rsidR="008C2E80" w:rsidRPr="00D077FA" w:rsidRDefault="008C2E80">
      <w:pPr>
        <w:pStyle w:val="FootnoteText"/>
      </w:pPr>
      <w:r w:rsidRPr="00D077FA">
        <w:rPr>
          <w:rStyle w:val="FootnoteReference"/>
        </w:rPr>
        <w:footnoteRef/>
      </w:r>
      <w:r w:rsidRPr="00D077FA">
        <w:t xml:space="preserve"> </w:t>
      </w:r>
      <w:bookmarkStart w:id="5" w:name="_Hlk535356342"/>
      <w:r w:rsidR="00D077FA" w:rsidRPr="00D077FA">
        <w:t>The Role of Apollo in Oedipus Tyrannus</w:t>
      </w:r>
      <w:r w:rsidR="00D077FA" w:rsidRPr="00D077FA">
        <w:t>, David Kovacs</w:t>
      </w:r>
      <w:bookmarkEnd w:id="5"/>
    </w:p>
  </w:footnote>
  <w:footnote w:id="17">
    <w:p w14:paraId="47C233AF" w14:textId="22DE09BF" w:rsidR="008C2E80" w:rsidRDefault="008C2E80">
      <w:pPr>
        <w:pStyle w:val="FootnoteText"/>
      </w:pPr>
      <w:r>
        <w:rPr>
          <w:rStyle w:val="FootnoteReference"/>
        </w:rPr>
        <w:footnoteRef/>
      </w:r>
      <w:r>
        <w:t xml:space="preserve"> Hamartia and virtue, Nancy Sherman</w:t>
      </w:r>
    </w:p>
  </w:footnote>
  <w:footnote w:id="18">
    <w:p w14:paraId="7E5FFE75" w14:textId="213F74F9" w:rsidR="008C2E80" w:rsidRDefault="008C2E80" w:rsidP="00B073EA">
      <w:pPr>
        <w:pStyle w:val="FootnoteText"/>
      </w:pPr>
      <w:r>
        <w:rPr>
          <w:rStyle w:val="FootnoteReference"/>
        </w:rPr>
        <w:footnoteRef/>
      </w:r>
      <w:r>
        <w:t xml:space="preserve"> Hamartia and virtue, Nancy Sherman</w:t>
      </w:r>
    </w:p>
  </w:footnote>
  <w:footnote w:id="19">
    <w:p w14:paraId="096D6E75" w14:textId="22F153C7" w:rsidR="008C2E80" w:rsidRDefault="008C2E80" w:rsidP="00B073EA">
      <w:pPr>
        <w:pStyle w:val="FootnoteText"/>
      </w:pPr>
      <w:r>
        <w:rPr>
          <w:rStyle w:val="FootnoteReference"/>
        </w:rPr>
        <w:footnoteRef/>
      </w:r>
      <w:r>
        <w:t xml:space="preserve"> </w:t>
      </w:r>
      <w:r w:rsidRPr="00E90604">
        <w:t>Reconsidering Hamartia as “Sin” in 1 Corinthians</w:t>
      </w:r>
      <w:r>
        <w:t>, Erin Roberts</w:t>
      </w:r>
    </w:p>
  </w:footnote>
  <w:footnote w:id="20">
    <w:p w14:paraId="52F276E6" w14:textId="52019D62" w:rsidR="008C2E80" w:rsidRDefault="008C2E80">
      <w:pPr>
        <w:pStyle w:val="FootnoteText"/>
      </w:pPr>
      <w:r>
        <w:rPr>
          <w:rStyle w:val="FootnoteReference"/>
        </w:rPr>
        <w:footnoteRef/>
      </w:r>
      <w:r>
        <w:t xml:space="preserve"> </w:t>
      </w:r>
      <w:r w:rsidRPr="00E90604">
        <w:t>Reconsidering Hamartia as “Sin” in 1 Corinthians</w:t>
      </w:r>
      <w:r>
        <w:t>, Erin Roberts</w:t>
      </w:r>
    </w:p>
  </w:footnote>
  <w:footnote w:id="21">
    <w:p w14:paraId="5E36E078" w14:textId="6C711D62" w:rsidR="008C2E80" w:rsidRDefault="008C2E80">
      <w:pPr>
        <w:pStyle w:val="FootnoteText"/>
      </w:pPr>
      <w:r>
        <w:rPr>
          <w:rStyle w:val="FootnoteReference"/>
        </w:rPr>
        <w:footnoteRef/>
      </w:r>
      <w:r>
        <w:t xml:space="preserve"> Hamartia and virtue, Nancy Sherman</w:t>
      </w:r>
    </w:p>
  </w:footnote>
  <w:footnote w:id="22">
    <w:p w14:paraId="2C8A5EB1" w14:textId="41F773E2" w:rsidR="008C2E80" w:rsidRDefault="008C2E80">
      <w:pPr>
        <w:pStyle w:val="FootnoteText"/>
      </w:pPr>
      <w:r>
        <w:rPr>
          <w:rStyle w:val="FootnoteReference"/>
        </w:rPr>
        <w:footnoteRef/>
      </w:r>
      <w:r w:rsidR="00647716">
        <w:t xml:space="preserve"> </w:t>
      </w:r>
      <w:bookmarkStart w:id="7" w:name="_Hlk535356187"/>
      <w:r w:rsidR="00647716" w:rsidRPr="00647716">
        <w:t>Hamartia in Aristotle and Greek tragedy</w:t>
      </w:r>
      <w:r w:rsidR="00647716">
        <w:t xml:space="preserve">, </w:t>
      </w:r>
      <w:proofErr w:type="spellStart"/>
      <w:r w:rsidR="00647716" w:rsidRPr="00647716">
        <w:t>Stinton</w:t>
      </w:r>
      <w:proofErr w:type="spellEnd"/>
      <w:r w:rsidR="00647716" w:rsidRPr="00647716">
        <w:t>, T.C.</w:t>
      </w:r>
      <w:bookmarkEnd w:id="7"/>
    </w:p>
  </w:footnote>
  <w:footnote w:id="23">
    <w:p w14:paraId="785154B2" w14:textId="5A9546C5" w:rsidR="008C2E80" w:rsidRDefault="008C2E80">
      <w:pPr>
        <w:pStyle w:val="FootnoteText"/>
      </w:pPr>
      <w:r>
        <w:rPr>
          <w:rStyle w:val="FootnoteReference"/>
        </w:rPr>
        <w:footnoteRef/>
      </w:r>
      <w:r>
        <w:t xml:space="preserve"> </w:t>
      </w:r>
      <w:bookmarkStart w:id="9" w:name="_Hlk535356178"/>
      <w:r>
        <w:t>Hamartia and virtue, Nancy Sherman</w:t>
      </w:r>
      <w:bookmarkEnd w:id="9"/>
    </w:p>
  </w:footnote>
  <w:footnote w:id="24">
    <w:p w14:paraId="51C56C8C" w14:textId="50ACB061" w:rsidR="008C2E80" w:rsidRDefault="008C2E80">
      <w:pPr>
        <w:pStyle w:val="FootnoteText"/>
      </w:pPr>
      <w:r>
        <w:rPr>
          <w:rStyle w:val="FootnoteReference"/>
        </w:rPr>
        <w:footnoteRef/>
      </w:r>
      <w:r>
        <w:t xml:space="preserve"> </w:t>
      </w:r>
      <w:bookmarkStart w:id="10" w:name="_Hlk535356166"/>
      <w:r w:rsidR="00647716" w:rsidRPr="00647716">
        <w:t>Aristotle’s Hamartia Reconsidered</w:t>
      </w:r>
      <w:r w:rsidR="00647716">
        <w:t>, Ho Kim</w:t>
      </w:r>
      <w:bookmarkEnd w:id="10"/>
    </w:p>
  </w:footnote>
  <w:footnote w:id="25">
    <w:p w14:paraId="0F25FED5" w14:textId="3306FF77" w:rsidR="008C2E80" w:rsidRDefault="008C2E80">
      <w:pPr>
        <w:pStyle w:val="FootnoteText"/>
      </w:pPr>
      <w:r>
        <w:rPr>
          <w:rStyle w:val="FootnoteReference"/>
        </w:rPr>
        <w:footnoteRef/>
      </w:r>
      <w:r>
        <w:t xml:space="preserve"> </w:t>
      </w:r>
      <w:r w:rsidR="00647716">
        <w:t>ibid.</w:t>
      </w:r>
    </w:p>
  </w:footnote>
  <w:footnote w:id="26">
    <w:p w14:paraId="07BD4D50" w14:textId="5F259F79" w:rsidR="008C2E80" w:rsidRDefault="008C2E80">
      <w:pPr>
        <w:pStyle w:val="FootnoteText"/>
      </w:pPr>
      <w:r>
        <w:rPr>
          <w:rStyle w:val="FootnoteReference"/>
        </w:rPr>
        <w:footnoteRef/>
      </w:r>
      <w:r>
        <w:t xml:space="preserve"> </w:t>
      </w:r>
      <w:r w:rsidR="00647716">
        <w:t>ibid.</w:t>
      </w:r>
    </w:p>
  </w:footnote>
  <w:footnote w:id="27">
    <w:p w14:paraId="693958FE" w14:textId="37AD21E6" w:rsidR="008C2E80" w:rsidRDefault="008C2E80">
      <w:pPr>
        <w:pStyle w:val="FootnoteText"/>
      </w:pPr>
      <w:r>
        <w:rPr>
          <w:rStyle w:val="FootnoteReference"/>
        </w:rPr>
        <w:footnoteRef/>
      </w:r>
      <w:r>
        <w:t xml:space="preserve"> </w:t>
      </w:r>
      <w:r w:rsidR="00D077FA" w:rsidRPr="008C2E80">
        <w:rPr>
          <w:rFonts w:ascii="Calibri" w:hAnsi="Calibri" w:cs="Calibri"/>
          <w:color w:val="000000"/>
          <w:shd w:val="clear" w:color="auto" w:fill="FFFFFF"/>
        </w:rPr>
        <w:t xml:space="preserve">The Tragic Flaw: Is It a Tragic </w:t>
      </w:r>
      <w:proofErr w:type="gramStart"/>
      <w:r w:rsidR="00D077FA" w:rsidRPr="008C2E80">
        <w:rPr>
          <w:rFonts w:ascii="Calibri" w:hAnsi="Calibri" w:cs="Calibri"/>
          <w:color w:val="000000"/>
          <w:shd w:val="clear" w:color="auto" w:fill="FFFFFF"/>
        </w:rPr>
        <w:t>Error?</w:t>
      </w:r>
      <w:r w:rsidR="00D077FA">
        <w:rPr>
          <w:rFonts w:ascii="Calibri" w:hAnsi="Calibri" w:cs="Calibri"/>
          <w:color w:val="000000"/>
          <w:shd w:val="clear" w:color="auto" w:fill="FFFFFF"/>
        </w:rPr>
        <w:t>,</w:t>
      </w:r>
      <w:proofErr w:type="gramEnd"/>
      <w:r w:rsidR="00D077FA">
        <w:rPr>
          <w:rFonts w:ascii="Calibri" w:hAnsi="Calibri" w:cs="Calibri"/>
          <w:color w:val="000000"/>
          <w:shd w:val="clear" w:color="auto" w:fill="FFFFFF"/>
        </w:rPr>
        <w:t xml:space="preserve"> Isabel Hyde</w:t>
      </w:r>
    </w:p>
  </w:footnote>
  <w:footnote w:id="28">
    <w:p w14:paraId="477E9F6C" w14:textId="6FB4CEAB" w:rsidR="008C2E80" w:rsidRDefault="008C2E80">
      <w:pPr>
        <w:pStyle w:val="FootnoteText"/>
      </w:pPr>
      <w:r>
        <w:rPr>
          <w:rStyle w:val="FootnoteReference"/>
        </w:rPr>
        <w:footnoteRef/>
      </w:r>
      <w:r>
        <w:t xml:space="preserve"> </w:t>
      </w:r>
      <w:bookmarkStart w:id="12" w:name="_Hlk535356086"/>
      <w:r w:rsidR="00647716" w:rsidRPr="00647716">
        <w:t>Toward a definition of tragedy</w:t>
      </w:r>
      <w:r w:rsidR="00647716">
        <w:t>, Leon Golden</w:t>
      </w:r>
      <w:bookmarkEnd w:id="12"/>
    </w:p>
  </w:footnote>
  <w:footnote w:id="29">
    <w:p w14:paraId="172748F0" w14:textId="2F704501" w:rsidR="008C2E80" w:rsidRDefault="008C2E80">
      <w:pPr>
        <w:pStyle w:val="FootnoteText"/>
      </w:pPr>
      <w:r>
        <w:rPr>
          <w:rStyle w:val="FootnoteReference"/>
        </w:rPr>
        <w:footnoteRef/>
      </w:r>
      <w:r>
        <w:t xml:space="preserve"> </w:t>
      </w:r>
      <w:r w:rsidR="00647716" w:rsidRPr="00647716">
        <w:t>Toward a definition of tragedy</w:t>
      </w:r>
      <w:r w:rsidR="00647716">
        <w:t>, Leon Golden</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2320FF"/>
    <w:multiLevelType w:val="hybridMultilevel"/>
    <w:tmpl w:val="F2A4307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F17DA4"/>
    <w:multiLevelType w:val="hybridMultilevel"/>
    <w:tmpl w:val="082E367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AF7837"/>
    <w:multiLevelType w:val="hybridMultilevel"/>
    <w:tmpl w:val="5E2085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6B63DF"/>
    <w:multiLevelType w:val="hybridMultilevel"/>
    <w:tmpl w:val="358A3EF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75A38CA"/>
    <w:multiLevelType w:val="hybridMultilevel"/>
    <w:tmpl w:val="B6F8B8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2D12D7"/>
    <w:multiLevelType w:val="hybridMultilevel"/>
    <w:tmpl w:val="FD2C1A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0"/>
  </w:num>
  <w:num w:numId="4">
    <w:abstractNumId w:val="3"/>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35F9"/>
    <w:rsid w:val="000352E6"/>
    <w:rsid w:val="0006468B"/>
    <w:rsid w:val="0006608E"/>
    <w:rsid w:val="0007109E"/>
    <w:rsid w:val="000767B5"/>
    <w:rsid w:val="000916CA"/>
    <w:rsid w:val="00095141"/>
    <w:rsid w:val="000A24EE"/>
    <w:rsid w:val="000A5A1A"/>
    <w:rsid w:val="000D304F"/>
    <w:rsid w:val="000E4672"/>
    <w:rsid w:val="00101BB4"/>
    <w:rsid w:val="0012121F"/>
    <w:rsid w:val="0012534E"/>
    <w:rsid w:val="00132771"/>
    <w:rsid w:val="00132F37"/>
    <w:rsid w:val="00147421"/>
    <w:rsid w:val="00194D24"/>
    <w:rsid w:val="001A42B2"/>
    <w:rsid w:val="001C3C28"/>
    <w:rsid w:val="001C68D8"/>
    <w:rsid w:val="001F5059"/>
    <w:rsid w:val="00203262"/>
    <w:rsid w:val="00241B06"/>
    <w:rsid w:val="0027373C"/>
    <w:rsid w:val="00273987"/>
    <w:rsid w:val="00280FD7"/>
    <w:rsid w:val="002841E2"/>
    <w:rsid w:val="002A33B1"/>
    <w:rsid w:val="002D10CB"/>
    <w:rsid w:val="00333D31"/>
    <w:rsid w:val="0037082F"/>
    <w:rsid w:val="0037779C"/>
    <w:rsid w:val="003804AB"/>
    <w:rsid w:val="00383A82"/>
    <w:rsid w:val="00390691"/>
    <w:rsid w:val="003B1B18"/>
    <w:rsid w:val="003D0997"/>
    <w:rsid w:val="003F2C07"/>
    <w:rsid w:val="0041292B"/>
    <w:rsid w:val="0043266E"/>
    <w:rsid w:val="00442E7D"/>
    <w:rsid w:val="00481AEF"/>
    <w:rsid w:val="004B4AE9"/>
    <w:rsid w:val="004D09ED"/>
    <w:rsid w:val="004D465D"/>
    <w:rsid w:val="004E0A0A"/>
    <w:rsid w:val="00500558"/>
    <w:rsid w:val="00564577"/>
    <w:rsid w:val="00570B0E"/>
    <w:rsid w:val="00596FAB"/>
    <w:rsid w:val="005C23E9"/>
    <w:rsid w:val="006170CF"/>
    <w:rsid w:val="00647716"/>
    <w:rsid w:val="00693DAA"/>
    <w:rsid w:val="0072188C"/>
    <w:rsid w:val="00756C9A"/>
    <w:rsid w:val="00757BA6"/>
    <w:rsid w:val="007C6B56"/>
    <w:rsid w:val="00846D01"/>
    <w:rsid w:val="008735F9"/>
    <w:rsid w:val="00881C51"/>
    <w:rsid w:val="00884AEE"/>
    <w:rsid w:val="00896D1B"/>
    <w:rsid w:val="008C2E80"/>
    <w:rsid w:val="008D02F9"/>
    <w:rsid w:val="008E0421"/>
    <w:rsid w:val="00915B15"/>
    <w:rsid w:val="0094337A"/>
    <w:rsid w:val="00945E84"/>
    <w:rsid w:val="009C66FF"/>
    <w:rsid w:val="009E5CC1"/>
    <w:rsid w:val="00A00C6A"/>
    <w:rsid w:val="00A600FD"/>
    <w:rsid w:val="00AB3292"/>
    <w:rsid w:val="00AC7703"/>
    <w:rsid w:val="00AE62E9"/>
    <w:rsid w:val="00B073EA"/>
    <w:rsid w:val="00B43214"/>
    <w:rsid w:val="00B838AE"/>
    <w:rsid w:val="00BA2D95"/>
    <w:rsid w:val="00BE1DFC"/>
    <w:rsid w:val="00BE5349"/>
    <w:rsid w:val="00BF58BC"/>
    <w:rsid w:val="00C20FED"/>
    <w:rsid w:val="00C55D0C"/>
    <w:rsid w:val="00C56B9C"/>
    <w:rsid w:val="00C6182D"/>
    <w:rsid w:val="00C63730"/>
    <w:rsid w:val="00CB19A5"/>
    <w:rsid w:val="00CB540D"/>
    <w:rsid w:val="00CC64E0"/>
    <w:rsid w:val="00D077FA"/>
    <w:rsid w:val="00D66A8A"/>
    <w:rsid w:val="00D84FFA"/>
    <w:rsid w:val="00E36AFC"/>
    <w:rsid w:val="00E57E54"/>
    <w:rsid w:val="00E641AF"/>
    <w:rsid w:val="00E90604"/>
    <w:rsid w:val="00F26F4D"/>
    <w:rsid w:val="00F354BC"/>
    <w:rsid w:val="00F625D9"/>
    <w:rsid w:val="00F74882"/>
    <w:rsid w:val="00F952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9B9ED7"/>
  <w15:chartTrackingRefBased/>
  <w15:docId w15:val="{57B79A92-927E-4B7A-91BE-1FC4807E70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952B4"/>
    <w:pPr>
      <w:ind w:left="720"/>
      <w:contextualSpacing/>
    </w:pPr>
  </w:style>
  <w:style w:type="paragraph" w:styleId="FootnoteText">
    <w:name w:val="footnote text"/>
    <w:basedOn w:val="Normal"/>
    <w:link w:val="FootnoteTextChar"/>
    <w:uiPriority w:val="99"/>
    <w:semiHidden/>
    <w:unhideWhenUsed/>
    <w:rsid w:val="007C6B5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C6B56"/>
    <w:rPr>
      <w:sz w:val="20"/>
      <w:szCs w:val="20"/>
    </w:rPr>
  </w:style>
  <w:style w:type="character" w:styleId="FootnoteReference">
    <w:name w:val="footnote reference"/>
    <w:basedOn w:val="DefaultParagraphFont"/>
    <w:uiPriority w:val="99"/>
    <w:semiHidden/>
    <w:unhideWhenUsed/>
    <w:rsid w:val="007C6B5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7997872">
      <w:bodyDiv w:val="1"/>
      <w:marLeft w:val="0"/>
      <w:marRight w:val="0"/>
      <w:marTop w:val="0"/>
      <w:marBottom w:val="0"/>
      <w:divBdr>
        <w:top w:val="none" w:sz="0" w:space="0" w:color="auto"/>
        <w:left w:val="none" w:sz="0" w:space="0" w:color="auto"/>
        <w:bottom w:val="none" w:sz="0" w:space="0" w:color="auto"/>
        <w:right w:val="none" w:sz="0" w:space="0" w:color="auto"/>
      </w:divBdr>
      <w:divsChild>
        <w:div w:id="84339893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C33A72-AE26-481D-B217-B40D3D8DDE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7773</TotalTime>
  <Pages>5</Pages>
  <Words>1890</Words>
  <Characters>10775</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Kieron Mieres</dc:creator>
  <cp:keywords/>
  <dc:description/>
  <cp:lastModifiedBy>Kieron Mieres</cp:lastModifiedBy>
  <cp:revision>10</cp:revision>
  <dcterms:created xsi:type="dcterms:W3CDTF">2019-01-06T20:12:00Z</dcterms:created>
  <dcterms:modified xsi:type="dcterms:W3CDTF">2019-01-15T23:09:00Z</dcterms:modified>
</cp:coreProperties>
</file>