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912DDF" w14:textId="50BFFE82" w:rsidR="00FE4C48" w:rsidRPr="00EA231C" w:rsidRDefault="00FE4C48" w:rsidP="00656351">
      <w:pPr>
        <w:spacing w:beforeLines="60" w:before="144" w:afterLines="40" w:after="96"/>
        <w:rPr>
          <w:b/>
          <w:bCs/>
          <w:sz w:val="28"/>
          <w:szCs w:val="28"/>
        </w:rPr>
      </w:pPr>
      <w:r w:rsidRPr="00EA231C">
        <w:rPr>
          <w:b/>
          <w:bCs/>
          <w:sz w:val="28"/>
          <w:szCs w:val="28"/>
        </w:rPr>
        <w:t xml:space="preserve">Cyrille Tounoudjou  / 1914188 </w:t>
      </w:r>
    </w:p>
    <w:p w14:paraId="69F5A9BE" w14:textId="4B43AF5A" w:rsidR="00FE4C48" w:rsidRPr="00FE4C48" w:rsidRDefault="00FE4C48" w:rsidP="00656351">
      <w:pPr>
        <w:spacing w:beforeLines="60" w:before="144" w:afterLines="40" w:after="96"/>
        <w:rPr>
          <w:b/>
          <w:bCs/>
        </w:rPr>
      </w:pPr>
      <w:r w:rsidRPr="00FE4C48">
        <w:rPr>
          <w:b/>
          <w:bCs/>
        </w:rPr>
        <w:t>Crib</w:t>
      </w:r>
      <w:r>
        <w:rPr>
          <w:b/>
          <w:bCs/>
        </w:rPr>
        <w:t>:</w:t>
      </w:r>
    </w:p>
    <w:p w14:paraId="00000002" w14:textId="1BF3104E" w:rsidR="00B37F38" w:rsidRDefault="00FE4C48" w:rsidP="00656351">
      <w:pPr>
        <w:spacing w:beforeLines="60" w:before="144" w:afterLines="40" w:after="96"/>
      </w:pPr>
      <w:r>
        <w:t>1</w:t>
      </w:r>
      <w:r w:rsidR="00656351">
        <w:t>.</w:t>
      </w:r>
      <w:r w:rsidR="006E012F">
        <w:t>Michael Porter's Five Forces Model is one of the key strategic frameworks (</w:t>
      </w:r>
      <w:r w:rsidR="006E012F" w:rsidRPr="00656351">
        <w:rPr>
          <w:color w:val="222222"/>
          <w:highlight w:val="white"/>
        </w:rPr>
        <w:t>Natarajan et al., 2025</w:t>
      </w:r>
      <w:r w:rsidR="006E012F">
        <w:t xml:space="preserve">). The model aids organisations in studying competition and external forces that work on profitability and strategy. Competitive rivalry, threat of new entrants, bargaining power of buyers, bargaining power of suppliers and threat of substitute products are the five forces. One of the good examples is Tesla in the electric vehicles industry. </w:t>
      </w:r>
    </w:p>
    <w:p w14:paraId="00000005" w14:textId="5DC9E7A5" w:rsidR="00B37F38" w:rsidRDefault="00656351" w:rsidP="00394AFE">
      <w:pPr>
        <w:spacing w:beforeLines="60" w:before="144" w:afterLines="40" w:after="96"/>
      </w:pPr>
      <w:bookmarkStart w:id="0" w:name="_6t1f1u14e9fl" w:colFirst="0" w:colLast="0"/>
      <w:bookmarkEnd w:id="0"/>
      <w:r>
        <w:t>2.</w:t>
      </w:r>
      <w:r w:rsidR="006E012F">
        <w:t>I</w:t>
      </w:r>
      <w:r w:rsidR="006E012F">
        <w:t>nternal strategic frameworks assist organisations to know their strengths and develop competitive advantage. The VRIO Framework and Value Chain Analysis are two important frameworks (</w:t>
      </w:r>
      <w:r w:rsidR="006E012F">
        <w:rPr>
          <w:color w:val="222222"/>
          <w:highlight w:val="white"/>
        </w:rPr>
        <w:t>Tiwari et al., 2024</w:t>
      </w:r>
      <w:r w:rsidR="006E012F">
        <w:t>). Created by Jay Barney, the VRIO Framework is the assessment of the organisational resources based on whether they are Valuable, Rare, Inimitable and Organised. When such conditions exist, businesses are capable of attaining sustainable competitive advantage</w:t>
      </w:r>
    </w:p>
    <w:p w14:paraId="00000006" w14:textId="3597CA48" w:rsidR="00B37F38" w:rsidRDefault="006E012F" w:rsidP="00394AFE">
      <w:pPr>
        <w:spacing w:beforeLines="60" w:before="144" w:afterLines="40" w:after="96"/>
      </w:pPr>
      <w:r>
        <w:t xml:space="preserve">The </w:t>
      </w:r>
      <w:r>
        <w:t>model is Value Chain Analysis presented by Michael Porter. It is a framework that analyses organisational operations, logistics, marketing and customer service to determine the value-creating point. Amazon is a good example as efficient logistics, automation of the warehouse, and customised customer service are among the factors that strengthen competitive advantage at Amazon (</w:t>
      </w:r>
      <w:r>
        <w:rPr>
          <w:color w:val="222222"/>
          <w:highlight w:val="white"/>
        </w:rPr>
        <w:t>Schmidt et al., 2022</w:t>
      </w:r>
      <w:r>
        <w:t xml:space="preserve">). </w:t>
      </w:r>
    </w:p>
    <w:p w14:paraId="00000008" w14:textId="15170E57" w:rsidR="00B37F38" w:rsidRDefault="00656351" w:rsidP="00394AFE">
      <w:pPr>
        <w:spacing w:beforeLines="60" w:before="144" w:afterLines="40" w:after="96"/>
      </w:pPr>
      <w:bookmarkStart w:id="1" w:name="_ue3gdty1ki06" w:colFirst="0" w:colLast="0"/>
      <w:bookmarkEnd w:id="1"/>
      <w:r>
        <w:t xml:space="preserve">3. </w:t>
      </w:r>
      <w:r w:rsidR="006E012F">
        <w:t>By learning the secrets of customer behaviour and the best pricing, innovation and communication strategies, businesses increase their presence in the market. The relevance of customer understanding is that organisations that satisfy customers better than their competitors stand a chance of succeeding (</w:t>
      </w:r>
      <w:r w:rsidR="006E012F">
        <w:rPr>
          <w:color w:val="222222"/>
          <w:highlight w:val="white"/>
        </w:rPr>
        <w:t>Costa and Rodrigues, 2024</w:t>
      </w:r>
      <w:r w:rsidR="006E012F">
        <w:t>). For example, Netflix</w:t>
      </w:r>
      <w:r w:rsidR="00EF2BCC">
        <w:t>.</w:t>
      </w:r>
    </w:p>
    <w:p w14:paraId="6B311A05" w14:textId="77777777" w:rsidR="00656351" w:rsidRDefault="006E012F" w:rsidP="00394AFE">
      <w:pPr>
        <w:spacing w:beforeLines="60" w:before="144" w:afterLines="40" w:after="96"/>
      </w:pPr>
      <w:r>
        <w:t>Innovation is the other critical aspect. Samsung has invested a lot in research and development in order to put high level of products as far as technology is concerned. Innovation helps in differentiating the company in the competition and in addition, respond to the changing consumer demands. It is as well relevant in communication strategy. In a bid to establish a good customer relationship</w:t>
      </w:r>
      <w:r>
        <w:t>.</w:t>
      </w:r>
    </w:p>
    <w:p w14:paraId="0000000A" w14:textId="56C52E6A" w:rsidR="00B37F38" w:rsidRDefault="006E012F" w:rsidP="00534745">
      <w:pPr>
        <w:spacing w:beforeLines="60" w:before="144" w:afterLines="40" w:after="96"/>
      </w:pPr>
      <w:r>
        <w:t xml:space="preserve">These types of policies increase competitiveness by satisfying the customers and implementing differentiation and improved branding (Kedi et al., 2024). </w:t>
      </w:r>
      <w:bookmarkStart w:id="2" w:name="_nn7j5p8elprr" w:colFirst="0" w:colLast="0"/>
      <w:bookmarkEnd w:id="2"/>
    </w:p>
    <w:p w14:paraId="0000000B" w14:textId="31DBC343" w:rsidR="00B37F38" w:rsidRDefault="00534745" w:rsidP="00394AFE">
      <w:pPr>
        <w:spacing w:beforeLines="60" w:before="144" w:afterLines="40" w:after="96"/>
      </w:pPr>
      <w:r>
        <w:lastRenderedPageBreak/>
        <w:t>4</w:t>
      </w:r>
      <w:r w:rsidR="00E53A27">
        <w:t>.</w:t>
      </w:r>
      <w:r w:rsidR="006E012F">
        <w:t>T</w:t>
      </w:r>
      <w:r w:rsidR="006E012F">
        <w:t>he contemporary organisations are supposed to not only aim at profit but also at sustainability, ethics, and value to the stakeholders. Historically, a shareholder theory, which was linked to Milton Friedman, contended that profits should primarily maximise the shareholders. Nevertheless, the stakeholder theory, created by R. Edward Freeman, implies that stakeholders should also be employees, customers, suppliers, communities, and environment. Corporate social responsibility encourages a moral practice by o</w:t>
      </w:r>
      <w:r w:rsidR="006E012F">
        <w:t>rganisations and their contribution back to the society (</w:t>
      </w:r>
      <w:proofErr w:type="spellStart"/>
      <w:r w:rsidR="006E012F">
        <w:rPr>
          <w:color w:val="222222"/>
          <w:highlight w:val="white"/>
        </w:rPr>
        <w:t>Onyekwelu</w:t>
      </w:r>
      <w:proofErr w:type="spellEnd"/>
      <w:r w:rsidR="006E012F">
        <w:rPr>
          <w:color w:val="222222"/>
          <w:highlight w:val="white"/>
        </w:rPr>
        <w:t xml:space="preserve"> et al., 2024</w:t>
      </w:r>
      <w:r w:rsidR="006E012F">
        <w:t>).</w:t>
      </w:r>
    </w:p>
    <w:p w14:paraId="0000000C" w14:textId="5CDAF1CF" w:rsidR="00B37F38" w:rsidRDefault="006E012F" w:rsidP="00394AFE">
      <w:pPr>
        <w:spacing w:beforeLines="60" w:before="144" w:afterLines="40" w:after="96"/>
      </w:pPr>
      <w:r>
        <w:t>Responsible business behaviour is also based on organisational culture. Ethical cultures in the company often result in attracting talented employees and enhance the long-term performance of the company. Business firms also have a significant social role in terms of employment, innovation and environmental protection. Sustainability programs however may raise expenses and decrease immediate profitability (</w:t>
      </w:r>
      <w:proofErr w:type="spellStart"/>
      <w:r>
        <w:rPr>
          <w:color w:val="222222"/>
          <w:highlight w:val="white"/>
        </w:rPr>
        <w:t>Rabea’Hadi</w:t>
      </w:r>
      <w:proofErr w:type="spellEnd"/>
      <w:r>
        <w:rPr>
          <w:color w:val="222222"/>
          <w:highlight w:val="white"/>
        </w:rPr>
        <w:t xml:space="preserve"> et al., 2023</w:t>
      </w:r>
      <w:r>
        <w:t>).</w:t>
      </w:r>
      <w:r>
        <w:t>.</w:t>
      </w:r>
      <w:r>
        <w:br w:type="page"/>
      </w:r>
    </w:p>
    <w:p w14:paraId="0000000D" w14:textId="77777777" w:rsidR="00B37F38" w:rsidRDefault="006E012F" w:rsidP="00394AFE">
      <w:pPr>
        <w:pStyle w:val="Heading1"/>
        <w:spacing w:beforeLines="60" w:before="144" w:afterLines="40" w:after="96"/>
      </w:pPr>
      <w:bookmarkStart w:id="3" w:name="_emco49bk2ek2" w:colFirst="0" w:colLast="0"/>
      <w:bookmarkEnd w:id="3"/>
      <w:r>
        <w:lastRenderedPageBreak/>
        <w:t>References</w:t>
      </w:r>
    </w:p>
    <w:p w14:paraId="00B30884" w14:textId="77777777" w:rsidR="00394AFE" w:rsidRDefault="00394AFE" w:rsidP="00394AFE">
      <w:pPr>
        <w:spacing w:beforeLines="60" w:before="144" w:afterLines="40" w:after="96"/>
        <w:rPr>
          <w:color w:val="222222"/>
          <w:highlight w:val="white"/>
        </w:rPr>
      </w:pPr>
      <w:r>
        <w:rPr>
          <w:color w:val="222222"/>
          <w:highlight w:val="white"/>
        </w:rPr>
        <w:t xml:space="preserve">Costa, P. and Rodrigues, H., 2024. The ever-changing business of e-commerce-net benefits while designing a new platform for small companies. </w:t>
      </w:r>
      <w:r>
        <w:rPr>
          <w:i/>
          <w:iCs/>
          <w:color w:val="222222"/>
          <w:highlight w:val="white"/>
        </w:rPr>
        <w:t>Review of managerial science</w:t>
      </w:r>
      <w:r>
        <w:rPr>
          <w:color w:val="222222"/>
          <w:highlight w:val="white"/>
        </w:rPr>
        <w:t xml:space="preserve">, </w:t>
      </w:r>
      <w:r>
        <w:rPr>
          <w:i/>
          <w:iCs/>
          <w:color w:val="222222"/>
          <w:highlight w:val="white"/>
        </w:rPr>
        <w:t>18</w:t>
      </w:r>
      <w:r>
        <w:rPr>
          <w:color w:val="222222"/>
          <w:highlight w:val="white"/>
        </w:rPr>
        <w:t xml:space="preserve">(9), pp.2507-2545. </w:t>
      </w:r>
      <w:hyperlink r:id="rId7">
        <w:r>
          <w:rPr>
            <w:color w:val="1155CC"/>
            <w:highlight w:val="white"/>
            <w:u w:val="single"/>
          </w:rPr>
          <w:t>https://doi.org/10.1007/s11846-023-00681-6</w:t>
        </w:r>
      </w:hyperlink>
      <w:r>
        <w:rPr>
          <w:color w:val="222222"/>
          <w:highlight w:val="white"/>
        </w:rPr>
        <w:t>.</w:t>
      </w:r>
    </w:p>
    <w:p w14:paraId="6F5A685F" w14:textId="77777777" w:rsidR="00394AFE" w:rsidRDefault="00394AFE" w:rsidP="00394AFE">
      <w:pPr>
        <w:spacing w:beforeLines="60" w:before="144" w:afterLines="40" w:after="96"/>
        <w:rPr>
          <w:color w:val="222222"/>
          <w:highlight w:val="white"/>
        </w:rPr>
      </w:pPr>
      <w:proofErr w:type="spellStart"/>
      <w:r>
        <w:rPr>
          <w:color w:val="222222"/>
          <w:highlight w:val="white"/>
        </w:rPr>
        <w:t>Emodi</w:t>
      </w:r>
      <w:proofErr w:type="spellEnd"/>
      <w:r>
        <w:rPr>
          <w:color w:val="222222"/>
          <w:highlight w:val="white"/>
        </w:rPr>
        <w:t xml:space="preserve">, N.V., Dwyer, S., Nagrath, K. and Alabi, J., 2022. Electromobility in Australia: Tariff design structure and consumer preferences for mobile distributed energy storage. </w:t>
      </w:r>
      <w:r>
        <w:rPr>
          <w:i/>
          <w:iCs/>
          <w:color w:val="222222"/>
          <w:highlight w:val="white"/>
        </w:rPr>
        <w:t>Sustainability</w:t>
      </w:r>
      <w:r>
        <w:rPr>
          <w:color w:val="222222"/>
          <w:highlight w:val="white"/>
        </w:rPr>
        <w:t xml:space="preserve">, </w:t>
      </w:r>
      <w:r>
        <w:rPr>
          <w:i/>
          <w:iCs/>
          <w:color w:val="222222"/>
          <w:highlight w:val="white"/>
        </w:rPr>
        <w:t>14</w:t>
      </w:r>
      <w:r>
        <w:rPr>
          <w:color w:val="222222"/>
          <w:highlight w:val="white"/>
        </w:rPr>
        <w:t xml:space="preserve">(11), p.6631. </w:t>
      </w:r>
      <w:hyperlink r:id="rId8">
        <w:r>
          <w:rPr>
            <w:color w:val="1155CC"/>
            <w:highlight w:val="white"/>
            <w:u w:val="single"/>
          </w:rPr>
          <w:t>https://doi.org/10.3390/su14116631</w:t>
        </w:r>
      </w:hyperlink>
      <w:r>
        <w:rPr>
          <w:color w:val="222222"/>
          <w:highlight w:val="white"/>
        </w:rPr>
        <w:t>.</w:t>
      </w:r>
    </w:p>
    <w:p w14:paraId="7A62FC18" w14:textId="77777777" w:rsidR="00394AFE" w:rsidRDefault="00394AFE" w:rsidP="00394AFE">
      <w:pPr>
        <w:spacing w:beforeLines="60" w:before="144" w:afterLines="40" w:after="96"/>
        <w:rPr>
          <w:color w:val="222222"/>
          <w:highlight w:val="white"/>
        </w:rPr>
      </w:pPr>
      <w:r>
        <w:rPr>
          <w:color w:val="222222"/>
          <w:highlight w:val="white"/>
        </w:rPr>
        <w:t xml:space="preserve">Kedi, W.E., </w:t>
      </w:r>
      <w:proofErr w:type="spellStart"/>
      <w:r>
        <w:rPr>
          <w:color w:val="222222"/>
          <w:highlight w:val="white"/>
        </w:rPr>
        <w:t>Ejimuda</w:t>
      </w:r>
      <w:proofErr w:type="spellEnd"/>
      <w:r>
        <w:rPr>
          <w:color w:val="222222"/>
          <w:highlight w:val="white"/>
        </w:rPr>
        <w:t xml:space="preserve">, C., Idemudia, C. and </w:t>
      </w:r>
      <w:proofErr w:type="spellStart"/>
      <w:r>
        <w:rPr>
          <w:color w:val="222222"/>
          <w:highlight w:val="white"/>
        </w:rPr>
        <w:t>Ijomah</w:t>
      </w:r>
      <w:proofErr w:type="spellEnd"/>
      <w:r>
        <w:rPr>
          <w:color w:val="222222"/>
          <w:highlight w:val="white"/>
        </w:rPr>
        <w:t xml:space="preserve">, T.I., 2024. AI software for personalized marketing automation in SMEs: Enhancing customer experience and sales. </w:t>
      </w:r>
      <w:r>
        <w:rPr>
          <w:i/>
          <w:iCs/>
          <w:color w:val="222222"/>
          <w:highlight w:val="white"/>
        </w:rPr>
        <w:t>World Journal of Advanced Research and Reviews</w:t>
      </w:r>
      <w:r>
        <w:rPr>
          <w:color w:val="222222"/>
          <w:highlight w:val="white"/>
        </w:rPr>
        <w:t xml:space="preserve">, </w:t>
      </w:r>
      <w:r>
        <w:rPr>
          <w:i/>
          <w:iCs/>
          <w:color w:val="222222"/>
          <w:highlight w:val="white"/>
        </w:rPr>
        <w:t>23</w:t>
      </w:r>
      <w:r>
        <w:rPr>
          <w:color w:val="222222"/>
          <w:highlight w:val="white"/>
        </w:rPr>
        <w:t xml:space="preserve">(1), pp.1981-1990. </w:t>
      </w:r>
      <w:hyperlink r:id="rId9">
        <w:r>
          <w:rPr>
            <w:color w:val="1155CC"/>
            <w:highlight w:val="white"/>
            <w:u w:val="single"/>
          </w:rPr>
          <w:t>https://doi.org/10.30574/wjarr.2024.23.1.2159</w:t>
        </w:r>
      </w:hyperlink>
      <w:r>
        <w:rPr>
          <w:color w:val="222222"/>
          <w:highlight w:val="white"/>
        </w:rPr>
        <w:t>.</w:t>
      </w:r>
    </w:p>
    <w:p w14:paraId="426E2C90" w14:textId="77777777" w:rsidR="00394AFE" w:rsidRDefault="00394AFE" w:rsidP="00394AFE">
      <w:pPr>
        <w:spacing w:beforeLines="60" w:before="144" w:afterLines="40" w:after="96"/>
        <w:rPr>
          <w:color w:val="222222"/>
          <w:highlight w:val="white"/>
        </w:rPr>
      </w:pPr>
      <w:r>
        <w:rPr>
          <w:color w:val="222222"/>
          <w:highlight w:val="white"/>
        </w:rPr>
        <w:t xml:space="preserve">Natarajan, B., Roja, B. and </w:t>
      </w:r>
      <w:proofErr w:type="spellStart"/>
      <w:r>
        <w:rPr>
          <w:color w:val="222222"/>
          <w:highlight w:val="white"/>
        </w:rPr>
        <w:t>andR</w:t>
      </w:r>
      <w:proofErr w:type="spellEnd"/>
      <w:r>
        <w:rPr>
          <w:color w:val="222222"/>
          <w:highlight w:val="white"/>
        </w:rPr>
        <w:t xml:space="preserve"> Karthik, B.U., 2025. Evaluation of selected biotech herbal products using porter's five forces model: A review. </w:t>
      </w:r>
      <w:r>
        <w:rPr>
          <w:i/>
          <w:iCs/>
          <w:color w:val="222222"/>
          <w:highlight w:val="white"/>
        </w:rPr>
        <w:t>IJAR</w:t>
      </w:r>
      <w:r>
        <w:rPr>
          <w:color w:val="222222"/>
          <w:highlight w:val="white"/>
        </w:rPr>
        <w:t xml:space="preserve">, </w:t>
      </w:r>
      <w:r>
        <w:rPr>
          <w:i/>
          <w:iCs/>
          <w:color w:val="222222"/>
          <w:highlight w:val="white"/>
        </w:rPr>
        <w:t>11</w:t>
      </w:r>
      <w:r>
        <w:rPr>
          <w:color w:val="222222"/>
          <w:highlight w:val="white"/>
        </w:rPr>
        <w:t xml:space="preserve">(11), pp.24-31. </w:t>
      </w:r>
      <w:hyperlink r:id="rId10">
        <w:r>
          <w:rPr>
            <w:color w:val="1155CC"/>
            <w:highlight w:val="white"/>
            <w:u w:val="single"/>
          </w:rPr>
          <w:t>https://www.doi.org/10.22271/allresearch.2025.v11.i11a.12979</w:t>
        </w:r>
      </w:hyperlink>
      <w:r>
        <w:rPr>
          <w:color w:val="222222"/>
          <w:highlight w:val="white"/>
        </w:rPr>
        <w:t>.</w:t>
      </w:r>
    </w:p>
    <w:p w14:paraId="17B0764B" w14:textId="77777777" w:rsidR="00394AFE" w:rsidRDefault="00394AFE" w:rsidP="00394AFE">
      <w:pPr>
        <w:spacing w:beforeLines="60" w:before="144" w:afterLines="40" w:after="96"/>
        <w:rPr>
          <w:color w:val="222222"/>
          <w:highlight w:val="white"/>
        </w:rPr>
      </w:pPr>
      <w:proofErr w:type="spellStart"/>
      <w:r>
        <w:rPr>
          <w:color w:val="222222"/>
          <w:highlight w:val="white"/>
        </w:rPr>
        <w:t>Onyekwelu</w:t>
      </w:r>
      <w:proofErr w:type="spellEnd"/>
      <w:r>
        <w:rPr>
          <w:color w:val="222222"/>
          <w:highlight w:val="white"/>
        </w:rPr>
        <w:t xml:space="preserve">, N.P., </w:t>
      </w:r>
      <w:proofErr w:type="spellStart"/>
      <w:r>
        <w:rPr>
          <w:color w:val="222222"/>
          <w:highlight w:val="white"/>
        </w:rPr>
        <w:t>Ezeafulukwe</w:t>
      </w:r>
      <w:proofErr w:type="spellEnd"/>
      <w:r>
        <w:rPr>
          <w:color w:val="222222"/>
          <w:highlight w:val="white"/>
        </w:rPr>
        <w:t xml:space="preserve">, C., Owolabi, O.R., </w:t>
      </w:r>
      <w:proofErr w:type="spellStart"/>
      <w:r>
        <w:rPr>
          <w:color w:val="222222"/>
          <w:highlight w:val="white"/>
        </w:rPr>
        <w:t>Asuzu</w:t>
      </w:r>
      <w:proofErr w:type="spellEnd"/>
      <w:r>
        <w:rPr>
          <w:color w:val="222222"/>
          <w:highlight w:val="white"/>
        </w:rPr>
        <w:t xml:space="preserve">, O.F., Bello, B.G. and </w:t>
      </w:r>
      <w:proofErr w:type="spellStart"/>
      <w:r>
        <w:rPr>
          <w:color w:val="222222"/>
          <w:highlight w:val="white"/>
        </w:rPr>
        <w:t>Onyekwelu</w:t>
      </w:r>
      <w:proofErr w:type="spellEnd"/>
      <w:r>
        <w:rPr>
          <w:color w:val="222222"/>
          <w:highlight w:val="white"/>
        </w:rPr>
        <w:t xml:space="preserve">, S.C., 2024. Ethics and corporate social responsibility in HR: A comprehensive review of policies and practices. </w:t>
      </w:r>
      <w:r>
        <w:rPr>
          <w:i/>
          <w:iCs/>
          <w:color w:val="222222"/>
          <w:highlight w:val="white"/>
        </w:rPr>
        <w:t>International Journal of Science and Research Archive</w:t>
      </w:r>
      <w:r>
        <w:rPr>
          <w:color w:val="222222"/>
          <w:highlight w:val="white"/>
        </w:rPr>
        <w:t xml:space="preserve">, </w:t>
      </w:r>
      <w:r>
        <w:rPr>
          <w:i/>
          <w:iCs/>
          <w:color w:val="222222"/>
          <w:highlight w:val="white"/>
        </w:rPr>
        <w:t>11</w:t>
      </w:r>
      <w:r>
        <w:rPr>
          <w:color w:val="222222"/>
          <w:highlight w:val="white"/>
        </w:rPr>
        <w:t xml:space="preserve">(1), pp.1294-1303. </w:t>
      </w:r>
      <w:hyperlink r:id="rId11">
        <w:r>
          <w:rPr>
            <w:color w:val="1155CC"/>
            <w:highlight w:val="white"/>
            <w:u w:val="single"/>
          </w:rPr>
          <w:t>https://doi.org/10.30574/ijsra.2024.11.1.0216</w:t>
        </w:r>
      </w:hyperlink>
      <w:r>
        <w:rPr>
          <w:color w:val="222222"/>
          <w:highlight w:val="white"/>
        </w:rPr>
        <w:t>.</w:t>
      </w:r>
    </w:p>
    <w:p w14:paraId="67B6D6E3" w14:textId="77777777" w:rsidR="00394AFE" w:rsidRDefault="00394AFE" w:rsidP="00394AFE">
      <w:pPr>
        <w:spacing w:beforeLines="60" w:before="144" w:afterLines="40" w:after="96"/>
        <w:rPr>
          <w:rFonts w:ascii="Arial" w:eastAsia="Arial" w:hAnsi="Arial" w:cs="Arial"/>
          <w:color w:val="222222"/>
          <w:sz w:val="20"/>
          <w:szCs w:val="20"/>
          <w:highlight w:val="white"/>
        </w:rPr>
      </w:pPr>
      <w:proofErr w:type="spellStart"/>
      <w:r>
        <w:rPr>
          <w:color w:val="222222"/>
          <w:highlight w:val="white"/>
        </w:rPr>
        <w:t>Rabea’Hadi</w:t>
      </w:r>
      <w:proofErr w:type="spellEnd"/>
      <w:r>
        <w:rPr>
          <w:color w:val="222222"/>
          <w:highlight w:val="white"/>
        </w:rPr>
        <w:t xml:space="preserve">, M., Hasan, M.F., Flayyih, H.H. and Hussein, M.K., 2023. Green banking: A literature review on profitability and sustainability implications. </w:t>
      </w:r>
      <w:r>
        <w:rPr>
          <w:i/>
          <w:iCs/>
          <w:color w:val="222222"/>
          <w:highlight w:val="white"/>
        </w:rPr>
        <w:t>Ishtar journal of economics and business studies</w:t>
      </w:r>
      <w:r>
        <w:rPr>
          <w:color w:val="222222"/>
          <w:highlight w:val="white"/>
        </w:rPr>
        <w:t xml:space="preserve">, </w:t>
      </w:r>
      <w:r>
        <w:rPr>
          <w:i/>
          <w:iCs/>
          <w:color w:val="222222"/>
          <w:highlight w:val="white"/>
        </w:rPr>
        <w:t>4</w:t>
      </w:r>
      <w:r>
        <w:rPr>
          <w:color w:val="222222"/>
          <w:highlight w:val="white"/>
        </w:rPr>
        <w:t xml:space="preserve">(2), pp.1-6. </w:t>
      </w:r>
      <w:hyperlink r:id="rId12">
        <w:r>
          <w:rPr>
            <w:color w:val="1155CC"/>
            <w:highlight w:val="white"/>
            <w:u w:val="single"/>
          </w:rPr>
          <w:t>https://doi.org/10.55270/ijebs.v4i2.27</w:t>
        </w:r>
      </w:hyperlink>
      <w:r>
        <w:rPr>
          <w:color w:val="222222"/>
          <w:highlight w:val="white"/>
        </w:rPr>
        <w:t>.</w:t>
      </w:r>
    </w:p>
    <w:p w14:paraId="6C5EB2C8" w14:textId="77777777" w:rsidR="00394AFE" w:rsidRDefault="00394AFE" w:rsidP="00394AFE">
      <w:pPr>
        <w:spacing w:beforeLines="60" w:before="144" w:afterLines="40" w:after="96"/>
        <w:rPr>
          <w:color w:val="222222"/>
          <w:highlight w:val="white"/>
        </w:rPr>
      </w:pPr>
      <w:r>
        <w:rPr>
          <w:color w:val="222222"/>
          <w:highlight w:val="white"/>
        </w:rPr>
        <w:t xml:space="preserve">Schmidt, I., Morris, W., Thomas, A. and Manning, L., 2022. Smart systems: the role of advanced technologies in improving business quality, performance and supply chain integration. </w:t>
      </w:r>
      <w:r>
        <w:rPr>
          <w:i/>
          <w:iCs/>
          <w:color w:val="222222"/>
          <w:highlight w:val="white"/>
        </w:rPr>
        <w:t>Standards</w:t>
      </w:r>
      <w:r>
        <w:rPr>
          <w:color w:val="222222"/>
          <w:highlight w:val="white"/>
        </w:rPr>
        <w:t xml:space="preserve">, </w:t>
      </w:r>
      <w:r>
        <w:rPr>
          <w:i/>
          <w:iCs/>
          <w:color w:val="222222"/>
          <w:highlight w:val="white"/>
        </w:rPr>
        <w:t>2</w:t>
      </w:r>
      <w:r>
        <w:rPr>
          <w:color w:val="222222"/>
          <w:highlight w:val="white"/>
        </w:rPr>
        <w:t xml:space="preserve">(3), pp.276-293. </w:t>
      </w:r>
      <w:hyperlink r:id="rId13">
        <w:r>
          <w:rPr>
            <w:color w:val="1155CC"/>
            <w:highlight w:val="white"/>
            <w:u w:val="single"/>
          </w:rPr>
          <w:t>https://doi.org/10.3390/standards2030020</w:t>
        </w:r>
      </w:hyperlink>
      <w:r>
        <w:rPr>
          <w:color w:val="222222"/>
          <w:highlight w:val="white"/>
        </w:rPr>
        <w:t>.</w:t>
      </w:r>
    </w:p>
    <w:p w14:paraId="07FD8737" w14:textId="77777777" w:rsidR="00394AFE" w:rsidRDefault="00394AFE" w:rsidP="00394AFE">
      <w:pPr>
        <w:spacing w:beforeLines="60" w:before="144" w:afterLines="40" w:after="96"/>
        <w:rPr>
          <w:color w:val="222222"/>
          <w:highlight w:val="white"/>
        </w:rPr>
      </w:pPr>
      <w:r>
        <w:rPr>
          <w:color w:val="222222"/>
          <w:highlight w:val="white"/>
        </w:rPr>
        <w:t xml:space="preserve">Tiwari, M., Bryde, D.J., Stavropoulou, F. and Malhotra, G., 2024. Understanding the evolution of flexible supply chain in the business-to-business sector: a resource-based theory perspective. </w:t>
      </w:r>
      <w:r>
        <w:rPr>
          <w:i/>
          <w:iCs/>
          <w:color w:val="222222"/>
          <w:highlight w:val="white"/>
        </w:rPr>
        <w:t>International Studies of Management &amp; Organization</w:t>
      </w:r>
      <w:r>
        <w:rPr>
          <w:color w:val="222222"/>
          <w:highlight w:val="white"/>
        </w:rPr>
        <w:t xml:space="preserve">, </w:t>
      </w:r>
      <w:r>
        <w:rPr>
          <w:i/>
          <w:iCs/>
          <w:color w:val="222222"/>
          <w:highlight w:val="white"/>
        </w:rPr>
        <w:t>54</w:t>
      </w:r>
      <w:r>
        <w:rPr>
          <w:color w:val="222222"/>
          <w:highlight w:val="white"/>
        </w:rPr>
        <w:t xml:space="preserve">(4), pp.380-406. </w:t>
      </w:r>
      <w:hyperlink r:id="rId14">
        <w:r>
          <w:rPr>
            <w:color w:val="1155CC"/>
            <w:highlight w:val="white"/>
            <w:u w:val="single"/>
          </w:rPr>
          <w:t>https://doi.org/10.1080/00208825.2024.2324245</w:t>
        </w:r>
      </w:hyperlink>
      <w:r>
        <w:rPr>
          <w:color w:val="222222"/>
          <w:highlight w:val="white"/>
        </w:rPr>
        <w:t>.</w:t>
      </w:r>
    </w:p>
    <w:sectPr w:rsidR="00394AFE">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5589B0" w14:textId="77777777" w:rsidR="006E012F" w:rsidRDefault="006E012F">
      <w:pPr>
        <w:spacing w:line="240" w:lineRule="auto"/>
      </w:pPr>
      <w:r>
        <w:separator/>
      </w:r>
    </w:p>
  </w:endnote>
  <w:endnote w:type="continuationSeparator" w:id="0">
    <w:p w14:paraId="63451470" w14:textId="77777777" w:rsidR="006E012F" w:rsidRDefault="006E01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211F2986-6BB4-4A14-8578-85FA19260383}"/>
  </w:font>
  <w:font w:name="Vrinda">
    <w:panose1 w:val="00000400000000000000"/>
    <w:charset w:val="00"/>
    <w:family w:val="swiss"/>
    <w:pitch w:val="variable"/>
    <w:sig w:usb0="00010003" w:usb1="00000000" w:usb2="00000000" w:usb3="00000000" w:csb0="00000001" w:csb1="00000000"/>
    <w:embedRegular r:id="rId2" w:fontKey="{7F4917A7-C4A6-4DF4-B470-2CFF7FC69004}"/>
  </w:font>
  <w:font w:name="Cambria">
    <w:panose1 w:val="02040503050406030204"/>
    <w:charset w:val="00"/>
    <w:family w:val="roman"/>
    <w:pitch w:val="variable"/>
    <w:sig w:usb0="E00006FF" w:usb1="420024FF" w:usb2="02000000" w:usb3="00000000" w:csb0="0000019F" w:csb1="00000000"/>
    <w:embedRegular r:id="rId3" w:fontKey="{4A564C16-960D-4CB4-ACAD-B5271B4CAD2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16" w14:textId="3FED1F02" w:rsidR="00B37F38" w:rsidRDefault="006E012F">
    <w:pPr>
      <w:jc w:val="right"/>
    </w:pPr>
    <w:r>
      <w:fldChar w:fldCharType="begin"/>
    </w:r>
    <w:r>
      <w:instrText>PAGE</w:instrText>
    </w:r>
    <w:r>
      <w:fldChar w:fldCharType="separate"/>
    </w:r>
    <w:r w:rsidR="00394AF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9DD35B" w14:textId="77777777" w:rsidR="006E012F" w:rsidRDefault="006E012F">
      <w:pPr>
        <w:spacing w:line="240" w:lineRule="auto"/>
      </w:pPr>
      <w:r>
        <w:separator/>
      </w:r>
    </w:p>
  </w:footnote>
  <w:footnote w:type="continuationSeparator" w:id="0">
    <w:p w14:paraId="12EE227E" w14:textId="77777777" w:rsidR="006E012F" w:rsidRDefault="006E01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844C4"/>
    <w:multiLevelType w:val="hybridMultilevel"/>
    <w:tmpl w:val="64ACAF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F519C2"/>
    <w:multiLevelType w:val="hybridMultilevel"/>
    <w:tmpl w:val="7A36D78A"/>
    <w:lvl w:ilvl="0" w:tplc="F2FEB8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CA4ADB"/>
    <w:multiLevelType w:val="hybridMultilevel"/>
    <w:tmpl w:val="E3DAB6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085642">
    <w:abstractNumId w:val="0"/>
  </w:num>
  <w:num w:numId="2" w16cid:durableId="1991060885">
    <w:abstractNumId w:val="1"/>
  </w:num>
  <w:num w:numId="3" w16cid:durableId="12412584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7F38"/>
    <w:rsid w:val="00342082"/>
    <w:rsid w:val="00394AFE"/>
    <w:rsid w:val="00534745"/>
    <w:rsid w:val="00656351"/>
    <w:rsid w:val="006E012F"/>
    <w:rsid w:val="00893D7B"/>
    <w:rsid w:val="00B37F38"/>
    <w:rsid w:val="00C03A26"/>
    <w:rsid w:val="00E53A27"/>
    <w:rsid w:val="00E54676"/>
    <w:rsid w:val="00EA231C"/>
    <w:rsid w:val="00EF2BCC"/>
    <w:rsid w:val="00EF43C9"/>
    <w:rsid w:val="00FE4C4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A96FD"/>
  <w15:docId w15:val="{CD7CB5CF-9213-244C-B95B-4B14597B9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b/>
      <w:bCs/>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6"/>
      <w:szCs w:val="36"/>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656351"/>
    <w:pPr>
      <w:ind w:left="720"/>
      <w:contextualSpacing/>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3390/su14116631" TargetMode="External"/><Relationship Id="rId13" Type="http://schemas.openxmlformats.org/officeDocument/2006/relationships/hyperlink" Target="https://doi.org/10.3390/standards2030020" TargetMode="External"/><Relationship Id="rId3" Type="http://schemas.openxmlformats.org/officeDocument/2006/relationships/settings" Target="settings.xml"/><Relationship Id="rId7" Type="http://schemas.openxmlformats.org/officeDocument/2006/relationships/hyperlink" Target="https://doi.org/10.1007/s11846-023-00681-6" TargetMode="External"/><Relationship Id="rId12" Type="http://schemas.openxmlformats.org/officeDocument/2006/relationships/hyperlink" Target="https://doi.org/10.55270/ijebs.v4i2.2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0574/ijsra.2024.11.1.0216"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doi.org/10.22271/allresearch.2025.v11.i11a.12979" TargetMode="External"/><Relationship Id="rId4" Type="http://schemas.openxmlformats.org/officeDocument/2006/relationships/webSettings" Target="webSettings.xml"/><Relationship Id="rId9" Type="http://schemas.openxmlformats.org/officeDocument/2006/relationships/hyperlink" Target="https://doi.org/10.30574/wjarr.2024.23.1.2159" TargetMode="External"/><Relationship Id="rId14" Type="http://schemas.openxmlformats.org/officeDocument/2006/relationships/hyperlink" Target="https://doi.org/10.1080/00208825.2024.232424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886</Words>
  <Characters>5055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cyrille rene tounoudjou</cp:lastModifiedBy>
  <cp:revision>2</cp:revision>
  <dcterms:created xsi:type="dcterms:W3CDTF">2026-05-21T21:22:00Z</dcterms:created>
  <dcterms:modified xsi:type="dcterms:W3CDTF">2026-05-21T21:22:00Z</dcterms:modified>
</cp:coreProperties>
</file>