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49A7" w:rsidRDefault="00556C4F" w:rsidP="00AB4D7B">
      <w:pPr>
        <w:jc w:val="both"/>
        <w:rPr>
          <w:rFonts w:ascii="Times New Roman" w:hAnsi="Times New Roman" w:cs="Times New Roman"/>
          <w:b/>
          <w:sz w:val="24"/>
        </w:rPr>
      </w:pPr>
      <w:r w:rsidRPr="00556C4F">
        <w:rPr>
          <w:rFonts w:ascii="Times New Roman" w:hAnsi="Times New Roman" w:cs="Times New Roman"/>
          <w:b/>
          <w:sz w:val="24"/>
        </w:rPr>
        <w:t>Why does Wittgenstein say that I obey a rule blindly?</w:t>
      </w:r>
    </w:p>
    <w:p w:rsidR="00406CD5" w:rsidRDefault="00262053" w:rsidP="00AB4D7B">
      <w:pPr>
        <w:jc w:val="both"/>
        <w:rPr>
          <w:rFonts w:ascii="Times New Roman" w:hAnsi="Times New Roman" w:cs="Times New Roman"/>
          <w:sz w:val="24"/>
        </w:rPr>
      </w:pPr>
      <w:bookmarkStart w:id="0" w:name="_GoBack"/>
      <w:r>
        <w:rPr>
          <w:rFonts w:ascii="Times New Roman" w:hAnsi="Times New Roman" w:cs="Times New Roman"/>
          <w:sz w:val="24"/>
        </w:rPr>
        <w:t xml:space="preserve">Ludwig </w:t>
      </w:r>
      <w:r w:rsidR="00556C4F">
        <w:rPr>
          <w:rFonts w:ascii="Times New Roman" w:hAnsi="Times New Roman" w:cs="Times New Roman"/>
          <w:sz w:val="24"/>
        </w:rPr>
        <w:t>Wittgenstein, in his later works,</w:t>
      </w:r>
      <w:r w:rsidR="00151D71">
        <w:rPr>
          <w:rStyle w:val="FootnoteReference"/>
          <w:rFonts w:ascii="Times New Roman" w:hAnsi="Times New Roman" w:cs="Times New Roman"/>
          <w:sz w:val="24"/>
        </w:rPr>
        <w:footnoteReference w:id="1"/>
      </w:r>
      <w:r w:rsidR="00556C4F">
        <w:rPr>
          <w:rFonts w:ascii="Times New Roman" w:hAnsi="Times New Roman" w:cs="Times New Roman"/>
          <w:sz w:val="24"/>
        </w:rPr>
        <w:t xml:space="preserve"> offered the hypothesis that everybody within a society follows rules blindly. This is to say that </w:t>
      </w:r>
      <w:r w:rsidR="004E68C1">
        <w:rPr>
          <w:rFonts w:ascii="Times New Roman" w:hAnsi="Times New Roman" w:cs="Times New Roman"/>
          <w:sz w:val="24"/>
        </w:rPr>
        <w:t xml:space="preserve">Wittgenstein is of the belief that there are processes </w:t>
      </w:r>
      <w:r w:rsidR="006F654A">
        <w:rPr>
          <w:rFonts w:ascii="Times New Roman" w:hAnsi="Times New Roman" w:cs="Times New Roman"/>
          <w:sz w:val="24"/>
        </w:rPr>
        <w:t xml:space="preserve">in </w:t>
      </w:r>
      <w:r w:rsidR="004E68C1">
        <w:rPr>
          <w:rFonts w:ascii="Times New Roman" w:hAnsi="Times New Roman" w:cs="Times New Roman"/>
          <w:sz w:val="24"/>
        </w:rPr>
        <w:t xml:space="preserve">which the general populace partake </w:t>
      </w:r>
      <w:r w:rsidR="00151D71">
        <w:rPr>
          <w:rFonts w:ascii="Times New Roman" w:hAnsi="Times New Roman" w:cs="Times New Roman"/>
          <w:sz w:val="24"/>
        </w:rPr>
        <w:t xml:space="preserve">through convention, </w:t>
      </w:r>
      <w:r w:rsidR="009772CD">
        <w:rPr>
          <w:rFonts w:ascii="Times New Roman" w:hAnsi="Times New Roman" w:cs="Times New Roman"/>
          <w:sz w:val="24"/>
        </w:rPr>
        <w:t xml:space="preserve">which </w:t>
      </w:r>
      <w:r w:rsidR="00151D71">
        <w:rPr>
          <w:rFonts w:ascii="Times New Roman" w:hAnsi="Times New Roman" w:cs="Times New Roman"/>
          <w:sz w:val="24"/>
        </w:rPr>
        <w:t xml:space="preserve">themselves must therefore </w:t>
      </w:r>
      <w:r w:rsidR="004E68C1">
        <w:rPr>
          <w:rFonts w:ascii="Times New Roman" w:hAnsi="Times New Roman" w:cs="Times New Roman"/>
          <w:sz w:val="24"/>
        </w:rPr>
        <w:t>follow a set of societal rules.</w:t>
      </w:r>
      <w:r>
        <w:rPr>
          <w:rFonts w:ascii="Times New Roman" w:hAnsi="Times New Roman" w:cs="Times New Roman"/>
          <w:sz w:val="24"/>
        </w:rPr>
        <w:t xml:space="preserve"> </w:t>
      </w:r>
      <w:r w:rsidR="00406CD5">
        <w:rPr>
          <w:rFonts w:ascii="Times New Roman" w:hAnsi="Times New Roman" w:cs="Times New Roman"/>
          <w:sz w:val="24"/>
        </w:rPr>
        <w:t>I</w:t>
      </w:r>
      <w:r>
        <w:rPr>
          <w:rFonts w:ascii="Times New Roman" w:hAnsi="Times New Roman" w:cs="Times New Roman"/>
          <w:sz w:val="24"/>
        </w:rPr>
        <w:t xml:space="preserve">n his own words, Wittgenstein </w:t>
      </w:r>
      <w:r w:rsidR="00406CD5">
        <w:rPr>
          <w:rFonts w:ascii="Times New Roman" w:hAnsi="Times New Roman" w:cs="Times New Roman"/>
          <w:sz w:val="24"/>
        </w:rPr>
        <w:t>writes:</w:t>
      </w:r>
    </w:p>
    <w:p w:rsidR="00556C4F" w:rsidRDefault="00262053" w:rsidP="00AB4D7B">
      <w:pPr>
        <w:ind w:left="720"/>
        <w:jc w:val="both"/>
        <w:rPr>
          <w:rFonts w:ascii="Times New Roman" w:hAnsi="Times New Roman" w:cs="Times New Roman"/>
          <w:sz w:val="24"/>
        </w:rPr>
      </w:pPr>
      <w:r>
        <w:rPr>
          <w:rFonts w:ascii="Times New Roman" w:hAnsi="Times New Roman" w:cs="Times New Roman"/>
          <w:sz w:val="24"/>
        </w:rPr>
        <w:t>It is no act of insight, intuition, which makes us</w:t>
      </w:r>
      <w:r w:rsidR="00406CD5">
        <w:rPr>
          <w:rFonts w:ascii="Times New Roman" w:hAnsi="Times New Roman" w:cs="Times New Roman"/>
          <w:sz w:val="24"/>
        </w:rPr>
        <w:t xml:space="preserve"> </w:t>
      </w:r>
      <w:r>
        <w:rPr>
          <w:rFonts w:ascii="Times New Roman" w:hAnsi="Times New Roman" w:cs="Times New Roman"/>
          <w:sz w:val="24"/>
        </w:rPr>
        <w:t>use the rule as we do at the</w:t>
      </w:r>
      <w:r w:rsidR="00406CD5">
        <w:rPr>
          <w:rFonts w:ascii="Times New Roman" w:hAnsi="Times New Roman" w:cs="Times New Roman"/>
          <w:sz w:val="24"/>
        </w:rPr>
        <w:t xml:space="preserve"> particular point of the series. It would be less confusing to call it an act of decision, though this too is misleading, for nothing like an act of decision must take place, but possibly just an act of writing or speaking. And the mistake which we […] make is labelled by the word ‘to make’ […]</w:t>
      </w:r>
      <w:r w:rsidR="000F2157">
        <w:rPr>
          <w:rFonts w:ascii="Times New Roman" w:hAnsi="Times New Roman" w:cs="Times New Roman"/>
          <w:sz w:val="24"/>
        </w:rPr>
        <w:t xml:space="preserve"> </w:t>
      </w:r>
      <w:r w:rsidR="00406CD5">
        <w:rPr>
          <w:rFonts w:ascii="Times New Roman" w:hAnsi="Times New Roman" w:cs="Times New Roman"/>
          <w:sz w:val="24"/>
        </w:rPr>
        <w:t xml:space="preserve">because there is an idea that ‘something must make us’ do what we do. […] </w:t>
      </w:r>
      <w:r w:rsidR="00406CD5">
        <w:rPr>
          <w:rFonts w:ascii="Times New Roman" w:hAnsi="Times New Roman" w:cs="Times New Roman"/>
          <w:i/>
          <w:sz w:val="24"/>
        </w:rPr>
        <w:t xml:space="preserve">We need have no reason to follow the rule as we do. </w:t>
      </w:r>
      <w:r w:rsidR="00406CD5">
        <w:rPr>
          <w:rFonts w:ascii="Times New Roman" w:hAnsi="Times New Roman" w:cs="Times New Roman"/>
          <w:sz w:val="24"/>
        </w:rPr>
        <w:t>The chain of reasons has an end.</w:t>
      </w:r>
      <w:r w:rsidR="00406CD5">
        <w:rPr>
          <w:rStyle w:val="FootnoteReference"/>
          <w:rFonts w:ascii="Times New Roman" w:hAnsi="Times New Roman" w:cs="Times New Roman"/>
          <w:sz w:val="24"/>
        </w:rPr>
        <w:footnoteReference w:id="2"/>
      </w:r>
    </w:p>
    <w:p w:rsidR="00406CD5" w:rsidRPr="00BD5C49" w:rsidRDefault="00406CD5" w:rsidP="00AB4D7B">
      <w:pPr>
        <w:jc w:val="both"/>
        <w:rPr>
          <w:rFonts w:ascii="Times New Roman" w:hAnsi="Times New Roman" w:cs="Times New Roman"/>
          <w:sz w:val="24"/>
        </w:rPr>
      </w:pPr>
      <w:r>
        <w:rPr>
          <w:rFonts w:ascii="Times New Roman" w:hAnsi="Times New Roman" w:cs="Times New Roman"/>
          <w:sz w:val="24"/>
        </w:rPr>
        <w:t xml:space="preserve">What is noted here by Wittgenstein is the idea that rules, as followed by people, are not followed because of decisions that the people make, and that it is a mistake to address it as such. Rather, it is </w:t>
      </w:r>
      <w:r w:rsidR="000F2157">
        <w:rPr>
          <w:rFonts w:ascii="Times New Roman" w:hAnsi="Times New Roman" w:cs="Times New Roman"/>
          <w:sz w:val="24"/>
        </w:rPr>
        <w:t xml:space="preserve">an interpretation that people assign to the understanding that they take from the rule. </w:t>
      </w:r>
      <w:r w:rsidR="00196653">
        <w:rPr>
          <w:rFonts w:ascii="Times New Roman" w:hAnsi="Times New Roman" w:cs="Times New Roman"/>
          <w:sz w:val="24"/>
        </w:rPr>
        <w:t>Robert Arrington recounts of how Wittgenstein used an analogy of a child student learning how to count numbers. The student may very well follow ‘the rules’</w:t>
      </w:r>
      <w:r w:rsidR="006F654A">
        <w:rPr>
          <w:rFonts w:ascii="Times New Roman" w:hAnsi="Times New Roman" w:cs="Times New Roman"/>
          <w:sz w:val="24"/>
        </w:rPr>
        <w:t xml:space="preserve"> (as they understand them) </w:t>
      </w:r>
      <w:r w:rsidR="00196653">
        <w:rPr>
          <w:rFonts w:ascii="Times New Roman" w:hAnsi="Times New Roman" w:cs="Times New Roman"/>
          <w:sz w:val="24"/>
        </w:rPr>
        <w:t xml:space="preserve">of counting but may make a systematic mistake and forget a number every now and </w:t>
      </w:r>
      <w:r w:rsidR="006F654A">
        <w:rPr>
          <w:rFonts w:ascii="Times New Roman" w:hAnsi="Times New Roman" w:cs="Times New Roman"/>
          <w:sz w:val="24"/>
        </w:rPr>
        <w:t>again</w:t>
      </w:r>
      <w:r w:rsidR="00196653">
        <w:rPr>
          <w:rFonts w:ascii="Times New Roman" w:hAnsi="Times New Roman" w:cs="Times New Roman"/>
          <w:sz w:val="24"/>
        </w:rPr>
        <w:t>. What then occurs is</w:t>
      </w:r>
      <w:r w:rsidR="006F654A">
        <w:rPr>
          <w:rFonts w:ascii="Times New Roman" w:hAnsi="Times New Roman" w:cs="Times New Roman"/>
          <w:sz w:val="24"/>
        </w:rPr>
        <w:t xml:space="preserve"> that</w:t>
      </w:r>
      <w:r w:rsidR="00196653">
        <w:rPr>
          <w:rFonts w:ascii="Times New Roman" w:hAnsi="Times New Roman" w:cs="Times New Roman"/>
          <w:sz w:val="24"/>
        </w:rPr>
        <w:t xml:space="preserve"> the student is then following the rules on their own terms without understanding </w:t>
      </w:r>
      <w:r w:rsidR="006F654A">
        <w:rPr>
          <w:rFonts w:ascii="Times New Roman" w:hAnsi="Times New Roman" w:cs="Times New Roman"/>
          <w:sz w:val="24"/>
        </w:rPr>
        <w:t>them</w:t>
      </w:r>
      <w:r w:rsidR="00196653">
        <w:rPr>
          <w:rFonts w:ascii="Times New Roman" w:hAnsi="Times New Roman" w:cs="Times New Roman"/>
          <w:sz w:val="24"/>
        </w:rPr>
        <w:t xml:space="preserve">. Arrington writes, “It might be tempting to say that we explain what we want the student to do simply by giving her </w:t>
      </w:r>
      <w:r w:rsidR="00196653">
        <w:rPr>
          <w:rFonts w:ascii="Times New Roman" w:hAnsi="Times New Roman" w:cs="Times New Roman"/>
          <w:i/>
          <w:sz w:val="24"/>
        </w:rPr>
        <w:t>the rule itself</w:t>
      </w:r>
      <w:r w:rsidR="00196653">
        <w:rPr>
          <w:rFonts w:ascii="Times New Roman" w:hAnsi="Times New Roman" w:cs="Times New Roman"/>
          <w:sz w:val="24"/>
        </w:rPr>
        <w:t xml:space="preserve">. This, however, is not quite right. From the pupil’s perspective, what we do is give her an </w:t>
      </w:r>
      <w:r w:rsidR="00196653">
        <w:rPr>
          <w:rFonts w:ascii="Times New Roman" w:hAnsi="Times New Roman" w:cs="Times New Roman"/>
          <w:i/>
          <w:sz w:val="24"/>
        </w:rPr>
        <w:t xml:space="preserve">expression </w:t>
      </w:r>
      <w:r w:rsidR="00196653">
        <w:rPr>
          <w:rFonts w:ascii="Times New Roman" w:hAnsi="Times New Roman" w:cs="Times New Roman"/>
          <w:sz w:val="24"/>
        </w:rPr>
        <w:t>of the rule […]”</w:t>
      </w:r>
      <w:r w:rsidR="00196653">
        <w:rPr>
          <w:rStyle w:val="FootnoteReference"/>
          <w:rFonts w:ascii="Times New Roman" w:hAnsi="Times New Roman" w:cs="Times New Roman"/>
          <w:sz w:val="24"/>
        </w:rPr>
        <w:footnoteReference w:id="3"/>
      </w:r>
      <w:r w:rsidR="00196653">
        <w:rPr>
          <w:rFonts w:ascii="Times New Roman" w:hAnsi="Times New Roman" w:cs="Times New Roman"/>
          <w:sz w:val="24"/>
        </w:rPr>
        <w:t xml:space="preserve"> What this then means is that there is no guarantee that the pupil will ever know what the rule actually entails, </w:t>
      </w:r>
      <w:r w:rsidR="00016148">
        <w:rPr>
          <w:rFonts w:ascii="Times New Roman" w:hAnsi="Times New Roman" w:cs="Times New Roman"/>
          <w:sz w:val="24"/>
        </w:rPr>
        <w:t xml:space="preserve">and will potentially just repeat what they already know without ever learning what the pattern is. As a result, there is no way to determine when the pupil (and by extension us) </w:t>
      </w:r>
      <w:r w:rsidR="006F654A">
        <w:rPr>
          <w:rFonts w:ascii="Times New Roman" w:hAnsi="Times New Roman" w:cs="Times New Roman"/>
          <w:sz w:val="24"/>
        </w:rPr>
        <w:t xml:space="preserve">will </w:t>
      </w:r>
      <w:r w:rsidR="00016148">
        <w:rPr>
          <w:rFonts w:ascii="Times New Roman" w:hAnsi="Times New Roman" w:cs="Times New Roman"/>
          <w:sz w:val="24"/>
        </w:rPr>
        <w:t xml:space="preserve">ever know the distinction between understanding the rule, </w:t>
      </w:r>
      <w:r w:rsidR="00EA3AF2">
        <w:rPr>
          <w:rFonts w:ascii="Times New Roman" w:hAnsi="Times New Roman" w:cs="Times New Roman"/>
          <w:sz w:val="24"/>
        </w:rPr>
        <w:t>and</w:t>
      </w:r>
      <w:r w:rsidR="00016148">
        <w:rPr>
          <w:rFonts w:ascii="Times New Roman" w:hAnsi="Times New Roman" w:cs="Times New Roman"/>
          <w:sz w:val="24"/>
        </w:rPr>
        <w:t xml:space="preserve"> repeating the </w:t>
      </w:r>
      <w:r w:rsidR="006F654A">
        <w:rPr>
          <w:rFonts w:ascii="Times New Roman" w:hAnsi="Times New Roman" w:cs="Times New Roman"/>
          <w:sz w:val="24"/>
        </w:rPr>
        <w:t xml:space="preserve">pattern of the prior </w:t>
      </w:r>
      <w:r w:rsidR="00016148">
        <w:rPr>
          <w:rFonts w:ascii="Times New Roman" w:hAnsi="Times New Roman" w:cs="Times New Roman"/>
          <w:sz w:val="24"/>
        </w:rPr>
        <w:t>expressions.</w:t>
      </w:r>
      <w:r w:rsidR="00151D71">
        <w:rPr>
          <w:rFonts w:ascii="Times New Roman" w:hAnsi="Times New Roman" w:cs="Times New Roman"/>
          <w:sz w:val="24"/>
        </w:rPr>
        <w:t xml:space="preserve"> A</w:t>
      </w:r>
      <w:r w:rsidR="00151D71" w:rsidRPr="00151D71">
        <w:rPr>
          <w:rFonts w:ascii="Times New Roman" w:hAnsi="Times New Roman" w:cs="Times New Roman"/>
          <w:sz w:val="24"/>
        </w:rPr>
        <w:t xml:space="preserve">s with so much else, what following a rule means for </w:t>
      </w:r>
      <w:r w:rsidR="00BD5C49">
        <w:rPr>
          <w:rFonts w:ascii="Times New Roman" w:hAnsi="Times New Roman" w:cs="Times New Roman"/>
          <w:sz w:val="24"/>
        </w:rPr>
        <w:t>people such as the pupil in the example</w:t>
      </w:r>
      <w:r w:rsidR="00151D71" w:rsidRPr="00151D71">
        <w:rPr>
          <w:rFonts w:ascii="Times New Roman" w:hAnsi="Times New Roman" w:cs="Times New Roman"/>
          <w:sz w:val="24"/>
        </w:rPr>
        <w:t xml:space="preserve"> is that we are born into and inherit ways of doing things</w:t>
      </w:r>
      <w:r w:rsidR="00BD5C49">
        <w:rPr>
          <w:rFonts w:ascii="Times New Roman" w:hAnsi="Times New Roman" w:cs="Times New Roman"/>
          <w:sz w:val="24"/>
        </w:rPr>
        <w:t xml:space="preserve">, such as counting or reading, and we inherit these and learn the sequences/steps </w:t>
      </w:r>
      <w:r w:rsidR="00151D71" w:rsidRPr="00151D71">
        <w:rPr>
          <w:rFonts w:ascii="Times New Roman" w:hAnsi="Times New Roman" w:cs="Times New Roman"/>
          <w:sz w:val="24"/>
        </w:rPr>
        <w:t>before we are aware of any rule</w:t>
      </w:r>
      <w:r w:rsidR="00BD5C49">
        <w:rPr>
          <w:rFonts w:ascii="Times New Roman" w:hAnsi="Times New Roman" w:cs="Times New Roman"/>
          <w:sz w:val="24"/>
        </w:rPr>
        <w:t>. This is not to sa</w:t>
      </w:r>
      <w:r w:rsidR="006F654A">
        <w:rPr>
          <w:rFonts w:ascii="Times New Roman" w:hAnsi="Times New Roman" w:cs="Times New Roman"/>
          <w:sz w:val="24"/>
        </w:rPr>
        <w:t>y that this is a blanket method</w:t>
      </w:r>
      <w:r w:rsidR="00BD5C49">
        <w:rPr>
          <w:rFonts w:ascii="Times New Roman" w:hAnsi="Times New Roman" w:cs="Times New Roman"/>
          <w:sz w:val="24"/>
        </w:rPr>
        <w:t xml:space="preserve"> which Wittgenstein</w:t>
      </w:r>
      <w:r w:rsidR="006F654A">
        <w:rPr>
          <w:rFonts w:ascii="Times New Roman" w:hAnsi="Times New Roman" w:cs="Times New Roman"/>
          <w:sz w:val="24"/>
        </w:rPr>
        <w:t xml:space="preserve"> applies to society</w:t>
      </w:r>
      <w:r w:rsidR="00BD5C49">
        <w:rPr>
          <w:rFonts w:ascii="Times New Roman" w:hAnsi="Times New Roman" w:cs="Times New Roman"/>
          <w:sz w:val="24"/>
        </w:rPr>
        <w:t xml:space="preserve">, as there may be cases in which the rule needs to be established before people can proceed, but the </w:t>
      </w:r>
      <w:r w:rsidR="00BD5C49">
        <w:rPr>
          <w:rFonts w:ascii="Times New Roman" w:hAnsi="Times New Roman" w:cs="Times New Roman"/>
          <w:i/>
          <w:sz w:val="24"/>
        </w:rPr>
        <w:t xml:space="preserve">general </w:t>
      </w:r>
      <w:r w:rsidR="00BD5C49">
        <w:rPr>
          <w:rFonts w:ascii="Times New Roman" w:hAnsi="Times New Roman" w:cs="Times New Roman"/>
          <w:sz w:val="24"/>
        </w:rPr>
        <w:t xml:space="preserve">idea remains </w:t>
      </w:r>
      <w:r w:rsidR="006F654A">
        <w:rPr>
          <w:rFonts w:ascii="Times New Roman" w:hAnsi="Times New Roman" w:cs="Times New Roman"/>
          <w:sz w:val="24"/>
        </w:rPr>
        <w:t>about</w:t>
      </w:r>
      <w:r w:rsidR="00BD5C49">
        <w:rPr>
          <w:rFonts w:ascii="Times New Roman" w:hAnsi="Times New Roman" w:cs="Times New Roman"/>
          <w:sz w:val="24"/>
        </w:rPr>
        <w:t xml:space="preserve"> how rule</w:t>
      </w:r>
      <w:r w:rsidR="006F654A">
        <w:rPr>
          <w:rFonts w:ascii="Times New Roman" w:hAnsi="Times New Roman" w:cs="Times New Roman"/>
          <w:sz w:val="24"/>
        </w:rPr>
        <w:t>s are</w:t>
      </w:r>
      <w:r w:rsidR="00BD5C49">
        <w:rPr>
          <w:rFonts w:ascii="Times New Roman" w:hAnsi="Times New Roman" w:cs="Times New Roman"/>
          <w:sz w:val="24"/>
        </w:rPr>
        <w:t xml:space="preserve"> inherited.</w:t>
      </w:r>
    </w:p>
    <w:p w:rsidR="00AC145A" w:rsidRDefault="00EA3AF2" w:rsidP="00AB4D7B">
      <w:pPr>
        <w:jc w:val="both"/>
        <w:rPr>
          <w:rFonts w:ascii="Times New Roman" w:hAnsi="Times New Roman" w:cs="Times New Roman"/>
          <w:sz w:val="24"/>
        </w:rPr>
      </w:pPr>
      <w:r>
        <w:rPr>
          <w:rFonts w:ascii="Times New Roman" w:hAnsi="Times New Roman" w:cs="Times New Roman"/>
          <w:sz w:val="24"/>
        </w:rPr>
        <w:t xml:space="preserve">What Wittgenstein says about this is that it is not about whether the pupil </w:t>
      </w:r>
      <w:r>
        <w:rPr>
          <w:rFonts w:ascii="Times New Roman" w:hAnsi="Times New Roman" w:cs="Times New Roman"/>
          <w:i/>
          <w:sz w:val="24"/>
        </w:rPr>
        <w:t xml:space="preserve">knows </w:t>
      </w:r>
      <w:r>
        <w:rPr>
          <w:rFonts w:ascii="Times New Roman" w:hAnsi="Times New Roman" w:cs="Times New Roman"/>
          <w:sz w:val="24"/>
        </w:rPr>
        <w:t>the sequence of adding</w:t>
      </w:r>
      <w:r w:rsidR="00AC145A">
        <w:rPr>
          <w:rFonts w:ascii="Times New Roman" w:hAnsi="Times New Roman" w:cs="Times New Roman"/>
          <w:sz w:val="24"/>
        </w:rPr>
        <w:t xml:space="preserve"> one to numbers repeatedly, but rather “</w:t>
      </w:r>
      <w:r w:rsidR="00AC145A" w:rsidRPr="00AC145A">
        <w:rPr>
          <w:rFonts w:ascii="Times New Roman" w:hAnsi="Times New Roman" w:cs="Times New Roman"/>
          <w:sz w:val="24"/>
        </w:rPr>
        <w:t>The grammar of the word "knows" is evidently closely related to that of "can", "is able to". But also closely related to that of "understands". ('Mastery' of a technique,)</w:t>
      </w:r>
      <w:r w:rsidR="00AC145A">
        <w:rPr>
          <w:rFonts w:ascii="Times New Roman" w:hAnsi="Times New Roman" w:cs="Times New Roman"/>
          <w:sz w:val="24"/>
        </w:rPr>
        <w:t>”</w:t>
      </w:r>
      <w:r w:rsidR="00AC145A">
        <w:rPr>
          <w:rStyle w:val="FootnoteReference"/>
          <w:rFonts w:ascii="Times New Roman" w:hAnsi="Times New Roman" w:cs="Times New Roman"/>
          <w:sz w:val="24"/>
        </w:rPr>
        <w:footnoteReference w:id="4"/>
      </w:r>
      <w:r w:rsidR="00AC145A">
        <w:rPr>
          <w:rFonts w:ascii="Times New Roman" w:hAnsi="Times New Roman" w:cs="Times New Roman"/>
          <w:sz w:val="24"/>
        </w:rPr>
        <w:t xml:space="preserve"> which is to say that </w:t>
      </w:r>
      <w:r w:rsidR="006F654A">
        <w:rPr>
          <w:rFonts w:ascii="Times New Roman" w:hAnsi="Times New Roman" w:cs="Times New Roman"/>
          <w:sz w:val="24"/>
        </w:rPr>
        <w:t xml:space="preserve">to know a </w:t>
      </w:r>
      <w:r w:rsidR="00AC145A">
        <w:rPr>
          <w:rFonts w:ascii="Times New Roman" w:hAnsi="Times New Roman" w:cs="Times New Roman"/>
          <w:sz w:val="24"/>
        </w:rPr>
        <w:t>rule is not the same as being able to</w:t>
      </w:r>
      <w:r w:rsidR="006F654A">
        <w:rPr>
          <w:rFonts w:ascii="Times New Roman" w:hAnsi="Times New Roman" w:cs="Times New Roman"/>
          <w:sz w:val="24"/>
        </w:rPr>
        <w:t xml:space="preserve"> understand</w:t>
      </w:r>
      <w:r w:rsidR="00AC145A">
        <w:rPr>
          <w:rFonts w:ascii="Times New Roman" w:hAnsi="Times New Roman" w:cs="Times New Roman"/>
          <w:sz w:val="24"/>
        </w:rPr>
        <w:t xml:space="preserve"> </w:t>
      </w:r>
      <w:r w:rsidR="006F654A">
        <w:rPr>
          <w:rFonts w:ascii="Times New Roman" w:hAnsi="Times New Roman" w:cs="Times New Roman"/>
          <w:sz w:val="24"/>
        </w:rPr>
        <w:t>or ‘master</w:t>
      </w:r>
      <w:r w:rsidR="00AC145A">
        <w:rPr>
          <w:rFonts w:ascii="Times New Roman" w:hAnsi="Times New Roman" w:cs="Times New Roman"/>
          <w:sz w:val="24"/>
        </w:rPr>
        <w:t>’ the sequence. In section 201, Wittgenstein writes</w:t>
      </w:r>
      <w:r w:rsidR="006F654A">
        <w:rPr>
          <w:rFonts w:ascii="Times New Roman" w:hAnsi="Times New Roman" w:cs="Times New Roman"/>
          <w:sz w:val="24"/>
        </w:rPr>
        <w:t>:</w:t>
      </w:r>
    </w:p>
    <w:p w:rsidR="00EA3AF2" w:rsidRDefault="00BD5C49" w:rsidP="00AB4D7B">
      <w:pPr>
        <w:ind w:left="720"/>
        <w:jc w:val="both"/>
        <w:rPr>
          <w:rFonts w:ascii="Times New Roman" w:hAnsi="Times New Roman" w:cs="Times New Roman"/>
          <w:sz w:val="24"/>
        </w:rPr>
      </w:pPr>
      <w:r>
        <w:rPr>
          <w:rFonts w:ascii="Times New Roman" w:hAnsi="Times New Roman" w:cs="Times New Roman"/>
          <w:sz w:val="24"/>
        </w:rPr>
        <w:lastRenderedPageBreak/>
        <w:t>If</w:t>
      </w:r>
      <w:r w:rsidR="00AC145A" w:rsidRPr="00AC145A">
        <w:rPr>
          <w:rFonts w:ascii="Times New Roman" w:hAnsi="Times New Roman" w:cs="Times New Roman"/>
          <w:sz w:val="24"/>
        </w:rPr>
        <w:t xml:space="preserve"> everything can be made out to accord with the rule, then it can also be made out to conflict with it. And so there would be neither accord nor conflict </w:t>
      </w:r>
      <w:r w:rsidR="00AC145A">
        <w:rPr>
          <w:rFonts w:ascii="Times New Roman" w:hAnsi="Times New Roman" w:cs="Times New Roman"/>
          <w:sz w:val="24"/>
        </w:rPr>
        <w:t>here.</w:t>
      </w:r>
      <w:r>
        <w:rPr>
          <w:rFonts w:ascii="Times New Roman" w:hAnsi="Times New Roman" w:cs="Times New Roman"/>
          <w:sz w:val="24"/>
        </w:rPr>
        <w:t xml:space="preserve"> </w:t>
      </w:r>
      <w:r w:rsidRPr="00BD5C49">
        <w:rPr>
          <w:rFonts w:ascii="Times New Roman" w:hAnsi="Times New Roman" w:cs="Times New Roman"/>
          <w:sz w:val="24"/>
        </w:rPr>
        <w:t>It can be seen that there is a misunderstanding here from the mere fact that in the course of our argument we give one interpretation after another; as if each one contented us at least for a moment, until we thought of yet another standing behind it.</w:t>
      </w:r>
      <w:r>
        <w:rPr>
          <w:rFonts w:ascii="Times New Roman" w:hAnsi="Times New Roman" w:cs="Times New Roman"/>
          <w:sz w:val="24"/>
        </w:rPr>
        <w:t xml:space="preserve"> </w:t>
      </w:r>
      <w:r w:rsidRPr="00BD5C49">
        <w:rPr>
          <w:rFonts w:ascii="Times New Roman" w:hAnsi="Times New Roman" w:cs="Times New Roman"/>
          <w:sz w:val="24"/>
        </w:rPr>
        <w:t>What this shews</w:t>
      </w:r>
      <w:r w:rsidR="00D31FB8">
        <w:rPr>
          <w:rFonts w:ascii="Times New Roman" w:hAnsi="Times New Roman" w:cs="Times New Roman"/>
          <w:sz w:val="24"/>
        </w:rPr>
        <w:t xml:space="preserve"> </w:t>
      </w:r>
      <w:r w:rsidR="00D31FB8">
        <w:rPr>
          <w:rFonts w:ascii="Times New Roman" w:hAnsi="Times New Roman" w:cs="Times New Roman"/>
          <w:sz w:val="24"/>
          <w:vertAlign w:val="superscript"/>
        </w:rPr>
        <w:t>[sic]</w:t>
      </w:r>
      <w:r w:rsidRPr="00BD5C49">
        <w:rPr>
          <w:rFonts w:ascii="Times New Roman" w:hAnsi="Times New Roman" w:cs="Times New Roman"/>
          <w:sz w:val="24"/>
        </w:rPr>
        <w:t xml:space="preserve"> is that there is a way of grasping a rule which is not an interpretation, but which is exhibited in what we call "obeying the rule" and "going against it" in actual cases</w:t>
      </w:r>
      <w:r>
        <w:rPr>
          <w:rFonts w:ascii="Times New Roman" w:hAnsi="Times New Roman" w:cs="Times New Roman"/>
          <w:sz w:val="24"/>
        </w:rPr>
        <w:t>.</w:t>
      </w:r>
      <w:r w:rsidR="00AC145A">
        <w:rPr>
          <w:rStyle w:val="FootnoteReference"/>
          <w:rFonts w:ascii="Times New Roman" w:hAnsi="Times New Roman" w:cs="Times New Roman"/>
          <w:sz w:val="24"/>
        </w:rPr>
        <w:footnoteReference w:id="5"/>
      </w:r>
    </w:p>
    <w:p w:rsidR="00AC145A" w:rsidRPr="00357CC5" w:rsidRDefault="00AC145A" w:rsidP="00AB4D7B">
      <w:pPr>
        <w:jc w:val="both"/>
        <w:rPr>
          <w:rFonts w:ascii="Times New Roman" w:hAnsi="Times New Roman" w:cs="Times New Roman"/>
          <w:sz w:val="24"/>
        </w:rPr>
      </w:pPr>
      <w:r>
        <w:rPr>
          <w:rFonts w:ascii="Times New Roman" w:hAnsi="Times New Roman" w:cs="Times New Roman"/>
          <w:sz w:val="24"/>
        </w:rPr>
        <w:t xml:space="preserve">If this </w:t>
      </w:r>
      <w:r w:rsidR="00FC015B">
        <w:rPr>
          <w:rFonts w:ascii="Times New Roman" w:hAnsi="Times New Roman" w:cs="Times New Roman"/>
          <w:sz w:val="24"/>
        </w:rPr>
        <w:t xml:space="preserve">idea </w:t>
      </w:r>
      <w:r>
        <w:rPr>
          <w:rFonts w:ascii="Times New Roman" w:hAnsi="Times New Roman" w:cs="Times New Roman"/>
          <w:sz w:val="24"/>
        </w:rPr>
        <w:t>were to be applied to the pupil who has the mathematical function of sequencing</w:t>
      </w:r>
      <w:r w:rsidR="00D31FB8">
        <w:rPr>
          <w:rFonts w:ascii="Times New Roman" w:hAnsi="Times New Roman" w:cs="Times New Roman"/>
          <w:sz w:val="24"/>
        </w:rPr>
        <w:t xml:space="preserve"> </w:t>
      </w:r>
      <w:r>
        <w:rPr>
          <w:rFonts w:ascii="Times New Roman" w:hAnsi="Times New Roman" w:cs="Times New Roman"/>
          <w:sz w:val="24"/>
        </w:rPr>
        <w:t>‘+1’ wrong, what Wittgenstein argues is that by all definitions, the pupil is inherently</w:t>
      </w:r>
      <w:r w:rsidR="00D31FB8">
        <w:rPr>
          <w:rFonts w:ascii="Times New Roman" w:hAnsi="Times New Roman" w:cs="Times New Roman"/>
          <w:sz w:val="24"/>
        </w:rPr>
        <w:t xml:space="preserve"> wrong, b</w:t>
      </w:r>
      <w:r w:rsidR="00BD5C49">
        <w:rPr>
          <w:rFonts w:ascii="Times New Roman" w:hAnsi="Times New Roman" w:cs="Times New Roman"/>
          <w:sz w:val="24"/>
        </w:rPr>
        <w:t>ut only as a result of the</w:t>
      </w:r>
      <w:r w:rsidR="00D31FB8">
        <w:rPr>
          <w:rFonts w:ascii="Times New Roman" w:hAnsi="Times New Roman" w:cs="Times New Roman"/>
          <w:sz w:val="24"/>
        </w:rPr>
        <w:t xml:space="preserve"> established rule</w:t>
      </w:r>
      <w:r w:rsidR="00BD5C49">
        <w:rPr>
          <w:rFonts w:ascii="Times New Roman" w:hAnsi="Times New Roman" w:cs="Times New Roman"/>
          <w:sz w:val="24"/>
        </w:rPr>
        <w:t>. The pupil has no reason to say what convention dictates, and yet is still seen to be wrong because</w:t>
      </w:r>
      <w:r w:rsidR="00D31FB8">
        <w:rPr>
          <w:rFonts w:ascii="Times New Roman" w:hAnsi="Times New Roman" w:cs="Times New Roman"/>
          <w:sz w:val="24"/>
        </w:rPr>
        <w:t xml:space="preserve"> they are seen to have gone</w:t>
      </w:r>
      <w:r w:rsidR="00BD5C49">
        <w:rPr>
          <w:rFonts w:ascii="Times New Roman" w:hAnsi="Times New Roman" w:cs="Times New Roman"/>
          <w:sz w:val="24"/>
        </w:rPr>
        <w:t xml:space="preserve"> against what is known by other people. </w:t>
      </w:r>
      <w:r w:rsidR="00BD5C49" w:rsidRPr="00BD5C49">
        <w:rPr>
          <w:rFonts w:ascii="Times New Roman" w:hAnsi="Times New Roman" w:cs="Times New Roman"/>
          <w:sz w:val="24"/>
        </w:rPr>
        <w:t>Nothing in the rule necessitates a</w:t>
      </w:r>
      <w:r w:rsidR="00BD5C49">
        <w:rPr>
          <w:rFonts w:ascii="Times New Roman" w:hAnsi="Times New Roman" w:cs="Times New Roman"/>
          <w:sz w:val="24"/>
        </w:rPr>
        <w:t xml:space="preserve"> particular and unique response; </w:t>
      </w:r>
      <w:r w:rsidR="00BD5C49" w:rsidRPr="00BD5C49">
        <w:rPr>
          <w:rFonts w:ascii="Times New Roman" w:hAnsi="Times New Roman" w:cs="Times New Roman"/>
          <w:sz w:val="24"/>
        </w:rPr>
        <w:t>rightness or wrongness is something that arose after the event so to speak</w:t>
      </w:r>
      <w:r w:rsidR="00357CC5">
        <w:rPr>
          <w:rFonts w:ascii="Times New Roman" w:hAnsi="Times New Roman" w:cs="Times New Roman"/>
          <w:sz w:val="24"/>
        </w:rPr>
        <w:t xml:space="preserve">. The rule is what it is made to be by societal convention, and claiming that the rule has only one </w:t>
      </w:r>
      <w:r w:rsidR="00357CC5">
        <w:rPr>
          <w:rFonts w:ascii="Times New Roman" w:hAnsi="Times New Roman" w:cs="Times New Roman"/>
          <w:i/>
          <w:sz w:val="24"/>
        </w:rPr>
        <w:t xml:space="preserve">true </w:t>
      </w:r>
      <w:r w:rsidR="00357CC5">
        <w:rPr>
          <w:rFonts w:ascii="Times New Roman" w:hAnsi="Times New Roman" w:cs="Times New Roman"/>
          <w:sz w:val="24"/>
        </w:rPr>
        <w:t>method that is correct is ostensibly incorrect</w:t>
      </w:r>
      <w:r w:rsidR="00BD5C49">
        <w:rPr>
          <w:rFonts w:ascii="Times New Roman" w:hAnsi="Times New Roman" w:cs="Times New Roman"/>
          <w:sz w:val="24"/>
        </w:rPr>
        <w:t xml:space="preserve"> in a vacuum, but still must be seen as correct by the tutor for the pupil, as there is a particular method in mind, or a particular language-game</w:t>
      </w:r>
      <w:r w:rsidR="00357CC5">
        <w:rPr>
          <w:rFonts w:ascii="Times New Roman" w:hAnsi="Times New Roman" w:cs="Times New Roman"/>
          <w:sz w:val="24"/>
        </w:rPr>
        <w:t>.</w:t>
      </w:r>
    </w:p>
    <w:p w:rsidR="002237E1" w:rsidRDefault="00AC145A" w:rsidP="00AB4D7B">
      <w:pPr>
        <w:jc w:val="both"/>
        <w:rPr>
          <w:rFonts w:ascii="Times New Roman" w:hAnsi="Times New Roman" w:cs="Times New Roman"/>
          <w:sz w:val="24"/>
        </w:rPr>
      </w:pPr>
      <w:r>
        <w:rPr>
          <w:rFonts w:ascii="Times New Roman" w:hAnsi="Times New Roman" w:cs="Times New Roman"/>
          <w:sz w:val="24"/>
        </w:rPr>
        <w:t xml:space="preserve">Saul </w:t>
      </w:r>
      <w:proofErr w:type="spellStart"/>
      <w:r>
        <w:rPr>
          <w:rFonts w:ascii="Times New Roman" w:hAnsi="Times New Roman" w:cs="Times New Roman"/>
          <w:sz w:val="24"/>
        </w:rPr>
        <w:t>Kripke’s</w:t>
      </w:r>
      <w:proofErr w:type="spellEnd"/>
      <w:r>
        <w:rPr>
          <w:rFonts w:ascii="Times New Roman" w:hAnsi="Times New Roman" w:cs="Times New Roman"/>
          <w:sz w:val="24"/>
        </w:rPr>
        <w:t xml:space="preserve"> work, </w:t>
      </w:r>
      <w:r w:rsidRPr="00AC145A">
        <w:rPr>
          <w:rFonts w:ascii="Times New Roman" w:hAnsi="Times New Roman" w:cs="Times New Roman"/>
          <w:i/>
          <w:sz w:val="24"/>
        </w:rPr>
        <w:t>Wittgenstein on Rules and Private Language</w:t>
      </w:r>
      <w:r>
        <w:rPr>
          <w:rFonts w:ascii="Times New Roman" w:hAnsi="Times New Roman" w:cs="Times New Roman"/>
          <w:sz w:val="24"/>
        </w:rPr>
        <w:t xml:space="preserve">, is a major influence on the reading of Wittgenstein’s book </w:t>
      </w:r>
      <w:r>
        <w:rPr>
          <w:rFonts w:ascii="Times New Roman" w:hAnsi="Times New Roman" w:cs="Times New Roman"/>
          <w:i/>
          <w:sz w:val="24"/>
        </w:rPr>
        <w:t>Philosophical Investigations</w:t>
      </w:r>
      <w:r w:rsidR="00FC015B">
        <w:rPr>
          <w:rFonts w:ascii="Times New Roman" w:hAnsi="Times New Roman" w:cs="Times New Roman"/>
          <w:sz w:val="24"/>
        </w:rPr>
        <w:t>. It is essential for providing a sceptical loo</w:t>
      </w:r>
      <w:r w:rsidR="00D31FB8">
        <w:rPr>
          <w:rFonts w:ascii="Times New Roman" w:hAnsi="Times New Roman" w:cs="Times New Roman"/>
          <w:sz w:val="24"/>
        </w:rPr>
        <w:t>k on the language-games of rule-</w:t>
      </w:r>
      <w:r w:rsidR="00FC015B">
        <w:rPr>
          <w:rFonts w:ascii="Times New Roman" w:hAnsi="Times New Roman" w:cs="Times New Roman"/>
          <w:sz w:val="24"/>
        </w:rPr>
        <w:t>following, as it suggests that each way of following a rule is dictated by a subjective opinion on how that rule should be followed, whether it is stated by an individual or a society.</w:t>
      </w:r>
      <w:r>
        <w:rPr>
          <w:rFonts w:ascii="Times New Roman" w:hAnsi="Times New Roman" w:cs="Times New Roman"/>
          <w:sz w:val="24"/>
        </w:rPr>
        <w:t xml:space="preserve"> </w:t>
      </w:r>
      <w:r w:rsidR="00D31FB8">
        <w:rPr>
          <w:rFonts w:ascii="Times New Roman" w:hAnsi="Times New Roman" w:cs="Times New Roman"/>
          <w:sz w:val="24"/>
        </w:rPr>
        <w:t>H</w:t>
      </w:r>
      <w:r>
        <w:rPr>
          <w:rFonts w:ascii="Times New Roman" w:hAnsi="Times New Roman" w:cs="Times New Roman"/>
          <w:sz w:val="24"/>
        </w:rPr>
        <w:t xml:space="preserve">e writes </w:t>
      </w:r>
      <w:r w:rsidR="00357CC5">
        <w:rPr>
          <w:rFonts w:ascii="Times New Roman" w:hAnsi="Times New Roman" w:cs="Times New Roman"/>
          <w:sz w:val="24"/>
        </w:rPr>
        <w:t xml:space="preserve">about the paradox of language </w:t>
      </w:r>
      <w:r w:rsidR="002237E1">
        <w:rPr>
          <w:rFonts w:ascii="Times New Roman" w:hAnsi="Times New Roman" w:cs="Times New Roman"/>
          <w:sz w:val="24"/>
        </w:rPr>
        <w:t xml:space="preserve">that Wittgenstein suggested </w:t>
      </w:r>
      <w:r w:rsidR="00D31FB8">
        <w:rPr>
          <w:rFonts w:ascii="Times New Roman" w:hAnsi="Times New Roman" w:cs="Times New Roman"/>
          <w:sz w:val="24"/>
        </w:rPr>
        <w:t xml:space="preserve">as well as </w:t>
      </w:r>
      <w:r w:rsidR="00357CC5">
        <w:rPr>
          <w:rFonts w:ascii="Times New Roman" w:hAnsi="Times New Roman" w:cs="Times New Roman"/>
          <w:sz w:val="24"/>
        </w:rPr>
        <w:t xml:space="preserve">how rules are interpreted </w:t>
      </w:r>
      <w:r w:rsidR="002237E1">
        <w:rPr>
          <w:rFonts w:ascii="Times New Roman" w:hAnsi="Times New Roman" w:cs="Times New Roman"/>
          <w:sz w:val="24"/>
        </w:rPr>
        <w:t xml:space="preserve">by people </w:t>
      </w:r>
      <w:r w:rsidR="00357CC5">
        <w:rPr>
          <w:rFonts w:ascii="Times New Roman" w:hAnsi="Times New Roman" w:cs="Times New Roman"/>
          <w:sz w:val="24"/>
        </w:rPr>
        <w:t>and not inherent</w:t>
      </w:r>
      <w:r w:rsidR="002237E1">
        <w:rPr>
          <w:rFonts w:ascii="Times New Roman" w:hAnsi="Times New Roman" w:cs="Times New Roman"/>
          <w:sz w:val="24"/>
        </w:rPr>
        <w:t xml:space="preserve"> to the world</w:t>
      </w:r>
      <w:r w:rsidR="00357CC5">
        <w:rPr>
          <w:rFonts w:ascii="Times New Roman" w:hAnsi="Times New Roman" w:cs="Times New Roman"/>
          <w:sz w:val="24"/>
        </w:rPr>
        <w:t xml:space="preserve">, saying, “Such a theory would be a theory of the </w:t>
      </w:r>
      <w:r w:rsidR="00357CC5">
        <w:rPr>
          <w:rFonts w:ascii="Times New Roman" w:hAnsi="Times New Roman" w:cs="Times New Roman"/>
          <w:i/>
          <w:sz w:val="24"/>
        </w:rPr>
        <w:t xml:space="preserve">truth </w:t>
      </w:r>
      <w:r w:rsidR="00357CC5">
        <w:rPr>
          <w:rFonts w:ascii="Times New Roman" w:hAnsi="Times New Roman" w:cs="Times New Roman"/>
          <w:sz w:val="24"/>
        </w:rPr>
        <w:t>conditions of such assertions as ‘By ‘plus’ we mean such and such a function’ or ‘By ‘plus’ we mean a function, which, when applied, to 68 and 57 as arguments, yields 125 as the value.’”</w:t>
      </w:r>
      <w:r w:rsidR="00357CC5">
        <w:rPr>
          <w:rStyle w:val="FootnoteReference"/>
          <w:rFonts w:ascii="Times New Roman" w:hAnsi="Times New Roman" w:cs="Times New Roman"/>
          <w:sz w:val="24"/>
        </w:rPr>
        <w:footnoteReference w:id="6"/>
      </w:r>
      <w:r w:rsidR="00357CC5">
        <w:rPr>
          <w:rFonts w:ascii="Times New Roman" w:hAnsi="Times New Roman" w:cs="Times New Roman"/>
          <w:sz w:val="24"/>
        </w:rPr>
        <w:t xml:space="preserve"> </w:t>
      </w:r>
      <w:proofErr w:type="spellStart"/>
      <w:r w:rsidR="00357CC5">
        <w:rPr>
          <w:rFonts w:ascii="Times New Roman" w:hAnsi="Times New Roman" w:cs="Times New Roman"/>
          <w:sz w:val="24"/>
        </w:rPr>
        <w:t>Kripke</w:t>
      </w:r>
      <w:proofErr w:type="spellEnd"/>
      <w:r w:rsidR="00357CC5">
        <w:rPr>
          <w:rFonts w:ascii="Times New Roman" w:hAnsi="Times New Roman" w:cs="Times New Roman"/>
          <w:sz w:val="24"/>
        </w:rPr>
        <w:t xml:space="preserve"> argues that the language-game</w:t>
      </w:r>
      <w:r w:rsidR="00D31FB8">
        <w:rPr>
          <w:rFonts w:ascii="Times New Roman" w:hAnsi="Times New Roman" w:cs="Times New Roman"/>
          <w:sz w:val="24"/>
        </w:rPr>
        <w:t xml:space="preserve"> of mathematics </w:t>
      </w:r>
      <w:r w:rsidR="00FC015B">
        <w:rPr>
          <w:rFonts w:ascii="Times New Roman" w:hAnsi="Times New Roman" w:cs="Times New Roman"/>
          <w:sz w:val="24"/>
        </w:rPr>
        <w:t>always</w:t>
      </w:r>
      <w:r w:rsidR="00357CC5">
        <w:rPr>
          <w:rFonts w:ascii="Times New Roman" w:hAnsi="Times New Roman" w:cs="Times New Roman"/>
          <w:sz w:val="24"/>
        </w:rPr>
        <w:t xml:space="preserve"> lend</w:t>
      </w:r>
      <w:r w:rsidR="00FC015B">
        <w:rPr>
          <w:rFonts w:ascii="Times New Roman" w:hAnsi="Times New Roman" w:cs="Times New Roman"/>
          <w:sz w:val="24"/>
        </w:rPr>
        <w:t>s</w:t>
      </w:r>
      <w:r w:rsidR="00357CC5">
        <w:rPr>
          <w:rFonts w:ascii="Times New Roman" w:hAnsi="Times New Roman" w:cs="Times New Roman"/>
          <w:sz w:val="24"/>
        </w:rPr>
        <w:t xml:space="preserve"> itself for the sum of ’68 plus 57 equals 125’,  but that must be implied by what is meant by the term ‘plus’. It could be interpreted by somebody who understands the concept of addition to mean that the term ‘plus’ only means for them to simply place the digits together, which would mean that in their </w:t>
      </w:r>
      <w:r w:rsidR="001B2C9A">
        <w:rPr>
          <w:rFonts w:ascii="Times New Roman" w:hAnsi="Times New Roman" w:cs="Times New Roman"/>
          <w:sz w:val="24"/>
        </w:rPr>
        <w:t>language-game</w:t>
      </w:r>
      <w:r w:rsidR="00357CC5">
        <w:rPr>
          <w:rFonts w:ascii="Times New Roman" w:hAnsi="Times New Roman" w:cs="Times New Roman"/>
          <w:sz w:val="24"/>
        </w:rPr>
        <w:t xml:space="preserve">, the sum of ’68 plus 57’ would actually equal 6857. This is wrong under the convention of mathematics, but under the </w:t>
      </w:r>
      <w:r w:rsidR="00D31FB8">
        <w:rPr>
          <w:rFonts w:ascii="Times New Roman" w:hAnsi="Times New Roman" w:cs="Times New Roman"/>
          <w:sz w:val="24"/>
        </w:rPr>
        <w:t xml:space="preserve">grammatical </w:t>
      </w:r>
      <w:r w:rsidR="001B2C9A">
        <w:rPr>
          <w:rFonts w:ascii="Times New Roman" w:hAnsi="Times New Roman" w:cs="Times New Roman"/>
          <w:sz w:val="24"/>
        </w:rPr>
        <w:t>language-game</w:t>
      </w:r>
      <w:r w:rsidR="00357CC5">
        <w:rPr>
          <w:rFonts w:ascii="Times New Roman" w:hAnsi="Times New Roman" w:cs="Times New Roman"/>
          <w:sz w:val="24"/>
        </w:rPr>
        <w:t xml:space="preserve"> bei</w:t>
      </w:r>
      <w:r w:rsidR="00D31FB8">
        <w:rPr>
          <w:rFonts w:ascii="Times New Roman" w:hAnsi="Times New Roman" w:cs="Times New Roman"/>
          <w:sz w:val="24"/>
        </w:rPr>
        <w:t>ng p</w:t>
      </w:r>
      <w:r w:rsidR="00357CC5">
        <w:rPr>
          <w:rFonts w:ascii="Times New Roman" w:hAnsi="Times New Roman" w:cs="Times New Roman"/>
          <w:sz w:val="24"/>
        </w:rPr>
        <w:t xml:space="preserve">layed by the person who would only put the digits together, it is as equally correct as the sum equalling 125. Marie McGinn writes of </w:t>
      </w:r>
      <w:proofErr w:type="spellStart"/>
      <w:r w:rsidR="00357CC5">
        <w:rPr>
          <w:rFonts w:ascii="Times New Roman" w:hAnsi="Times New Roman" w:cs="Times New Roman"/>
          <w:sz w:val="24"/>
        </w:rPr>
        <w:t>Kripke’s</w:t>
      </w:r>
      <w:proofErr w:type="spellEnd"/>
      <w:r w:rsidR="00357CC5">
        <w:rPr>
          <w:rFonts w:ascii="Times New Roman" w:hAnsi="Times New Roman" w:cs="Times New Roman"/>
          <w:sz w:val="24"/>
        </w:rPr>
        <w:t xml:space="preserve"> understanding, suggesting that “All that we can say is that in our community we </w:t>
      </w:r>
      <w:r w:rsidR="00357CC5">
        <w:rPr>
          <w:rFonts w:ascii="Times New Roman" w:hAnsi="Times New Roman" w:cs="Times New Roman"/>
          <w:i/>
          <w:sz w:val="24"/>
        </w:rPr>
        <w:t xml:space="preserve">call </w:t>
      </w:r>
      <w:r w:rsidR="00357CC5">
        <w:rPr>
          <w:rFonts w:ascii="Times New Roman" w:hAnsi="Times New Roman" w:cs="Times New Roman"/>
          <w:sz w:val="24"/>
        </w:rPr>
        <w:t xml:space="preserve">‘125’ the correct answer to ’68 plus 57 equals’; the idea that it </w:t>
      </w:r>
      <w:r w:rsidR="00357CC5">
        <w:rPr>
          <w:rFonts w:ascii="Times New Roman" w:hAnsi="Times New Roman" w:cs="Times New Roman"/>
          <w:i/>
          <w:sz w:val="24"/>
        </w:rPr>
        <w:t xml:space="preserve">is </w:t>
      </w:r>
      <w:r w:rsidR="00357CC5">
        <w:rPr>
          <w:rFonts w:ascii="Times New Roman" w:hAnsi="Times New Roman" w:cs="Times New Roman"/>
          <w:sz w:val="24"/>
        </w:rPr>
        <w:t>the correct answer has been shown to be empty.”</w:t>
      </w:r>
      <w:r w:rsidR="00357CC5">
        <w:rPr>
          <w:rStyle w:val="FootnoteReference"/>
          <w:rFonts w:ascii="Times New Roman" w:hAnsi="Times New Roman" w:cs="Times New Roman"/>
          <w:sz w:val="24"/>
        </w:rPr>
        <w:footnoteReference w:id="7"/>
      </w:r>
      <w:r w:rsidR="00357CC5">
        <w:rPr>
          <w:rFonts w:ascii="Times New Roman" w:hAnsi="Times New Roman" w:cs="Times New Roman"/>
          <w:sz w:val="24"/>
        </w:rPr>
        <w:t xml:space="preserve"> </w:t>
      </w:r>
      <w:r w:rsidR="0043439E">
        <w:rPr>
          <w:rFonts w:ascii="Times New Roman" w:hAnsi="Times New Roman" w:cs="Times New Roman"/>
          <w:sz w:val="24"/>
        </w:rPr>
        <w:t xml:space="preserve">It can be </w:t>
      </w:r>
      <w:r w:rsidR="0043439E" w:rsidRPr="0043439E">
        <w:rPr>
          <w:rFonts w:ascii="Times New Roman" w:hAnsi="Times New Roman" w:cs="Times New Roman"/>
          <w:i/>
          <w:sz w:val="24"/>
        </w:rPr>
        <w:t>accepted</w:t>
      </w:r>
      <w:r w:rsidR="0043439E">
        <w:rPr>
          <w:rFonts w:ascii="Times New Roman" w:hAnsi="Times New Roman" w:cs="Times New Roman"/>
          <w:i/>
          <w:sz w:val="24"/>
        </w:rPr>
        <w:t xml:space="preserve"> </w:t>
      </w:r>
      <w:r w:rsidR="0043439E">
        <w:rPr>
          <w:rFonts w:ascii="Times New Roman" w:hAnsi="Times New Roman" w:cs="Times New Roman"/>
          <w:sz w:val="24"/>
        </w:rPr>
        <w:t>as true, but the truth of the matter is that it is not as simple as having the same answer, because other answers can be drawn from it.</w:t>
      </w:r>
    </w:p>
    <w:p w:rsidR="002237E1" w:rsidRDefault="002237E1" w:rsidP="00AB4D7B">
      <w:pPr>
        <w:jc w:val="both"/>
        <w:rPr>
          <w:rFonts w:ascii="Times New Roman" w:hAnsi="Times New Roman" w:cs="Times New Roman"/>
          <w:sz w:val="24"/>
        </w:rPr>
      </w:pPr>
      <w:r>
        <w:rPr>
          <w:rFonts w:ascii="Times New Roman" w:hAnsi="Times New Roman" w:cs="Times New Roman"/>
          <w:sz w:val="24"/>
        </w:rPr>
        <w:t xml:space="preserve">In summary, what </w:t>
      </w:r>
      <w:proofErr w:type="spellStart"/>
      <w:r>
        <w:rPr>
          <w:rFonts w:ascii="Times New Roman" w:hAnsi="Times New Roman" w:cs="Times New Roman"/>
          <w:sz w:val="24"/>
        </w:rPr>
        <w:t>Kripke</w:t>
      </w:r>
      <w:proofErr w:type="spellEnd"/>
      <w:r>
        <w:rPr>
          <w:rFonts w:ascii="Times New Roman" w:hAnsi="Times New Roman" w:cs="Times New Roman"/>
          <w:sz w:val="24"/>
        </w:rPr>
        <w:t xml:space="preserve"> argues with the paradox of language and the rules that it abides by is that nobody can correctly follow a rule, and that by extension, nobody can fail to follow the rule either, as each person is bound by the language-game that they create but are also free to create </w:t>
      </w:r>
      <w:r w:rsidR="00B34F91">
        <w:rPr>
          <w:rFonts w:ascii="Times New Roman" w:hAnsi="Times New Roman" w:cs="Times New Roman"/>
          <w:sz w:val="24"/>
        </w:rPr>
        <w:t>the ‘rules’ as they see fit. No-</w:t>
      </w:r>
      <w:r>
        <w:rPr>
          <w:rFonts w:ascii="Times New Roman" w:hAnsi="Times New Roman" w:cs="Times New Roman"/>
          <w:sz w:val="24"/>
        </w:rPr>
        <w:t xml:space="preserve">one means one thing in what they say, as it can be </w:t>
      </w:r>
      <w:r>
        <w:rPr>
          <w:rFonts w:ascii="Times New Roman" w:hAnsi="Times New Roman" w:cs="Times New Roman"/>
          <w:sz w:val="24"/>
        </w:rPr>
        <w:lastRenderedPageBreak/>
        <w:t xml:space="preserve">interpreted by those listening to mean something else. No meaning or understanding is wrong, only different. Each meaning follows the grammatical rules established by the corresponding person enacting those rules blindly </w:t>
      </w:r>
      <w:r w:rsidR="00B34F91">
        <w:rPr>
          <w:rFonts w:ascii="Times New Roman" w:hAnsi="Times New Roman" w:cs="Times New Roman"/>
          <w:sz w:val="24"/>
        </w:rPr>
        <w:t>with</w:t>
      </w:r>
      <w:r>
        <w:rPr>
          <w:rFonts w:ascii="Times New Roman" w:hAnsi="Times New Roman" w:cs="Times New Roman"/>
          <w:sz w:val="24"/>
        </w:rPr>
        <w:t xml:space="preserve"> each </w:t>
      </w:r>
      <w:r w:rsidR="00B34F91">
        <w:rPr>
          <w:rFonts w:ascii="Times New Roman" w:hAnsi="Times New Roman" w:cs="Times New Roman"/>
          <w:sz w:val="24"/>
        </w:rPr>
        <w:t xml:space="preserve">being </w:t>
      </w:r>
      <w:r>
        <w:rPr>
          <w:rFonts w:ascii="Times New Roman" w:hAnsi="Times New Roman" w:cs="Times New Roman"/>
          <w:sz w:val="24"/>
        </w:rPr>
        <w:t>equally correct and equally incorrect.</w:t>
      </w:r>
      <w:r w:rsidR="00FC015B">
        <w:rPr>
          <w:rFonts w:ascii="Times New Roman" w:hAnsi="Times New Roman" w:cs="Times New Roman"/>
          <w:sz w:val="24"/>
        </w:rPr>
        <w:t xml:space="preserve"> T</w:t>
      </w:r>
      <w:r w:rsidR="00B34F91">
        <w:rPr>
          <w:rFonts w:ascii="Times New Roman" w:hAnsi="Times New Roman" w:cs="Times New Roman"/>
          <w:sz w:val="24"/>
        </w:rPr>
        <w:t xml:space="preserve">his overview can however lead </w:t>
      </w:r>
      <w:r w:rsidR="00FC015B">
        <w:rPr>
          <w:rFonts w:ascii="Times New Roman" w:hAnsi="Times New Roman" w:cs="Times New Roman"/>
          <w:sz w:val="24"/>
        </w:rPr>
        <w:t>to the notion that there is nothing beyond our convention that allows anything to be objectively correct, and that everything is but an interpretation of how the world works rather than an understanding.</w:t>
      </w:r>
    </w:p>
    <w:p w:rsidR="005C0969" w:rsidRDefault="0043439E" w:rsidP="00AB4D7B">
      <w:pPr>
        <w:jc w:val="both"/>
        <w:rPr>
          <w:rFonts w:ascii="Times New Roman" w:hAnsi="Times New Roman" w:cs="Times New Roman"/>
          <w:sz w:val="24"/>
        </w:rPr>
      </w:pPr>
      <w:r>
        <w:rPr>
          <w:rFonts w:ascii="Times New Roman" w:hAnsi="Times New Roman" w:cs="Times New Roman"/>
          <w:sz w:val="24"/>
        </w:rPr>
        <w:t xml:space="preserve">Another example of a </w:t>
      </w:r>
      <w:r w:rsidR="001B2C9A">
        <w:rPr>
          <w:rFonts w:ascii="Times New Roman" w:hAnsi="Times New Roman" w:cs="Times New Roman"/>
          <w:sz w:val="24"/>
        </w:rPr>
        <w:t>language-game</w:t>
      </w:r>
      <w:r>
        <w:rPr>
          <w:rFonts w:ascii="Times New Roman" w:hAnsi="Times New Roman" w:cs="Times New Roman"/>
          <w:sz w:val="24"/>
        </w:rPr>
        <w:t xml:space="preserve"> dictating what is happening inside of a rule could be seen to be what a chair is. A person may point to what is known to be a chair and say the words “That is a chair.” The only way in which that statement is true is by the expectations that people share about what constitutes a chair. The form of the chair necessitates the notion that it is what it is claimed to be. However, what is actually being pointed to? The person pointing at the chair may be pointing to the fabric that covers the chair, and not the whole form. It would not be wrong to say that that is a chair if the person pointing truly believes that that is the chair, but the meaning is obfuscated by those who see it in a different way</w:t>
      </w:r>
      <w:r w:rsidR="00C36AD4">
        <w:rPr>
          <w:rFonts w:ascii="Times New Roman" w:hAnsi="Times New Roman" w:cs="Times New Roman"/>
          <w:sz w:val="24"/>
        </w:rPr>
        <w:t>. The person pointing may be point</w:t>
      </w:r>
      <w:r w:rsidR="00B34F91">
        <w:rPr>
          <w:rFonts w:ascii="Times New Roman" w:hAnsi="Times New Roman" w:cs="Times New Roman"/>
          <w:sz w:val="24"/>
        </w:rPr>
        <w:t>ing</w:t>
      </w:r>
      <w:r w:rsidR="00C36AD4">
        <w:rPr>
          <w:rFonts w:ascii="Times New Roman" w:hAnsi="Times New Roman" w:cs="Times New Roman"/>
          <w:sz w:val="24"/>
        </w:rPr>
        <w:t xml:space="preserve"> at the person sitting nearby, who is overseeing a meeting and taking notes on the matter, or in other words them acting as the ‘chair’ for the meeting. Now the term ‘chair’ has two distinct meanings in the same place. Is the person point</w:t>
      </w:r>
      <w:r w:rsidR="00B34F91">
        <w:rPr>
          <w:rFonts w:ascii="Times New Roman" w:hAnsi="Times New Roman" w:cs="Times New Roman"/>
          <w:sz w:val="24"/>
        </w:rPr>
        <w:t>ing</w:t>
      </w:r>
      <w:r w:rsidR="00C36AD4">
        <w:rPr>
          <w:rFonts w:ascii="Times New Roman" w:hAnsi="Times New Roman" w:cs="Times New Roman"/>
          <w:sz w:val="24"/>
        </w:rPr>
        <w:t xml:space="preserve"> referring to the object that could be referred to as the ‘chair’ or the person on the object that could also be referred to as the </w:t>
      </w:r>
      <w:r w:rsidR="00D65D69">
        <w:rPr>
          <w:rFonts w:ascii="Times New Roman" w:hAnsi="Times New Roman" w:cs="Times New Roman"/>
          <w:sz w:val="24"/>
        </w:rPr>
        <w:t>‘chair’?</w:t>
      </w:r>
      <w:r w:rsidR="009772CD">
        <w:rPr>
          <w:rFonts w:ascii="Times New Roman" w:hAnsi="Times New Roman" w:cs="Times New Roman"/>
          <w:sz w:val="24"/>
        </w:rPr>
        <w:t xml:space="preserve"> </w:t>
      </w:r>
      <w:r w:rsidR="00D73330">
        <w:rPr>
          <w:rFonts w:ascii="Times New Roman" w:hAnsi="Times New Roman" w:cs="Times New Roman"/>
          <w:sz w:val="24"/>
        </w:rPr>
        <w:t>David G. Stern asserts about the problem of definitions when he suggests, “Certainly we have all had the experience of understanding a word all of a sudden, but the danger here lies in thinking that this gives us an insight into the essence of understanding.”</w:t>
      </w:r>
      <w:r w:rsidR="00D73330">
        <w:rPr>
          <w:rStyle w:val="FootnoteReference"/>
          <w:rFonts w:ascii="Times New Roman" w:hAnsi="Times New Roman" w:cs="Times New Roman"/>
          <w:sz w:val="24"/>
        </w:rPr>
        <w:footnoteReference w:id="8"/>
      </w:r>
      <w:r w:rsidR="00D73330">
        <w:rPr>
          <w:rFonts w:ascii="Times New Roman" w:hAnsi="Times New Roman" w:cs="Times New Roman"/>
          <w:sz w:val="24"/>
        </w:rPr>
        <w:t xml:space="preserve"> What this says is that just because there is an understanding of a word that you may have, it does not translate to the essence of understanding as a whole, because other people may not share that understanding. The person pointing to what they attribute as a ‘chair’ is their own understanding that they have reached</w:t>
      </w:r>
      <w:r w:rsidR="00B34F91">
        <w:rPr>
          <w:rFonts w:ascii="Times New Roman" w:hAnsi="Times New Roman" w:cs="Times New Roman"/>
          <w:sz w:val="24"/>
        </w:rPr>
        <w:t xml:space="preserve"> through their own language-game</w:t>
      </w:r>
      <w:r w:rsidR="00D73330">
        <w:rPr>
          <w:rFonts w:ascii="Times New Roman" w:hAnsi="Times New Roman" w:cs="Times New Roman"/>
          <w:sz w:val="24"/>
        </w:rPr>
        <w:t>, but this does not necessarily mean that it translates to other things.</w:t>
      </w:r>
      <w:r w:rsidR="00FC015B">
        <w:rPr>
          <w:rFonts w:ascii="Times New Roman" w:hAnsi="Times New Roman" w:cs="Times New Roman"/>
          <w:sz w:val="24"/>
        </w:rPr>
        <w:t xml:space="preserve"> One should not look for a definition of a rule prior to the usage of the rule, as context is paramount to all rules</w:t>
      </w:r>
      <w:r w:rsidR="00B34F91">
        <w:rPr>
          <w:rFonts w:ascii="Times New Roman" w:hAnsi="Times New Roman" w:cs="Times New Roman"/>
          <w:sz w:val="24"/>
        </w:rPr>
        <w:t xml:space="preserve"> according to </w:t>
      </w:r>
      <w:proofErr w:type="spellStart"/>
      <w:r w:rsidR="00B34F91">
        <w:rPr>
          <w:rFonts w:ascii="Times New Roman" w:hAnsi="Times New Roman" w:cs="Times New Roman"/>
          <w:sz w:val="24"/>
        </w:rPr>
        <w:t>Kripke</w:t>
      </w:r>
      <w:proofErr w:type="spellEnd"/>
      <w:r w:rsidR="00FC015B">
        <w:rPr>
          <w:rFonts w:ascii="Times New Roman" w:hAnsi="Times New Roman" w:cs="Times New Roman"/>
          <w:sz w:val="24"/>
        </w:rPr>
        <w:t>.</w:t>
      </w:r>
    </w:p>
    <w:p w:rsidR="005C0969" w:rsidRDefault="009772CD" w:rsidP="00AB4D7B">
      <w:pPr>
        <w:jc w:val="both"/>
        <w:rPr>
          <w:rFonts w:ascii="Times New Roman" w:hAnsi="Times New Roman" w:cs="Times New Roman"/>
          <w:sz w:val="24"/>
        </w:rPr>
      </w:pPr>
      <w:r>
        <w:rPr>
          <w:rFonts w:ascii="Times New Roman" w:hAnsi="Times New Roman" w:cs="Times New Roman"/>
          <w:sz w:val="24"/>
        </w:rPr>
        <w:t>McGinn further writes about this establishment,</w:t>
      </w:r>
    </w:p>
    <w:p w:rsidR="005C0969" w:rsidRDefault="005C0969" w:rsidP="00AB4D7B">
      <w:pPr>
        <w:ind w:left="720"/>
        <w:jc w:val="both"/>
        <w:rPr>
          <w:rFonts w:ascii="Times New Roman" w:hAnsi="Times New Roman" w:cs="Times New Roman"/>
          <w:sz w:val="24"/>
        </w:rPr>
      </w:pPr>
      <w:r>
        <w:rPr>
          <w:rFonts w:ascii="Times New Roman" w:hAnsi="Times New Roman" w:cs="Times New Roman"/>
          <w:sz w:val="24"/>
        </w:rPr>
        <w:t xml:space="preserve">For now we see that the same picture might come before our minds and the application still be different: the picture doesn’t, after all, </w:t>
      </w:r>
      <w:r>
        <w:rPr>
          <w:rFonts w:ascii="Times New Roman" w:hAnsi="Times New Roman" w:cs="Times New Roman"/>
          <w:i/>
          <w:sz w:val="24"/>
        </w:rPr>
        <w:t>force</w:t>
      </w:r>
      <w:r>
        <w:rPr>
          <w:rFonts w:ascii="Times New Roman" w:hAnsi="Times New Roman" w:cs="Times New Roman"/>
          <w:sz w:val="24"/>
        </w:rPr>
        <w:t xml:space="preserve"> a particular use on us. In the case where the applications are different, it is the use that is made of the word that shows what a speaker means by it, and not what comes before his mind when he hears the word and understands it.</w:t>
      </w:r>
      <w:r>
        <w:rPr>
          <w:rStyle w:val="FootnoteReference"/>
          <w:rFonts w:ascii="Times New Roman" w:hAnsi="Times New Roman" w:cs="Times New Roman"/>
          <w:sz w:val="24"/>
        </w:rPr>
        <w:footnoteReference w:id="9"/>
      </w:r>
    </w:p>
    <w:p w:rsidR="0043439E" w:rsidRDefault="005C0969" w:rsidP="00AB4D7B">
      <w:pPr>
        <w:jc w:val="both"/>
        <w:rPr>
          <w:rFonts w:ascii="Times New Roman" w:hAnsi="Times New Roman" w:cs="Times New Roman"/>
          <w:sz w:val="24"/>
        </w:rPr>
      </w:pPr>
      <w:r>
        <w:rPr>
          <w:rFonts w:ascii="Times New Roman" w:hAnsi="Times New Roman" w:cs="Times New Roman"/>
          <w:sz w:val="24"/>
        </w:rPr>
        <w:t xml:space="preserve">The rules of language are followed blindly by </w:t>
      </w:r>
      <w:r w:rsidR="00E02D5A">
        <w:rPr>
          <w:rFonts w:ascii="Times New Roman" w:hAnsi="Times New Roman" w:cs="Times New Roman"/>
          <w:sz w:val="24"/>
        </w:rPr>
        <w:t>those who speak any form of language. The rules they assign themselves are in the meaning that they attribute to words of their choice. Using the analogy of a chair, the person who points at what they deem to be a chair</w:t>
      </w:r>
      <w:r w:rsidR="001B2C9A">
        <w:rPr>
          <w:rFonts w:ascii="Times New Roman" w:hAnsi="Times New Roman" w:cs="Times New Roman"/>
          <w:sz w:val="24"/>
        </w:rPr>
        <w:t xml:space="preserve"> and in their language-game are correct. They must be, because language in its use is but an interpretation and no singular answer</w:t>
      </w:r>
      <w:r w:rsidR="00FC015B">
        <w:rPr>
          <w:rFonts w:ascii="Times New Roman" w:hAnsi="Times New Roman" w:cs="Times New Roman"/>
          <w:sz w:val="24"/>
        </w:rPr>
        <w:t xml:space="preserve"> is available. </w:t>
      </w:r>
      <w:r w:rsidR="00F72F7A">
        <w:rPr>
          <w:rFonts w:ascii="Times New Roman" w:hAnsi="Times New Roman" w:cs="Times New Roman"/>
          <w:sz w:val="24"/>
        </w:rPr>
        <w:t>Interpretation only goes so far though, as the person pointing may point to an irrelevant object that sees no contextual similarities as to why that might be seen as a chair. There are multiple concepts that could be deemed as a ‘chair’, but this is not to say that all things are chair unless the person point</w:t>
      </w:r>
      <w:r w:rsidR="00B34F91">
        <w:rPr>
          <w:rFonts w:ascii="Times New Roman" w:hAnsi="Times New Roman" w:cs="Times New Roman"/>
          <w:sz w:val="24"/>
        </w:rPr>
        <w:t>ing</w:t>
      </w:r>
      <w:r w:rsidR="00F72F7A">
        <w:rPr>
          <w:rFonts w:ascii="Times New Roman" w:hAnsi="Times New Roman" w:cs="Times New Roman"/>
          <w:sz w:val="24"/>
        </w:rPr>
        <w:t xml:space="preserve"> to it has the necessary context </w:t>
      </w:r>
      <w:r w:rsidR="00F72F7A">
        <w:rPr>
          <w:rFonts w:ascii="Times New Roman" w:hAnsi="Times New Roman" w:cs="Times New Roman"/>
          <w:sz w:val="24"/>
        </w:rPr>
        <w:lastRenderedPageBreak/>
        <w:t>for their reasoning</w:t>
      </w:r>
      <w:r w:rsidR="001B2C9A">
        <w:rPr>
          <w:rFonts w:ascii="Times New Roman" w:hAnsi="Times New Roman" w:cs="Times New Roman"/>
          <w:sz w:val="24"/>
        </w:rPr>
        <w:t>.</w:t>
      </w:r>
      <w:r w:rsidR="00F72F7A">
        <w:rPr>
          <w:rFonts w:ascii="Times New Roman" w:hAnsi="Times New Roman" w:cs="Times New Roman"/>
          <w:sz w:val="24"/>
        </w:rPr>
        <w:t xml:space="preserve"> Even then, Wittgenstein rejects the idea of a ‘private language’, meaning that the context must be significant for other people as well as themselves.</w:t>
      </w:r>
      <w:r w:rsidR="001B2C9A">
        <w:rPr>
          <w:rFonts w:ascii="Times New Roman" w:hAnsi="Times New Roman" w:cs="Times New Roman"/>
          <w:sz w:val="24"/>
        </w:rPr>
        <w:t xml:space="preserve"> If the person pointed at what is usually known as a table and declared it a chair for the fact it can be sat upon, then under their interpretation of language it must be true. Each object and concept is only what people assign their meaning to, and meanings can differ in every aspect.</w:t>
      </w:r>
      <w:r w:rsidR="00B34F91">
        <w:rPr>
          <w:rFonts w:ascii="Times New Roman" w:hAnsi="Times New Roman" w:cs="Times New Roman"/>
          <w:sz w:val="24"/>
        </w:rPr>
        <w:t xml:space="preserve"> This does not change the fact that context is key to these meanings.</w:t>
      </w:r>
    </w:p>
    <w:p w:rsidR="001B2C9A" w:rsidRDefault="001B2C9A" w:rsidP="00AB4D7B">
      <w:pPr>
        <w:jc w:val="both"/>
        <w:rPr>
          <w:rFonts w:ascii="Times New Roman" w:hAnsi="Times New Roman" w:cs="Times New Roman"/>
          <w:sz w:val="24"/>
        </w:rPr>
      </w:pPr>
      <w:r>
        <w:rPr>
          <w:rFonts w:ascii="Times New Roman" w:hAnsi="Times New Roman" w:cs="Times New Roman"/>
          <w:sz w:val="24"/>
        </w:rPr>
        <w:t xml:space="preserve">Oswald </w:t>
      </w:r>
      <w:proofErr w:type="spellStart"/>
      <w:r>
        <w:rPr>
          <w:rFonts w:ascii="Times New Roman" w:hAnsi="Times New Roman" w:cs="Times New Roman"/>
          <w:sz w:val="24"/>
        </w:rPr>
        <w:t>Hanfling</w:t>
      </w:r>
      <w:proofErr w:type="spellEnd"/>
      <w:r>
        <w:rPr>
          <w:rFonts w:ascii="Times New Roman" w:hAnsi="Times New Roman" w:cs="Times New Roman"/>
          <w:sz w:val="24"/>
        </w:rPr>
        <w:t xml:space="preserve"> writes about Wittgenstein and his connection between rules that are necessary for grammar and language and the language-games that permeate all societies, </w:t>
      </w:r>
      <w:r w:rsidR="00B34F91">
        <w:rPr>
          <w:rFonts w:ascii="Times New Roman" w:hAnsi="Times New Roman" w:cs="Times New Roman"/>
          <w:sz w:val="24"/>
        </w:rPr>
        <w:t>claiming</w:t>
      </w:r>
      <w:r>
        <w:rPr>
          <w:rFonts w:ascii="Times New Roman" w:hAnsi="Times New Roman" w:cs="Times New Roman"/>
          <w:sz w:val="24"/>
        </w:rPr>
        <w:t xml:space="preserve"> that, “He also saw an ‘analogy between language and games’, and he claimed that the ‘rules of grammar’ are constitutive of a language-game in the way in which the rules of chess are constitutive of chess. Someone who played by different rules would not be playing incorrectly; he would be </w:t>
      </w:r>
      <w:r>
        <w:rPr>
          <w:rFonts w:ascii="Times New Roman" w:hAnsi="Times New Roman" w:cs="Times New Roman"/>
          <w:i/>
          <w:sz w:val="24"/>
        </w:rPr>
        <w:t>‘playing another game’</w:t>
      </w:r>
      <w:r w:rsidRPr="001B2C9A">
        <w:rPr>
          <w:rFonts w:ascii="Times New Roman" w:hAnsi="Times New Roman" w:cs="Times New Roman"/>
          <w:sz w:val="24"/>
        </w:rPr>
        <w:t>.</w:t>
      </w:r>
      <w:r>
        <w:rPr>
          <w:rFonts w:ascii="Times New Roman" w:hAnsi="Times New Roman" w:cs="Times New Roman"/>
          <w:sz w:val="24"/>
        </w:rPr>
        <w:t>”</w:t>
      </w:r>
      <w:r>
        <w:rPr>
          <w:rStyle w:val="FootnoteReference"/>
          <w:rFonts w:ascii="Times New Roman" w:hAnsi="Times New Roman" w:cs="Times New Roman"/>
          <w:sz w:val="24"/>
        </w:rPr>
        <w:footnoteReference w:id="10"/>
      </w:r>
      <w:r>
        <w:rPr>
          <w:rFonts w:ascii="Times New Roman" w:hAnsi="Times New Roman" w:cs="Times New Roman"/>
          <w:sz w:val="24"/>
        </w:rPr>
        <w:t xml:space="preserve"> This affirms what was discussed before. There are no set rules for people to inherently follow, only the rules that have </w:t>
      </w:r>
      <w:r w:rsidR="002237E1">
        <w:rPr>
          <w:rFonts w:ascii="Times New Roman" w:hAnsi="Times New Roman" w:cs="Times New Roman"/>
          <w:sz w:val="24"/>
        </w:rPr>
        <w:t>been assigned by each individual person. They are followed blindly on account that they are created blindly.</w:t>
      </w:r>
    </w:p>
    <w:p w:rsidR="008273A8" w:rsidRDefault="00CF1BDF" w:rsidP="00AB4D7B">
      <w:pPr>
        <w:jc w:val="both"/>
        <w:rPr>
          <w:rFonts w:ascii="Times New Roman" w:hAnsi="Times New Roman" w:cs="Times New Roman"/>
          <w:sz w:val="24"/>
        </w:rPr>
      </w:pPr>
      <w:r>
        <w:rPr>
          <w:rFonts w:ascii="Times New Roman" w:hAnsi="Times New Roman" w:cs="Times New Roman"/>
          <w:sz w:val="24"/>
        </w:rPr>
        <w:t>Section 198</w:t>
      </w:r>
      <w:r w:rsidR="00AB104A">
        <w:rPr>
          <w:rFonts w:ascii="Times New Roman" w:hAnsi="Times New Roman" w:cs="Times New Roman"/>
          <w:sz w:val="24"/>
        </w:rPr>
        <w:t>-199</w:t>
      </w:r>
      <w:r w:rsidR="00641DB2">
        <w:rPr>
          <w:rFonts w:ascii="Times New Roman" w:hAnsi="Times New Roman" w:cs="Times New Roman"/>
          <w:sz w:val="24"/>
        </w:rPr>
        <w:t xml:space="preserve"> of Wittgenstein’s </w:t>
      </w:r>
      <w:r w:rsidR="00641DB2">
        <w:rPr>
          <w:rFonts w:ascii="Times New Roman" w:hAnsi="Times New Roman" w:cs="Times New Roman"/>
          <w:i/>
          <w:sz w:val="24"/>
        </w:rPr>
        <w:t xml:space="preserve">Philosophical Investigations </w:t>
      </w:r>
      <w:r w:rsidR="00641DB2">
        <w:rPr>
          <w:rFonts w:ascii="Times New Roman" w:hAnsi="Times New Roman" w:cs="Times New Roman"/>
          <w:sz w:val="24"/>
        </w:rPr>
        <w:t>expands on this notion of rules being followed in a similar way to the game of chess, as it reads, “</w:t>
      </w:r>
      <w:r w:rsidR="00641DB2" w:rsidRPr="00641DB2">
        <w:rPr>
          <w:rFonts w:ascii="Times New Roman" w:hAnsi="Times New Roman" w:cs="Times New Roman"/>
          <w:sz w:val="24"/>
        </w:rPr>
        <w:t>It is not possible that there should have been only one occasion on which a report was made, an order given or</w:t>
      </w:r>
      <w:r w:rsidR="00641DB2">
        <w:rPr>
          <w:rFonts w:ascii="Times New Roman" w:hAnsi="Times New Roman" w:cs="Times New Roman"/>
          <w:sz w:val="24"/>
        </w:rPr>
        <w:t xml:space="preserve"> understood; and so on. </w:t>
      </w:r>
      <w:r w:rsidR="00641DB2" w:rsidRPr="00641DB2">
        <w:rPr>
          <w:rFonts w:ascii="Times New Roman" w:hAnsi="Times New Roman" w:cs="Times New Roman"/>
          <w:sz w:val="24"/>
        </w:rPr>
        <w:t>To obey a rule, to make a report, to give an order, to pl</w:t>
      </w:r>
      <w:r w:rsidR="00641DB2">
        <w:rPr>
          <w:rFonts w:ascii="Times New Roman" w:hAnsi="Times New Roman" w:cs="Times New Roman"/>
          <w:sz w:val="24"/>
        </w:rPr>
        <w:t xml:space="preserve">ay a game of chess, are customs. </w:t>
      </w:r>
      <w:r w:rsidR="00641DB2" w:rsidRPr="00641DB2">
        <w:rPr>
          <w:rFonts w:ascii="Times New Roman" w:hAnsi="Times New Roman" w:cs="Times New Roman"/>
          <w:sz w:val="24"/>
        </w:rPr>
        <w:t>To understand a sentence mea</w:t>
      </w:r>
      <w:r w:rsidR="00641DB2">
        <w:rPr>
          <w:rFonts w:ascii="Times New Roman" w:hAnsi="Times New Roman" w:cs="Times New Roman"/>
          <w:sz w:val="24"/>
        </w:rPr>
        <w:t xml:space="preserve">ns to understand a language. To </w:t>
      </w:r>
      <w:r w:rsidR="00641DB2" w:rsidRPr="00641DB2">
        <w:rPr>
          <w:rFonts w:ascii="Times New Roman" w:hAnsi="Times New Roman" w:cs="Times New Roman"/>
          <w:sz w:val="24"/>
        </w:rPr>
        <w:t>understand a language means to be master of a technique.</w:t>
      </w:r>
      <w:r w:rsidR="00641DB2">
        <w:rPr>
          <w:rFonts w:ascii="Times New Roman" w:hAnsi="Times New Roman" w:cs="Times New Roman"/>
          <w:sz w:val="24"/>
        </w:rPr>
        <w:t>”</w:t>
      </w:r>
      <w:r w:rsidR="00641DB2">
        <w:rPr>
          <w:rStyle w:val="FootnoteReference"/>
          <w:rFonts w:ascii="Times New Roman" w:hAnsi="Times New Roman" w:cs="Times New Roman"/>
          <w:sz w:val="24"/>
        </w:rPr>
        <w:footnoteReference w:id="11"/>
      </w:r>
      <w:r w:rsidR="00641DB2">
        <w:rPr>
          <w:rFonts w:ascii="Times New Roman" w:hAnsi="Times New Roman" w:cs="Times New Roman"/>
          <w:sz w:val="24"/>
        </w:rPr>
        <w:t xml:space="preserve"> What this means is that language is to be understood in the same way that things with more rigid rules are.</w:t>
      </w:r>
      <w:r w:rsidR="008273A8">
        <w:rPr>
          <w:rFonts w:ascii="Times New Roman" w:hAnsi="Times New Roman" w:cs="Times New Roman"/>
          <w:sz w:val="24"/>
        </w:rPr>
        <w:t xml:space="preserve"> Thereby,</w:t>
      </w:r>
      <w:r w:rsidR="00641DB2">
        <w:rPr>
          <w:rFonts w:ascii="Times New Roman" w:hAnsi="Times New Roman" w:cs="Times New Roman"/>
          <w:sz w:val="24"/>
        </w:rPr>
        <w:t xml:space="preserve"> there is a way in which people understand </w:t>
      </w:r>
      <w:r w:rsidR="008273A8">
        <w:rPr>
          <w:rFonts w:ascii="Times New Roman" w:hAnsi="Times New Roman" w:cs="Times New Roman"/>
          <w:sz w:val="24"/>
        </w:rPr>
        <w:t xml:space="preserve">language </w:t>
      </w:r>
      <w:r w:rsidR="00641DB2">
        <w:rPr>
          <w:rFonts w:ascii="Times New Roman" w:hAnsi="Times New Roman" w:cs="Times New Roman"/>
          <w:sz w:val="24"/>
        </w:rPr>
        <w:t xml:space="preserve">clearly but only for each </w:t>
      </w:r>
      <w:r w:rsidR="008273A8">
        <w:rPr>
          <w:rFonts w:ascii="Times New Roman" w:hAnsi="Times New Roman" w:cs="Times New Roman"/>
          <w:sz w:val="24"/>
        </w:rPr>
        <w:t xml:space="preserve">individual </w:t>
      </w:r>
      <w:r w:rsidR="00641DB2">
        <w:rPr>
          <w:rFonts w:ascii="Times New Roman" w:hAnsi="Times New Roman" w:cs="Times New Roman"/>
          <w:sz w:val="24"/>
        </w:rPr>
        <w:t xml:space="preserve">person. </w:t>
      </w:r>
      <w:r w:rsidR="00D73330">
        <w:rPr>
          <w:rFonts w:ascii="Times New Roman" w:hAnsi="Times New Roman" w:cs="Times New Roman"/>
          <w:sz w:val="24"/>
        </w:rPr>
        <w:t xml:space="preserve">David Stern writes, </w:t>
      </w:r>
      <w:r w:rsidR="001F4A69">
        <w:rPr>
          <w:rFonts w:ascii="Times New Roman" w:hAnsi="Times New Roman" w:cs="Times New Roman"/>
          <w:sz w:val="24"/>
        </w:rPr>
        <w:t>“</w:t>
      </w:r>
      <w:r w:rsidR="00D73330">
        <w:rPr>
          <w:rFonts w:ascii="Times New Roman" w:hAnsi="Times New Roman" w:cs="Times New Roman"/>
          <w:sz w:val="24"/>
        </w:rPr>
        <w:t xml:space="preserve">The </w:t>
      </w:r>
      <w:r w:rsidR="001F4A69">
        <w:rPr>
          <w:rFonts w:ascii="Times New Roman" w:hAnsi="Times New Roman" w:cs="Times New Roman"/>
          <w:sz w:val="24"/>
        </w:rPr>
        <w:t>point of drawing our attention to the role of training and custom and other facts of our natural and social history is not to establish a positive theory of concept formation, but to emphasize what such theories overlook: that language depends on these facts being in place.”</w:t>
      </w:r>
      <w:r w:rsidR="001F4A69">
        <w:rPr>
          <w:rStyle w:val="FootnoteReference"/>
          <w:rFonts w:ascii="Times New Roman" w:hAnsi="Times New Roman" w:cs="Times New Roman"/>
          <w:sz w:val="24"/>
        </w:rPr>
        <w:footnoteReference w:id="12"/>
      </w:r>
    </w:p>
    <w:p w:rsidR="00DC160C" w:rsidRDefault="00AB104A" w:rsidP="00AB4D7B">
      <w:pPr>
        <w:jc w:val="both"/>
        <w:rPr>
          <w:rFonts w:ascii="Times New Roman" w:hAnsi="Times New Roman" w:cs="Times New Roman"/>
          <w:sz w:val="24"/>
        </w:rPr>
      </w:pPr>
      <w:r>
        <w:rPr>
          <w:rFonts w:ascii="Times New Roman" w:hAnsi="Times New Roman" w:cs="Times New Roman"/>
          <w:sz w:val="24"/>
        </w:rPr>
        <w:t xml:space="preserve">Rules are only followed because rules are necessary for understanding, and rules are dictated in the language that they are based on, and language itself is only existent because of the notion that the facts are already in place. </w:t>
      </w:r>
      <w:r w:rsidR="008273A8">
        <w:rPr>
          <w:rFonts w:ascii="Times New Roman" w:hAnsi="Times New Roman" w:cs="Times New Roman"/>
          <w:sz w:val="24"/>
        </w:rPr>
        <w:t>‘</w:t>
      </w:r>
      <w:r>
        <w:rPr>
          <w:rFonts w:ascii="Times New Roman" w:hAnsi="Times New Roman" w:cs="Times New Roman"/>
          <w:sz w:val="24"/>
        </w:rPr>
        <w:t>Understanding</w:t>
      </w:r>
      <w:r w:rsidR="008273A8">
        <w:rPr>
          <w:rFonts w:ascii="Times New Roman" w:hAnsi="Times New Roman" w:cs="Times New Roman"/>
          <w:sz w:val="24"/>
        </w:rPr>
        <w:t>’</w:t>
      </w:r>
      <w:r>
        <w:rPr>
          <w:rFonts w:ascii="Times New Roman" w:hAnsi="Times New Roman" w:cs="Times New Roman"/>
          <w:sz w:val="24"/>
        </w:rPr>
        <w:t xml:space="preserve"> needs the rules to be in place, but the rules need the facts to be in place so that they may be understood to the relevant people for each rule. Stern reasserts what Wittgenstein says in Section 198, which is when Wittgenstein writes “Interpretations by themselves do not determine meaning,”</w:t>
      </w:r>
      <w:r>
        <w:rPr>
          <w:rStyle w:val="FootnoteReference"/>
          <w:rFonts w:ascii="Times New Roman" w:hAnsi="Times New Roman" w:cs="Times New Roman"/>
          <w:sz w:val="24"/>
        </w:rPr>
        <w:footnoteReference w:id="13"/>
      </w:r>
      <w:r>
        <w:rPr>
          <w:rFonts w:ascii="Times New Roman" w:hAnsi="Times New Roman" w:cs="Times New Roman"/>
          <w:sz w:val="24"/>
        </w:rPr>
        <w:t xml:space="preserve"> by saying that there may exist ‘deviant interpretations’ </w:t>
      </w:r>
      <w:r w:rsidR="008273A8">
        <w:rPr>
          <w:rFonts w:ascii="Times New Roman" w:hAnsi="Times New Roman" w:cs="Times New Roman"/>
          <w:sz w:val="24"/>
        </w:rPr>
        <w:t>w</w:t>
      </w:r>
      <w:r>
        <w:rPr>
          <w:rFonts w:ascii="Times New Roman" w:hAnsi="Times New Roman" w:cs="Times New Roman"/>
          <w:sz w:val="24"/>
        </w:rPr>
        <w:t>h</w:t>
      </w:r>
      <w:r w:rsidR="008273A8">
        <w:rPr>
          <w:rFonts w:ascii="Times New Roman" w:hAnsi="Times New Roman" w:cs="Times New Roman"/>
          <w:sz w:val="24"/>
        </w:rPr>
        <w:t>ereby</w:t>
      </w:r>
      <w:r>
        <w:rPr>
          <w:rFonts w:ascii="Times New Roman" w:hAnsi="Times New Roman" w:cs="Times New Roman"/>
          <w:sz w:val="24"/>
        </w:rPr>
        <w:t xml:space="preserve"> the ways in which people may use language is different to the way that Stern may take them.</w:t>
      </w:r>
      <w:r>
        <w:rPr>
          <w:rStyle w:val="FootnoteReference"/>
          <w:rFonts w:ascii="Times New Roman" w:hAnsi="Times New Roman" w:cs="Times New Roman"/>
          <w:sz w:val="24"/>
        </w:rPr>
        <w:footnoteReference w:id="14"/>
      </w:r>
      <w:r>
        <w:rPr>
          <w:rFonts w:ascii="Times New Roman" w:hAnsi="Times New Roman" w:cs="Times New Roman"/>
          <w:sz w:val="24"/>
        </w:rPr>
        <w:t xml:space="preserve"> They are not deviant in the sense that they are </w:t>
      </w:r>
      <w:r>
        <w:rPr>
          <w:rFonts w:ascii="Times New Roman" w:hAnsi="Times New Roman" w:cs="Times New Roman"/>
          <w:i/>
          <w:sz w:val="24"/>
        </w:rPr>
        <w:t>wrong</w:t>
      </w:r>
      <w:r>
        <w:rPr>
          <w:rFonts w:ascii="Times New Roman" w:hAnsi="Times New Roman" w:cs="Times New Roman"/>
          <w:sz w:val="24"/>
        </w:rPr>
        <w:t>, per se, but rather that they are following a different set of rules that are being followed blindly by somebody else.</w:t>
      </w:r>
    </w:p>
    <w:p w:rsidR="00641DB2" w:rsidRDefault="00AB104A" w:rsidP="00AB4D7B">
      <w:pPr>
        <w:jc w:val="both"/>
        <w:rPr>
          <w:rFonts w:ascii="Times New Roman" w:hAnsi="Times New Roman" w:cs="Times New Roman"/>
          <w:sz w:val="24"/>
        </w:rPr>
      </w:pPr>
      <w:r>
        <w:rPr>
          <w:rFonts w:ascii="Times New Roman" w:hAnsi="Times New Roman" w:cs="Times New Roman"/>
          <w:sz w:val="24"/>
        </w:rPr>
        <w:t xml:space="preserve">Person A followed the set of rules by the way that they have learned their languages for things, but if this differs from Person B, then there is a disparity created and confusion is afoot. Using the prior example </w:t>
      </w:r>
      <w:r w:rsidR="008273A8">
        <w:rPr>
          <w:rFonts w:ascii="Times New Roman" w:hAnsi="Times New Roman" w:cs="Times New Roman"/>
          <w:sz w:val="24"/>
        </w:rPr>
        <w:t xml:space="preserve">of </w:t>
      </w:r>
      <w:r>
        <w:rPr>
          <w:rFonts w:ascii="Times New Roman" w:hAnsi="Times New Roman" w:cs="Times New Roman"/>
          <w:sz w:val="24"/>
        </w:rPr>
        <w:t>a chair, which could mean either the object in which a person may sit or the person who is running a me</w:t>
      </w:r>
      <w:r w:rsidR="008273A8">
        <w:rPr>
          <w:rFonts w:ascii="Times New Roman" w:hAnsi="Times New Roman" w:cs="Times New Roman"/>
          <w:sz w:val="24"/>
        </w:rPr>
        <w:t xml:space="preserve">eting, neither person is wrong. These </w:t>
      </w:r>
      <w:r>
        <w:rPr>
          <w:rFonts w:ascii="Times New Roman" w:hAnsi="Times New Roman" w:cs="Times New Roman"/>
          <w:sz w:val="24"/>
        </w:rPr>
        <w:t xml:space="preserve">are different </w:t>
      </w:r>
      <w:r>
        <w:rPr>
          <w:rFonts w:ascii="Times New Roman" w:hAnsi="Times New Roman" w:cs="Times New Roman"/>
          <w:sz w:val="24"/>
        </w:rPr>
        <w:lastRenderedPageBreak/>
        <w:t>interpretations. Both are correct in their own way, as they are understood by either person to mean what they believe it to mean</w:t>
      </w:r>
      <w:r w:rsidR="008273A8">
        <w:rPr>
          <w:rFonts w:ascii="Times New Roman" w:hAnsi="Times New Roman" w:cs="Times New Roman"/>
          <w:sz w:val="24"/>
        </w:rPr>
        <w:t xml:space="preserve"> within their own language-game</w:t>
      </w:r>
      <w:r>
        <w:rPr>
          <w:rFonts w:ascii="Times New Roman" w:hAnsi="Times New Roman" w:cs="Times New Roman"/>
          <w:sz w:val="24"/>
        </w:rPr>
        <w:t xml:space="preserve">. </w:t>
      </w:r>
      <w:r w:rsidR="00E52571">
        <w:rPr>
          <w:rFonts w:ascii="Times New Roman" w:hAnsi="Times New Roman" w:cs="Times New Roman"/>
          <w:sz w:val="24"/>
        </w:rPr>
        <w:t>Homonyms are</w:t>
      </w:r>
      <w:r w:rsidR="008273A8">
        <w:rPr>
          <w:rFonts w:ascii="Times New Roman" w:hAnsi="Times New Roman" w:cs="Times New Roman"/>
          <w:sz w:val="24"/>
        </w:rPr>
        <w:t xml:space="preserve"> therefore</w:t>
      </w:r>
      <w:r w:rsidR="00E52571">
        <w:rPr>
          <w:rFonts w:ascii="Times New Roman" w:hAnsi="Times New Roman" w:cs="Times New Roman"/>
          <w:sz w:val="24"/>
        </w:rPr>
        <w:t xml:space="preserve"> a major crux for the issue for the rules of language-games and why people follow them blindly. It is inherent that people may understand what you mean </w:t>
      </w:r>
      <w:r w:rsidR="00DC160C">
        <w:rPr>
          <w:rFonts w:ascii="Times New Roman" w:hAnsi="Times New Roman" w:cs="Times New Roman"/>
          <w:sz w:val="24"/>
        </w:rPr>
        <w:t xml:space="preserve">on a day-to-day basis, but there are occasions when a word may </w:t>
      </w:r>
      <w:r w:rsidR="008273A8">
        <w:rPr>
          <w:rFonts w:ascii="Times New Roman" w:hAnsi="Times New Roman" w:cs="Times New Roman"/>
          <w:sz w:val="24"/>
        </w:rPr>
        <w:t>have a different meaning to you</w:t>
      </w:r>
      <w:r w:rsidR="00DC160C">
        <w:rPr>
          <w:rFonts w:ascii="Times New Roman" w:hAnsi="Times New Roman" w:cs="Times New Roman"/>
          <w:sz w:val="24"/>
        </w:rPr>
        <w:t>. This</w:t>
      </w:r>
      <w:r w:rsidR="008273A8">
        <w:rPr>
          <w:rFonts w:ascii="Times New Roman" w:hAnsi="Times New Roman" w:cs="Times New Roman"/>
          <w:sz w:val="24"/>
        </w:rPr>
        <w:t xml:space="preserve"> is not to say</w:t>
      </w:r>
      <w:r w:rsidR="00DC160C">
        <w:rPr>
          <w:rFonts w:ascii="Times New Roman" w:hAnsi="Times New Roman" w:cs="Times New Roman"/>
          <w:sz w:val="24"/>
        </w:rPr>
        <w:t xml:space="preserve"> that the other person is wrong in their understanding, but it does not mean that they have more of an ‘understanding’ on the matter, as it is only their interpretation.</w:t>
      </w:r>
    </w:p>
    <w:p w:rsidR="00DC160C" w:rsidRPr="00DC160C" w:rsidRDefault="00DC160C" w:rsidP="00AB4D7B">
      <w:pPr>
        <w:jc w:val="both"/>
        <w:rPr>
          <w:rFonts w:ascii="Times New Roman" w:eastAsia="Times New Roman" w:hAnsi="Times New Roman" w:cs="Times New Roman"/>
          <w:b/>
          <w:color w:val="000000"/>
          <w:sz w:val="24"/>
          <w:szCs w:val="24"/>
          <w:lang w:eastAsia="en-GB"/>
        </w:rPr>
      </w:pPr>
      <w:r>
        <w:rPr>
          <w:rFonts w:ascii="Times New Roman" w:hAnsi="Times New Roman" w:cs="Times New Roman"/>
          <w:sz w:val="24"/>
        </w:rPr>
        <w:t xml:space="preserve">So what </w:t>
      </w:r>
      <w:r>
        <w:rPr>
          <w:rFonts w:ascii="Times New Roman" w:hAnsi="Times New Roman" w:cs="Times New Roman"/>
          <w:i/>
          <w:sz w:val="24"/>
        </w:rPr>
        <w:t xml:space="preserve">does </w:t>
      </w:r>
      <w:r>
        <w:rPr>
          <w:rFonts w:ascii="Times New Roman" w:hAnsi="Times New Roman" w:cs="Times New Roman"/>
          <w:sz w:val="24"/>
        </w:rPr>
        <w:t>Wittgenstein</w:t>
      </w:r>
      <w:r w:rsidR="00AB4D7B">
        <w:rPr>
          <w:rFonts w:ascii="Times New Roman" w:hAnsi="Times New Roman" w:cs="Times New Roman"/>
          <w:sz w:val="24"/>
        </w:rPr>
        <w:t xml:space="preserve"> necessarily</w:t>
      </w:r>
      <w:r>
        <w:rPr>
          <w:rFonts w:ascii="Times New Roman" w:hAnsi="Times New Roman" w:cs="Times New Roman"/>
          <w:sz w:val="24"/>
        </w:rPr>
        <w:t xml:space="preserve"> mean when he says that people follow rules blindly? What he means is</w:t>
      </w:r>
      <w:r w:rsidR="002F2E16">
        <w:rPr>
          <w:rFonts w:ascii="Times New Roman" w:hAnsi="Times New Roman" w:cs="Times New Roman"/>
          <w:sz w:val="24"/>
        </w:rPr>
        <w:t xml:space="preserve"> that we follow the rules blindly through conventions that have been passed down to us either through the generations or through society as a whole.</w:t>
      </w:r>
      <w:r w:rsidR="002F2E16" w:rsidRPr="002F2E16">
        <w:t xml:space="preserve"> </w:t>
      </w:r>
      <w:r w:rsidR="002F2E16">
        <w:rPr>
          <w:rFonts w:ascii="Times New Roman" w:hAnsi="Times New Roman" w:cs="Times New Roman"/>
          <w:sz w:val="24"/>
        </w:rPr>
        <w:t>W</w:t>
      </w:r>
      <w:r w:rsidR="002F2E16" w:rsidRPr="002F2E16">
        <w:rPr>
          <w:rFonts w:ascii="Times New Roman" w:hAnsi="Times New Roman" w:cs="Times New Roman"/>
          <w:sz w:val="24"/>
        </w:rPr>
        <w:t>e inherit the behaviour and</w:t>
      </w:r>
      <w:r w:rsidR="002F2E16">
        <w:rPr>
          <w:rFonts w:ascii="Times New Roman" w:hAnsi="Times New Roman" w:cs="Times New Roman"/>
          <w:sz w:val="24"/>
        </w:rPr>
        <w:t xml:space="preserve"> do it/accept it without often</w:t>
      </w:r>
      <w:r w:rsidR="002F2E16" w:rsidRPr="002F2E16">
        <w:rPr>
          <w:rFonts w:ascii="Times New Roman" w:hAnsi="Times New Roman" w:cs="Times New Roman"/>
          <w:sz w:val="24"/>
        </w:rPr>
        <w:t xml:space="preserve"> prior understanding or</w:t>
      </w:r>
      <w:r w:rsidR="002F2E16">
        <w:rPr>
          <w:rFonts w:ascii="Times New Roman" w:hAnsi="Times New Roman" w:cs="Times New Roman"/>
          <w:sz w:val="24"/>
        </w:rPr>
        <w:t xml:space="preserve"> providing a great deal of</w:t>
      </w:r>
      <w:r w:rsidR="002F2E16" w:rsidRPr="002F2E16">
        <w:rPr>
          <w:rFonts w:ascii="Times New Roman" w:hAnsi="Times New Roman" w:cs="Times New Roman"/>
          <w:sz w:val="24"/>
        </w:rPr>
        <w:t xml:space="preserve"> scrutiny of </w:t>
      </w:r>
      <w:r w:rsidR="002F2E16">
        <w:rPr>
          <w:rFonts w:ascii="Times New Roman" w:hAnsi="Times New Roman" w:cs="Times New Roman"/>
          <w:sz w:val="24"/>
        </w:rPr>
        <w:t xml:space="preserve">said </w:t>
      </w:r>
      <w:r w:rsidR="002F2E16" w:rsidRPr="002F2E16">
        <w:rPr>
          <w:rFonts w:ascii="Times New Roman" w:hAnsi="Times New Roman" w:cs="Times New Roman"/>
          <w:sz w:val="24"/>
        </w:rPr>
        <w:t>rule</w:t>
      </w:r>
      <w:r w:rsidR="00F72F7A">
        <w:rPr>
          <w:rFonts w:ascii="Times New Roman" w:hAnsi="Times New Roman" w:cs="Times New Roman"/>
          <w:sz w:val="24"/>
        </w:rPr>
        <w:t>. Y</w:t>
      </w:r>
      <w:r>
        <w:rPr>
          <w:rFonts w:ascii="Times New Roman" w:hAnsi="Times New Roman" w:cs="Times New Roman"/>
          <w:sz w:val="24"/>
        </w:rPr>
        <w:t xml:space="preserve">et </w:t>
      </w:r>
      <w:r w:rsidR="008273A8">
        <w:rPr>
          <w:rFonts w:ascii="Times New Roman" w:hAnsi="Times New Roman" w:cs="Times New Roman"/>
          <w:sz w:val="24"/>
        </w:rPr>
        <w:t xml:space="preserve">this </w:t>
      </w:r>
      <w:r>
        <w:rPr>
          <w:rFonts w:ascii="Times New Roman" w:hAnsi="Times New Roman" w:cs="Times New Roman"/>
          <w:sz w:val="24"/>
        </w:rPr>
        <w:t>bring</w:t>
      </w:r>
      <w:r w:rsidR="008273A8">
        <w:rPr>
          <w:rFonts w:ascii="Times New Roman" w:hAnsi="Times New Roman" w:cs="Times New Roman"/>
          <w:sz w:val="24"/>
        </w:rPr>
        <w:t>s</w:t>
      </w:r>
      <w:r>
        <w:rPr>
          <w:rFonts w:ascii="Times New Roman" w:hAnsi="Times New Roman" w:cs="Times New Roman"/>
          <w:sz w:val="24"/>
        </w:rPr>
        <w:t xml:space="preserve"> us no closer to understanding any of</w:t>
      </w:r>
      <w:r w:rsidR="002F2E16">
        <w:rPr>
          <w:rFonts w:ascii="Times New Roman" w:hAnsi="Times New Roman" w:cs="Times New Roman"/>
          <w:sz w:val="24"/>
        </w:rPr>
        <w:t xml:space="preserve"> why we follow that convention or why we reject any other differing conventions. We are blinded by the way in which we live our own lives with our own rules, contextualising what we know and will know in the future with what we </w:t>
      </w:r>
      <w:r w:rsidR="002F2E16" w:rsidRPr="002F2E16">
        <w:rPr>
          <w:rFonts w:ascii="Times New Roman" w:hAnsi="Times New Roman" w:cs="Times New Roman"/>
          <w:i/>
          <w:sz w:val="24"/>
        </w:rPr>
        <w:t>already</w:t>
      </w:r>
      <w:r w:rsidR="002F2E16">
        <w:rPr>
          <w:rFonts w:ascii="Times New Roman" w:hAnsi="Times New Roman" w:cs="Times New Roman"/>
          <w:sz w:val="24"/>
        </w:rPr>
        <w:t xml:space="preserve"> </w:t>
      </w:r>
      <w:r w:rsidR="002F2E16">
        <w:rPr>
          <w:rFonts w:ascii="Times New Roman" w:hAnsi="Times New Roman" w:cs="Times New Roman"/>
          <w:i/>
          <w:sz w:val="24"/>
        </w:rPr>
        <w:t xml:space="preserve">knew </w:t>
      </w:r>
      <w:r w:rsidR="002F2E16">
        <w:rPr>
          <w:rFonts w:ascii="Times New Roman" w:hAnsi="Times New Roman" w:cs="Times New Roman"/>
          <w:sz w:val="24"/>
        </w:rPr>
        <w:t>and applying our rules to that standard</w:t>
      </w:r>
      <w:r>
        <w:rPr>
          <w:rFonts w:ascii="Times New Roman" w:hAnsi="Times New Roman" w:cs="Times New Roman"/>
          <w:sz w:val="24"/>
        </w:rPr>
        <w:t>.</w:t>
      </w:r>
      <w:r w:rsidR="002F2E16">
        <w:rPr>
          <w:rFonts w:ascii="Times New Roman" w:hAnsi="Times New Roman" w:cs="Times New Roman"/>
          <w:sz w:val="24"/>
        </w:rPr>
        <w:t xml:space="preserve"> </w:t>
      </w:r>
      <w:bookmarkEnd w:id="0"/>
      <w:r>
        <w:rPr>
          <w:rFonts w:ascii="Times New Roman" w:hAnsi="Times New Roman" w:cs="Times New Roman"/>
          <w:sz w:val="24"/>
        </w:rPr>
        <w:br w:type="page"/>
      </w:r>
      <w:r w:rsidR="00AB4D7B">
        <w:rPr>
          <w:rFonts w:ascii="Times New Roman" w:hAnsi="Times New Roman" w:cs="Times New Roman"/>
          <w:sz w:val="24"/>
        </w:rPr>
        <w:lastRenderedPageBreak/>
        <w:softHyphen/>
      </w:r>
      <w:r w:rsidRPr="00DC160C">
        <w:rPr>
          <w:rFonts w:ascii="Times New Roman" w:eastAsia="Times New Roman" w:hAnsi="Times New Roman" w:cs="Times New Roman"/>
          <w:b/>
          <w:color w:val="000000"/>
          <w:sz w:val="24"/>
          <w:szCs w:val="24"/>
          <w:lang w:eastAsia="en-GB"/>
        </w:rPr>
        <w:t>Bibliography</w:t>
      </w:r>
    </w:p>
    <w:p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r w:rsidRPr="00DC160C">
        <w:rPr>
          <w:rFonts w:ascii="Times New Roman" w:eastAsia="Times New Roman" w:hAnsi="Times New Roman" w:cs="Times New Roman"/>
          <w:color w:val="000000"/>
          <w:sz w:val="24"/>
          <w:szCs w:val="24"/>
          <w:lang w:eastAsia="en-GB"/>
        </w:rPr>
        <w:t>Arrington, Robert L., and Hans-Johann Glock, </w:t>
      </w:r>
      <w:r w:rsidRPr="00DC160C">
        <w:rPr>
          <w:rFonts w:ascii="Times New Roman" w:eastAsia="Times New Roman" w:hAnsi="Times New Roman" w:cs="Times New Roman"/>
          <w:i/>
          <w:iCs/>
          <w:color w:val="000000"/>
          <w:sz w:val="24"/>
          <w:szCs w:val="24"/>
          <w:lang w:eastAsia="en-GB"/>
        </w:rPr>
        <w:t>Wittgenstein: A Critical Reader</w:t>
      </w:r>
      <w:r w:rsidRPr="00DC160C">
        <w:rPr>
          <w:rFonts w:ascii="Times New Roman" w:eastAsia="Times New Roman" w:hAnsi="Times New Roman" w:cs="Times New Roman"/>
          <w:color w:val="000000"/>
          <w:sz w:val="24"/>
          <w:szCs w:val="24"/>
          <w:lang w:eastAsia="en-GB"/>
        </w:rPr>
        <w:t> (Malden, Mass.: Blackwell Publishers, 2001), pp. 119-137</w:t>
      </w:r>
    </w:p>
    <w:p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DC160C">
        <w:rPr>
          <w:rFonts w:ascii="Times New Roman" w:eastAsia="Times New Roman" w:hAnsi="Times New Roman" w:cs="Times New Roman"/>
          <w:color w:val="000000"/>
          <w:sz w:val="24"/>
          <w:szCs w:val="24"/>
          <w:lang w:eastAsia="en-GB"/>
        </w:rPr>
        <w:t>Hanfling</w:t>
      </w:r>
      <w:proofErr w:type="spellEnd"/>
      <w:r w:rsidRPr="00DC160C">
        <w:rPr>
          <w:rFonts w:ascii="Times New Roman" w:eastAsia="Times New Roman" w:hAnsi="Times New Roman" w:cs="Times New Roman"/>
          <w:color w:val="000000"/>
          <w:sz w:val="24"/>
          <w:szCs w:val="24"/>
          <w:lang w:eastAsia="en-GB"/>
        </w:rPr>
        <w:t>, Oswald, </w:t>
      </w:r>
      <w:r w:rsidRPr="00DC160C">
        <w:rPr>
          <w:rFonts w:ascii="Times New Roman" w:eastAsia="Times New Roman" w:hAnsi="Times New Roman" w:cs="Times New Roman"/>
          <w:i/>
          <w:iCs/>
          <w:color w:val="000000"/>
          <w:sz w:val="24"/>
          <w:szCs w:val="24"/>
          <w:lang w:eastAsia="en-GB"/>
        </w:rPr>
        <w:t>Wittgenstein's Later Philosophy</w:t>
      </w:r>
      <w:r w:rsidRPr="00DC160C">
        <w:rPr>
          <w:rFonts w:ascii="Times New Roman" w:eastAsia="Times New Roman" w:hAnsi="Times New Roman" w:cs="Times New Roman"/>
          <w:color w:val="000000"/>
          <w:sz w:val="24"/>
          <w:szCs w:val="24"/>
          <w:lang w:eastAsia="en-GB"/>
        </w:rPr>
        <w:t> (Basingstoke: Macmillan, 1996), pp. 146-151</w:t>
      </w:r>
    </w:p>
    <w:p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DC160C">
        <w:rPr>
          <w:rFonts w:ascii="Times New Roman" w:eastAsia="Times New Roman" w:hAnsi="Times New Roman" w:cs="Times New Roman"/>
          <w:color w:val="000000"/>
          <w:sz w:val="24"/>
          <w:szCs w:val="24"/>
          <w:lang w:eastAsia="en-GB"/>
        </w:rPr>
        <w:t>Kripke</w:t>
      </w:r>
      <w:proofErr w:type="spellEnd"/>
      <w:r w:rsidRPr="00DC160C">
        <w:rPr>
          <w:rFonts w:ascii="Times New Roman" w:eastAsia="Times New Roman" w:hAnsi="Times New Roman" w:cs="Times New Roman"/>
          <w:color w:val="000000"/>
          <w:sz w:val="24"/>
          <w:szCs w:val="24"/>
          <w:lang w:eastAsia="en-GB"/>
        </w:rPr>
        <w:t>, Saul A, </w:t>
      </w:r>
      <w:r w:rsidRPr="00DC160C">
        <w:rPr>
          <w:rFonts w:ascii="Times New Roman" w:eastAsia="Times New Roman" w:hAnsi="Times New Roman" w:cs="Times New Roman"/>
          <w:i/>
          <w:iCs/>
          <w:color w:val="000000"/>
          <w:sz w:val="24"/>
          <w:szCs w:val="24"/>
          <w:lang w:eastAsia="en-GB"/>
        </w:rPr>
        <w:t xml:space="preserve">Wittgenstein </w:t>
      </w:r>
      <w:proofErr w:type="gramStart"/>
      <w:r w:rsidRPr="00DC160C">
        <w:rPr>
          <w:rFonts w:ascii="Times New Roman" w:eastAsia="Times New Roman" w:hAnsi="Times New Roman" w:cs="Times New Roman"/>
          <w:i/>
          <w:iCs/>
          <w:color w:val="000000"/>
          <w:sz w:val="24"/>
          <w:szCs w:val="24"/>
          <w:lang w:eastAsia="en-GB"/>
        </w:rPr>
        <w:t>On</w:t>
      </w:r>
      <w:proofErr w:type="gramEnd"/>
      <w:r w:rsidRPr="00DC160C">
        <w:rPr>
          <w:rFonts w:ascii="Times New Roman" w:eastAsia="Times New Roman" w:hAnsi="Times New Roman" w:cs="Times New Roman"/>
          <w:i/>
          <w:iCs/>
          <w:color w:val="000000"/>
          <w:sz w:val="24"/>
          <w:szCs w:val="24"/>
          <w:lang w:eastAsia="en-GB"/>
        </w:rPr>
        <w:t xml:space="preserve"> Rules And Private Language</w:t>
      </w:r>
      <w:r w:rsidRPr="00DC160C">
        <w:rPr>
          <w:rFonts w:ascii="Times New Roman" w:eastAsia="Times New Roman" w:hAnsi="Times New Roman" w:cs="Times New Roman"/>
          <w:color w:val="000000"/>
          <w:sz w:val="24"/>
          <w:szCs w:val="24"/>
          <w:lang w:eastAsia="en-GB"/>
        </w:rPr>
        <w:t> (Cambridge, Massachusetts: Harvard University, 2000)</w:t>
      </w:r>
    </w:p>
    <w:p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r w:rsidRPr="00DC160C">
        <w:rPr>
          <w:rFonts w:ascii="Times New Roman" w:eastAsia="Times New Roman" w:hAnsi="Times New Roman" w:cs="Times New Roman"/>
          <w:color w:val="000000"/>
          <w:sz w:val="24"/>
          <w:szCs w:val="24"/>
          <w:lang w:eastAsia="en-GB"/>
        </w:rPr>
        <w:t xml:space="preserve">McDowell, John, "Meaning </w:t>
      </w:r>
      <w:proofErr w:type="gramStart"/>
      <w:r w:rsidRPr="00DC160C">
        <w:rPr>
          <w:rFonts w:ascii="Times New Roman" w:eastAsia="Times New Roman" w:hAnsi="Times New Roman" w:cs="Times New Roman"/>
          <w:color w:val="000000"/>
          <w:sz w:val="24"/>
          <w:szCs w:val="24"/>
          <w:lang w:eastAsia="en-GB"/>
        </w:rPr>
        <w:t>And</w:t>
      </w:r>
      <w:proofErr w:type="gramEnd"/>
      <w:r w:rsidRPr="00DC160C">
        <w:rPr>
          <w:rFonts w:ascii="Times New Roman" w:eastAsia="Times New Roman" w:hAnsi="Times New Roman" w:cs="Times New Roman"/>
          <w:color w:val="000000"/>
          <w:sz w:val="24"/>
          <w:szCs w:val="24"/>
          <w:lang w:eastAsia="en-GB"/>
        </w:rPr>
        <w:t xml:space="preserve"> Intentionality In Wittgenstein's Later Philosophy", </w:t>
      </w:r>
      <w:r w:rsidRPr="00DC160C">
        <w:rPr>
          <w:rFonts w:ascii="Times New Roman" w:eastAsia="Times New Roman" w:hAnsi="Times New Roman" w:cs="Times New Roman"/>
          <w:i/>
          <w:iCs/>
          <w:color w:val="000000"/>
          <w:sz w:val="24"/>
          <w:szCs w:val="24"/>
          <w:lang w:eastAsia="en-GB"/>
        </w:rPr>
        <w:t>Midwest Studies In Philosophy</w:t>
      </w:r>
      <w:r w:rsidRPr="00DC160C">
        <w:rPr>
          <w:rFonts w:ascii="Times New Roman" w:eastAsia="Times New Roman" w:hAnsi="Times New Roman" w:cs="Times New Roman"/>
          <w:color w:val="000000"/>
          <w:sz w:val="24"/>
          <w:szCs w:val="24"/>
          <w:lang w:eastAsia="en-GB"/>
        </w:rPr>
        <w:t>, 17 (1992), 40-52</w:t>
      </w:r>
    </w:p>
    <w:p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r w:rsidRPr="00DC160C">
        <w:rPr>
          <w:rFonts w:ascii="Times New Roman" w:eastAsia="Times New Roman" w:hAnsi="Times New Roman" w:cs="Times New Roman"/>
          <w:color w:val="000000"/>
          <w:sz w:val="24"/>
          <w:szCs w:val="24"/>
          <w:lang w:eastAsia="en-GB"/>
        </w:rPr>
        <w:t>McGinn, Marie, </w:t>
      </w:r>
      <w:r w:rsidRPr="00DC160C">
        <w:rPr>
          <w:rFonts w:ascii="Times New Roman" w:eastAsia="Times New Roman" w:hAnsi="Times New Roman" w:cs="Times New Roman"/>
          <w:i/>
          <w:iCs/>
          <w:color w:val="000000"/>
          <w:sz w:val="24"/>
          <w:szCs w:val="24"/>
          <w:lang w:eastAsia="en-GB"/>
        </w:rPr>
        <w:t xml:space="preserve">Wittgenstein </w:t>
      </w:r>
      <w:proofErr w:type="gramStart"/>
      <w:r w:rsidRPr="00DC160C">
        <w:rPr>
          <w:rFonts w:ascii="Times New Roman" w:eastAsia="Times New Roman" w:hAnsi="Times New Roman" w:cs="Times New Roman"/>
          <w:i/>
          <w:iCs/>
          <w:color w:val="000000"/>
          <w:sz w:val="24"/>
          <w:szCs w:val="24"/>
          <w:lang w:eastAsia="en-GB"/>
        </w:rPr>
        <w:t>And</w:t>
      </w:r>
      <w:proofErr w:type="gramEnd"/>
      <w:r w:rsidRPr="00DC160C">
        <w:rPr>
          <w:rFonts w:ascii="Times New Roman" w:eastAsia="Times New Roman" w:hAnsi="Times New Roman" w:cs="Times New Roman"/>
          <w:i/>
          <w:iCs/>
          <w:color w:val="000000"/>
          <w:sz w:val="24"/>
          <w:szCs w:val="24"/>
          <w:lang w:eastAsia="en-GB"/>
        </w:rPr>
        <w:t xml:space="preserve"> The Philosophical Investigations</w:t>
      </w:r>
      <w:r w:rsidRPr="00DC160C">
        <w:rPr>
          <w:rFonts w:ascii="Times New Roman" w:eastAsia="Times New Roman" w:hAnsi="Times New Roman" w:cs="Times New Roman"/>
          <w:color w:val="000000"/>
          <w:sz w:val="24"/>
          <w:szCs w:val="24"/>
          <w:lang w:eastAsia="en-GB"/>
        </w:rPr>
        <w:t> (Abingdon, Oxon: Routledge, 2008), pp. 73-112</w:t>
      </w:r>
    </w:p>
    <w:p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r w:rsidRPr="00DC160C">
        <w:rPr>
          <w:rFonts w:ascii="Times New Roman" w:eastAsia="Times New Roman" w:hAnsi="Times New Roman" w:cs="Times New Roman"/>
          <w:color w:val="000000"/>
          <w:sz w:val="24"/>
          <w:szCs w:val="24"/>
          <w:lang w:eastAsia="en-GB"/>
        </w:rPr>
        <w:t>Stern, David G, </w:t>
      </w:r>
      <w:r w:rsidRPr="00DC160C">
        <w:rPr>
          <w:rFonts w:ascii="Times New Roman" w:eastAsia="Times New Roman" w:hAnsi="Times New Roman" w:cs="Times New Roman"/>
          <w:i/>
          <w:iCs/>
          <w:color w:val="000000"/>
          <w:sz w:val="24"/>
          <w:szCs w:val="24"/>
          <w:lang w:eastAsia="en-GB"/>
        </w:rPr>
        <w:t xml:space="preserve">Wittgenstein </w:t>
      </w:r>
      <w:proofErr w:type="gramStart"/>
      <w:r w:rsidRPr="00DC160C">
        <w:rPr>
          <w:rFonts w:ascii="Times New Roman" w:eastAsia="Times New Roman" w:hAnsi="Times New Roman" w:cs="Times New Roman"/>
          <w:i/>
          <w:iCs/>
          <w:color w:val="000000"/>
          <w:sz w:val="24"/>
          <w:szCs w:val="24"/>
          <w:lang w:eastAsia="en-GB"/>
        </w:rPr>
        <w:t>On</w:t>
      </w:r>
      <w:proofErr w:type="gramEnd"/>
      <w:r w:rsidRPr="00DC160C">
        <w:rPr>
          <w:rFonts w:ascii="Times New Roman" w:eastAsia="Times New Roman" w:hAnsi="Times New Roman" w:cs="Times New Roman"/>
          <w:i/>
          <w:iCs/>
          <w:color w:val="000000"/>
          <w:sz w:val="24"/>
          <w:szCs w:val="24"/>
          <w:lang w:eastAsia="en-GB"/>
        </w:rPr>
        <w:t xml:space="preserve"> Mind And Language</w:t>
      </w:r>
      <w:r w:rsidRPr="00DC160C">
        <w:rPr>
          <w:rFonts w:ascii="Times New Roman" w:eastAsia="Times New Roman" w:hAnsi="Times New Roman" w:cs="Times New Roman"/>
          <w:color w:val="000000"/>
          <w:sz w:val="24"/>
          <w:szCs w:val="24"/>
          <w:lang w:eastAsia="en-GB"/>
        </w:rPr>
        <w:t> (New York, N.Y.: Oxford University Press, 1996), pp. 113-127</w:t>
      </w:r>
    </w:p>
    <w:p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r w:rsidRPr="00DC160C">
        <w:rPr>
          <w:rFonts w:ascii="Times New Roman" w:eastAsia="Times New Roman" w:hAnsi="Times New Roman" w:cs="Times New Roman"/>
          <w:color w:val="000000"/>
          <w:sz w:val="24"/>
          <w:szCs w:val="24"/>
          <w:lang w:eastAsia="en-GB"/>
        </w:rPr>
        <w:t>Stern, David G, </w:t>
      </w:r>
      <w:r w:rsidRPr="00DC160C">
        <w:rPr>
          <w:rFonts w:ascii="Times New Roman" w:eastAsia="Times New Roman" w:hAnsi="Times New Roman" w:cs="Times New Roman"/>
          <w:i/>
          <w:iCs/>
          <w:color w:val="000000"/>
          <w:sz w:val="24"/>
          <w:szCs w:val="24"/>
          <w:lang w:eastAsia="en-GB"/>
        </w:rPr>
        <w:t>Wittgenstein's Philosophical Investigations</w:t>
      </w:r>
      <w:r w:rsidRPr="00DC160C">
        <w:rPr>
          <w:rFonts w:ascii="Times New Roman" w:eastAsia="Times New Roman" w:hAnsi="Times New Roman" w:cs="Times New Roman"/>
          <w:color w:val="000000"/>
          <w:sz w:val="24"/>
          <w:szCs w:val="24"/>
          <w:lang w:eastAsia="en-GB"/>
        </w:rPr>
        <w:t> (Cambridge: Cambridge University Press, 2010), pp. 139-171</w:t>
      </w:r>
    </w:p>
    <w:p w:rsidR="00DC160C" w:rsidRPr="00DC160C" w:rsidRDefault="00DC160C" w:rsidP="00AB4D7B">
      <w:pPr>
        <w:spacing w:after="180" w:line="240" w:lineRule="auto"/>
        <w:ind w:left="450" w:hanging="450"/>
        <w:rPr>
          <w:rFonts w:ascii="Times New Roman" w:eastAsia="Times New Roman" w:hAnsi="Times New Roman" w:cs="Times New Roman"/>
          <w:color w:val="000000"/>
          <w:sz w:val="24"/>
          <w:szCs w:val="24"/>
          <w:lang w:eastAsia="en-GB"/>
        </w:rPr>
      </w:pPr>
      <w:r w:rsidRPr="00DC160C">
        <w:rPr>
          <w:rFonts w:ascii="Times New Roman" w:eastAsia="Times New Roman" w:hAnsi="Times New Roman" w:cs="Times New Roman"/>
          <w:color w:val="000000"/>
          <w:sz w:val="24"/>
          <w:szCs w:val="24"/>
          <w:lang w:eastAsia="en-GB"/>
        </w:rPr>
        <w:t xml:space="preserve">Wittgenstein, Ludwig, and G. E. M </w:t>
      </w:r>
      <w:proofErr w:type="spellStart"/>
      <w:r w:rsidRPr="00DC160C">
        <w:rPr>
          <w:rFonts w:ascii="Times New Roman" w:eastAsia="Times New Roman" w:hAnsi="Times New Roman" w:cs="Times New Roman"/>
          <w:color w:val="000000"/>
          <w:sz w:val="24"/>
          <w:szCs w:val="24"/>
          <w:lang w:eastAsia="en-GB"/>
        </w:rPr>
        <w:t>Anscombe</w:t>
      </w:r>
      <w:proofErr w:type="spellEnd"/>
      <w:r w:rsidRPr="00DC160C">
        <w:rPr>
          <w:rFonts w:ascii="Times New Roman" w:eastAsia="Times New Roman" w:hAnsi="Times New Roman" w:cs="Times New Roman"/>
          <w:color w:val="000000"/>
          <w:sz w:val="24"/>
          <w:szCs w:val="24"/>
          <w:lang w:eastAsia="en-GB"/>
        </w:rPr>
        <w:t>, </w:t>
      </w:r>
      <w:r w:rsidRPr="00DC160C">
        <w:rPr>
          <w:rFonts w:ascii="Times New Roman" w:eastAsia="Times New Roman" w:hAnsi="Times New Roman" w:cs="Times New Roman"/>
          <w:i/>
          <w:iCs/>
          <w:color w:val="000000"/>
          <w:sz w:val="24"/>
          <w:szCs w:val="24"/>
          <w:lang w:eastAsia="en-GB"/>
        </w:rPr>
        <w:t>Philosophical Investigations</w:t>
      </w:r>
      <w:r w:rsidRPr="00DC160C">
        <w:rPr>
          <w:rFonts w:ascii="Times New Roman" w:eastAsia="Times New Roman" w:hAnsi="Times New Roman" w:cs="Times New Roman"/>
          <w:color w:val="000000"/>
          <w:sz w:val="24"/>
          <w:szCs w:val="24"/>
          <w:lang w:eastAsia="en-GB"/>
        </w:rPr>
        <w:t> (Oxford: Blackwell Publishers Ltd, 2000)</w:t>
      </w:r>
    </w:p>
    <w:p w:rsidR="00DC160C" w:rsidRPr="00DC160C" w:rsidRDefault="00DC160C" w:rsidP="00AB4D7B">
      <w:pPr>
        <w:jc w:val="both"/>
        <w:rPr>
          <w:rFonts w:ascii="Times New Roman" w:hAnsi="Times New Roman" w:cs="Times New Roman"/>
          <w:sz w:val="24"/>
          <w:vertAlign w:val="subscript"/>
        </w:rPr>
      </w:pPr>
    </w:p>
    <w:sectPr w:rsidR="00DC160C" w:rsidRPr="00DC16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6172D" w:rsidRDefault="00E6172D" w:rsidP="00406CD5">
      <w:pPr>
        <w:spacing w:after="0" w:line="240" w:lineRule="auto"/>
      </w:pPr>
      <w:r>
        <w:separator/>
      </w:r>
    </w:p>
  </w:endnote>
  <w:endnote w:type="continuationSeparator" w:id="0">
    <w:p w:rsidR="00E6172D" w:rsidRDefault="00E6172D" w:rsidP="00406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6172D" w:rsidRDefault="00E6172D" w:rsidP="00406CD5">
      <w:pPr>
        <w:spacing w:after="0" w:line="240" w:lineRule="auto"/>
      </w:pPr>
      <w:r>
        <w:separator/>
      </w:r>
    </w:p>
  </w:footnote>
  <w:footnote w:type="continuationSeparator" w:id="0">
    <w:p w:rsidR="00E6172D" w:rsidRDefault="00E6172D" w:rsidP="00406CD5">
      <w:pPr>
        <w:spacing w:after="0" w:line="240" w:lineRule="auto"/>
      </w:pPr>
      <w:r>
        <w:continuationSeparator/>
      </w:r>
    </w:p>
  </w:footnote>
  <w:footnote w:id="1">
    <w:p w:rsidR="00151D71" w:rsidRPr="00151D71" w:rsidRDefault="00151D71">
      <w:pPr>
        <w:pStyle w:val="FootnoteText"/>
        <w:rPr>
          <w:rFonts w:ascii="Arial" w:hAnsi="Arial" w:cs="Arial"/>
        </w:rPr>
      </w:pPr>
      <w:r>
        <w:rPr>
          <w:rStyle w:val="FootnoteReference"/>
        </w:rPr>
        <w:footnoteRef/>
      </w:r>
      <w:r>
        <w:t xml:space="preserve"> </w:t>
      </w:r>
      <w:r w:rsidR="00453FF5" w:rsidRPr="00453FF5">
        <w:rPr>
          <w:rFonts w:ascii="Arial" w:hAnsi="Arial" w:cs="Arial"/>
        </w:rPr>
        <w:t xml:space="preserve">Wittgenstein, Ludwig, (Trans. G. E. M </w:t>
      </w:r>
      <w:proofErr w:type="spellStart"/>
      <w:r w:rsidR="00453FF5" w:rsidRPr="00453FF5">
        <w:rPr>
          <w:rFonts w:ascii="Arial" w:hAnsi="Arial" w:cs="Arial"/>
        </w:rPr>
        <w:t>Anscombe</w:t>
      </w:r>
      <w:proofErr w:type="spellEnd"/>
      <w:r w:rsidR="00453FF5" w:rsidRPr="00453FF5">
        <w:rPr>
          <w:rFonts w:ascii="Arial" w:hAnsi="Arial" w:cs="Arial"/>
        </w:rPr>
        <w:t xml:space="preserve">), </w:t>
      </w:r>
      <w:r w:rsidR="00453FF5" w:rsidRPr="00453FF5">
        <w:rPr>
          <w:rFonts w:ascii="Arial" w:hAnsi="Arial" w:cs="Arial"/>
          <w:i/>
        </w:rPr>
        <w:t>Philosophical Investigations</w:t>
      </w:r>
      <w:r w:rsidR="00453FF5" w:rsidRPr="00453FF5">
        <w:rPr>
          <w:rFonts w:ascii="Arial" w:hAnsi="Arial" w:cs="Arial"/>
        </w:rPr>
        <w:t>, (Oxford: Blackwell Publishers Ltd, 1953</w:t>
      </w:r>
    </w:p>
  </w:footnote>
  <w:footnote w:id="2">
    <w:p w:rsidR="00406CD5" w:rsidRDefault="00406CD5">
      <w:pPr>
        <w:pStyle w:val="FootnoteText"/>
      </w:pPr>
      <w:r>
        <w:rPr>
          <w:rStyle w:val="FootnoteReference"/>
        </w:rPr>
        <w:footnoteRef/>
      </w:r>
      <w:r>
        <w:t xml:space="preserve"> </w:t>
      </w:r>
      <w:r>
        <w:rPr>
          <w:rFonts w:ascii="Arial" w:hAnsi="Arial" w:cs="Arial"/>
          <w:color w:val="000000"/>
          <w:shd w:val="clear" w:color="auto" w:fill="FFFFFF"/>
        </w:rPr>
        <w:t>David G Stern, </w:t>
      </w:r>
      <w:r>
        <w:rPr>
          <w:rFonts w:ascii="Arial" w:hAnsi="Arial" w:cs="Arial"/>
          <w:i/>
          <w:iCs/>
          <w:color w:val="000000"/>
          <w:shd w:val="clear" w:color="auto" w:fill="FFFFFF"/>
        </w:rPr>
        <w:t>Wittgenstein On Mind And Language</w:t>
      </w:r>
      <w:r>
        <w:rPr>
          <w:rFonts w:ascii="Arial" w:hAnsi="Arial" w:cs="Arial"/>
          <w:color w:val="000000"/>
          <w:shd w:val="clear" w:color="auto" w:fill="FFFFFF"/>
        </w:rPr>
        <w:t> (New York, N.Y.: Oxford University Press, 1996), p. 125</w:t>
      </w:r>
    </w:p>
  </w:footnote>
  <w:footnote w:id="3">
    <w:p w:rsidR="00196653" w:rsidRDefault="00196653">
      <w:pPr>
        <w:pStyle w:val="FootnoteText"/>
      </w:pPr>
      <w:r>
        <w:rPr>
          <w:rStyle w:val="FootnoteReference"/>
        </w:rPr>
        <w:footnoteRef/>
      </w:r>
      <w:r>
        <w:t xml:space="preserve"> </w:t>
      </w:r>
      <w:r w:rsidR="00453FF5">
        <w:rPr>
          <w:rFonts w:ascii="Arial" w:hAnsi="Arial" w:cs="Arial"/>
          <w:color w:val="000000"/>
          <w:shd w:val="clear" w:color="auto" w:fill="FFFFFF"/>
        </w:rPr>
        <w:t xml:space="preserve">Robert L. Arrington, (ed. </w:t>
      </w:r>
      <w:r>
        <w:rPr>
          <w:rFonts w:ascii="Arial" w:hAnsi="Arial" w:cs="Arial"/>
          <w:color w:val="000000"/>
          <w:shd w:val="clear" w:color="auto" w:fill="FFFFFF"/>
        </w:rPr>
        <w:t>Hans-Johann Glock</w:t>
      </w:r>
      <w:r w:rsidR="00453FF5">
        <w:rPr>
          <w:rFonts w:ascii="Arial" w:hAnsi="Arial" w:cs="Arial"/>
          <w:color w:val="000000"/>
          <w:shd w:val="clear" w:color="auto" w:fill="FFFFFF"/>
        </w:rPr>
        <w:t>)</w:t>
      </w:r>
      <w:r>
        <w:rPr>
          <w:rFonts w:ascii="Arial" w:hAnsi="Arial" w:cs="Arial"/>
          <w:color w:val="000000"/>
          <w:shd w:val="clear" w:color="auto" w:fill="FFFFFF"/>
        </w:rPr>
        <w:t>, </w:t>
      </w:r>
      <w:r>
        <w:rPr>
          <w:rFonts w:ascii="Arial" w:hAnsi="Arial" w:cs="Arial"/>
          <w:i/>
          <w:iCs/>
          <w:color w:val="000000"/>
          <w:shd w:val="clear" w:color="auto" w:fill="FFFFFF"/>
        </w:rPr>
        <w:t>Wittgenstein: A Critical Reader</w:t>
      </w:r>
      <w:r>
        <w:rPr>
          <w:rFonts w:ascii="Arial" w:hAnsi="Arial" w:cs="Arial"/>
          <w:color w:val="000000"/>
          <w:shd w:val="clear" w:color="auto" w:fill="FFFFFF"/>
        </w:rPr>
        <w:t> (Malden, Mass.: Blackwell Publishers, 2001), pp. 119-120.</w:t>
      </w:r>
    </w:p>
  </w:footnote>
  <w:footnote w:id="4">
    <w:p w:rsidR="00AC145A" w:rsidRDefault="00AC145A">
      <w:pPr>
        <w:pStyle w:val="FootnoteText"/>
      </w:pPr>
      <w:r>
        <w:rPr>
          <w:rStyle w:val="FootnoteReference"/>
        </w:rPr>
        <w:footnoteRef/>
      </w:r>
      <w:r>
        <w:t xml:space="preserve"> </w:t>
      </w:r>
      <w:r w:rsidR="00151D71" w:rsidRPr="009772CD">
        <w:rPr>
          <w:rFonts w:ascii="Arial" w:hAnsi="Arial" w:cs="Arial"/>
          <w:iCs/>
          <w:color w:val="000000"/>
          <w:shd w:val="clear" w:color="auto" w:fill="FFFFFF"/>
        </w:rPr>
        <w:t>Wittgenstein,</w:t>
      </w:r>
      <w:r w:rsidR="00151D71">
        <w:rPr>
          <w:rFonts w:ascii="Arial" w:hAnsi="Arial" w:cs="Arial"/>
          <w:i/>
          <w:iCs/>
          <w:color w:val="000000"/>
          <w:shd w:val="clear" w:color="auto" w:fill="FFFFFF"/>
        </w:rPr>
        <w:t xml:space="preserve"> Philosophical Investigations</w:t>
      </w:r>
      <w:r w:rsidR="00151D71">
        <w:rPr>
          <w:rFonts w:ascii="Arial" w:hAnsi="Arial" w:cs="Arial"/>
          <w:color w:val="000000"/>
          <w:shd w:val="clear" w:color="auto" w:fill="FFFFFF"/>
        </w:rPr>
        <w:t xml:space="preserve">, </w:t>
      </w:r>
      <w:r>
        <w:rPr>
          <w:rFonts w:ascii="Arial" w:hAnsi="Arial" w:cs="Arial"/>
          <w:color w:val="000000"/>
          <w:shd w:val="clear" w:color="auto" w:fill="FFFFFF"/>
        </w:rPr>
        <w:t>p. 59</w:t>
      </w:r>
    </w:p>
  </w:footnote>
  <w:footnote w:id="5">
    <w:p w:rsidR="00AC145A" w:rsidRPr="00AC145A" w:rsidRDefault="00AC145A">
      <w:pPr>
        <w:pStyle w:val="FootnoteText"/>
        <w:rPr>
          <w:i/>
        </w:rPr>
      </w:pPr>
      <w:r>
        <w:rPr>
          <w:rStyle w:val="FootnoteReference"/>
        </w:rPr>
        <w:footnoteRef/>
      </w:r>
      <w:r>
        <w:t xml:space="preserve"> </w:t>
      </w:r>
      <w:r w:rsidR="009772CD" w:rsidRPr="009772CD">
        <w:rPr>
          <w:rFonts w:ascii="Arial" w:hAnsi="Arial" w:cs="Arial"/>
          <w:iCs/>
          <w:color w:val="000000"/>
          <w:shd w:val="clear" w:color="auto" w:fill="FFFFFF"/>
        </w:rPr>
        <w:t>Wittgenstein,</w:t>
      </w:r>
      <w:r w:rsidR="009772CD">
        <w:rPr>
          <w:rFonts w:ascii="Arial" w:hAnsi="Arial" w:cs="Arial"/>
          <w:i/>
          <w:iCs/>
          <w:color w:val="000000"/>
          <w:shd w:val="clear" w:color="auto" w:fill="FFFFFF"/>
        </w:rPr>
        <w:t xml:space="preserve"> P</w:t>
      </w:r>
      <w:r>
        <w:rPr>
          <w:rFonts w:ascii="Arial" w:hAnsi="Arial" w:cs="Arial"/>
          <w:i/>
          <w:iCs/>
          <w:color w:val="000000"/>
          <w:shd w:val="clear" w:color="auto" w:fill="FFFFFF"/>
        </w:rPr>
        <w:t>hilosophical Investigations</w:t>
      </w:r>
      <w:r>
        <w:rPr>
          <w:rFonts w:ascii="Arial" w:hAnsi="Arial" w:cs="Arial"/>
          <w:color w:val="000000"/>
          <w:shd w:val="clear" w:color="auto" w:fill="FFFFFF"/>
        </w:rPr>
        <w:t>, p. 81</w:t>
      </w:r>
    </w:p>
  </w:footnote>
  <w:footnote w:id="6">
    <w:p w:rsidR="00357CC5" w:rsidRDefault="00357CC5">
      <w:pPr>
        <w:pStyle w:val="FootnoteText"/>
      </w:pPr>
      <w:r>
        <w:rPr>
          <w:rStyle w:val="FootnoteReference"/>
        </w:rPr>
        <w:footnoteRef/>
      </w:r>
      <w:r>
        <w:t xml:space="preserve"> </w:t>
      </w:r>
      <w:r>
        <w:rPr>
          <w:rFonts w:ascii="Arial" w:hAnsi="Arial" w:cs="Arial"/>
          <w:color w:val="000000"/>
          <w:shd w:val="clear" w:color="auto" w:fill="FFFFFF"/>
        </w:rPr>
        <w:t xml:space="preserve">Saul A </w:t>
      </w:r>
      <w:proofErr w:type="spellStart"/>
      <w:r>
        <w:rPr>
          <w:rFonts w:ascii="Arial" w:hAnsi="Arial" w:cs="Arial"/>
          <w:color w:val="000000"/>
          <w:shd w:val="clear" w:color="auto" w:fill="FFFFFF"/>
        </w:rPr>
        <w:t>Kripke</w:t>
      </w:r>
      <w:proofErr w:type="spellEnd"/>
      <w:r>
        <w:rPr>
          <w:rFonts w:ascii="Arial" w:hAnsi="Arial" w:cs="Arial"/>
          <w:color w:val="000000"/>
          <w:shd w:val="clear" w:color="auto" w:fill="FFFFFF"/>
        </w:rPr>
        <w:t>, </w:t>
      </w:r>
      <w:r>
        <w:rPr>
          <w:rFonts w:ascii="Arial" w:hAnsi="Arial" w:cs="Arial"/>
          <w:i/>
          <w:iCs/>
          <w:color w:val="000000"/>
          <w:shd w:val="clear" w:color="auto" w:fill="FFFFFF"/>
        </w:rPr>
        <w:t>Wittgenstein On Rules And Private Language</w:t>
      </w:r>
      <w:r>
        <w:rPr>
          <w:rFonts w:ascii="Arial" w:hAnsi="Arial" w:cs="Arial"/>
          <w:color w:val="000000"/>
          <w:shd w:val="clear" w:color="auto" w:fill="FFFFFF"/>
        </w:rPr>
        <w:t xml:space="preserve"> (Cambridge, Massachusetts: Harvard University, 2000), p. 111 </w:t>
      </w:r>
    </w:p>
  </w:footnote>
  <w:footnote w:id="7">
    <w:p w:rsidR="00357CC5" w:rsidRDefault="00357CC5">
      <w:pPr>
        <w:pStyle w:val="FootnoteText"/>
      </w:pPr>
      <w:r>
        <w:rPr>
          <w:rStyle w:val="FootnoteReference"/>
        </w:rPr>
        <w:footnoteRef/>
      </w:r>
      <w:r>
        <w:t xml:space="preserve"> </w:t>
      </w:r>
      <w:r>
        <w:rPr>
          <w:rFonts w:ascii="Arial" w:hAnsi="Arial" w:cs="Arial"/>
          <w:color w:val="000000"/>
          <w:shd w:val="clear" w:color="auto" w:fill="FFFFFF"/>
        </w:rPr>
        <w:t>Marie McGinn, </w:t>
      </w:r>
      <w:r>
        <w:rPr>
          <w:rFonts w:ascii="Arial" w:hAnsi="Arial" w:cs="Arial"/>
          <w:i/>
          <w:iCs/>
          <w:color w:val="000000"/>
          <w:shd w:val="clear" w:color="auto" w:fill="FFFFFF"/>
        </w:rPr>
        <w:t>Wittgenstein And The Philosophical Investigations</w:t>
      </w:r>
      <w:r>
        <w:rPr>
          <w:rFonts w:ascii="Arial" w:hAnsi="Arial" w:cs="Arial"/>
          <w:color w:val="000000"/>
          <w:shd w:val="clear" w:color="auto" w:fill="FFFFFF"/>
        </w:rPr>
        <w:t> (Abingdon, Oxon: Routledge, 2008), p. 80</w:t>
      </w:r>
    </w:p>
  </w:footnote>
  <w:footnote w:id="8">
    <w:p w:rsidR="00D73330" w:rsidRDefault="00D73330">
      <w:pPr>
        <w:pStyle w:val="FootnoteText"/>
      </w:pPr>
      <w:r>
        <w:rPr>
          <w:rStyle w:val="FootnoteReference"/>
        </w:rPr>
        <w:footnoteRef/>
      </w:r>
      <w:r>
        <w:t xml:space="preserve"> </w:t>
      </w:r>
      <w:r>
        <w:rPr>
          <w:rFonts w:ascii="Arial" w:hAnsi="Arial" w:cs="Arial"/>
          <w:color w:val="000000"/>
          <w:shd w:val="clear" w:color="auto" w:fill="FFFFFF"/>
        </w:rPr>
        <w:t>David G Stern, </w:t>
      </w:r>
      <w:r>
        <w:rPr>
          <w:rFonts w:ascii="Arial" w:hAnsi="Arial" w:cs="Arial"/>
          <w:i/>
          <w:iCs/>
          <w:color w:val="000000"/>
          <w:shd w:val="clear" w:color="auto" w:fill="FFFFFF"/>
        </w:rPr>
        <w:t>Wittgenstein's Philosophical Investigations</w:t>
      </w:r>
      <w:r>
        <w:rPr>
          <w:rFonts w:ascii="Arial" w:hAnsi="Arial" w:cs="Arial"/>
          <w:color w:val="000000"/>
          <w:shd w:val="clear" w:color="auto" w:fill="FFFFFF"/>
        </w:rPr>
        <w:t> (Cambridge: Cambridge University Press, 2010), p. 143</w:t>
      </w:r>
    </w:p>
  </w:footnote>
  <w:footnote w:id="9">
    <w:p w:rsidR="005C0969" w:rsidRPr="005C0969" w:rsidRDefault="005C0969">
      <w:pPr>
        <w:pStyle w:val="FootnoteText"/>
      </w:pPr>
      <w:r>
        <w:rPr>
          <w:rStyle w:val="FootnoteReference"/>
        </w:rPr>
        <w:footnoteRef/>
      </w:r>
      <w:r>
        <w:t xml:space="preserve"> </w:t>
      </w:r>
      <w:r>
        <w:rPr>
          <w:rFonts w:ascii="Arial" w:hAnsi="Arial" w:cs="Arial"/>
          <w:color w:val="000000"/>
          <w:shd w:val="clear" w:color="auto" w:fill="FFFFFF"/>
        </w:rPr>
        <w:t>McGinn, </w:t>
      </w:r>
      <w:r>
        <w:rPr>
          <w:rFonts w:ascii="Arial" w:hAnsi="Arial" w:cs="Arial"/>
          <w:i/>
          <w:iCs/>
          <w:color w:val="000000"/>
          <w:shd w:val="clear" w:color="auto" w:fill="FFFFFF"/>
        </w:rPr>
        <w:t>Wittgenstein</w:t>
      </w:r>
      <w:r w:rsidR="001F4A69">
        <w:rPr>
          <w:rFonts w:ascii="Arial" w:hAnsi="Arial" w:cs="Arial"/>
          <w:i/>
          <w:iCs/>
          <w:color w:val="000000"/>
          <w:shd w:val="clear" w:color="auto" w:fill="FFFFFF"/>
        </w:rPr>
        <w:t xml:space="preserve"> And The Philosophical Investigations</w:t>
      </w:r>
      <w:r>
        <w:rPr>
          <w:rFonts w:ascii="Arial" w:hAnsi="Arial" w:cs="Arial"/>
          <w:i/>
          <w:iCs/>
          <w:color w:val="000000"/>
          <w:shd w:val="clear" w:color="auto" w:fill="FFFFFF"/>
        </w:rPr>
        <w:t xml:space="preserve">, </w:t>
      </w:r>
      <w:r>
        <w:rPr>
          <w:rFonts w:ascii="Arial" w:hAnsi="Arial" w:cs="Arial"/>
          <w:iCs/>
          <w:color w:val="000000"/>
          <w:shd w:val="clear" w:color="auto" w:fill="FFFFFF"/>
        </w:rPr>
        <w:t>p. 85</w:t>
      </w:r>
    </w:p>
  </w:footnote>
  <w:footnote w:id="10">
    <w:p w:rsidR="001B2C9A" w:rsidRDefault="001B2C9A">
      <w:pPr>
        <w:pStyle w:val="FootnoteText"/>
      </w:pPr>
      <w:r>
        <w:rPr>
          <w:rStyle w:val="FootnoteReference"/>
        </w:rPr>
        <w:footnoteRef/>
      </w:r>
      <w:r>
        <w:t xml:space="preserve"> </w:t>
      </w:r>
      <w:r>
        <w:rPr>
          <w:rFonts w:ascii="Arial" w:hAnsi="Arial" w:cs="Arial"/>
          <w:color w:val="000000"/>
          <w:shd w:val="clear" w:color="auto" w:fill="FFFFFF"/>
        </w:rPr>
        <w:t xml:space="preserve">Oswald </w:t>
      </w:r>
      <w:proofErr w:type="spellStart"/>
      <w:r>
        <w:rPr>
          <w:rFonts w:ascii="Arial" w:hAnsi="Arial" w:cs="Arial"/>
          <w:color w:val="000000"/>
          <w:shd w:val="clear" w:color="auto" w:fill="FFFFFF"/>
        </w:rPr>
        <w:t>Hanfling</w:t>
      </w:r>
      <w:proofErr w:type="spellEnd"/>
      <w:r>
        <w:rPr>
          <w:rFonts w:ascii="Arial" w:hAnsi="Arial" w:cs="Arial"/>
          <w:color w:val="000000"/>
          <w:shd w:val="clear" w:color="auto" w:fill="FFFFFF"/>
        </w:rPr>
        <w:t>, </w:t>
      </w:r>
      <w:r>
        <w:rPr>
          <w:rFonts w:ascii="Arial" w:hAnsi="Arial" w:cs="Arial"/>
          <w:i/>
          <w:iCs/>
          <w:color w:val="000000"/>
          <w:shd w:val="clear" w:color="auto" w:fill="FFFFFF"/>
        </w:rPr>
        <w:t>Wittgenstein's Later Philosophy</w:t>
      </w:r>
      <w:r>
        <w:rPr>
          <w:rFonts w:ascii="Arial" w:hAnsi="Arial" w:cs="Arial"/>
          <w:color w:val="000000"/>
          <w:shd w:val="clear" w:color="auto" w:fill="FFFFFF"/>
        </w:rPr>
        <w:t> (Basingstoke: Macmillan, 1996), p. 147</w:t>
      </w:r>
    </w:p>
  </w:footnote>
  <w:footnote w:id="11">
    <w:p w:rsidR="00641DB2" w:rsidRDefault="00641DB2">
      <w:pPr>
        <w:pStyle w:val="FootnoteText"/>
      </w:pPr>
      <w:r>
        <w:rPr>
          <w:rStyle w:val="FootnoteReference"/>
        </w:rPr>
        <w:footnoteRef/>
      </w:r>
      <w:r>
        <w:t xml:space="preserve"> </w:t>
      </w:r>
      <w:r w:rsidRPr="009772CD">
        <w:rPr>
          <w:rFonts w:ascii="Arial" w:hAnsi="Arial" w:cs="Arial"/>
          <w:iCs/>
          <w:color w:val="000000"/>
          <w:shd w:val="clear" w:color="auto" w:fill="FFFFFF"/>
        </w:rPr>
        <w:t>Wittgenstein,</w:t>
      </w:r>
      <w:r>
        <w:rPr>
          <w:rFonts w:ascii="Arial" w:hAnsi="Arial" w:cs="Arial"/>
          <w:i/>
          <w:iCs/>
          <w:color w:val="000000"/>
          <w:shd w:val="clear" w:color="auto" w:fill="FFFFFF"/>
        </w:rPr>
        <w:t xml:space="preserve"> Philosophical Investigations</w:t>
      </w:r>
      <w:r>
        <w:rPr>
          <w:rFonts w:ascii="Arial" w:hAnsi="Arial" w:cs="Arial"/>
          <w:color w:val="000000"/>
          <w:shd w:val="clear" w:color="auto" w:fill="FFFFFF"/>
        </w:rPr>
        <w:t>, p. 81</w:t>
      </w:r>
    </w:p>
  </w:footnote>
  <w:footnote w:id="12">
    <w:p w:rsidR="001F4A69" w:rsidRDefault="001F4A69">
      <w:pPr>
        <w:pStyle w:val="FootnoteText"/>
      </w:pPr>
      <w:r>
        <w:rPr>
          <w:rStyle w:val="FootnoteReference"/>
        </w:rPr>
        <w:footnoteRef/>
      </w:r>
      <w:r>
        <w:t xml:space="preserve"> </w:t>
      </w:r>
      <w:r>
        <w:rPr>
          <w:rFonts w:ascii="Arial" w:hAnsi="Arial" w:cs="Arial"/>
          <w:color w:val="000000"/>
          <w:shd w:val="clear" w:color="auto" w:fill="FFFFFF"/>
        </w:rPr>
        <w:t>Stern, </w:t>
      </w:r>
      <w:r>
        <w:rPr>
          <w:rFonts w:ascii="Arial" w:hAnsi="Arial" w:cs="Arial"/>
          <w:i/>
          <w:iCs/>
          <w:color w:val="000000"/>
          <w:shd w:val="clear" w:color="auto" w:fill="FFFFFF"/>
        </w:rPr>
        <w:t>Wittgenstein On Mind And Language,</w:t>
      </w:r>
      <w:r>
        <w:rPr>
          <w:rFonts w:ascii="Arial" w:hAnsi="Arial" w:cs="Arial"/>
          <w:color w:val="000000"/>
          <w:shd w:val="clear" w:color="auto" w:fill="FFFFFF"/>
        </w:rPr>
        <w:t> p. 127</w:t>
      </w:r>
    </w:p>
  </w:footnote>
  <w:footnote w:id="13">
    <w:p w:rsidR="00AB104A" w:rsidRDefault="00AB104A">
      <w:pPr>
        <w:pStyle w:val="FootnoteText"/>
      </w:pPr>
      <w:r>
        <w:rPr>
          <w:rStyle w:val="FootnoteReference"/>
        </w:rPr>
        <w:footnoteRef/>
      </w:r>
      <w:r>
        <w:t xml:space="preserve"> </w:t>
      </w:r>
      <w:r w:rsidRPr="009772CD">
        <w:rPr>
          <w:rFonts w:ascii="Arial" w:hAnsi="Arial" w:cs="Arial"/>
          <w:iCs/>
          <w:color w:val="000000"/>
          <w:shd w:val="clear" w:color="auto" w:fill="FFFFFF"/>
        </w:rPr>
        <w:t>Wittgenstein,</w:t>
      </w:r>
      <w:r>
        <w:rPr>
          <w:rFonts w:ascii="Arial" w:hAnsi="Arial" w:cs="Arial"/>
          <w:i/>
          <w:iCs/>
          <w:color w:val="000000"/>
          <w:shd w:val="clear" w:color="auto" w:fill="FFFFFF"/>
        </w:rPr>
        <w:t xml:space="preserve"> Philosophical Investigations</w:t>
      </w:r>
      <w:r>
        <w:rPr>
          <w:rFonts w:ascii="Arial" w:hAnsi="Arial" w:cs="Arial"/>
          <w:color w:val="000000"/>
          <w:shd w:val="clear" w:color="auto" w:fill="FFFFFF"/>
        </w:rPr>
        <w:t>, p. 80</w:t>
      </w:r>
    </w:p>
  </w:footnote>
  <w:footnote w:id="14">
    <w:p w:rsidR="00AB104A" w:rsidRDefault="00AB104A">
      <w:pPr>
        <w:pStyle w:val="FootnoteText"/>
      </w:pPr>
      <w:r>
        <w:rPr>
          <w:rStyle w:val="FootnoteReference"/>
        </w:rPr>
        <w:footnoteRef/>
      </w:r>
      <w:r>
        <w:t xml:space="preserve"> </w:t>
      </w:r>
      <w:r>
        <w:rPr>
          <w:rFonts w:ascii="Arial" w:hAnsi="Arial" w:cs="Arial"/>
          <w:color w:val="000000"/>
          <w:shd w:val="clear" w:color="auto" w:fill="FFFFFF"/>
        </w:rPr>
        <w:t>Stern, </w:t>
      </w:r>
      <w:r>
        <w:rPr>
          <w:rFonts w:ascii="Arial" w:hAnsi="Arial" w:cs="Arial"/>
          <w:i/>
          <w:iCs/>
          <w:color w:val="000000"/>
          <w:shd w:val="clear" w:color="auto" w:fill="FFFFFF"/>
        </w:rPr>
        <w:t>Wittgenstein On Mind And Language,</w:t>
      </w:r>
      <w:r>
        <w:rPr>
          <w:rFonts w:ascii="Arial" w:hAnsi="Arial" w:cs="Arial"/>
          <w:color w:val="000000"/>
          <w:shd w:val="clear" w:color="auto" w:fill="FFFFFF"/>
        </w:rPr>
        <w:t> p. 126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6C4F"/>
    <w:rsid w:val="00016148"/>
    <w:rsid w:val="000254FE"/>
    <w:rsid w:val="000F2157"/>
    <w:rsid w:val="00151D71"/>
    <w:rsid w:val="00196653"/>
    <w:rsid w:val="001B2C9A"/>
    <w:rsid w:val="001F4A69"/>
    <w:rsid w:val="002237E1"/>
    <w:rsid w:val="00262053"/>
    <w:rsid w:val="002F2E16"/>
    <w:rsid w:val="00357CC5"/>
    <w:rsid w:val="00406CD5"/>
    <w:rsid w:val="0043439E"/>
    <w:rsid w:val="00453FF5"/>
    <w:rsid w:val="004E68C1"/>
    <w:rsid w:val="00556C4F"/>
    <w:rsid w:val="005C0969"/>
    <w:rsid w:val="00641DB2"/>
    <w:rsid w:val="00652FC9"/>
    <w:rsid w:val="006A506A"/>
    <w:rsid w:val="006F654A"/>
    <w:rsid w:val="007549A7"/>
    <w:rsid w:val="007E1C65"/>
    <w:rsid w:val="008273A8"/>
    <w:rsid w:val="008B48D9"/>
    <w:rsid w:val="009772CD"/>
    <w:rsid w:val="009D07B8"/>
    <w:rsid w:val="00AB104A"/>
    <w:rsid w:val="00AB4D7B"/>
    <w:rsid w:val="00AC145A"/>
    <w:rsid w:val="00B34F91"/>
    <w:rsid w:val="00B66F95"/>
    <w:rsid w:val="00BD5C49"/>
    <w:rsid w:val="00C36AD4"/>
    <w:rsid w:val="00CE3E91"/>
    <w:rsid w:val="00CF1BDF"/>
    <w:rsid w:val="00D31FB8"/>
    <w:rsid w:val="00D65D69"/>
    <w:rsid w:val="00D73330"/>
    <w:rsid w:val="00DC160C"/>
    <w:rsid w:val="00E02D5A"/>
    <w:rsid w:val="00E52571"/>
    <w:rsid w:val="00E6172D"/>
    <w:rsid w:val="00EA3AF2"/>
    <w:rsid w:val="00F23D4D"/>
    <w:rsid w:val="00F72F7A"/>
    <w:rsid w:val="00FC0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3357B356-32F7-4A0D-B7B8-2B25A32F6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DC16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06CD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6CD5"/>
    <w:rPr>
      <w:sz w:val="20"/>
      <w:szCs w:val="20"/>
    </w:rPr>
  </w:style>
  <w:style w:type="character" w:styleId="FootnoteReference">
    <w:name w:val="footnote reference"/>
    <w:basedOn w:val="DefaultParagraphFont"/>
    <w:uiPriority w:val="99"/>
    <w:semiHidden/>
    <w:unhideWhenUsed/>
    <w:rsid w:val="00406CD5"/>
    <w:rPr>
      <w:vertAlign w:val="superscript"/>
    </w:rPr>
  </w:style>
  <w:style w:type="character" w:customStyle="1" w:styleId="Heading2Char">
    <w:name w:val="Heading 2 Char"/>
    <w:basedOn w:val="DefaultParagraphFont"/>
    <w:link w:val="Heading2"/>
    <w:uiPriority w:val="9"/>
    <w:rsid w:val="00DC160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C160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878078">
      <w:bodyDiv w:val="1"/>
      <w:marLeft w:val="0"/>
      <w:marRight w:val="0"/>
      <w:marTop w:val="0"/>
      <w:marBottom w:val="0"/>
      <w:divBdr>
        <w:top w:val="none" w:sz="0" w:space="0" w:color="auto"/>
        <w:left w:val="none" w:sz="0" w:space="0" w:color="auto"/>
        <w:bottom w:val="none" w:sz="0" w:space="0" w:color="auto"/>
        <w:right w:val="none" w:sz="0" w:space="0" w:color="auto"/>
      </w:divBdr>
    </w:div>
    <w:div w:id="252788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930</TotalTime>
  <Pages>6</Pages>
  <Words>2870</Words>
  <Characters>13493</Characters>
  <Application>Microsoft Office Word</Application>
  <DocSecurity>0</DocSecurity>
  <Lines>190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Barrow</dc:creator>
  <cp:keywords/>
  <dc:description/>
  <cp:lastModifiedBy>James Barrow</cp:lastModifiedBy>
  <cp:revision>16</cp:revision>
  <dcterms:created xsi:type="dcterms:W3CDTF">2019-12-17T02:15:00Z</dcterms:created>
  <dcterms:modified xsi:type="dcterms:W3CDTF">2019-12-23T02:49:00Z</dcterms:modified>
</cp:coreProperties>
</file>