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06214" w14:textId="77777777" w:rsidR="001D65FF" w:rsidRDefault="001D65FF" w:rsidP="001D65FF">
      <w:pPr>
        <w:spacing w:before="100" w:beforeAutospacing="1" w:after="100" w:afterAutospacing="1" w:line="360" w:lineRule="auto"/>
        <w:jc w:val="center"/>
        <w:rPr>
          <w:rFonts w:ascii="Arial" w:eastAsia="Times New Roman" w:hAnsi="Arial" w:cs="Arial"/>
          <w:kern w:val="0"/>
          <w:sz w:val="52"/>
          <w:szCs w:val="52"/>
          <w:lang w:eastAsia="en-GB"/>
          <w14:ligatures w14:val="none"/>
        </w:rPr>
      </w:pPr>
    </w:p>
    <w:p w14:paraId="2A66A23B" w14:textId="04B6CC83" w:rsidR="004A46CD" w:rsidRPr="001D65FF" w:rsidRDefault="004A46CD" w:rsidP="001D65FF">
      <w:pPr>
        <w:spacing w:before="100" w:beforeAutospacing="1" w:after="100" w:afterAutospacing="1" w:line="360" w:lineRule="auto"/>
        <w:jc w:val="center"/>
        <w:rPr>
          <w:rFonts w:ascii="Arial" w:eastAsia="Times New Roman" w:hAnsi="Arial" w:cs="Arial"/>
          <w:kern w:val="0"/>
          <w:sz w:val="52"/>
          <w:szCs w:val="52"/>
          <w:lang w:eastAsia="en-GB"/>
          <w14:ligatures w14:val="none"/>
        </w:rPr>
      </w:pPr>
      <w:r w:rsidRPr="001D65FF">
        <w:rPr>
          <w:rFonts w:ascii="Arial" w:eastAsia="Times New Roman" w:hAnsi="Arial" w:cs="Arial"/>
          <w:kern w:val="0"/>
          <w:sz w:val="52"/>
          <w:szCs w:val="52"/>
          <w:lang w:eastAsia="en-GB"/>
          <w14:ligatures w14:val="none"/>
        </w:rPr>
        <w:t>Psychological Theories in Adult Development and Wellbeing</w:t>
      </w:r>
    </w:p>
    <w:p w14:paraId="597BF0BF" w14:textId="77777777" w:rsidR="00E57946" w:rsidRDefault="00E57946" w:rsidP="00C335A7">
      <w:pPr>
        <w:spacing w:before="100" w:beforeAutospacing="1" w:after="100" w:afterAutospacing="1" w:line="360" w:lineRule="auto"/>
        <w:rPr>
          <w:rFonts w:ascii="Arial" w:eastAsia="Times New Roman" w:hAnsi="Arial" w:cs="Arial"/>
          <w:kern w:val="0"/>
          <w:sz w:val="32"/>
          <w:szCs w:val="32"/>
          <w:lang w:eastAsia="en-GB"/>
          <w14:ligatures w14:val="none"/>
        </w:rPr>
      </w:pPr>
    </w:p>
    <w:p w14:paraId="34EFC0DD" w14:textId="77777777" w:rsidR="00E57946" w:rsidRDefault="00E57946" w:rsidP="00C335A7">
      <w:pPr>
        <w:spacing w:before="100" w:beforeAutospacing="1" w:after="100" w:afterAutospacing="1" w:line="360" w:lineRule="auto"/>
        <w:rPr>
          <w:rFonts w:ascii="Arial" w:eastAsia="Times New Roman" w:hAnsi="Arial" w:cs="Arial"/>
          <w:kern w:val="0"/>
          <w:sz w:val="32"/>
          <w:szCs w:val="32"/>
          <w:lang w:eastAsia="en-GB"/>
          <w14:ligatures w14:val="none"/>
        </w:rPr>
      </w:pPr>
    </w:p>
    <w:p w14:paraId="1DAF5F84" w14:textId="77777777" w:rsidR="00E57946" w:rsidRDefault="00E57946" w:rsidP="00C335A7">
      <w:pPr>
        <w:spacing w:before="100" w:beforeAutospacing="1" w:after="100" w:afterAutospacing="1" w:line="360" w:lineRule="auto"/>
        <w:rPr>
          <w:rFonts w:ascii="Arial" w:eastAsia="Times New Roman" w:hAnsi="Arial" w:cs="Arial"/>
          <w:kern w:val="0"/>
          <w:sz w:val="32"/>
          <w:szCs w:val="32"/>
          <w:lang w:eastAsia="en-GB"/>
          <w14:ligatures w14:val="none"/>
        </w:rPr>
      </w:pPr>
    </w:p>
    <w:p w14:paraId="0F905E55" w14:textId="77777777" w:rsidR="00E57946" w:rsidRDefault="00E57946" w:rsidP="00C335A7">
      <w:pPr>
        <w:spacing w:before="100" w:beforeAutospacing="1" w:after="100" w:afterAutospacing="1" w:line="360" w:lineRule="auto"/>
        <w:rPr>
          <w:rFonts w:ascii="Arial" w:eastAsia="Times New Roman" w:hAnsi="Arial" w:cs="Arial"/>
          <w:kern w:val="0"/>
          <w:sz w:val="32"/>
          <w:szCs w:val="32"/>
          <w:lang w:eastAsia="en-GB"/>
          <w14:ligatures w14:val="none"/>
        </w:rPr>
      </w:pPr>
    </w:p>
    <w:p w14:paraId="29519DE4" w14:textId="77777777" w:rsidR="001D65FF" w:rsidRDefault="001D65FF" w:rsidP="00C335A7">
      <w:pPr>
        <w:spacing w:before="100" w:beforeAutospacing="1" w:after="100" w:afterAutospacing="1" w:line="360" w:lineRule="auto"/>
        <w:rPr>
          <w:rFonts w:ascii="Arial" w:eastAsia="Times New Roman" w:hAnsi="Arial" w:cs="Arial"/>
          <w:kern w:val="0"/>
          <w:sz w:val="32"/>
          <w:szCs w:val="32"/>
          <w:lang w:eastAsia="en-GB"/>
          <w14:ligatures w14:val="none"/>
        </w:rPr>
      </w:pPr>
    </w:p>
    <w:p w14:paraId="49323D6A" w14:textId="77777777" w:rsidR="001D65FF" w:rsidRDefault="001D65FF" w:rsidP="00C335A7">
      <w:pPr>
        <w:spacing w:before="100" w:beforeAutospacing="1" w:after="100" w:afterAutospacing="1" w:line="360" w:lineRule="auto"/>
        <w:rPr>
          <w:rFonts w:ascii="Arial" w:eastAsia="Times New Roman" w:hAnsi="Arial" w:cs="Arial"/>
          <w:kern w:val="0"/>
          <w:sz w:val="32"/>
          <w:szCs w:val="32"/>
          <w:lang w:eastAsia="en-GB"/>
          <w14:ligatures w14:val="none"/>
        </w:rPr>
      </w:pPr>
    </w:p>
    <w:p w14:paraId="2AB4E75A" w14:textId="77777777" w:rsidR="00E57946" w:rsidRPr="00E57946" w:rsidRDefault="00E57946" w:rsidP="00C335A7">
      <w:pPr>
        <w:spacing w:before="100" w:beforeAutospacing="1" w:after="100" w:afterAutospacing="1" w:line="360" w:lineRule="auto"/>
        <w:rPr>
          <w:rFonts w:ascii="Arial" w:eastAsia="Times New Roman" w:hAnsi="Arial" w:cs="Arial"/>
          <w:kern w:val="0"/>
          <w:sz w:val="32"/>
          <w:szCs w:val="32"/>
          <w:lang w:eastAsia="en-GB"/>
          <w14:ligatures w14:val="none"/>
        </w:rPr>
      </w:pPr>
    </w:p>
    <w:p w14:paraId="3E6A8461" w14:textId="77777777" w:rsidR="004A46CD" w:rsidRPr="00E57946"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E57946">
        <w:rPr>
          <w:rFonts w:ascii="Arial" w:eastAsia="Times New Roman" w:hAnsi="Arial" w:cs="Arial"/>
          <w:kern w:val="0"/>
          <w:sz w:val="22"/>
          <w:szCs w:val="22"/>
          <w:lang w:eastAsia="en-GB"/>
          <w14:ligatures w14:val="none"/>
        </w:rPr>
        <w:t>Name: Joana Costa</w:t>
      </w:r>
    </w:p>
    <w:p w14:paraId="17655A01" w14:textId="77777777" w:rsidR="004A46CD" w:rsidRPr="00E57946"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E57946">
        <w:rPr>
          <w:rFonts w:ascii="Arial" w:eastAsia="Times New Roman" w:hAnsi="Arial" w:cs="Arial"/>
          <w:kern w:val="0"/>
          <w:sz w:val="22"/>
          <w:szCs w:val="22"/>
          <w:lang w:eastAsia="en-GB"/>
          <w14:ligatures w14:val="none"/>
        </w:rPr>
        <w:t>Student Number: 2434222</w:t>
      </w:r>
    </w:p>
    <w:p w14:paraId="263A86E5" w14:textId="77777777" w:rsidR="004A46CD"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E57946">
        <w:rPr>
          <w:rFonts w:ascii="Arial" w:eastAsia="Times New Roman" w:hAnsi="Arial" w:cs="Arial"/>
          <w:kern w:val="0"/>
          <w:sz w:val="22"/>
          <w:szCs w:val="22"/>
          <w:lang w:eastAsia="en-GB"/>
          <w14:ligatures w14:val="none"/>
        </w:rPr>
        <w:t>Module code: LCHS4010</w:t>
      </w:r>
    </w:p>
    <w:p w14:paraId="495ED538" w14:textId="5F6A1B24" w:rsidR="00E57946" w:rsidRPr="00E57946" w:rsidRDefault="00E57946" w:rsidP="00C335A7">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Date: 18/03/2026</w:t>
      </w:r>
    </w:p>
    <w:p w14:paraId="2D4BC6E6" w14:textId="77777777" w:rsidR="004A46CD" w:rsidRDefault="004A46CD" w:rsidP="00C335A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D4C73DF" w14:textId="77777777" w:rsidR="004A46CD" w:rsidRDefault="004A46CD" w:rsidP="00C335A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3C04A323" w14:textId="77777777" w:rsidR="004A46CD" w:rsidRDefault="004A46CD" w:rsidP="00C335A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129F45F8" w14:textId="77777777" w:rsidR="004A46CD" w:rsidRDefault="004A46CD" w:rsidP="00C335A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6901E02D" w14:textId="77777777" w:rsidR="004A46CD" w:rsidRDefault="004A46CD" w:rsidP="00C335A7">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4DE695A" w14:textId="77777777" w:rsidR="00E57946" w:rsidRPr="001D65FF" w:rsidRDefault="004A46CD" w:rsidP="00C335A7">
      <w:pPr>
        <w:spacing w:before="100" w:beforeAutospacing="1" w:after="100" w:afterAutospacing="1" w:line="360" w:lineRule="auto"/>
        <w:rPr>
          <w:rFonts w:ascii="Arial" w:eastAsia="Times New Roman" w:hAnsi="Arial" w:cs="Arial"/>
          <w:b/>
          <w:bCs/>
          <w:kern w:val="36"/>
          <w:sz w:val="40"/>
          <w:szCs w:val="40"/>
          <w:lang w:eastAsia="en-GB"/>
          <w14:ligatures w14:val="none"/>
        </w:rPr>
      </w:pPr>
      <w:r w:rsidRPr="001D65FF">
        <w:rPr>
          <w:rFonts w:ascii="Arial" w:eastAsia="Times New Roman" w:hAnsi="Arial" w:cs="Arial"/>
          <w:b/>
          <w:bCs/>
          <w:kern w:val="36"/>
          <w:sz w:val="40"/>
          <w:szCs w:val="40"/>
          <w:lang w:eastAsia="en-GB"/>
          <w14:ligatures w14:val="none"/>
        </w:rPr>
        <w:t>Part A: Annotated Bibliography</w:t>
      </w:r>
    </w:p>
    <w:p w14:paraId="73BDF413" w14:textId="77777777" w:rsidR="00E57946" w:rsidRDefault="00E57946" w:rsidP="00C335A7">
      <w:pPr>
        <w:spacing w:before="100" w:beforeAutospacing="1" w:after="100" w:afterAutospacing="1" w:line="360" w:lineRule="auto"/>
        <w:rPr>
          <w:rFonts w:ascii="Arial" w:eastAsia="Times New Roman" w:hAnsi="Arial" w:cs="Arial"/>
          <w:b/>
          <w:bCs/>
          <w:kern w:val="36"/>
          <w:sz w:val="32"/>
          <w:szCs w:val="32"/>
          <w:lang w:eastAsia="en-GB"/>
          <w14:ligatures w14:val="none"/>
        </w:rPr>
      </w:pPr>
    </w:p>
    <w:p w14:paraId="45E2460E" w14:textId="77777777" w:rsidR="00C335A7" w:rsidRPr="00E57946" w:rsidRDefault="00C335A7" w:rsidP="00C335A7">
      <w:pPr>
        <w:spacing w:before="100" w:beforeAutospacing="1" w:after="100" w:afterAutospacing="1" w:line="360" w:lineRule="auto"/>
        <w:rPr>
          <w:rFonts w:ascii="Arial" w:eastAsia="Times New Roman" w:hAnsi="Arial" w:cs="Arial"/>
          <w:b/>
          <w:bCs/>
          <w:kern w:val="36"/>
          <w:sz w:val="32"/>
          <w:szCs w:val="32"/>
          <w:lang w:eastAsia="en-GB"/>
          <w14:ligatures w14:val="none"/>
        </w:rPr>
      </w:pPr>
    </w:p>
    <w:p w14:paraId="055A4BF1" w14:textId="34FA6416" w:rsidR="004A46CD" w:rsidRPr="00263A77" w:rsidRDefault="004A46CD" w:rsidP="00C335A7">
      <w:pPr>
        <w:spacing w:before="100" w:beforeAutospacing="1" w:after="100" w:afterAutospacing="1" w:line="360" w:lineRule="auto"/>
        <w:rPr>
          <w:rFonts w:ascii="Arial" w:eastAsia="Times New Roman" w:hAnsi="Arial" w:cs="Arial"/>
          <w:b/>
          <w:bCs/>
          <w:kern w:val="36"/>
          <w:sz w:val="22"/>
          <w:szCs w:val="22"/>
          <w:lang w:eastAsia="en-GB"/>
          <w14:ligatures w14:val="none"/>
        </w:rPr>
      </w:pPr>
      <w:r w:rsidRPr="00263A77">
        <w:rPr>
          <w:rFonts w:ascii="Arial" w:eastAsia="Times New Roman" w:hAnsi="Arial" w:cs="Arial"/>
          <w:b/>
          <w:bCs/>
          <w:kern w:val="0"/>
          <w:sz w:val="22"/>
          <w:szCs w:val="22"/>
          <w:lang w:eastAsia="en-GB"/>
          <w14:ligatures w14:val="none"/>
        </w:rPr>
        <w:t>Source 1</w:t>
      </w:r>
    </w:p>
    <w:p w14:paraId="7420126C" w14:textId="77777777"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 xml:space="preserve">Erikson, E.H. (1950) </w:t>
      </w:r>
      <w:r w:rsidRPr="00263A77">
        <w:rPr>
          <w:rFonts w:ascii="Arial" w:eastAsia="Times New Roman" w:hAnsi="Arial" w:cs="Arial"/>
          <w:b/>
          <w:bCs/>
          <w:i/>
          <w:iCs/>
          <w:kern w:val="0"/>
          <w:sz w:val="22"/>
          <w:szCs w:val="22"/>
          <w:lang w:eastAsia="en-GB"/>
          <w14:ligatures w14:val="none"/>
        </w:rPr>
        <w:t>Childhood and Society</w:t>
      </w:r>
      <w:r w:rsidRPr="00263A77">
        <w:rPr>
          <w:rFonts w:ascii="Arial" w:eastAsia="Times New Roman" w:hAnsi="Arial" w:cs="Arial"/>
          <w:b/>
          <w:bCs/>
          <w:kern w:val="0"/>
          <w:sz w:val="22"/>
          <w:szCs w:val="22"/>
          <w:lang w:eastAsia="en-GB"/>
          <w14:ligatures w14:val="none"/>
        </w:rPr>
        <w:t>. New York: Norton.</w:t>
      </w:r>
    </w:p>
    <w:p w14:paraId="0D6FAA14"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Erikson’s psychosocial theory explains how people develop through eight stages across their life. Each stage includes a conflict that individuals need to resolve. In older adulthood, the stage is called ego integrity versus despair. At this stage, people reflect on their life and think about what they have achieved. If they feel proud and satisfied, they develop a sense of integrity and acceptance. However, if they focus on regrets or missed opportunities, they may experience despair, sadness, or even depression.</w:t>
      </w:r>
    </w:p>
    <w:p w14:paraId="513E4230" w14:textId="77777777" w:rsidR="00E57946"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 xml:space="preserve">This theory is important in health and social care because many older adults naturally reflect on their past. In care homes, staff can support this by encouraging residents to talk about their life experiences through activities like reminiscence therapy, storytelling, or memory books. These activities can help individuals feel valued and improve their emotional wellbeing. However, one limitation of this theory is that it assumes everyone goes through the same stages in the same way. </w:t>
      </w:r>
      <w:proofErr w:type="gramStart"/>
      <w:r w:rsidRPr="00263A77">
        <w:rPr>
          <w:rFonts w:ascii="Arial" w:eastAsia="Times New Roman" w:hAnsi="Arial" w:cs="Arial"/>
          <w:kern w:val="0"/>
          <w:sz w:val="22"/>
          <w:szCs w:val="22"/>
          <w:lang w:eastAsia="en-GB"/>
          <w14:ligatures w14:val="none"/>
        </w:rPr>
        <w:t>In reality, people</w:t>
      </w:r>
      <w:proofErr w:type="gramEnd"/>
      <w:r w:rsidRPr="00263A77">
        <w:rPr>
          <w:rFonts w:ascii="Arial" w:eastAsia="Times New Roman" w:hAnsi="Arial" w:cs="Arial"/>
          <w:kern w:val="0"/>
          <w:sz w:val="22"/>
          <w:szCs w:val="22"/>
          <w:lang w:eastAsia="en-GB"/>
          <w14:ligatures w14:val="none"/>
        </w:rPr>
        <w:t xml:space="preserve"> have very different life experiences, so not everyone will fit neatly into this model.</w:t>
      </w:r>
    </w:p>
    <w:p w14:paraId="6C7D255B" w14:textId="77777777" w:rsidR="00E57946" w:rsidRDefault="00E57946"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4EBE8BD0"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367167D8"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DA08DCE"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29801F9" w14:textId="77777777" w:rsidR="00E57946" w:rsidRDefault="00E57946"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01C8D655"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4D0DEB7A" w14:textId="180F00A2"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Source 2</w:t>
      </w:r>
    </w:p>
    <w:p w14:paraId="2A0F8150" w14:textId="77777777"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 xml:space="preserve">Havighurst, R.J. (1961) ‘Successful ageing’, </w:t>
      </w:r>
      <w:r w:rsidRPr="00263A77">
        <w:rPr>
          <w:rFonts w:ascii="Arial" w:eastAsia="Times New Roman" w:hAnsi="Arial" w:cs="Arial"/>
          <w:b/>
          <w:bCs/>
          <w:i/>
          <w:iCs/>
          <w:kern w:val="0"/>
          <w:sz w:val="22"/>
          <w:szCs w:val="22"/>
          <w:lang w:eastAsia="en-GB"/>
          <w14:ligatures w14:val="none"/>
        </w:rPr>
        <w:t>The Gerontologist</w:t>
      </w:r>
      <w:r w:rsidRPr="00263A77">
        <w:rPr>
          <w:rFonts w:ascii="Arial" w:eastAsia="Times New Roman" w:hAnsi="Arial" w:cs="Arial"/>
          <w:b/>
          <w:bCs/>
          <w:kern w:val="0"/>
          <w:sz w:val="22"/>
          <w:szCs w:val="22"/>
          <w:lang w:eastAsia="en-GB"/>
          <w14:ligatures w14:val="none"/>
        </w:rPr>
        <w:t>, 1(1), pp. 8–13.</w:t>
      </w:r>
    </w:p>
    <w:p w14:paraId="2FE0934F"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Havighurst’s Activity Theory suggests that staying active and socially engaged leads to greater life satisfaction in older adults. The theory argues that as people age, they should try to maintain roles, relationships, and activities that give them a sense of purpose. Being involved in hobbies, social groups, or even small daily tasks can help individuals feel useful and connected to others.</w:t>
      </w:r>
    </w:p>
    <w:p w14:paraId="025AB401" w14:textId="77777777" w:rsidR="00E57946"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This theory is very relevant in care homes, where residents may experience loneliness, boredom, or a loss of independence. Care staff can use this theory by encouraging participation in activities such as group games, exercise classes, or creative hobbies. It can help improve mental health, reduce feelings of isolation, and increase confidence. However, a limitation of this theory is that it does not fully consider individuals who have physical disabilities or cognitive conditions like dementia, which may make it harder for them to stay active in the same way.</w:t>
      </w:r>
    </w:p>
    <w:p w14:paraId="700456FD" w14:textId="77777777" w:rsidR="00E57946" w:rsidRDefault="00E57946"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5A490844" w14:textId="77777777" w:rsidR="00E57946" w:rsidRDefault="00E57946"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0E0868DE"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282B46F"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3339BC0B"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F078979"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3F76C98B"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75DDE460"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7A04F141"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5E91EA3"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6B9B376" w14:textId="77777777" w:rsidR="00E57946" w:rsidRDefault="00E57946"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E1F089E"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1B45921" w14:textId="3ECF032D"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Source 3</w:t>
      </w:r>
    </w:p>
    <w:p w14:paraId="4ECBF1FF" w14:textId="77777777"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 xml:space="preserve">Bowlby, J. (1969) </w:t>
      </w:r>
      <w:r w:rsidRPr="00263A77">
        <w:rPr>
          <w:rFonts w:ascii="Arial" w:eastAsia="Times New Roman" w:hAnsi="Arial" w:cs="Arial"/>
          <w:b/>
          <w:bCs/>
          <w:i/>
          <w:iCs/>
          <w:kern w:val="0"/>
          <w:sz w:val="22"/>
          <w:szCs w:val="22"/>
          <w:lang w:eastAsia="en-GB"/>
          <w14:ligatures w14:val="none"/>
        </w:rPr>
        <w:t>Attachment and Loss</w:t>
      </w:r>
      <w:r w:rsidRPr="00263A77">
        <w:rPr>
          <w:rFonts w:ascii="Arial" w:eastAsia="Times New Roman" w:hAnsi="Arial" w:cs="Arial"/>
          <w:b/>
          <w:bCs/>
          <w:kern w:val="0"/>
          <w:sz w:val="22"/>
          <w:szCs w:val="22"/>
          <w:lang w:eastAsia="en-GB"/>
          <w14:ligatures w14:val="none"/>
        </w:rPr>
        <w:t>. London: Hogarth Press.</w:t>
      </w:r>
    </w:p>
    <w:p w14:paraId="010FA785"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Bowlby’s attachment theory focuses on how early relationships, especially with caregivers, affect emotional development. People who experience secure attachments are more likely to feel safe, confident, and able to form healthy relationships. On the other hand, those with insecure attachments may struggle with trust, anxiety, or emotional regulation.</w:t>
      </w:r>
    </w:p>
    <w:p w14:paraId="09390319" w14:textId="77777777" w:rsidR="00E57946"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In health and social care, this theory is useful for understanding how older adults respond to care environments. Moving into a care home can be a stressful experience, and residents may feel anxious or disconnected from their families. By building strong, trusting relationships, staff can help residents feel more secure and supported. For example, consistent care from the same staff members can help develop trust. However, one limitation is that the theory focuses mainly on childhood experiences and may not fully explain changes in emotional needs later in life.</w:t>
      </w:r>
    </w:p>
    <w:p w14:paraId="754F4A1B" w14:textId="77777777" w:rsidR="00E57946" w:rsidRDefault="00E57946"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7862C315" w14:textId="77777777" w:rsidR="00C335A7" w:rsidRDefault="00C335A7"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40DF5693"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1FA4870"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02546B81"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303168F1"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5901A21"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57367813"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7BA27855"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50A5EF23"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52BBBCE8" w14:textId="77777777" w:rsidR="00E57946" w:rsidRDefault="00E57946"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A438E79" w14:textId="77777777" w:rsidR="001D65FF" w:rsidRDefault="001D65FF" w:rsidP="00C335A7">
      <w:pPr>
        <w:spacing w:before="100" w:beforeAutospacing="1" w:after="100" w:afterAutospacing="1" w:line="360" w:lineRule="auto"/>
        <w:rPr>
          <w:rFonts w:ascii="Arial" w:eastAsia="Times New Roman" w:hAnsi="Arial" w:cs="Arial"/>
          <w:b/>
          <w:bCs/>
          <w:kern w:val="0"/>
          <w:sz w:val="22"/>
          <w:szCs w:val="22"/>
          <w:lang w:eastAsia="en-GB"/>
          <w14:ligatures w14:val="none"/>
        </w:rPr>
      </w:pPr>
    </w:p>
    <w:p w14:paraId="2C6F0215" w14:textId="5DE0F5D3" w:rsidR="004A46CD" w:rsidRPr="001D65FF" w:rsidRDefault="004A46CD" w:rsidP="00C335A7">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263A77">
        <w:rPr>
          <w:rFonts w:ascii="Arial" w:eastAsia="Times New Roman" w:hAnsi="Arial" w:cs="Arial"/>
          <w:b/>
          <w:bCs/>
          <w:kern w:val="0"/>
          <w:sz w:val="22"/>
          <w:szCs w:val="22"/>
          <w:lang w:eastAsia="en-GB"/>
          <w14:ligatures w14:val="none"/>
        </w:rPr>
        <w:t>Source 4</w:t>
      </w:r>
    </w:p>
    <w:p w14:paraId="39AFB965" w14:textId="77777777"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 xml:space="preserve">Seligman, M.E.P. (2011) </w:t>
      </w:r>
      <w:r w:rsidRPr="00263A77">
        <w:rPr>
          <w:rFonts w:ascii="Arial" w:eastAsia="Times New Roman" w:hAnsi="Arial" w:cs="Arial"/>
          <w:b/>
          <w:bCs/>
          <w:i/>
          <w:iCs/>
          <w:kern w:val="0"/>
          <w:sz w:val="22"/>
          <w:szCs w:val="22"/>
          <w:lang w:eastAsia="en-GB"/>
          <w14:ligatures w14:val="none"/>
        </w:rPr>
        <w:t>Flourish</w:t>
      </w:r>
      <w:r w:rsidRPr="00263A77">
        <w:rPr>
          <w:rFonts w:ascii="Arial" w:eastAsia="Times New Roman" w:hAnsi="Arial" w:cs="Arial"/>
          <w:b/>
          <w:bCs/>
          <w:kern w:val="0"/>
          <w:sz w:val="22"/>
          <w:szCs w:val="22"/>
          <w:lang w:eastAsia="en-GB"/>
          <w14:ligatures w14:val="none"/>
        </w:rPr>
        <w:t>. New York: Free Press.</w:t>
      </w:r>
    </w:p>
    <w:p w14:paraId="25682266"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Positive psychology focuses on improving wellbeing by promoting positive emotions, strengths, and meaningful experiences. Seligman introduced the PERMA model, which includes five elements: positive emotion, engagement, relationships, meaning, and achievement. These elements are believed to contribute to overall happiness and life satisfaction.</w:t>
      </w:r>
    </w:p>
    <w:p w14:paraId="26FC5A34"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This approach is useful in care homes because it encourages staff to focus on what residents can do rather than what they cannot. For example, encouraging social interaction, celebrating achievements, and providing enjoyable activities can improve residents’ mood and quality of life. It also supports a more person-centred approach to care. However, a limitation is that it may not fully address more serious mental health issues, such as depression or anxiety, which may require medical treatment alongside psychological support.</w:t>
      </w:r>
    </w:p>
    <w:p w14:paraId="4925F991" w14:textId="77777777" w:rsidR="004A46CD" w:rsidRPr="00E57946" w:rsidRDefault="004A46CD" w:rsidP="00C335A7">
      <w:pPr>
        <w:spacing w:line="360" w:lineRule="auto"/>
        <w:rPr>
          <w:rFonts w:ascii="Arial" w:hAnsi="Arial" w:cs="Arial"/>
          <w:sz w:val="22"/>
          <w:szCs w:val="22"/>
        </w:rPr>
      </w:pPr>
    </w:p>
    <w:p w14:paraId="14F0E4D0" w14:textId="77777777" w:rsidR="004A46CD" w:rsidRPr="00E57946" w:rsidRDefault="004A46CD" w:rsidP="00C335A7">
      <w:pPr>
        <w:spacing w:line="360" w:lineRule="auto"/>
        <w:rPr>
          <w:rFonts w:ascii="Arial" w:hAnsi="Arial" w:cs="Arial"/>
          <w:sz w:val="22"/>
          <w:szCs w:val="22"/>
        </w:rPr>
      </w:pPr>
    </w:p>
    <w:p w14:paraId="6466C318" w14:textId="77777777" w:rsidR="004A46CD" w:rsidRPr="00E57946" w:rsidRDefault="004A46CD" w:rsidP="00C335A7">
      <w:pPr>
        <w:spacing w:line="360" w:lineRule="auto"/>
        <w:rPr>
          <w:rFonts w:ascii="Arial" w:hAnsi="Arial" w:cs="Arial"/>
          <w:sz w:val="22"/>
          <w:szCs w:val="22"/>
        </w:rPr>
      </w:pPr>
    </w:p>
    <w:p w14:paraId="12D5ABCB" w14:textId="77777777" w:rsidR="004A46CD" w:rsidRPr="00E57946" w:rsidRDefault="004A46CD" w:rsidP="00C335A7">
      <w:pPr>
        <w:spacing w:line="360" w:lineRule="auto"/>
        <w:rPr>
          <w:rFonts w:ascii="Arial" w:hAnsi="Arial" w:cs="Arial"/>
          <w:sz w:val="22"/>
          <w:szCs w:val="22"/>
        </w:rPr>
      </w:pPr>
    </w:p>
    <w:p w14:paraId="00728A54" w14:textId="77777777" w:rsidR="004A46CD" w:rsidRDefault="004A46CD" w:rsidP="00C335A7">
      <w:pPr>
        <w:spacing w:line="360" w:lineRule="auto"/>
        <w:rPr>
          <w:rFonts w:ascii="Arial" w:hAnsi="Arial" w:cs="Arial"/>
          <w:sz w:val="22"/>
          <w:szCs w:val="22"/>
        </w:rPr>
      </w:pPr>
    </w:p>
    <w:p w14:paraId="6101FD48" w14:textId="77777777" w:rsidR="00C335A7" w:rsidRDefault="00C335A7" w:rsidP="00C335A7">
      <w:pPr>
        <w:spacing w:line="360" w:lineRule="auto"/>
        <w:rPr>
          <w:rFonts w:ascii="Arial" w:hAnsi="Arial" w:cs="Arial"/>
          <w:sz w:val="22"/>
          <w:szCs w:val="22"/>
        </w:rPr>
      </w:pPr>
    </w:p>
    <w:p w14:paraId="5AA180D1" w14:textId="77777777" w:rsidR="00C335A7" w:rsidRDefault="00C335A7" w:rsidP="00C335A7">
      <w:pPr>
        <w:spacing w:line="360" w:lineRule="auto"/>
        <w:rPr>
          <w:rFonts w:ascii="Arial" w:hAnsi="Arial" w:cs="Arial"/>
          <w:sz w:val="22"/>
          <w:szCs w:val="22"/>
        </w:rPr>
      </w:pPr>
    </w:p>
    <w:p w14:paraId="6D66AA0E" w14:textId="77777777" w:rsidR="00C335A7" w:rsidRDefault="00C335A7" w:rsidP="00C335A7">
      <w:pPr>
        <w:spacing w:line="360" w:lineRule="auto"/>
        <w:rPr>
          <w:rFonts w:ascii="Arial" w:hAnsi="Arial" w:cs="Arial"/>
          <w:sz w:val="22"/>
          <w:szCs w:val="22"/>
        </w:rPr>
      </w:pPr>
    </w:p>
    <w:p w14:paraId="2F8ADB18" w14:textId="77777777" w:rsidR="00C335A7" w:rsidRDefault="00C335A7" w:rsidP="00C335A7">
      <w:pPr>
        <w:spacing w:line="360" w:lineRule="auto"/>
        <w:rPr>
          <w:rFonts w:ascii="Arial" w:hAnsi="Arial" w:cs="Arial"/>
          <w:sz w:val="22"/>
          <w:szCs w:val="22"/>
        </w:rPr>
      </w:pPr>
    </w:p>
    <w:p w14:paraId="1AB75F6A" w14:textId="77777777" w:rsidR="00C335A7" w:rsidRDefault="00C335A7" w:rsidP="00C335A7">
      <w:pPr>
        <w:spacing w:line="360" w:lineRule="auto"/>
        <w:rPr>
          <w:rFonts w:ascii="Arial" w:hAnsi="Arial" w:cs="Arial"/>
          <w:sz w:val="22"/>
          <w:szCs w:val="22"/>
        </w:rPr>
      </w:pPr>
    </w:p>
    <w:p w14:paraId="6E2894B8" w14:textId="77777777" w:rsidR="00C335A7" w:rsidRPr="00E57946" w:rsidRDefault="00C335A7" w:rsidP="00C335A7">
      <w:pPr>
        <w:spacing w:line="360" w:lineRule="auto"/>
        <w:rPr>
          <w:rFonts w:ascii="Arial" w:hAnsi="Arial" w:cs="Arial"/>
          <w:sz w:val="22"/>
          <w:szCs w:val="22"/>
        </w:rPr>
      </w:pPr>
    </w:p>
    <w:p w14:paraId="45C5D496" w14:textId="77777777" w:rsidR="004A46CD" w:rsidRDefault="004A46CD" w:rsidP="00C335A7">
      <w:pPr>
        <w:spacing w:line="360" w:lineRule="auto"/>
        <w:rPr>
          <w:rFonts w:ascii="Arial" w:hAnsi="Arial" w:cs="Arial"/>
          <w:sz w:val="22"/>
          <w:szCs w:val="22"/>
        </w:rPr>
      </w:pPr>
    </w:p>
    <w:p w14:paraId="31A3263D" w14:textId="77777777" w:rsidR="001D65FF" w:rsidRDefault="001D65FF" w:rsidP="00C335A7">
      <w:pPr>
        <w:spacing w:line="360" w:lineRule="auto"/>
        <w:rPr>
          <w:rFonts w:ascii="Arial" w:hAnsi="Arial" w:cs="Arial"/>
          <w:sz w:val="22"/>
          <w:szCs w:val="22"/>
        </w:rPr>
      </w:pPr>
    </w:p>
    <w:p w14:paraId="7C83068E" w14:textId="77777777" w:rsidR="001D65FF" w:rsidRDefault="001D65FF" w:rsidP="00C335A7">
      <w:pPr>
        <w:spacing w:line="360" w:lineRule="auto"/>
        <w:rPr>
          <w:rFonts w:ascii="Arial" w:hAnsi="Arial" w:cs="Arial"/>
          <w:sz w:val="22"/>
          <w:szCs w:val="22"/>
        </w:rPr>
      </w:pPr>
    </w:p>
    <w:p w14:paraId="05EC72C2" w14:textId="77777777" w:rsidR="001D65FF" w:rsidRDefault="001D65FF" w:rsidP="00C335A7">
      <w:pPr>
        <w:spacing w:line="360" w:lineRule="auto"/>
        <w:rPr>
          <w:rFonts w:ascii="Arial" w:hAnsi="Arial" w:cs="Arial"/>
          <w:sz w:val="22"/>
          <w:szCs w:val="22"/>
        </w:rPr>
      </w:pPr>
    </w:p>
    <w:p w14:paraId="6F0730DB" w14:textId="77777777" w:rsidR="001D65FF" w:rsidRPr="001D65FF" w:rsidRDefault="001D65FF" w:rsidP="00C335A7">
      <w:pPr>
        <w:spacing w:line="360" w:lineRule="auto"/>
        <w:rPr>
          <w:rFonts w:ascii="Arial" w:hAnsi="Arial" w:cs="Arial"/>
          <w:sz w:val="40"/>
          <w:szCs w:val="40"/>
        </w:rPr>
      </w:pPr>
    </w:p>
    <w:p w14:paraId="1839977D" w14:textId="77777777" w:rsidR="004A46CD" w:rsidRPr="001D65FF" w:rsidRDefault="004A46CD" w:rsidP="00C335A7">
      <w:pPr>
        <w:spacing w:line="360" w:lineRule="auto"/>
        <w:rPr>
          <w:rFonts w:ascii="Arial" w:eastAsia="Times New Roman" w:hAnsi="Arial" w:cs="Arial"/>
          <w:b/>
          <w:bCs/>
          <w:kern w:val="36"/>
          <w:sz w:val="40"/>
          <w:szCs w:val="40"/>
          <w:lang w:eastAsia="en-GB"/>
          <w14:ligatures w14:val="none"/>
        </w:rPr>
      </w:pPr>
      <w:r w:rsidRPr="001D65FF">
        <w:rPr>
          <w:rFonts w:ascii="Arial" w:eastAsia="Times New Roman" w:hAnsi="Arial" w:cs="Arial"/>
          <w:b/>
          <w:bCs/>
          <w:kern w:val="36"/>
          <w:sz w:val="40"/>
          <w:szCs w:val="40"/>
          <w:lang w:eastAsia="en-GB"/>
          <w14:ligatures w14:val="none"/>
        </w:rPr>
        <w:t>Part B: Short Report</w:t>
      </w:r>
    </w:p>
    <w:p w14:paraId="7B4EC36C" w14:textId="77777777" w:rsidR="004A46CD" w:rsidRPr="00E57946" w:rsidRDefault="004A46CD" w:rsidP="00C335A7">
      <w:pPr>
        <w:spacing w:line="360" w:lineRule="auto"/>
        <w:rPr>
          <w:rFonts w:ascii="Arial" w:eastAsia="Times New Roman" w:hAnsi="Arial" w:cs="Arial"/>
          <w:b/>
          <w:bCs/>
          <w:kern w:val="0"/>
          <w:sz w:val="22"/>
          <w:szCs w:val="22"/>
          <w:lang w:eastAsia="en-GB"/>
          <w14:ligatures w14:val="none"/>
        </w:rPr>
      </w:pPr>
      <w:r w:rsidRPr="00263A77">
        <w:rPr>
          <w:rFonts w:ascii="Arial" w:eastAsia="Times New Roman" w:hAnsi="Arial" w:cs="Arial"/>
          <w:b/>
          <w:bCs/>
          <w:kern w:val="0"/>
          <w:sz w:val="22"/>
          <w:szCs w:val="22"/>
          <w:lang w:eastAsia="en-GB"/>
          <w14:ligatures w14:val="none"/>
        </w:rPr>
        <w:t>Using Activity Theory to Improve Wellbeing in a Care Home</w:t>
      </w:r>
    </w:p>
    <w:p w14:paraId="3E0F81F8" w14:textId="77777777" w:rsidR="004A46CD" w:rsidRDefault="004A46CD" w:rsidP="00C335A7">
      <w:pPr>
        <w:spacing w:line="360" w:lineRule="auto"/>
        <w:rPr>
          <w:rFonts w:ascii="Arial" w:eastAsia="Times New Roman" w:hAnsi="Arial" w:cs="Arial"/>
          <w:b/>
          <w:bCs/>
          <w:kern w:val="0"/>
          <w:sz w:val="22"/>
          <w:szCs w:val="22"/>
          <w:lang w:eastAsia="en-GB"/>
          <w14:ligatures w14:val="none"/>
        </w:rPr>
      </w:pPr>
    </w:p>
    <w:p w14:paraId="59406CD6" w14:textId="77777777" w:rsidR="00C335A7" w:rsidRDefault="00C335A7" w:rsidP="00C335A7">
      <w:pPr>
        <w:spacing w:line="360" w:lineRule="auto"/>
        <w:rPr>
          <w:rFonts w:ascii="Arial" w:eastAsia="Times New Roman" w:hAnsi="Arial" w:cs="Arial"/>
          <w:b/>
          <w:bCs/>
          <w:kern w:val="0"/>
          <w:sz w:val="22"/>
          <w:szCs w:val="22"/>
          <w:lang w:eastAsia="en-GB"/>
          <w14:ligatures w14:val="none"/>
        </w:rPr>
      </w:pPr>
    </w:p>
    <w:p w14:paraId="2ACD1362" w14:textId="77777777" w:rsidR="00C335A7" w:rsidRDefault="00C335A7" w:rsidP="00C335A7">
      <w:pPr>
        <w:spacing w:line="360" w:lineRule="auto"/>
        <w:rPr>
          <w:rFonts w:ascii="Arial" w:eastAsia="Times New Roman" w:hAnsi="Arial" w:cs="Arial"/>
          <w:b/>
          <w:bCs/>
          <w:kern w:val="0"/>
          <w:sz w:val="22"/>
          <w:szCs w:val="22"/>
          <w:lang w:eastAsia="en-GB"/>
          <w14:ligatures w14:val="none"/>
        </w:rPr>
      </w:pPr>
    </w:p>
    <w:p w14:paraId="5D73679E" w14:textId="77777777" w:rsidR="00C335A7" w:rsidRPr="00E57946" w:rsidRDefault="00C335A7" w:rsidP="00C335A7">
      <w:pPr>
        <w:spacing w:line="360" w:lineRule="auto"/>
        <w:rPr>
          <w:rFonts w:ascii="Arial" w:eastAsia="Times New Roman" w:hAnsi="Arial" w:cs="Arial"/>
          <w:b/>
          <w:bCs/>
          <w:kern w:val="0"/>
          <w:sz w:val="22"/>
          <w:szCs w:val="22"/>
          <w:lang w:eastAsia="en-GB"/>
          <w14:ligatures w14:val="none"/>
        </w:rPr>
      </w:pPr>
    </w:p>
    <w:p w14:paraId="0CD2FF94" w14:textId="17AC0A30" w:rsidR="004A46CD" w:rsidRPr="00263A77" w:rsidRDefault="004A46CD" w:rsidP="00C335A7">
      <w:pPr>
        <w:spacing w:line="360" w:lineRule="auto"/>
        <w:rPr>
          <w:rFonts w:ascii="Arial" w:eastAsia="Times New Roman" w:hAnsi="Arial" w:cs="Arial"/>
          <w:b/>
          <w:bCs/>
          <w:kern w:val="0"/>
          <w:sz w:val="22"/>
          <w:szCs w:val="22"/>
          <w:lang w:eastAsia="en-GB"/>
          <w14:ligatures w14:val="none"/>
        </w:rPr>
      </w:pPr>
      <w:r w:rsidRPr="00263A77">
        <w:rPr>
          <w:rFonts w:ascii="Arial" w:eastAsia="Times New Roman" w:hAnsi="Arial" w:cs="Arial"/>
          <w:b/>
          <w:bCs/>
          <w:kern w:val="0"/>
          <w:sz w:val="22"/>
          <w:szCs w:val="22"/>
          <w:lang w:eastAsia="en-GB"/>
          <w14:ligatures w14:val="none"/>
        </w:rPr>
        <w:t>Introduction</w:t>
      </w:r>
    </w:p>
    <w:p w14:paraId="15A38272" w14:textId="77777777" w:rsidR="004A46CD" w:rsidRPr="00E57946"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Psychological wellbeing is a key part of providing high-quality care for older adults in residential settings. Many individuals living in care homes may experience loneliness, loss of independence, or reduced social interaction, which can negatively affect their mental health. This report will explore how Havighurst’s Activity Theory can be applied in care homes to improve the wellbeing of residents. It will also include a real-life example and discuss a challenge that staff may face, along with a possible solution.</w:t>
      </w:r>
    </w:p>
    <w:p w14:paraId="1714F342" w14:textId="77777777" w:rsidR="004A46CD"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36E76E99"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4F6F56F8"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22C7AA3B"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36FB1C4F"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0E3223D"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57D6366"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307FDAD9" w14:textId="77777777"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5813A2E" w14:textId="530EEFD1" w:rsidR="004A46CD" w:rsidRDefault="004A46CD" w:rsidP="00C335A7">
      <w:pPr>
        <w:spacing w:after="0" w:line="360" w:lineRule="auto"/>
        <w:rPr>
          <w:rFonts w:ascii="Arial" w:eastAsia="Times New Roman" w:hAnsi="Arial" w:cs="Arial"/>
          <w:b/>
          <w:bCs/>
          <w:kern w:val="0"/>
          <w:sz w:val="22"/>
          <w:szCs w:val="22"/>
          <w:lang w:eastAsia="en-GB"/>
          <w14:ligatures w14:val="none"/>
        </w:rPr>
      </w:pPr>
      <w:r w:rsidRPr="00263A77">
        <w:rPr>
          <w:rFonts w:ascii="Arial" w:eastAsia="Times New Roman" w:hAnsi="Arial" w:cs="Arial"/>
          <w:b/>
          <w:bCs/>
          <w:kern w:val="0"/>
          <w:sz w:val="22"/>
          <w:szCs w:val="22"/>
          <w:lang w:eastAsia="en-GB"/>
          <w14:ligatures w14:val="none"/>
        </w:rPr>
        <w:lastRenderedPageBreak/>
        <w:t>Explanation of Activity Theory</w:t>
      </w:r>
    </w:p>
    <w:p w14:paraId="2A0DE695" w14:textId="77777777" w:rsidR="001D65FF" w:rsidRPr="001D65FF" w:rsidRDefault="001D65FF" w:rsidP="001D65FF">
      <w:pPr>
        <w:pStyle w:val="NormalWeb"/>
        <w:spacing w:line="360" w:lineRule="auto"/>
        <w:jc w:val="both"/>
        <w:rPr>
          <w:rFonts w:ascii="Arial" w:hAnsi="Arial" w:cs="Arial"/>
          <w:sz w:val="22"/>
          <w:szCs w:val="22"/>
        </w:rPr>
      </w:pPr>
      <w:r w:rsidRPr="001D65FF">
        <w:rPr>
          <w:rFonts w:ascii="Arial" w:hAnsi="Arial" w:cs="Arial"/>
          <w:sz w:val="22"/>
          <w:szCs w:val="22"/>
        </w:rPr>
        <w:t>Activity Theory suggests that older adults are more likely to feel satisfied, fulfilled, and happy when they remain active and socially engaged (Havighurst, 1961). This does not only refer to physical activity, such as walking or exercise, but also includes maintaining social relationships, taking part in hobbies, volunteering, and engaging in meaningful daily routines. The theory emphasizes that staying involved helps individuals preserve a strong sense of identity, independence, and purpose, even as they experience changes associated with ageing (Havighurst, 1961).</w:t>
      </w:r>
    </w:p>
    <w:p w14:paraId="7253A530" w14:textId="77777777" w:rsidR="001D65FF" w:rsidRPr="001D65FF" w:rsidRDefault="001D65FF" w:rsidP="001D65FF">
      <w:pPr>
        <w:pStyle w:val="NormalWeb"/>
        <w:spacing w:line="360" w:lineRule="auto"/>
        <w:jc w:val="both"/>
        <w:rPr>
          <w:rFonts w:ascii="Arial" w:hAnsi="Arial" w:cs="Arial"/>
          <w:sz w:val="22"/>
          <w:szCs w:val="22"/>
        </w:rPr>
      </w:pPr>
      <w:r w:rsidRPr="001D65FF">
        <w:rPr>
          <w:rFonts w:ascii="Arial" w:hAnsi="Arial" w:cs="Arial"/>
          <w:sz w:val="22"/>
          <w:szCs w:val="22"/>
        </w:rPr>
        <w:t>According to this theory, the roles people hold throughout their lives, such as being a worker, parent, or community member, contribute significantly to their self-esteem and overall wellbeing (Erikson, 1950). As people grow older, they may retire from work or experience life changes such as children leaving home or the loss of loved ones. Activity Theory argues that replacing these lost roles with new ones is essential (Havighurst, 1961). For example, an individual might take up volunteering, join social clubs, or develop new interests to maintain a sense of usefulness and belonging.</w:t>
      </w:r>
    </w:p>
    <w:p w14:paraId="0DF51216" w14:textId="77777777" w:rsidR="001D65FF" w:rsidRPr="001D65FF" w:rsidRDefault="001D65FF" w:rsidP="001D65FF">
      <w:pPr>
        <w:pStyle w:val="NormalWeb"/>
        <w:spacing w:line="360" w:lineRule="auto"/>
        <w:jc w:val="both"/>
        <w:rPr>
          <w:rFonts w:ascii="Arial" w:hAnsi="Arial" w:cs="Arial"/>
          <w:sz w:val="22"/>
          <w:szCs w:val="22"/>
        </w:rPr>
      </w:pPr>
      <w:r w:rsidRPr="001D65FF">
        <w:rPr>
          <w:rFonts w:ascii="Arial" w:hAnsi="Arial" w:cs="Arial"/>
          <w:sz w:val="22"/>
          <w:szCs w:val="22"/>
        </w:rPr>
        <w:t>Social interaction is particularly important within this theory. Regular contact with friends, family, and the wider community helps reduce feelings of loneliness and isolation. It also provides emotional support, which can improve mental health and resilience (Seligman, 2011). Engaging in group activities, such as community classes or clubs, can create opportunities for older adults to form new friendships and maintain social networks.</w:t>
      </w:r>
    </w:p>
    <w:p w14:paraId="0DC37BFC" w14:textId="77777777" w:rsidR="001D65FF" w:rsidRPr="001D65FF" w:rsidRDefault="001D65FF" w:rsidP="001D65FF">
      <w:pPr>
        <w:pStyle w:val="NormalWeb"/>
        <w:spacing w:line="360" w:lineRule="auto"/>
        <w:jc w:val="both"/>
        <w:rPr>
          <w:rFonts w:ascii="Arial" w:hAnsi="Arial" w:cs="Arial"/>
          <w:sz w:val="22"/>
          <w:szCs w:val="22"/>
        </w:rPr>
      </w:pPr>
      <w:r w:rsidRPr="001D65FF">
        <w:rPr>
          <w:rFonts w:ascii="Arial" w:hAnsi="Arial" w:cs="Arial"/>
          <w:sz w:val="22"/>
          <w:szCs w:val="22"/>
        </w:rPr>
        <w:t>In addition, remaining mentally and physically active can have positive effects on overall health. Participating in activities can help maintain cognitive function, improve mobility, and reduce the risk of certain health conditions. This contributes not only to a longer life but also to a higher quality of life (Seligman, 2011).</w:t>
      </w:r>
    </w:p>
    <w:p w14:paraId="1F78298C" w14:textId="77777777" w:rsidR="001D65FF" w:rsidRPr="001D65FF" w:rsidRDefault="001D65FF" w:rsidP="001D65FF">
      <w:pPr>
        <w:pStyle w:val="NormalWeb"/>
        <w:spacing w:line="360" w:lineRule="auto"/>
        <w:jc w:val="both"/>
        <w:rPr>
          <w:rFonts w:ascii="Arial" w:hAnsi="Arial" w:cs="Arial"/>
          <w:sz w:val="22"/>
          <w:szCs w:val="22"/>
        </w:rPr>
      </w:pPr>
      <w:r w:rsidRPr="001D65FF">
        <w:rPr>
          <w:rFonts w:ascii="Arial" w:hAnsi="Arial" w:cs="Arial"/>
          <w:sz w:val="22"/>
          <w:szCs w:val="22"/>
        </w:rPr>
        <w:t>However, Activity Theory also recognises that barriers may prevent some older adults from staying active. These barriers can include poor health, limited mobility, financial constraints, or lack of access to community resources. Therefore, support from family members, caregivers, and society is important to create opportunities that are accessible and inclusive.</w:t>
      </w:r>
    </w:p>
    <w:p w14:paraId="5FDE9FC6" w14:textId="77777777" w:rsidR="001D65FF" w:rsidRPr="001D65FF" w:rsidRDefault="001D65FF" w:rsidP="001D65FF">
      <w:pPr>
        <w:pStyle w:val="NormalWeb"/>
        <w:spacing w:line="360" w:lineRule="auto"/>
        <w:jc w:val="both"/>
        <w:rPr>
          <w:rFonts w:ascii="Arial" w:hAnsi="Arial" w:cs="Arial"/>
          <w:sz w:val="22"/>
          <w:szCs w:val="22"/>
        </w:rPr>
      </w:pPr>
      <w:r w:rsidRPr="001D65FF">
        <w:rPr>
          <w:rFonts w:ascii="Arial" w:hAnsi="Arial" w:cs="Arial"/>
          <w:sz w:val="22"/>
          <w:szCs w:val="22"/>
        </w:rPr>
        <w:t>In conclusion, Activity Theory highlights the importance of continued engagement in activities and social relationships as people age. By staying active and involved, older adults are more likely to maintain their wellbeing, independence, and sense of purpose, leading to greater life satisfaction and a more positive ageing experience (Havighurst, 1961).</w:t>
      </w:r>
    </w:p>
    <w:p w14:paraId="7D2D9011" w14:textId="77777777" w:rsidR="001D65FF" w:rsidRPr="00263A77" w:rsidRDefault="001D65FF" w:rsidP="00C335A7">
      <w:pPr>
        <w:spacing w:after="0" w:line="360" w:lineRule="auto"/>
        <w:rPr>
          <w:rFonts w:ascii="Arial" w:eastAsia="Times New Roman" w:hAnsi="Arial" w:cs="Arial"/>
          <w:kern w:val="0"/>
          <w:sz w:val="22"/>
          <w:szCs w:val="22"/>
          <w:lang w:eastAsia="en-GB"/>
          <w14:ligatures w14:val="none"/>
        </w:rPr>
      </w:pPr>
    </w:p>
    <w:p w14:paraId="2FA0FF25" w14:textId="77777777" w:rsidR="004A46CD" w:rsidRDefault="004A46CD" w:rsidP="00C335A7">
      <w:pPr>
        <w:spacing w:after="0" w:line="360" w:lineRule="auto"/>
        <w:rPr>
          <w:rFonts w:ascii="Arial" w:eastAsia="Times New Roman" w:hAnsi="Arial" w:cs="Arial"/>
          <w:kern w:val="0"/>
          <w:sz w:val="22"/>
          <w:szCs w:val="22"/>
          <w:lang w:eastAsia="en-GB"/>
          <w14:ligatures w14:val="none"/>
        </w:rPr>
      </w:pPr>
    </w:p>
    <w:p w14:paraId="36814EBE" w14:textId="4E690056" w:rsidR="004A46CD" w:rsidRPr="00263A77" w:rsidRDefault="004A46CD" w:rsidP="001D65FF">
      <w:pPr>
        <w:spacing w:after="0"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Application in Practice</w:t>
      </w:r>
    </w:p>
    <w:p w14:paraId="19B6B215"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 xml:space="preserve">In a care home setting, Activity Theory can be applied by providing a range of activities that meet the different needs and interests of residents. These activities could include group exercises, arts and crafts, music sessions, or social events. It is important that staff consider </w:t>
      </w:r>
      <w:proofErr w:type="gramStart"/>
      <w:r w:rsidRPr="00263A77">
        <w:rPr>
          <w:rFonts w:ascii="Arial" w:eastAsia="Times New Roman" w:hAnsi="Arial" w:cs="Arial"/>
          <w:kern w:val="0"/>
          <w:sz w:val="22"/>
          <w:szCs w:val="22"/>
          <w:lang w:eastAsia="en-GB"/>
          <w14:ligatures w14:val="none"/>
        </w:rPr>
        <w:t>each individual’s</w:t>
      </w:r>
      <w:proofErr w:type="gramEnd"/>
      <w:r w:rsidRPr="00263A77">
        <w:rPr>
          <w:rFonts w:ascii="Arial" w:eastAsia="Times New Roman" w:hAnsi="Arial" w:cs="Arial"/>
          <w:kern w:val="0"/>
          <w:sz w:val="22"/>
          <w:szCs w:val="22"/>
          <w:lang w:eastAsia="en-GB"/>
          <w14:ligatures w14:val="none"/>
        </w:rPr>
        <w:t xml:space="preserve"> preferences, abilities, and past experiences when planning activities.</w:t>
      </w:r>
    </w:p>
    <w:p w14:paraId="10DA880E"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For example, if a resident previously enjoyed cooking, they could be involved in simple food preparation tasks. Similarly, someone who enjoys reading could take part in a book group. By allowing residents to continue activities they enjoy, staff can help them maintain a sense of identity and independence.</w:t>
      </w:r>
    </w:p>
    <w:p w14:paraId="2AA22BF2"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Staff also play an important role in encouraging participation. Building positive relationships with residents can help them feel more comfortable and willing to join activities. A supportive and inclusive environment is key to successfully applying this theory.</w:t>
      </w:r>
    </w:p>
    <w:p w14:paraId="0545CB95" w14:textId="77777777" w:rsidR="004A46CD" w:rsidRDefault="004A46CD" w:rsidP="001D65FF">
      <w:pPr>
        <w:spacing w:after="0" w:line="360" w:lineRule="auto"/>
        <w:jc w:val="both"/>
        <w:rPr>
          <w:rFonts w:ascii="Arial" w:eastAsia="Times New Roman" w:hAnsi="Arial" w:cs="Arial"/>
          <w:kern w:val="0"/>
          <w:sz w:val="22"/>
          <w:szCs w:val="22"/>
          <w:lang w:eastAsia="en-GB"/>
          <w14:ligatures w14:val="none"/>
        </w:rPr>
      </w:pPr>
    </w:p>
    <w:p w14:paraId="20ABCF1F" w14:textId="77777777" w:rsidR="00C335A7" w:rsidRDefault="00C335A7" w:rsidP="001D65FF">
      <w:pPr>
        <w:spacing w:after="0" w:line="360" w:lineRule="auto"/>
        <w:jc w:val="both"/>
        <w:rPr>
          <w:rFonts w:ascii="Arial" w:eastAsia="Times New Roman" w:hAnsi="Arial" w:cs="Arial"/>
          <w:kern w:val="0"/>
          <w:sz w:val="22"/>
          <w:szCs w:val="22"/>
          <w:lang w:eastAsia="en-GB"/>
          <w14:ligatures w14:val="none"/>
        </w:rPr>
      </w:pPr>
    </w:p>
    <w:p w14:paraId="78380A0A" w14:textId="77777777" w:rsidR="00C335A7" w:rsidRDefault="00C335A7" w:rsidP="001D65FF">
      <w:pPr>
        <w:spacing w:after="0" w:line="360" w:lineRule="auto"/>
        <w:jc w:val="both"/>
        <w:rPr>
          <w:rFonts w:ascii="Arial" w:eastAsia="Times New Roman" w:hAnsi="Arial" w:cs="Arial"/>
          <w:kern w:val="0"/>
          <w:sz w:val="22"/>
          <w:szCs w:val="22"/>
          <w:lang w:eastAsia="en-GB"/>
          <w14:ligatures w14:val="none"/>
        </w:rPr>
      </w:pPr>
    </w:p>
    <w:p w14:paraId="4C3D4810" w14:textId="77777777" w:rsidR="00C335A7" w:rsidRDefault="00C335A7" w:rsidP="001D65FF">
      <w:pPr>
        <w:spacing w:after="0" w:line="360" w:lineRule="auto"/>
        <w:jc w:val="both"/>
        <w:rPr>
          <w:rFonts w:ascii="Arial" w:eastAsia="Times New Roman" w:hAnsi="Arial" w:cs="Arial"/>
          <w:kern w:val="0"/>
          <w:sz w:val="22"/>
          <w:szCs w:val="22"/>
          <w:lang w:eastAsia="en-GB"/>
          <w14:ligatures w14:val="none"/>
        </w:rPr>
      </w:pPr>
    </w:p>
    <w:p w14:paraId="058BA0A1" w14:textId="77777777" w:rsidR="00C335A7" w:rsidRPr="00E57946" w:rsidRDefault="00C335A7" w:rsidP="001D65FF">
      <w:pPr>
        <w:spacing w:after="0" w:line="360" w:lineRule="auto"/>
        <w:jc w:val="both"/>
        <w:rPr>
          <w:rFonts w:ascii="Arial" w:eastAsia="Times New Roman" w:hAnsi="Arial" w:cs="Arial"/>
          <w:kern w:val="0"/>
          <w:sz w:val="22"/>
          <w:szCs w:val="22"/>
          <w:lang w:eastAsia="en-GB"/>
          <w14:ligatures w14:val="none"/>
        </w:rPr>
      </w:pPr>
    </w:p>
    <w:p w14:paraId="499E7976" w14:textId="77777777" w:rsidR="004A46CD" w:rsidRPr="00E57946" w:rsidRDefault="004A46CD" w:rsidP="001D65FF">
      <w:pPr>
        <w:spacing w:after="0" w:line="360" w:lineRule="auto"/>
        <w:jc w:val="both"/>
        <w:rPr>
          <w:rFonts w:ascii="Arial" w:eastAsia="Times New Roman" w:hAnsi="Arial" w:cs="Arial"/>
          <w:kern w:val="0"/>
          <w:sz w:val="22"/>
          <w:szCs w:val="22"/>
          <w:lang w:eastAsia="en-GB"/>
          <w14:ligatures w14:val="none"/>
        </w:rPr>
      </w:pPr>
    </w:p>
    <w:p w14:paraId="0DCC9083" w14:textId="619FC6E7" w:rsidR="004A46CD" w:rsidRPr="00263A77" w:rsidRDefault="004A46CD" w:rsidP="001D65FF">
      <w:pPr>
        <w:spacing w:after="0"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Case Example</w:t>
      </w:r>
    </w:p>
    <w:p w14:paraId="7BD0BB17"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For instance, consider a resident called Mrs Jones, who is 82 years old. After moving into a care home, she became withdrawn and stopped interacting with others. Staff later found out that she used to enjoy gardening. They introduced her to a small gardening activity within the care home, where she could help look after plants.</w:t>
      </w:r>
    </w:p>
    <w:p w14:paraId="11A668D4"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Over time, Mrs Jones began to engage more with the activity and started talking to other residents who shared similar interests. This helped improve her mood, confidence, and overall wellbeing. This example shows how applying Activity Theory can have a positive impact when activities are personalised.</w:t>
      </w:r>
    </w:p>
    <w:p w14:paraId="0E13B221" w14:textId="77777777" w:rsidR="004A46CD" w:rsidRDefault="004A46CD" w:rsidP="00C335A7">
      <w:pPr>
        <w:spacing w:after="0" w:line="360" w:lineRule="auto"/>
        <w:rPr>
          <w:rFonts w:ascii="Arial" w:eastAsia="Times New Roman" w:hAnsi="Arial" w:cs="Arial"/>
          <w:kern w:val="0"/>
          <w:sz w:val="22"/>
          <w:szCs w:val="22"/>
          <w:lang w:eastAsia="en-GB"/>
          <w14:ligatures w14:val="none"/>
        </w:rPr>
      </w:pPr>
    </w:p>
    <w:p w14:paraId="3D1B4E1F" w14:textId="77777777" w:rsidR="00C335A7" w:rsidRDefault="00C335A7" w:rsidP="00C335A7">
      <w:pPr>
        <w:spacing w:after="0" w:line="360" w:lineRule="auto"/>
        <w:rPr>
          <w:rFonts w:ascii="Arial" w:eastAsia="Times New Roman" w:hAnsi="Arial" w:cs="Arial"/>
          <w:kern w:val="0"/>
          <w:sz w:val="22"/>
          <w:szCs w:val="22"/>
          <w:lang w:eastAsia="en-GB"/>
          <w14:ligatures w14:val="none"/>
        </w:rPr>
      </w:pPr>
    </w:p>
    <w:p w14:paraId="5C9A0BA5" w14:textId="77777777" w:rsidR="00C335A7" w:rsidRPr="00E57946" w:rsidRDefault="00C335A7" w:rsidP="00C335A7">
      <w:pPr>
        <w:spacing w:after="0" w:line="360" w:lineRule="auto"/>
        <w:rPr>
          <w:rFonts w:ascii="Arial" w:eastAsia="Times New Roman" w:hAnsi="Arial" w:cs="Arial"/>
          <w:kern w:val="0"/>
          <w:sz w:val="22"/>
          <w:szCs w:val="22"/>
          <w:lang w:eastAsia="en-GB"/>
          <w14:ligatures w14:val="none"/>
        </w:rPr>
      </w:pPr>
    </w:p>
    <w:p w14:paraId="771400CF" w14:textId="77777777" w:rsidR="004A46CD" w:rsidRPr="00E57946" w:rsidRDefault="004A46CD" w:rsidP="00C335A7">
      <w:pPr>
        <w:spacing w:after="0" w:line="360" w:lineRule="auto"/>
        <w:rPr>
          <w:rFonts w:ascii="Arial" w:eastAsia="Times New Roman" w:hAnsi="Arial" w:cs="Arial"/>
          <w:kern w:val="0"/>
          <w:sz w:val="22"/>
          <w:szCs w:val="22"/>
          <w:lang w:eastAsia="en-GB"/>
          <w14:ligatures w14:val="none"/>
        </w:rPr>
      </w:pPr>
    </w:p>
    <w:p w14:paraId="46668856" w14:textId="77777777" w:rsidR="004A46CD" w:rsidRPr="00E57946" w:rsidRDefault="004A46CD" w:rsidP="00C335A7">
      <w:pPr>
        <w:spacing w:after="0" w:line="360" w:lineRule="auto"/>
        <w:rPr>
          <w:rFonts w:ascii="Arial" w:eastAsia="Times New Roman" w:hAnsi="Arial" w:cs="Arial"/>
          <w:kern w:val="0"/>
          <w:sz w:val="22"/>
          <w:szCs w:val="22"/>
          <w:lang w:eastAsia="en-GB"/>
          <w14:ligatures w14:val="none"/>
        </w:rPr>
      </w:pPr>
    </w:p>
    <w:p w14:paraId="64DCD88B" w14:textId="55700B18" w:rsidR="004A46CD" w:rsidRPr="00263A77" w:rsidRDefault="004A46CD" w:rsidP="00C335A7">
      <w:pPr>
        <w:spacing w:after="0"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Challenge and Solution</w:t>
      </w:r>
    </w:p>
    <w:p w14:paraId="076C3F11"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One challenge when applying Activity Theory is that some residents may not want to participate in activities or may have physical or cognitive limitations. For example, individuals with dementia may feel confused or overwhelmed, while others may lack motivation due to depression.</w:t>
      </w:r>
    </w:p>
    <w:p w14:paraId="5EBC183C"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 xml:space="preserve">To overcome this, staff should use a person-centred approach. Activities should be adapted to suit </w:t>
      </w:r>
      <w:proofErr w:type="gramStart"/>
      <w:r w:rsidRPr="00263A77">
        <w:rPr>
          <w:rFonts w:ascii="Arial" w:eastAsia="Times New Roman" w:hAnsi="Arial" w:cs="Arial"/>
          <w:kern w:val="0"/>
          <w:sz w:val="22"/>
          <w:szCs w:val="22"/>
          <w:lang w:eastAsia="en-GB"/>
          <w14:ligatures w14:val="none"/>
        </w:rPr>
        <w:t>each individual’s</w:t>
      </w:r>
      <w:proofErr w:type="gramEnd"/>
      <w:r w:rsidRPr="00263A77">
        <w:rPr>
          <w:rFonts w:ascii="Arial" w:eastAsia="Times New Roman" w:hAnsi="Arial" w:cs="Arial"/>
          <w:kern w:val="0"/>
          <w:sz w:val="22"/>
          <w:szCs w:val="22"/>
          <w:lang w:eastAsia="en-GB"/>
          <w14:ligatures w14:val="none"/>
        </w:rPr>
        <w:t xml:space="preserve"> abilities and needs. For example, simpler or shorter activities can be provided for those who struggle with concentration. One-to-one support can also help residents feel more comfortable. It is also important to encourage participation gradually rather than forcing involvement.</w:t>
      </w:r>
    </w:p>
    <w:p w14:paraId="70FAA450" w14:textId="77777777" w:rsidR="004A46CD" w:rsidRPr="00263A7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Providing choice is another effective strategy. When residents feel they have control over their decisions, they are more likely to engage. Staff should also be patient and understanding, as building confidence can take time.</w:t>
      </w:r>
    </w:p>
    <w:p w14:paraId="48CD7C90" w14:textId="77777777" w:rsidR="004A46CD" w:rsidRDefault="004A46CD" w:rsidP="00C335A7">
      <w:pPr>
        <w:spacing w:after="0" w:line="360" w:lineRule="auto"/>
        <w:rPr>
          <w:rFonts w:ascii="Arial" w:eastAsia="Times New Roman" w:hAnsi="Arial" w:cs="Arial"/>
          <w:kern w:val="0"/>
          <w:sz w:val="22"/>
          <w:szCs w:val="22"/>
          <w:lang w:eastAsia="en-GB"/>
          <w14:ligatures w14:val="none"/>
        </w:rPr>
      </w:pPr>
    </w:p>
    <w:p w14:paraId="30E8667E" w14:textId="77777777" w:rsidR="00C335A7" w:rsidRDefault="00C335A7" w:rsidP="00C335A7">
      <w:pPr>
        <w:spacing w:after="0" w:line="360" w:lineRule="auto"/>
        <w:rPr>
          <w:rFonts w:ascii="Arial" w:eastAsia="Times New Roman" w:hAnsi="Arial" w:cs="Arial"/>
          <w:kern w:val="0"/>
          <w:sz w:val="22"/>
          <w:szCs w:val="22"/>
          <w:lang w:eastAsia="en-GB"/>
          <w14:ligatures w14:val="none"/>
        </w:rPr>
      </w:pPr>
    </w:p>
    <w:p w14:paraId="4527FBF1" w14:textId="77777777" w:rsidR="00C335A7" w:rsidRDefault="00C335A7" w:rsidP="00C335A7">
      <w:pPr>
        <w:spacing w:after="0" w:line="360" w:lineRule="auto"/>
        <w:rPr>
          <w:rFonts w:ascii="Arial" w:eastAsia="Times New Roman" w:hAnsi="Arial" w:cs="Arial"/>
          <w:kern w:val="0"/>
          <w:sz w:val="22"/>
          <w:szCs w:val="22"/>
          <w:lang w:eastAsia="en-GB"/>
          <w14:ligatures w14:val="none"/>
        </w:rPr>
      </w:pPr>
    </w:p>
    <w:p w14:paraId="58C0BF4A" w14:textId="77777777" w:rsidR="00C335A7" w:rsidRDefault="00C335A7" w:rsidP="00C335A7">
      <w:pPr>
        <w:spacing w:after="0" w:line="360" w:lineRule="auto"/>
        <w:rPr>
          <w:rFonts w:ascii="Arial" w:eastAsia="Times New Roman" w:hAnsi="Arial" w:cs="Arial"/>
          <w:kern w:val="0"/>
          <w:sz w:val="22"/>
          <w:szCs w:val="22"/>
          <w:lang w:eastAsia="en-GB"/>
          <w14:ligatures w14:val="none"/>
        </w:rPr>
      </w:pPr>
    </w:p>
    <w:p w14:paraId="7EA2A890" w14:textId="77777777" w:rsidR="00C335A7" w:rsidRPr="00E57946" w:rsidRDefault="00C335A7" w:rsidP="00C335A7">
      <w:pPr>
        <w:spacing w:after="0" w:line="360" w:lineRule="auto"/>
        <w:rPr>
          <w:rFonts w:ascii="Arial" w:eastAsia="Times New Roman" w:hAnsi="Arial" w:cs="Arial"/>
          <w:kern w:val="0"/>
          <w:sz w:val="22"/>
          <w:szCs w:val="22"/>
          <w:lang w:eastAsia="en-GB"/>
          <w14:ligatures w14:val="none"/>
        </w:rPr>
      </w:pPr>
    </w:p>
    <w:p w14:paraId="73104FC1" w14:textId="77777777" w:rsidR="004A46CD" w:rsidRPr="00E57946" w:rsidRDefault="004A46CD" w:rsidP="00C335A7">
      <w:pPr>
        <w:spacing w:after="0" w:line="360" w:lineRule="auto"/>
        <w:rPr>
          <w:rFonts w:ascii="Arial" w:eastAsia="Times New Roman" w:hAnsi="Arial" w:cs="Arial"/>
          <w:kern w:val="0"/>
          <w:sz w:val="22"/>
          <w:szCs w:val="22"/>
          <w:lang w:eastAsia="en-GB"/>
          <w14:ligatures w14:val="none"/>
        </w:rPr>
      </w:pPr>
    </w:p>
    <w:p w14:paraId="4421D4D4" w14:textId="0E306E9E" w:rsidR="004A46CD" w:rsidRPr="00263A77" w:rsidRDefault="004A46CD" w:rsidP="00C335A7">
      <w:pPr>
        <w:spacing w:after="0"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0"/>
          <w:sz w:val="22"/>
          <w:szCs w:val="22"/>
          <w:lang w:eastAsia="en-GB"/>
          <w14:ligatures w14:val="none"/>
        </w:rPr>
        <w:t>Conclusion</w:t>
      </w:r>
    </w:p>
    <w:p w14:paraId="32D6E33B" w14:textId="247BCEF9" w:rsidR="00C335A7" w:rsidRDefault="004A46CD" w:rsidP="001D65FF">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In conclusion, Activity Theory is a useful approach for improving psychological wellbeing in older adults living in care homes. By encouraging residents to stay active and socially engaged, staff can help reduce loneliness and improve quality of life. Although there are challenges in applying this theory, these can be addressed through personalised care and adaptable activities. Overall, supporting residents to remain involved in meaningful activities is essential for promoting positive wellbeing.</w:t>
      </w:r>
    </w:p>
    <w:p w14:paraId="2D4F77A0"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74B11C15" w14:textId="77777777" w:rsidR="00C335A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135A7D97" w14:textId="77777777" w:rsidR="00C335A7" w:rsidRPr="00263A77" w:rsidRDefault="00C335A7" w:rsidP="00C335A7">
      <w:pPr>
        <w:spacing w:before="100" w:beforeAutospacing="1" w:after="100" w:afterAutospacing="1" w:line="360" w:lineRule="auto"/>
        <w:rPr>
          <w:rFonts w:ascii="Arial" w:eastAsia="Times New Roman" w:hAnsi="Arial" w:cs="Arial"/>
          <w:kern w:val="0"/>
          <w:sz w:val="22"/>
          <w:szCs w:val="22"/>
          <w:lang w:eastAsia="en-GB"/>
          <w14:ligatures w14:val="none"/>
        </w:rPr>
      </w:pPr>
    </w:p>
    <w:p w14:paraId="74E27578" w14:textId="77777777" w:rsidR="004A46CD" w:rsidRPr="00E57946" w:rsidRDefault="004A46CD" w:rsidP="00C335A7">
      <w:pPr>
        <w:spacing w:after="0" w:line="360" w:lineRule="auto"/>
        <w:rPr>
          <w:rFonts w:ascii="Arial" w:eastAsia="Times New Roman" w:hAnsi="Arial" w:cs="Arial"/>
          <w:kern w:val="0"/>
          <w:sz w:val="22"/>
          <w:szCs w:val="22"/>
          <w:lang w:eastAsia="en-GB"/>
          <w14:ligatures w14:val="none"/>
        </w:rPr>
      </w:pPr>
    </w:p>
    <w:p w14:paraId="0F71657E" w14:textId="6835D969" w:rsidR="004A46CD" w:rsidRPr="00263A77" w:rsidRDefault="004A46CD" w:rsidP="00C335A7">
      <w:pPr>
        <w:spacing w:after="0" w:line="360" w:lineRule="auto"/>
        <w:rPr>
          <w:rFonts w:ascii="Arial" w:eastAsia="Times New Roman" w:hAnsi="Arial" w:cs="Arial"/>
          <w:kern w:val="0"/>
          <w:sz w:val="22"/>
          <w:szCs w:val="22"/>
          <w:lang w:eastAsia="en-GB"/>
          <w14:ligatures w14:val="none"/>
        </w:rPr>
      </w:pPr>
      <w:r w:rsidRPr="00263A77">
        <w:rPr>
          <w:rFonts w:ascii="Arial" w:eastAsia="Times New Roman" w:hAnsi="Arial" w:cs="Arial"/>
          <w:b/>
          <w:bCs/>
          <w:kern w:val="36"/>
          <w:sz w:val="22"/>
          <w:szCs w:val="22"/>
          <w:lang w:eastAsia="en-GB"/>
          <w14:ligatures w14:val="none"/>
        </w:rPr>
        <w:t>Reference List</w:t>
      </w:r>
    </w:p>
    <w:p w14:paraId="0C4F5889" w14:textId="77777777" w:rsidR="004A46CD" w:rsidRPr="00263A77" w:rsidRDefault="004A46CD" w:rsidP="00C335A7">
      <w:pPr>
        <w:spacing w:before="100" w:beforeAutospacing="1" w:after="100" w:afterAutospacing="1" w:line="360" w:lineRule="auto"/>
        <w:rPr>
          <w:rFonts w:ascii="Arial" w:eastAsia="Times New Roman" w:hAnsi="Arial" w:cs="Arial"/>
          <w:kern w:val="0"/>
          <w:sz w:val="22"/>
          <w:szCs w:val="22"/>
          <w:lang w:eastAsia="en-GB"/>
          <w14:ligatures w14:val="none"/>
        </w:rPr>
      </w:pPr>
      <w:r w:rsidRPr="00263A77">
        <w:rPr>
          <w:rFonts w:ascii="Arial" w:eastAsia="Times New Roman" w:hAnsi="Arial" w:cs="Arial"/>
          <w:kern w:val="0"/>
          <w:sz w:val="22"/>
          <w:szCs w:val="22"/>
          <w:lang w:eastAsia="en-GB"/>
          <w14:ligatures w14:val="none"/>
        </w:rPr>
        <w:t xml:space="preserve">Bowlby, J. (1969) </w:t>
      </w:r>
      <w:r w:rsidRPr="00263A77">
        <w:rPr>
          <w:rFonts w:ascii="Arial" w:eastAsia="Times New Roman" w:hAnsi="Arial" w:cs="Arial"/>
          <w:i/>
          <w:iCs/>
          <w:kern w:val="0"/>
          <w:sz w:val="22"/>
          <w:szCs w:val="22"/>
          <w:lang w:eastAsia="en-GB"/>
          <w14:ligatures w14:val="none"/>
        </w:rPr>
        <w:t>Attachment and Loss</w:t>
      </w:r>
      <w:r w:rsidRPr="00263A77">
        <w:rPr>
          <w:rFonts w:ascii="Arial" w:eastAsia="Times New Roman" w:hAnsi="Arial" w:cs="Arial"/>
          <w:kern w:val="0"/>
          <w:sz w:val="22"/>
          <w:szCs w:val="22"/>
          <w:lang w:eastAsia="en-GB"/>
          <w14:ligatures w14:val="none"/>
        </w:rPr>
        <w:t>. London: Hogarth Press.</w:t>
      </w:r>
      <w:r w:rsidRPr="00263A77">
        <w:rPr>
          <w:rFonts w:ascii="Arial" w:eastAsia="Times New Roman" w:hAnsi="Arial" w:cs="Arial"/>
          <w:kern w:val="0"/>
          <w:sz w:val="22"/>
          <w:szCs w:val="22"/>
          <w:lang w:eastAsia="en-GB"/>
          <w14:ligatures w14:val="none"/>
        </w:rPr>
        <w:br/>
        <w:t xml:space="preserve">Erikson, E.H. (1950) </w:t>
      </w:r>
      <w:r w:rsidRPr="00263A77">
        <w:rPr>
          <w:rFonts w:ascii="Arial" w:eastAsia="Times New Roman" w:hAnsi="Arial" w:cs="Arial"/>
          <w:i/>
          <w:iCs/>
          <w:kern w:val="0"/>
          <w:sz w:val="22"/>
          <w:szCs w:val="22"/>
          <w:lang w:eastAsia="en-GB"/>
          <w14:ligatures w14:val="none"/>
        </w:rPr>
        <w:t>Childhood and Society</w:t>
      </w:r>
      <w:r w:rsidRPr="00263A77">
        <w:rPr>
          <w:rFonts w:ascii="Arial" w:eastAsia="Times New Roman" w:hAnsi="Arial" w:cs="Arial"/>
          <w:kern w:val="0"/>
          <w:sz w:val="22"/>
          <w:szCs w:val="22"/>
          <w:lang w:eastAsia="en-GB"/>
          <w14:ligatures w14:val="none"/>
        </w:rPr>
        <w:t>. New York: Norton.</w:t>
      </w:r>
      <w:r w:rsidRPr="00263A77">
        <w:rPr>
          <w:rFonts w:ascii="Arial" w:eastAsia="Times New Roman" w:hAnsi="Arial" w:cs="Arial"/>
          <w:kern w:val="0"/>
          <w:sz w:val="22"/>
          <w:szCs w:val="22"/>
          <w:lang w:eastAsia="en-GB"/>
          <w14:ligatures w14:val="none"/>
        </w:rPr>
        <w:br/>
        <w:t xml:space="preserve">Havighurst, R.J. (1961) ‘Successful ageing’, </w:t>
      </w:r>
      <w:r w:rsidRPr="00263A77">
        <w:rPr>
          <w:rFonts w:ascii="Arial" w:eastAsia="Times New Roman" w:hAnsi="Arial" w:cs="Arial"/>
          <w:i/>
          <w:iCs/>
          <w:kern w:val="0"/>
          <w:sz w:val="22"/>
          <w:szCs w:val="22"/>
          <w:lang w:eastAsia="en-GB"/>
          <w14:ligatures w14:val="none"/>
        </w:rPr>
        <w:t>The Gerontologist</w:t>
      </w:r>
      <w:r w:rsidRPr="00263A77">
        <w:rPr>
          <w:rFonts w:ascii="Arial" w:eastAsia="Times New Roman" w:hAnsi="Arial" w:cs="Arial"/>
          <w:kern w:val="0"/>
          <w:sz w:val="22"/>
          <w:szCs w:val="22"/>
          <w:lang w:eastAsia="en-GB"/>
          <w14:ligatures w14:val="none"/>
        </w:rPr>
        <w:t>, 1(1), pp. 8–13.</w:t>
      </w:r>
      <w:r w:rsidRPr="00263A77">
        <w:rPr>
          <w:rFonts w:ascii="Arial" w:eastAsia="Times New Roman" w:hAnsi="Arial" w:cs="Arial"/>
          <w:kern w:val="0"/>
          <w:sz w:val="22"/>
          <w:szCs w:val="22"/>
          <w:lang w:eastAsia="en-GB"/>
          <w14:ligatures w14:val="none"/>
        </w:rPr>
        <w:br/>
        <w:t xml:space="preserve">Seligman, M.E.P. (2011) </w:t>
      </w:r>
      <w:r w:rsidRPr="00263A77">
        <w:rPr>
          <w:rFonts w:ascii="Arial" w:eastAsia="Times New Roman" w:hAnsi="Arial" w:cs="Arial"/>
          <w:i/>
          <w:iCs/>
          <w:kern w:val="0"/>
          <w:sz w:val="22"/>
          <w:szCs w:val="22"/>
          <w:lang w:eastAsia="en-GB"/>
          <w14:ligatures w14:val="none"/>
        </w:rPr>
        <w:t>Flourish</w:t>
      </w:r>
      <w:r w:rsidRPr="00263A77">
        <w:rPr>
          <w:rFonts w:ascii="Arial" w:eastAsia="Times New Roman" w:hAnsi="Arial" w:cs="Arial"/>
          <w:kern w:val="0"/>
          <w:sz w:val="22"/>
          <w:szCs w:val="22"/>
          <w:lang w:eastAsia="en-GB"/>
          <w14:ligatures w14:val="none"/>
        </w:rPr>
        <w:t>. New York: Free Press.</w:t>
      </w:r>
    </w:p>
    <w:p w14:paraId="55C536ED" w14:textId="77777777" w:rsidR="004A46CD" w:rsidRPr="00263A77" w:rsidRDefault="004A46CD" w:rsidP="00C335A7">
      <w:pPr>
        <w:spacing w:line="360" w:lineRule="auto"/>
        <w:rPr>
          <w:rFonts w:ascii="Times New Roman" w:eastAsia="Times New Roman" w:hAnsi="Times New Roman" w:cs="Times New Roman"/>
          <w:b/>
          <w:bCs/>
          <w:kern w:val="36"/>
          <w:sz w:val="48"/>
          <w:szCs w:val="48"/>
          <w:lang w:eastAsia="en-GB"/>
          <w14:ligatures w14:val="none"/>
        </w:rPr>
      </w:pPr>
    </w:p>
    <w:p w14:paraId="61BB938F" w14:textId="77777777" w:rsidR="004A46CD" w:rsidRDefault="004A46CD">
      <w:pPr>
        <w:rPr>
          <w:rFonts w:ascii="Times New Roman" w:eastAsia="Times New Roman" w:hAnsi="Times New Roman" w:cs="Times New Roman"/>
          <w:b/>
          <w:bCs/>
          <w:kern w:val="36"/>
          <w:sz w:val="48"/>
          <w:szCs w:val="48"/>
          <w:lang w:eastAsia="en-GB"/>
          <w14:ligatures w14:val="none"/>
        </w:rPr>
      </w:pPr>
    </w:p>
    <w:p w14:paraId="04E3C62A" w14:textId="77777777" w:rsidR="004A46CD" w:rsidRDefault="004A46CD">
      <w:pPr>
        <w:rPr>
          <w:rFonts w:ascii="Times New Roman" w:eastAsia="Times New Roman" w:hAnsi="Times New Roman" w:cs="Times New Roman"/>
          <w:b/>
          <w:bCs/>
          <w:kern w:val="36"/>
          <w:sz w:val="48"/>
          <w:szCs w:val="48"/>
          <w:lang w:eastAsia="en-GB"/>
          <w14:ligatures w14:val="none"/>
        </w:rPr>
      </w:pPr>
    </w:p>
    <w:p w14:paraId="7A97332F" w14:textId="77777777" w:rsidR="004A46CD" w:rsidRDefault="004A46CD">
      <w:pPr>
        <w:rPr>
          <w:rFonts w:ascii="Times New Roman" w:eastAsia="Times New Roman" w:hAnsi="Times New Roman" w:cs="Times New Roman"/>
          <w:b/>
          <w:bCs/>
          <w:kern w:val="36"/>
          <w:sz w:val="48"/>
          <w:szCs w:val="48"/>
          <w:lang w:eastAsia="en-GB"/>
          <w14:ligatures w14:val="none"/>
        </w:rPr>
      </w:pPr>
    </w:p>
    <w:p w14:paraId="5900A3E2" w14:textId="77777777" w:rsidR="004A46CD" w:rsidRDefault="004A46CD"/>
    <w:p w14:paraId="65AE1B9E" w14:textId="77777777" w:rsidR="004A46CD" w:rsidRDefault="004A46CD"/>
    <w:sectPr w:rsidR="004A46CD">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DDB60" w14:textId="77777777" w:rsidR="00A1037E" w:rsidRDefault="00A1037E" w:rsidP="00E57946">
      <w:pPr>
        <w:spacing w:after="0" w:line="240" w:lineRule="auto"/>
      </w:pPr>
      <w:r>
        <w:separator/>
      </w:r>
    </w:p>
  </w:endnote>
  <w:endnote w:type="continuationSeparator" w:id="0">
    <w:p w14:paraId="71B81916" w14:textId="77777777" w:rsidR="00A1037E" w:rsidRDefault="00A1037E" w:rsidP="00E57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7849400"/>
      <w:docPartObj>
        <w:docPartGallery w:val="Page Numbers (Bottom of Page)"/>
        <w:docPartUnique/>
      </w:docPartObj>
    </w:sdtPr>
    <w:sdtContent>
      <w:p w14:paraId="6E7E52F8" w14:textId="1C63461B" w:rsidR="00E57946" w:rsidRDefault="00E57946">
        <w:pPr>
          <w:pStyle w:val="Footer"/>
          <w:jc w:val="center"/>
        </w:pPr>
        <w:r>
          <w:fldChar w:fldCharType="begin"/>
        </w:r>
        <w:r>
          <w:instrText>PAGE   \* MERGEFORMAT</w:instrText>
        </w:r>
        <w:r>
          <w:fldChar w:fldCharType="separate"/>
        </w:r>
        <w:r>
          <w:t>2</w:t>
        </w:r>
        <w:r>
          <w:fldChar w:fldCharType="end"/>
        </w:r>
      </w:p>
    </w:sdtContent>
  </w:sdt>
  <w:p w14:paraId="399D0213" w14:textId="77777777" w:rsidR="00E57946" w:rsidRDefault="00E57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DF6B3" w14:textId="77777777" w:rsidR="00A1037E" w:rsidRDefault="00A1037E" w:rsidP="00E57946">
      <w:pPr>
        <w:spacing w:after="0" w:line="240" w:lineRule="auto"/>
      </w:pPr>
      <w:r>
        <w:separator/>
      </w:r>
    </w:p>
  </w:footnote>
  <w:footnote w:type="continuationSeparator" w:id="0">
    <w:p w14:paraId="5B5B6553" w14:textId="77777777" w:rsidR="00A1037E" w:rsidRDefault="00A1037E" w:rsidP="00E5794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CD"/>
    <w:rsid w:val="001D65FF"/>
    <w:rsid w:val="002D0F67"/>
    <w:rsid w:val="004A46CD"/>
    <w:rsid w:val="00544656"/>
    <w:rsid w:val="007468A9"/>
    <w:rsid w:val="00996ED3"/>
    <w:rsid w:val="00A1037E"/>
    <w:rsid w:val="00A5769C"/>
    <w:rsid w:val="00BB49B4"/>
    <w:rsid w:val="00C335A7"/>
    <w:rsid w:val="00E5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708AC"/>
  <w15:chartTrackingRefBased/>
  <w15:docId w15:val="{D05F0062-B6A2-4E43-B83B-656E423D7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6CD"/>
  </w:style>
  <w:style w:type="paragraph" w:styleId="Heading1">
    <w:name w:val="heading 1"/>
    <w:basedOn w:val="Normal"/>
    <w:next w:val="Normal"/>
    <w:link w:val="Heading1Char"/>
    <w:uiPriority w:val="9"/>
    <w:qFormat/>
    <w:rsid w:val="004A46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6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6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6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6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6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6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6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6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6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6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6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6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6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6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6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6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6CD"/>
    <w:rPr>
      <w:rFonts w:eastAsiaTheme="majorEastAsia" w:cstheme="majorBidi"/>
      <w:color w:val="272727" w:themeColor="text1" w:themeTint="D8"/>
    </w:rPr>
  </w:style>
  <w:style w:type="paragraph" w:styleId="Title">
    <w:name w:val="Title"/>
    <w:basedOn w:val="Normal"/>
    <w:next w:val="Normal"/>
    <w:link w:val="TitleChar"/>
    <w:uiPriority w:val="10"/>
    <w:qFormat/>
    <w:rsid w:val="004A46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6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6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6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6CD"/>
    <w:pPr>
      <w:spacing w:before="160"/>
      <w:jc w:val="center"/>
    </w:pPr>
    <w:rPr>
      <w:i/>
      <w:iCs/>
      <w:color w:val="404040" w:themeColor="text1" w:themeTint="BF"/>
    </w:rPr>
  </w:style>
  <w:style w:type="character" w:customStyle="1" w:styleId="QuoteChar">
    <w:name w:val="Quote Char"/>
    <w:basedOn w:val="DefaultParagraphFont"/>
    <w:link w:val="Quote"/>
    <w:uiPriority w:val="29"/>
    <w:rsid w:val="004A46CD"/>
    <w:rPr>
      <w:i/>
      <w:iCs/>
      <w:color w:val="404040" w:themeColor="text1" w:themeTint="BF"/>
    </w:rPr>
  </w:style>
  <w:style w:type="paragraph" w:styleId="ListParagraph">
    <w:name w:val="List Paragraph"/>
    <w:basedOn w:val="Normal"/>
    <w:uiPriority w:val="34"/>
    <w:qFormat/>
    <w:rsid w:val="004A46CD"/>
    <w:pPr>
      <w:ind w:left="720"/>
      <w:contextualSpacing/>
    </w:pPr>
  </w:style>
  <w:style w:type="character" w:styleId="IntenseEmphasis">
    <w:name w:val="Intense Emphasis"/>
    <w:basedOn w:val="DefaultParagraphFont"/>
    <w:uiPriority w:val="21"/>
    <w:qFormat/>
    <w:rsid w:val="004A46CD"/>
    <w:rPr>
      <w:i/>
      <w:iCs/>
      <w:color w:val="0F4761" w:themeColor="accent1" w:themeShade="BF"/>
    </w:rPr>
  </w:style>
  <w:style w:type="paragraph" w:styleId="IntenseQuote">
    <w:name w:val="Intense Quote"/>
    <w:basedOn w:val="Normal"/>
    <w:next w:val="Normal"/>
    <w:link w:val="IntenseQuoteChar"/>
    <w:uiPriority w:val="30"/>
    <w:qFormat/>
    <w:rsid w:val="004A46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6CD"/>
    <w:rPr>
      <w:i/>
      <w:iCs/>
      <w:color w:val="0F4761" w:themeColor="accent1" w:themeShade="BF"/>
    </w:rPr>
  </w:style>
  <w:style w:type="character" w:styleId="IntenseReference">
    <w:name w:val="Intense Reference"/>
    <w:basedOn w:val="DefaultParagraphFont"/>
    <w:uiPriority w:val="32"/>
    <w:qFormat/>
    <w:rsid w:val="004A46CD"/>
    <w:rPr>
      <w:b/>
      <w:bCs/>
      <w:smallCaps/>
      <w:color w:val="0F4761" w:themeColor="accent1" w:themeShade="BF"/>
      <w:spacing w:val="5"/>
    </w:rPr>
  </w:style>
  <w:style w:type="paragraph" w:styleId="Header">
    <w:name w:val="header"/>
    <w:basedOn w:val="Normal"/>
    <w:link w:val="HeaderChar"/>
    <w:uiPriority w:val="99"/>
    <w:unhideWhenUsed/>
    <w:rsid w:val="00E579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946"/>
  </w:style>
  <w:style w:type="paragraph" w:styleId="Footer">
    <w:name w:val="footer"/>
    <w:basedOn w:val="Normal"/>
    <w:link w:val="FooterChar"/>
    <w:uiPriority w:val="99"/>
    <w:unhideWhenUsed/>
    <w:rsid w:val="00E579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7946"/>
  </w:style>
  <w:style w:type="paragraph" w:styleId="NormalWeb">
    <w:name w:val="Normal (Web)"/>
    <w:basedOn w:val="Normal"/>
    <w:uiPriority w:val="99"/>
    <w:unhideWhenUsed/>
    <w:rsid w:val="001D65F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1653</Words>
  <Characters>9424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Joana Gomes Martins Costa (2434222)</dc:creator>
  <cp:keywords/>
  <dc:description/>
  <cp:lastModifiedBy>Nottingham - Showcase</cp:lastModifiedBy>
  <cp:revision>2</cp:revision>
  <dcterms:created xsi:type="dcterms:W3CDTF">2026-03-24T09:54:00Z</dcterms:created>
  <dcterms:modified xsi:type="dcterms:W3CDTF">2026-03-24T09:54:00Z</dcterms:modified>
</cp:coreProperties>
</file>