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3ED5" w:rsidRDefault="008D3ED5"/>
    <w:p w:rsidR="008D3ED5" w:rsidRDefault="008D3ED5"/>
    <w:p w:rsidR="008D3ED5" w:rsidRDefault="004874D8">
      <w:pPr>
        <w:jc w:val="center"/>
        <w:rPr>
          <w:b/>
        </w:rPr>
      </w:pPr>
      <w:r>
        <w:rPr>
          <w:noProof/>
          <w:lang w:val="en-US"/>
        </w:rPr>
        <w:drawing>
          <wp:inline distT="0" distB="0" distL="114300" distR="114300">
            <wp:extent cx="2857499" cy="1589119"/>
            <wp:effectExtent l="0" t="0" r="0" b="0"/>
            <wp:docPr id="1027"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pic:cNvPicPr/>
                  </pic:nvPicPr>
                  <pic:blipFill>
                    <a:blip r:embed="rId8" cstate="print"/>
                    <a:srcRect/>
                    <a:stretch/>
                  </pic:blipFill>
                  <pic:spPr>
                    <a:xfrm>
                      <a:off x="0" y="0"/>
                      <a:ext cx="2857499" cy="1589119"/>
                    </a:xfrm>
                    <a:prstGeom prst="rect">
                      <a:avLst/>
                    </a:prstGeom>
                  </pic:spPr>
                </pic:pic>
              </a:graphicData>
            </a:graphic>
          </wp:inline>
        </w:drawing>
      </w:r>
    </w:p>
    <w:p w:rsidR="008D3ED5" w:rsidRDefault="004874D8">
      <w:pPr>
        <w:jc w:val="center"/>
        <w:rPr>
          <w:b/>
        </w:rPr>
      </w:pPr>
      <w:r>
        <w:rPr>
          <w:b/>
          <w:lang w:val="en-US"/>
        </w:rPr>
        <w:t>Programme: MBA international business</w:t>
      </w:r>
    </w:p>
    <w:p w:rsidR="008D3ED5" w:rsidRDefault="008D3ED5">
      <w:pPr>
        <w:jc w:val="center"/>
        <w:rPr>
          <w:b/>
        </w:rPr>
      </w:pPr>
    </w:p>
    <w:p w:rsidR="008D3ED5" w:rsidRDefault="004874D8">
      <w:pPr>
        <w:jc w:val="center"/>
        <w:rPr>
          <w:b/>
        </w:rPr>
      </w:pPr>
      <w:r>
        <w:rPr>
          <w:b/>
        </w:rPr>
        <w:t>Module: Marketing Management (LCMB7024)</w:t>
      </w:r>
    </w:p>
    <w:p w:rsidR="008D3ED5" w:rsidRDefault="004874D8">
      <w:pPr>
        <w:jc w:val="center"/>
        <w:rPr>
          <w:b/>
        </w:rPr>
      </w:pPr>
      <w:r>
        <w:rPr>
          <w:b/>
        </w:rPr>
        <w:t>Assignment: Marketing Strategies Portfolio</w:t>
      </w:r>
    </w:p>
    <w:p w:rsidR="008D3ED5" w:rsidRDefault="004874D8">
      <w:pPr>
        <w:jc w:val="center"/>
        <w:rPr>
          <w:b/>
        </w:rPr>
      </w:pPr>
      <w:r>
        <w:rPr>
          <w:b/>
        </w:rPr>
        <w:t>Brand: Samsung MindCare AI</w:t>
      </w:r>
    </w:p>
    <w:p w:rsidR="008D3ED5" w:rsidRDefault="004874D8">
      <w:pPr>
        <w:jc w:val="center"/>
        <w:rPr>
          <w:b/>
        </w:rPr>
      </w:pPr>
      <w:r>
        <w:rPr>
          <w:b/>
        </w:rPr>
        <w:t>Student name &amp; ID</w:t>
      </w:r>
      <w:r>
        <w:rPr>
          <w:b/>
          <w:lang w:val="en-US"/>
        </w:rPr>
        <w:t xml:space="preserve">: Haroon Ahmad </w:t>
      </w:r>
    </w:p>
    <w:p w:rsidR="008D3ED5" w:rsidRDefault="004874D8">
      <w:pPr>
        <w:jc w:val="center"/>
        <w:rPr>
          <w:b/>
        </w:rPr>
      </w:pPr>
      <w:r>
        <w:rPr>
          <w:b/>
          <w:lang w:val="en-US"/>
        </w:rPr>
        <w:t>2437163</w:t>
      </w:r>
    </w:p>
    <w:p w:rsidR="008D3ED5" w:rsidRDefault="004874D8">
      <w:pPr>
        <w:jc w:val="center"/>
        <w:rPr>
          <w:b/>
        </w:rPr>
      </w:pPr>
      <w:r>
        <w:rPr>
          <w:b/>
        </w:rPr>
        <w:t>Word count</w:t>
      </w:r>
      <w:r>
        <w:rPr>
          <w:b/>
          <w:lang w:val="en-US"/>
        </w:rPr>
        <w:t>: 2687</w:t>
      </w:r>
    </w:p>
    <w:p w:rsidR="008D3ED5" w:rsidRDefault="004874D8">
      <w:pPr>
        <w:jc w:val="center"/>
        <w:rPr>
          <w:b/>
        </w:rPr>
      </w:pPr>
      <w:r>
        <w:rPr>
          <w:b/>
        </w:rPr>
        <w:t>Date</w:t>
      </w:r>
      <w:r>
        <w:rPr>
          <w:b/>
          <w:lang w:val="en-US"/>
        </w:rPr>
        <w:t>: 1-May-2026</w:t>
      </w:r>
    </w:p>
    <w:p w:rsidR="008D3ED5" w:rsidRDefault="004874D8">
      <w:pPr>
        <w:jc w:val="center"/>
        <w:rPr>
          <w:b/>
        </w:rPr>
      </w:pPr>
      <w:r>
        <w:rPr>
          <w:b/>
          <w:lang w:val="en-US"/>
        </w:rPr>
        <w:t xml:space="preserve">Lecturer Name: Laila Maazouz </w:t>
      </w:r>
    </w:p>
    <w:p w:rsidR="008D3ED5" w:rsidRDefault="008D3ED5">
      <w:pPr>
        <w:jc w:val="left"/>
        <w:rPr>
          <w:b/>
        </w:rPr>
      </w:pPr>
    </w:p>
    <w:p w:rsidR="00B204B6" w:rsidRPr="00B204B6" w:rsidRDefault="004874D8">
      <w:pPr>
        <w:spacing w:line="278" w:lineRule="auto"/>
        <w:jc w:val="left"/>
        <w:rPr>
          <w:rStyle w:val="Strong"/>
          <w:b w:val="0"/>
          <w:bCs w:val="0"/>
        </w:rPr>
      </w:pPr>
      <w:r>
        <w:br w:type="page"/>
      </w:r>
    </w:p>
    <w:sdt>
      <w:sdtPr>
        <w:id w:val="-296694433"/>
        <w:docPartObj>
          <w:docPartGallery w:val="Table of Contents"/>
          <w:docPartUnique/>
        </w:docPartObj>
      </w:sdtPr>
      <w:sdtEndPr>
        <w:rPr>
          <w:rFonts w:ascii="Times New Roman" w:eastAsia="Aptos" w:hAnsi="Times New Roman" w:cs="Arial"/>
          <w:b/>
          <w:bCs/>
          <w:noProof/>
          <w:color w:val="auto"/>
          <w:kern w:val="2"/>
          <w:sz w:val="24"/>
          <w:szCs w:val="24"/>
          <w:lang w:val="en-GB"/>
          <w14:ligatures w14:val="standardContextual"/>
        </w:rPr>
      </w:sdtEndPr>
      <w:sdtContent>
        <w:p w:rsidR="00B204B6" w:rsidRDefault="00B204B6">
          <w:pPr>
            <w:pStyle w:val="TOCHeading"/>
          </w:pPr>
          <w:r>
            <w:t>Table of Contents</w:t>
          </w:r>
        </w:p>
        <w:p w:rsidR="00B204B6" w:rsidRDefault="00B204B6">
          <w:pPr>
            <w:pStyle w:val="TOC1"/>
            <w:tabs>
              <w:tab w:val="right" w:leader="dot" w:pos="9016"/>
            </w:tabs>
            <w:rPr>
              <w:noProof/>
            </w:rPr>
          </w:pPr>
          <w:r>
            <w:fldChar w:fldCharType="begin"/>
          </w:r>
          <w:r>
            <w:instrText xml:space="preserve"> TOC \o "1-3" \h \z \u </w:instrText>
          </w:r>
          <w:r>
            <w:fldChar w:fldCharType="separate"/>
          </w:r>
          <w:hyperlink w:anchor="_Toc228499514" w:history="1">
            <w:r w:rsidRPr="00467B0E">
              <w:rPr>
                <w:rStyle w:val="Hyperlink"/>
                <w:noProof/>
              </w:rPr>
              <w:t>1. Introduction</w:t>
            </w:r>
            <w:r>
              <w:rPr>
                <w:noProof/>
                <w:webHidden/>
              </w:rPr>
              <w:tab/>
            </w:r>
            <w:r>
              <w:rPr>
                <w:noProof/>
                <w:webHidden/>
              </w:rPr>
              <w:fldChar w:fldCharType="begin"/>
            </w:r>
            <w:r>
              <w:rPr>
                <w:noProof/>
                <w:webHidden/>
              </w:rPr>
              <w:instrText xml:space="preserve"> PAGEREF _Toc228499514 \h </w:instrText>
            </w:r>
            <w:r>
              <w:rPr>
                <w:noProof/>
                <w:webHidden/>
              </w:rPr>
            </w:r>
            <w:r>
              <w:rPr>
                <w:noProof/>
                <w:webHidden/>
              </w:rPr>
              <w:fldChar w:fldCharType="separate"/>
            </w:r>
            <w:r>
              <w:rPr>
                <w:noProof/>
                <w:webHidden/>
              </w:rPr>
              <w:t>3</w:t>
            </w:r>
            <w:r>
              <w:rPr>
                <w:noProof/>
                <w:webHidden/>
              </w:rPr>
              <w:fldChar w:fldCharType="end"/>
            </w:r>
          </w:hyperlink>
        </w:p>
        <w:p w:rsidR="00B204B6" w:rsidRDefault="00B204B6">
          <w:pPr>
            <w:pStyle w:val="TOC2"/>
            <w:tabs>
              <w:tab w:val="right" w:leader="dot" w:pos="9016"/>
            </w:tabs>
            <w:rPr>
              <w:noProof/>
            </w:rPr>
          </w:pPr>
          <w:hyperlink w:anchor="_Toc228499515" w:history="1">
            <w:r w:rsidRPr="00467B0E">
              <w:rPr>
                <w:rStyle w:val="Hyperlink"/>
                <w:noProof/>
              </w:rPr>
              <w:t>2. Market Context and Strategic Opportunity</w:t>
            </w:r>
            <w:r>
              <w:rPr>
                <w:noProof/>
                <w:webHidden/>
              </w:rPr>
              <w:tab/>
            </w:r>
            <w:r>
              <w:rPr>
                <w:noProof/>
                <w:webHidden/>
              </w:rPr>
              <w:fldChar w:fldCharType="begin"/>
            </w:r>
            <w:r>
              <w:rPr>
                <w:noProof/>
                <w:webHidden/>
              </w:rPr>
              <w:instrText xml:space="preserve"> PAGEREF _Toc228499515 \h </w:instrText>
            </w:r>
            <w:r>
              <w:rPr>
                <w:noProof/>
                <w:webHidden/>
              </w:rPr>
            </w:r>
            <w:r>
              <w:rPr>
                <w:noProof/>
                <w:webHidden/>
              </w:rPr>
              <w:fldChar w:fldCharType="separate"/>
            </w:r>
            <w:r>
              <w:rPr>
                <w:noProof/>
                <w:webHidden/>
              </w:rPr>
              <w:t>3</w:t>
            </w:r>
            <w:r>
              <w:rPr>
                <w:noProof/>
                <w:webHidden/>
              </w:rPr>
              <w:fldChar w:fldCharType="end"/>
            </w:r>
          </w:hyperlink>
        </w:p>
        <w:p w:rsidR="00B204B6" w:rsidRDefault="00B204B6">
          <w:pPr>
            <w:pStyle w:val="TOC1"/>
            <w:tabs>
              <w:tab w:val="right" w:leader="dot" w:pos="9016"/>
            </w:tabs>
            <w:rPr>
              <w:noProof/>
            </w:rPr>
          </w:pPr>
          <w:hyperlink w:anchor="_Toc228499516" w:history="1">
            <w:r w:rsidRPr="00467B0E">
              <w:rPr>
                <w:rStyle w:val="Hyperlink"/>
                <w:noProof/>
              </w:rPr>
              <w:t>3. STDP Analysis</w:t>
            </w:r>
            <w:r>
              <w:rPr>
                <w:noProof/>
                <w:webHidden/>
              </w:rPr>
              <w:tab/>
            </w:r>
            <w:r>
              <w:rPr>
                <w:noProof/>
                <w:webHidden/>
              </w:rPr>
              <w:fldChar w:fldCharType="begin"/>
            </w:r>
            <w:r>
              <w:rPr>
                <w:noProof/>
                <w:webHidden/>
              </w:rPr>
              <w:instrText xml:space="preserve"> PAGEREF _Toc228499516 \h </w:instrText>
            </w:r>
            <w:r>
              <w:rPr>
                <w:noProof/>
                <w:webHidden/>
              </w:rPr>
            </w:r>
            <w:r>
              <w:rPr>
                <w:noProof/>
                <w:webHidden/>
              </w:rPr>
              <w:fldChar w:fldCharType="separate"/>
            </w:r>
            <w:r>
              <w:rPr>
                <w:noProof/>
                <w:webHidden/>
              </w:rPr>
              <w:t>4</w:t>
            </w:r>
            <w:r>
              <w:rPr>
                <w:noProof/>
                <w:webHidden/>
              </w:rPr>
              <w:fldChar w:fldCharType="end"/>
            </w:r>
          </w:hyperlink>
        </w:p>
        <w:p w:rsidR="00B204B6" w:rsidRDefault="00B204B6">
          <w:pPr>
            <w:pStyle w:val="TOC2"/>
            <w:tabs>
              <w:tab w:val="right" w:leader="dot" w:pos="9016"/>
            </w:tabs>
            <w:rPr>
              <w:noProof/>
            </w:rPr>
          </w:pPr>
          <w:hyperlink w:anchor="_Toc228499517" w:history="1">
            <w:r w:rsidRPr="00467B0E">
              <w:rPr>
                <w:rStyle w:val="Hyperlink"/>
                <w:noProof/>
              </w:rPr>
              <w:t>3.1 Segmentation</w:t>
            </w:r>
            <w:r>
              <w:rPr>
                <w:noProof/>
                <w:webHidden/>
              </w:rPr>
              <w:tab/>
            </w:r>
            <w:r>
              <w:rPr>
                <w:noProof/>
                <w:webHidden/>
              </w:rPr>
              <w:fldChar w:fldCharType="begin"/>
            </w:r>
            <w:r>
              <w:rPr>
                <w:noProof/>
                <w:webHidden/>
              </w:rPr>
              <w:instrText xml:space="preserve"> PAGEREF _Toc228499517 \h </w:instrText>
            </w:r>
            <w:r>
              <w:rPr>
                <w:noProof/>
                <w:webHidden/>
              </w:rPr>
            </w:r>
            <w:r>
              <w:rPr>
                <w:noProof/>
                <w:webHidden/>
              </w:rPr>
              <w:fldChar w:fldCharType="separate"/>
            </w:r>
            <w:r>
              <w:rPr>
                <w:noProof/>
                <w:webHidden/>
              </w:rPr>
              <w:t>4</w:t>
            </w:r>
            <w:r>
              <w:rPr>
                <w:noProof/>
                <w:webHidden/>
              </w:rPr>
              <w:fldChar w:fldCharType="end"/>
            </w:r>
          </w:hyperlink>
        </w:p>
        <w:p w:rsidR="00B204B6" w:rsidRDefault="00B204B6">
          <w:pPr>
            <w:pStyle w:val="TOC2"/>
            <w:tabs>
              <w:tab w:val="right" w:leader="dot" w:pos="9016"/>
            </w:tabs>
            <w:rPr>
              <w:noProof/>
            </w:rPr>
          </w:pPr>
          <w:hyperlink w:anchor="_Toc228499518" w:history="1">
            <w:r w:rsidRPr="00467B0E">
              <w:rPr>
                <w:rStyle w:val="Hyperlink"/>
                <w:noProof/>
              </w:rPr>
              <w:t>3.2 Targeting</w:t>
            </w:r>
            <w:r>
              <w:rPr>
                <w:noProof/>
                <w:webHidden/>
              </w:rPr>
              <w:tab/>
            </w:r>
            <w:r>
              <w:rPr>
                <w:noProof/>
                <w:webHidden/>
              </w:rPr>
              <w:fldChar w:fldCharType="begin"/>
            </w:r>
            <w:r>
              <w:rPr>
                <w:noProof/>
                <w:webHidden/>
              </w:rPr>
              <w:instrText xml:space="preserve"> PAGEREF _Toc228499518 \h </w:instrText>
            </w:r>
            <w:r>
              <w:rPr>
                <w:noProof/>
                <w:webHidden/>
              </w:rPr>
            </w:r>
            <w:r>
              <w:rPr>
                <w:noProof/>
                <w:webHidden/>
              </w:rPr>
              <w:fldChar w:fldCharType="separate"/>
            </w:r>
            <w:r>
              <w:rPr>
                <w:noProof/>
                <w:webHidden/>
              </w:rPr>
              <w:t>5</w:t>
            </w:r>
            <w:r>
              <w:rPr>
                <w:noProof/>
                <w:webHidden/>
              </w:rPr>
              <w:fldChar w:fldCharType="end"/>
            </w:r>
          </w:hyperlink>
        </w:p>
        <w:p w:rsidR="00B204B6" w:rsidRDefault="00B204B6">
          <w:pPr>
            <w:pStyle w:val="TOC2"/>
            <w:tabs>
              <w:tab w:val="right" w:leader="dot" w:pos="9016"/>
            </w:tabs>
            <w:rPr>
              <w:noProof/>
            </w:rPr>
          </w:pPr>
          <w:hyperlink w:anchor="_Toc228499519" w:history="1">
            <w:r w:rsidRPr="00467B0E">
              <w:rPr>
                <w:rStyle w:val="Hyperlink"/>
                <w:noProof/>
              </w:rPr>
              <w:t>3.3 Differentiation</w:t>
            </w:r>
            <w:r>
              <w:rPr>
                <w:noProof/>
                <w:webHidden/>
              </w:rPr>
              <w:tab/>
            </w:r>
            <w:r>
              <w:rPr>
                <w:noProof/>
                <w:webHidden/>
              </w:rPr>
              <w:fldChar w:fldCharType="begin"/>
            </w:r>
            <w:r>
              <w:rPr>
                <w:noProof/>
                <w:webHidden/>
              </w:rPr>
              <w:instrText xml:space="preserve"> PAGEREF _Toc228499519 \h </w:instrText>
            </w:r>
            <w:r>
              <w:rPr>
                <w:noProof/>
                <w:webHidden/>
              </w:rPr>
            </w:r>
            <w:r>
              <w:rPr>
                <w:noProof/>
                <w:webHidden/>
              </w:rPr>
              <w:fldChar w:fldCharType="separate"/>
            </w:r>
            <w:r>
              <w:rPr>
                <w:noProof/>
                <w:webHidden/>
              </w:rPr>
              <w:t>5</w:t>
            </w:r>
            <w:r>
              <w:rPr>
                <w:noProof/>
                <w:webHidden/>
              </w:rPr>
              <w:fldChar w:fldCharType="end"/>
            </w:r>
          </w:hyperlink>
        </w:p>
        <w:p w:rsidR="00B204B6" w:rsidRDefault="00B204B6">
          <w:pPr>
            <w:pStyle w:val="TOC2"/>
            <w:tabs>
              <w:tab w:val="right" w:leader="dot" w:pos="9016"/>
            </w:tabs>
            <w:rPr>
              <w:noProof/>
            </w:rPr>
          </w:pPr>
          <w:hyperlink w:anchor="_Toc228499520" w:history="1">
            <w:r w:rsidRPr="00467B0E">
              <w:rPr>
                <w:rStyle w:val="Hyperlink"/>
                <w:noProof/>
              </w:rPr>
              <w:t>3.4 Positioning</w:t>
            </w:r>
            <w:r>
              <w:rPr>
                <w:noProof/>
                <w:webHidden/>
              </w:rPr>
              <w:tab/>
            </w:r>
            <w:r>
              <w:rPr>
                <w:noProof/>
                <w:webHidden/>
              </w:rPr>
              <w:fldChar w:fldCharType="begin"/>
            </w:r>
            <w:r>
              <w:rPr>
                <w:noProof/>
                <w:webHidden/>
              </w:rPr>
              <w:instrText xml:space="preserve"> PAGEREF _Toc228499520 \h </w:instrText>
            </w:r>
            <w:r>
              <w:rPr>
                <w:noProof/>
                <w:webHidden/>
              </w:rPr>
            </w:r>
            <w:r>
              <w:rPr>
                <w:noProof/>
                <w:webHidden/>
              </w:rPr>
              <w:fldChar w:fldCharType="separate"/>
            </w:r>
            <w:r>
              <w:rPr>
                <w:noProof/>
                <w:webHidden/>
              </w:rPr>
              <w:t>6</w:t>
            </w:r>
            <w:r>
              <w:rPr>
                <w:noProof/>
                <w:webHidden/>
              </w:rPr>
              <w:fldChar w:fldCharType="end"/>
            </w:r>
          </w:hyperlink>
        </w:p>
        <w:p w:rsidR="00B204B6" w:rsidRDefault="00B204B6">
          <w:pPr>
            <w:pStyle w:val="TOC1"/>
            <w:tabs>
              <w:tab w:val="right" w:leader="dot" w:pos="9016"/>
            </w:tabs>
            <w:rPr>
              <w:noProof/>
            </w:rPr>
          </w:pPr>
          <w:hyperlink w:anchor="_Toc228499521" w:history="1">
            <w:r w:rsidRPr="00467B0E">
              <w:rPr>
                <w:rStyle w:val="Hyperlink"/>
                <w:noProof/>
              </w:rPr>
              <w:t>4. Marketing Mix (7Ps)</w:t>
            </w:r>
            <w:r>
              <w:rPr>
                <w:noProof/>
                <w:webHidden/>
              </w:rPr>
              <w:tab/>
            </w:r>
            <w:r>
              <w:rPr>
                <w:noProof/>
                <w:webHidden/>
              </w:rPr>
              <w:fldChar w:fldCharType="begin"/>
            </w:r>
            <w:r>
              <w:rPr>
                <w:noProof/>
                <w:webHidden/>
              </w:rPr>
              <w:instrText xml:space="preserve"> PAGEREF _Toc228499521 \h </w:instrText>
            </w:r>
            <w:r>
              <w:rPr>
                <w:noProof/>
                <w:webHidden/>
              </w:rPr>
            </w:r>
            <w:r>
              <w:rPr>
                <w:noProof/>
                <w:webHidden/>
              </w:rPr>
              <w:fldChar w:fldCharType="separate"/>
            </w:r>
            <w:r>
              <w:rPr>
                <w:noProof/>
                <w:webHidden/>
              </w:rPr>
              <w:t>7</w:t>
            </w:r>
            <w:r>
              <w:rPr>
                <w:noProof/>
                <w:webHidden/>
              </w:rPr>
              <w:fldChar w:fldCharType="end"/>
            </w:r>
          </w:hyperlink>
        </w:p>
        <w:p w:rsidR="00B204B6" w:rsidRDefault="00B204B6">
          <w:pPr>
            <w:pStyle w:val="TOC2"/>
            <w:tabs>
              <w:tab w:val="right" w:leader="dot" w:pos="9016"/>
            </w:tabs>
            <w:rPr>
              <w:noProof/>
            </w:rPr>
          </w:pPr>
          <w:hyperlink w:anchor="_Toc228499522" w:history="1">
            <w:r w:rsidRPr="00467B0E">
              <w:rPr>
                <w:rStyle w:val="Hyperlink"/>
                <w:noProof/>
              </w:rPr>
              <w:t>4.1 Product</w:t>
            </w:r>
            <w:r>
              <w:rPr>
                <w:noProof/>
                <w:webHidden/>
              </w:rPr>
              <w:tab/>
            </w:r>
            <w:r>
              <w:rPr>
                <w:noProof/>
                <w:webHidden/>
              </w:rPr>
              <w:fldChar w:fldCharType="begin"/>
            </w:r>
            <w:r>
              <w:rPr>
                <w:noProof/>
                <w:webHidden/>
              </w:rPr>
              <w:instrText xml:space="preserve"> PAGEREF _Toc228499522 \h </w:instrText>
            </w:r>
            <w:r>
              <w:rPr>
                <w:noProof/>
                <w:webHidden/>
              </w:rPr>
            </w:r>
            <w:r>
              <w:rPr>
                <w:noProof/>
                <w:webHidden/>
              </w:rPr>
              <w:fldChar w:fldCharType="separate"/>
            </w:r>
            <w:r>
              <w:rPr>
                <w:noProof/>
                <w:webHidden/>
              </w:rPr>
              <w:t>7</w:t>
            </w:r>
            <w:r>
              <w:rPr>
                <w:noProof/>
                <w:webHidden/>
              </w:rPr>
              <w:fldChar w:fldCharType="end"/>
            </w:r>
          </w:hyperlink>
        </w:p>
        <w:p w:rsidR="00B204B6" w:rsidRDefault="00B204B6">
          <w:pPr>
            <w:pStyle w:val="TOC2"/>
            <w:tabs>
              <w:tab w:val="right" w:leader="dot" w:pos="9016"/>
            </w:tabs>
            <w:rPr>
              <w:noProof/>
            </w:rPr>
          </w:pPr>
          <w:hyperlink w:anchor="_Toc228499523" w:history="1">
            <w:r w:rsidRPr="00467B0E">
              <w:rPr>
                <w:rStyle w:val="Hyperlink"/>
                <w:noProof/>
              </w:rPr>
              <w:t>4.2 Price</w:t>
            </w:r>
            <w:r>
              <w:rPr>
                <w:noProof/>
                <w:webHidden/>
              </w:rPr>
              <w:tab/>
            </w:r>
            <w:r>
              <w:rPr>
                <w:noProof/>
                <w:webHidden/>
              </w:rPr>
              <w:fldChar w:fldCharType="begin"/>
            </w:r>
            <w:r>
              <w:rPr>
                <w:noProof/>
                <w:webHidden/>
              </w:rPr>
              <w:instrText xml:space="preserve"> PAGEREF _Toc228499523 \h </w:instrText>
            </w:r>
            <w:r>
              <w:rPr>
                <w:noProof/>
                <w:webHidden/>
              </w:rPr>
            </w:r>
            <w:r>
              <w:rPr>
                <w:noProof/>
                <w:webHidden/>
              </w:rPr>
              <w:fldChar w:fldCharType="separate"/>
            </w:r>
            <w:r>
              <w:rPr>
                <w:noProof/>
                <w:webHidden/>
              </w:rPr>
              <w:t>7</w:t>
            </w:r>
            <w:r>
              <w:rPr>
                <w:noProof/>
                <w:webHidden/>
              </w:rPr>
              <w:fldChar w:fldCharType="end"/>
            </w:r>
          </w:hyperlink>
        </w:p>
        <w:p w:rsidR="00B204B6" w:rsidRDefault="00B204B6">
          <w:pPr>
            <w:pStyle w:val="TOC2"/>
            <w:tabs>
              <w:tab w:val="right" w:leader="dot" w:pos="9016"/>
            </w:tabs>
            <w:rPr>
              <w:noProof/>
            </w:rPr>
          </w:pPr>
          <w:hyperlink w:anchor="_Toc228499524" w:history="1">
            <w:r w:rsidRPr="00467B0E">
              <w:rPr>
                <w:rStyle w:val="Hyperlink"/>
                <w:noProof/>
              </w:rPr>
              <w:t>4.3 Place</w:t>
            </w:r>
            <w:r>
              <w:rPr>
                <w:noProof/>
                <w:webHidden/>
              </w:rPr>
              <w:tab/>
            </w:r>
            <w:r>
              <w:rPr>
                <w:noProof/>
                <w:webHidden/>
              </w:rPr>
              <w:fldChar w:fldCharType="begin"/>
            </w:r>
            <w:r>
              <w:rPr>
                <w:noProof/>
                <w:webHidden/>
              </w:rPr>
              <w:instrText xml:space="preserve"> PAGEREF _Toc228499524 \h </w:instrText>
            </w:r>
            <w:r>
              <w:rPr>
                <w:noProof/>
                <w:webHidden/>
              </w:rPr>
            </w:r>
            <w:r>
              <w:rPr>
                <w:noProof/>
                <w:webHidden/>
              </w:rPr>
              <w:fldChar w:fldCharType="separate"/>
            </w:r>
            <w:r>
              <w:rPr>
                <w:noProof/>
                <w:webHidden/>
              </w:rPr>
              <w:t>8</w:t>
            </w:r>
            <w:r>
              <w:rPr>
                <w:noProof/>
                <w:webHidden/>
              </w:rPr>
              <w:fldChar w:fldCharType="end"/>
            </w:r>
          </w:hyperlink>
        </w:p>
        <w:p w:rsidR="00B204B6" w:rsidRDefault="00B204B6">
          <w:pPr>
            <w:pStyle w:val="TOC2"/>
            <w:tabs>
              <w:tab w:val="right" w:leader="dot" w:pos="9016"/>
            </w:tabs>
            <w:rPr>
              <w:noProof/>
            </w:rPr>
          </w:pPr>
          <w:hyperlink w:anchor="_Toc228499525" w:history="1">
            <w:r w:rsidRPr="00467B0E">
              <w:rPr>
                <w:rStyle w:val="Hyperlink"/>
                <w:noProof/>
              </w:rPr>
              <w:t>4.4 Promotion</w:t>
            </w:r>
            <w:r>
              <w:rPr>
                <w:noProof/>
                <w:webHidden/>
              </w:rPr>
              <w:tab/>
            </w:r>
            <w:r>
              <w:rPr>
                <w:noProof/>
                <w:webHidden/>
              </w:rPr>
              <w:fldChar w:fldCharType="begin"/>
            </w:r>
            <w:r>
              <w:rPr>
                <w:noProof/>
                <w:webHidden/>
              </w:rPr>
              <w:instrText xml:space="preserve"> PAGEREF _Toc228499525 \h </w:instrText>
            </w:r>
            <w:r>
              <w:rPr>
                <w:noProof/>
                <w:webHidden/>
              </w:rPr>
            </w:r>
            <w:r>
              <w:rPr>
                <w:noProof/>
                <w:webHidden/>
              </w:rPr>
              <w:fldChar w:fldCharType="separate"/>
            </w:r>
            <w:r>
              <w:rPr>
                <w:noProof/>
                <w:webHidden/>
              </w:rPr>
              <w:t>8</w:t>
            </w:r>
            <w:r>
              <w:rPr>
                <w:noProof/>
                <w:webHidden/>
              </w:rPr>
              <w:fldChar w:fldCharType="end"/>
            </w:r>
          </w:hyperlink>
        </w:p>
        <w:p w:rsidR="00B204B6" w:rsidRDefault="00B204B6">
          <w:pPr>
            <w:pStyle w:val="TOC2"/>
            <w:tabs>
              <w:tab w:val="right" w:leader="dot" w:pos="9016"/>
            </w:tabs>
            <w:rPr>
              <w:noProof/>
            </w:rPr>
          </w:pPr>
          <w:hyperlink w:anchor="_Toc228499526" w:history="1">
            <w:r w:rsidRPr="00467B0E">
              <w:rPr>
                <w:rStyle w:val="Hyperlink"/>
                <w:noProof/>
              </w:rPr>
              <w:t>4.5 People</w:t>
            </w:r>
            <w:r>
              <w:rPr>
                <w:noProof/>
                <w:webHidden/>
              </w:rPr>
              <w:tab/>
            </w:r>
            <w:r>
              <w:rPr>
                <w:noProof/>
                <w:webHidden/>
              </w:rPr>
              <w:fldChar w:fldCharType="begin"/>
            </w:r>
            <w:r>
              <w:rPr>
                <w:noProof/>
                <w:webHidden/>
              </w:rPr>
              <w:instrText xml:space="preserve"> PAGEREF _Toc228499526 \h </w:instrText>
            </w:r>
            <w:r>
              <w:rPr>
                <w:noProof/>
                <w:webHidden/>
              </w:rPr>
            </w:r>
            <w:r>
              <w:rPr>
                <w:noProof/>
                <w:webHidden/>
              </w:rPr>
              <w:fldChar w:fldCharType="separate"/>
            </w:r>
            <w:r>
              <w:rPr>
                <w:noProof/>
                <w:webHidden/>
              </w:rPr>
              <w:t>9</w:t>
            </w:r>
            <w:r>
              <w:rPr>
                <w:noProof/>
                <w:webHidden/>
              </w:rPr>
              <w:fldChar w:fldCharType="end"/>
            </w:r>
          </w:hyperlink>
        </w:p>
        <w:p w:rsidR="00B204B6" w:rsidRDefault="00B204B6">
          <w:pPr>
            <w:pStyle w:val="TOC2"/>
            <w:tabs>
              <w:tab w:val="right" w:leader="dot" w:pos="9016"/>
            </w:tabs>
            <w:rPr>
              <w:noProof/>
            </w:rPr>
          </w:pPr>
          <w:hyperlink w:anchor="_Toc228499527" w:history="1">
            <w:r w:rsidRPr="00467B0E">
              <w:rPr>
                <w:rStyle w:val="Hyperlink"/>
                <w:noProof/>
              </w:rPr>
              <w:t>4.6 Process</w:t>
            </w:r>
            <w:r>
              <w:rPr>
                <w:noProof/>
                <w:webHidden/>
              </w:rPr>
              <w:tab/>
            </w:r>
            <w:r>
              <w:rPr>
                <w:noProof/>
                <w:webHidden/>
              </w:rPr>
              <w:fldChar w:fldCharType="begin"/>
            </w:r>
            <w:r>
              <w:rPr>
                <w:noProof/>
                <w:webHidden/>
              </w:rPr>
              <w:instrText xml:space="preserve"> PAGEREF _Toc228499527 \h </w:instrText>
            </w:r>
            <w:r>
              <w:rPr>
                <w:noProof/>
                <w:webHidden/>
              </w:rPr>
            </w:r>
            <w:r>
              <w:rPr>
                <w:noProof/>
                <w:webHidden/>
              </w:rPr>
              <w:fldChar w:fldCharType="separate"/>
            </w:r>
            <w:r>
              <w:rPr>
                <w:noProof/>
                <w:webHidden/>
              </w:rPr>
              <w:t>9</w:t>
            </w:r>
            <w:r>
              <w:rPr>
                <w:noProof/>
                <w:webHidden/>
              </w:rPr>
              <w:fldChar w:fldCharType="end"/>
            </w:r>
          </w:hyperlink>
        </w:p>
        <w:p w:rsidR="00B204B6" w:rsidRDefault="00B204B6">
          <w:pPr>
            <w:pStyle w:val="TOC2"/>
            <w:tabs>
              <w:tab w:val="right" w:leader="dot" w:pos="9016"/>
            </w:tabs>
            <w:rPr>
              <w:noProof/>
            </w:rPr>
          </w:pPr>
          <w:hyperlink w:anchor="_Toc228499528" w:history="1">
            <w:r w:rsidRPr="00467B0E">
              <w:rPr>
                <w:rStyle w:val="Hyperlink"/>
                <w:noProof/>
              </w:rPr>
              <w:t>4.7 Physical Evidence</w:t>
            </w:r>
            <w:r>
              <w:rPr>
                <w:noProof/>
                <w:webHidden/>
              </w:rPr>
              <w:tab/>
            </w:r>
            <w:r>
              <w:rPr>
                <w:noProof/>
                <w:webHidden/>
              </w:rPr>
              <w:fldChar w:fldCharType="begin"/>
            </w:r>
            <w:r>
              <w:rPr>
                <w:noProof/>
                <w:webHidden/>
              </w:rPr>
              <w:instrText xml:space="preserve"> PAGEREF _Toc228499528 \h </w:instrText>
            </w:r>
            <w:r>
              <w:rPr>
                <w:noProof/>
                <w:webHidden/>
              </w:rPr>
            </w:r>
            <w:r>
              <w:rPr>
                <w:noProof/>
                <w:webHidden/>
              </w:rPr>
              <w:fldChar w:fldCharType="separate"/>
            </w:r>
            <w:r>
              <w:rPr>
                <w:noProof/>
                <w:webHidden/>
              </w:rPr>
              <w:t>10</w:t>
            </w:r>
            <w:r>
              <w:rPr>
                <w:noProof/>
                <w:webHidden/>
              </w:rPr>
              <w:fldChar w:fldCharType="end"/>
            </w:r>
          </w:hyperlink>
        </w:p>
        <w:p w:rsidR="00B204B6" w:rsidRDefault="00B204B6">
          <w:pPr>
            <w:pStyle w:val="TOC1"/>
            <w:tabs>
              <w:tab w:val="right" w:leader="dot" w:pos="9016"/>
            </w:tabs>
            <w:rPr>
              <w:noProof/>
            </w:rPr>
          </w:pPr>
          <w:hyperlink w:anchor="_Toc228499529" w:history="1">
            <w:r w:rsidRPr="00467B0E">
              <w:rPr>
                <w:rStyle w:val="Hyperlink"/>
                <w:noProof/>
              </w:rPr>
              <w:t>5. REFLECTION</w:t>
            </w:r>
            <w:r>
              <w:rPr>
                <w:noProof/>
                <w:webHidden/>
              </w:rPr>
              <w:tab/>
            </w:r>
            <w:r>
              <w:rPr>
                <w:noProof/>
                <w:webHidden/>
              </w:rPr>
              <w:fldChar w:fldCharType="begin"/>
            </w:r>
            <w:r>
              <w:rPr>
                <w:noProof/>
                <w:webHidden/>
              </w:rPr>
              <w:instrText xml:space="preserve"> PAGEREF _Toc228499529 \h </w:instrText>
            </w:r>
            <w:r>
              <w:rPr>
                <w:noProof/>
                <w:webHidden/>
              </w:rPr>
            </w:r>
            <w:r>
              <w:rPr>
                <w:noProof/>
                <w:webHidden/>
              </w:rPr>
              <w:fldChar w:fldCharType="separate"/>
            </w:r>
            <w:r>
              <w:rPr>
                <w:noProof/>
                <w:webHidden/>
              </w:rPr>
              <w:t>11</w:t>
            </w:r>
            <w:r>
              <w:rPr>
                <w:noProof/>
                <w:webHidden/>
              </w:rPr>
              <w:fldChar w:fldCharType="end"/>
            </w:r>
          </w:hyperlink>
        </w:p>
        <w:p w:rsidR="00B204B6" w:rsidRDefault="00B204B6">
          <w:pPr>
            <w:pStyle w:val="TOC1"/>
            <w:tabs>
              <w:tab w:val="right" w:leader="dot" w:pos="9016"/>
            </w:tabs>
            <w:rPr>
              <w:noProof/>
            </w:rPr>
          </w:pPr>
          <w:hyperlink w:anchor="_Toc228499530" w:history="1">
            <w:r w:rsidRPr="00467B0E">
              <w:rPr>
                <w:rStyle w:val="Hyperlink"/>
                <w:noProof/>
              </w:rPr>
              <w:t>6. Conclusion</w:t>
            </w:r>
            <w:r>
              <w:rPr>
                <w:noProof/>
                <w:webHidden/>
              </w:rPr>
              <w:tab/>
            </w:r>
            <w:r>
              <w:rPr>
                <w:noProof/>
                <w:webHidden/>
              </w:rPr>
              <w:fldChar w:fldCharType="begin"/>
            </w:r>
            <w:r>
              <w:rPr>
                <w:noProof/>
                <w:webHidden/>
              </w:rPr>
              <w:instrText xml:space="preserve"> PAGEREF _Toc228499530 \h </w:instrText>
            </w:r>
            <w:r>
              <w:rPr>
                <w:noProof/>
                <w:webHidden/>
              </w:rPr>
            </w:r>
            <w:r>
              <w:rPr>
                <w:noProof/>
                <w:webHidden/>
              </w:rPr>
              <w:fldChar w:fldCharType="separate"/>
            </w:r>
            <w:r>
              <w:rPr>
                <w:noProof/>
                <w:webHidden/>
              </w:rPr>
              <w:t>12</w:t>
            </w:r>
            <w:r>
              <w:rPr>
                <w:noProof/>
                <w:webHidden/>
              </w:rPr>
              <w:fldChar w:fldCharType="end"/>
            </w:r>
          </w:hyperlink>
        </w:p>
        <w:p w:rsidR="00B204B6" w:rsidRDefault="00B204B6">
          <w:pPr>
            <w:pStyle w:val="TOC1"/>
            <w:tabs>
              <w:tab w:val="right" w:leader="dot" w:pos="9016"/>
            </w:tabs>
            <w:rPr>
              <w:noProof/>
            </w:rPr>
          </w:pPr>
          <w:hyperlink w:anchor="_Toc228499531" w:history="1">
            <w:r w:rsidRPr="00467B0E">
              <w:rPr>
                <w:rStyle w:val="Hyperlink"/>
                <w:noProof/>
              </w:rPr>
              <w:t>7. References</w:t>
            </w:r>
            <w:r>
              <w:rPr>
                <w:noProof/>
                <w:webHidden/>
              </w:rPr>
              <w:tab/>
            </w:r>
            <w:r>
              <w:rPr>
                <w:noProof/>
                <w:webHidden/>
              </w:rPr>
              <w:fldChar w:fldCharType="begin"/>
            </w:r>
            <w:r>
              <w:rPr>
                <w:noProof/>
                <w:webHidden/>
              </w:rPr>
              <w:instrText xml:space="preserve"> PAGEREF _Toc228499531 \h </w:instrText>
            </w:r>
            <w:r>
              <w:rPr>
                <w:noProof/>
                <w:webHidden/>
              </w:rPr>
            </w:r>
            <w:r>
              <w:rPr>
                <w:noProof/>
                <w:webHidden/>
              </w:rPr>
              <w:fldChar w:fldCharType="separate"/>
            </w:r>
            <w:r>
              <w:rPr>
                <w:noProof/>
                <w:webHidden/>
              </w:rPr>
              <w:t>12</w:t>
            </w:r>
            <w:r>
              <w:rPr>
                <w:noProof/>
                <w:webHidden/>
              </w:rPr>
              <w:fldChar w:fldCharType="end"/>
            </w:r>
          </w:hyperlink>
        </w:p>
        <w:p w:rsidR="00B204B6" w:rsidRDefault="00B204B6">
          <w:r>
            <w:rPr>
              <w:b/>
              <w:bCs/>
              <w:noProof/>
            </w:rPr>
            <w:fldChar w:fldCharType="end"/>
          </w:r>
        </w:p>
      </w:sdtContent>
    </w:sdt>
    <w:p w:rsidR="00B204B6" w:rsidRDefault="00B204B6">
      <w:pPr>
        <w:spacing w:line="278" w:lineRule="auto"/>
        <w:jc w:val="left"/>
        <w:rPr>
          <w:rStyle w:val="Strong"/>
          <w:rFonts w:eastAsia="SimSun" w:cs="Times New Roman"/>
          <w:bCs w:val="0"/>
          <w:color w:val="1F4E79"/>
          <w:sz w:val="36"/>
          <w:szCs w:val="40"/>
        </w:rPr>
      </w:pPr>
      <w:r>
        <w:rPr>
          <w:rStyle w:val="Strong"/>
          <w:rFonts w:eastAsia="SimSun" w:cs="Times New Roman"/>
          <w:bCs w:val="0"/>
          <w:color w:val="1F4E79"/>
          <w:sz w:val="36"/>
          <w:szCs w:val="40"/>
        </w:rPr>
        <w:br w:type="page"/>
      </w:r>
    </w:p>
    <w:p w:rsidR="008D3ED5" w:rsidRDefault="004874D8">
      <w:pPr>
        <w:pStyle w:val="Heading1"/>
      </w:pPr>
      <w:bookmarkStart w:id="0" w:name="_Toc228499514"/>
      <w:bookmarkStart w:id="1" w:name="_GoBack"/>
      <w:bookmarkEnd w:id="1"/>
      <w:r>
        <w:rPr>
          <w:rStyle w:val="Strong"/>
          <w:b/>
          <w:bCs w:val="0"/>
        </w:rPr>
        <w:lastRenderedPageBreak/>
        <w:t>1. Introduction</w:t>
      </w:r>
      <w:bookmarkEnd w:id="0"/>
    </w:p>
    <w:p w:rsidR="008D3ED5" w:rsidRDefault="004874D8">
      <w:r>
        <w:t>Samsung Electronics is a multinational consumer electronics, artificial intelligence (AI), and built-in digital ecosystem company, with a robust market in the fast-growing wearable technology market. Its bra</w:t>
      </w:r>
      <w:r>
        <w:t>nd equity and technological strengths place the company in a better position to expand in new innovative growth opportunities by brand extension. Kotler et al. (2024) observe that brand extension helps companies use the current brand equity to venture into</w:t>
      </w:r>
      <w:r>
        <w:t xml:space="preserve"> new product lines, thus minimising entry risk, and increasing competitive advantage. Here, Samsung MindCare AI is a strategically aligned brand extension, which will introduce AI-based mental health assistance into the existing ecosystem of smartphones, w</w:t>
      </w:r>
      <w:r>
        <w:t>earables, and IoT devices at Samsung (Pap and Oniga, 2022).</w:t>
      </w:r>
    </w:p>
    <w:p w:rsidR="008D3ED5" w:rsidRDefault="004874D8">
      <w:pPr>
        <w:rPr>
          <w:rStyle w:val="Strong"/>
          <w:b w:val="0"/>
        </w:rPr>
      </w:pPr>
      <w:r>
        <w:t xml:space="preserve">The rising demand of mental health solutions in the world, along with a staggering pace of expansion of AI-capable wearable technologies, is a major market opportunity. The wearable AI market and </w:t>
      </w:r>
      <w:r>
        <w:t>digital health services are both growing at a very high rate, according to industry data, due to the increased levels of stress, the lack of accessibility to conventional healthcare, and the desire of consumers to use personalised and real-time solutions (</w:t>
      </w:r>
      <w:r>
        <w:t>Adibi et al., 2024). Nevertheless, there come in with it significant challenges, such as the issue of privacy of data and ethical considerations of AI in healthcare. This portfolio critically formulates a marketing plan of Samsung MindCare AI, analyzing se</w:t>
      </w:r>
      <w:r>
        <w:t>gmentation, targeting, positioning, and marketing mix to attain sustainable competitive advantage amid the fast-changing AI-driven digital health market (Atadoga et al., 2024).</w:t>
      </w:r>
    </w:p>
    <w:p w:rsidR="008D3ED5" w:rsidRDefault="004874D8">
      <w:pPr>
        <w:pStyle w:val="Heading2"/>
        <w:rPr>
          <w:rStyle w:val="Strong"/>
          <w:b/>
          <w:bCs w:val="0"/>
        </w:rPr>
      </w:pPr>
      <w:bookmarkStart w:id="2" w:name="_Toc228499515"/>
      <w:r>
        <w:rPr>
          <w:rStyle w:val="Strong"/>
          <w:b/>
          <w:bCs w:val="0"/>
        </w:rPr>
        <w:t>2. Market Context and Strategic Opportunity</w:t>
      </w:r>
      <w:bookmarkEnd w:id="2"/>
    </w:p>
    <w:p w:rsidR="008D3ED5" w:rsidRDefault="004874D8">
      <w:pPr>
        <w:rPr>
          <w:rStyle w:val="Strong"/>
          <w:b w:val="0"/>
        </w:rPr>
      </w:pPr>
      <w:r>
        <w:rPr>
          <w:rStyle w:val="Strong"/>
          <w:b w:val="0"/>
        </w:rPr>
        <w:t>The wearable technology industry wo</w:t>
      </w:r>
      <w:r>
        <w:rPr>
          <w:rStyle w:val="Strong"/>
          <w:b w:val="0"/>
        </w:rPr>
        <w:t>rldwide is undergoing a blistering growth, with shipments of devices, as well as AI-based solutions, rising, and this indicates a transition to digitally integrated health management systems. At the same time, the AI-based mental health industry is becomin</w:t>
      </w:r>
      <w:r>
        <w:rPr>
          <w:rStyle w:val="Strong"/>
          <w:b w:val="0"/>
        </w:rPr>
        <w:t>g a booming sector, as the rates of stress, anxiety, and burnout are growing, especially among digitally active groups of people (Bhuvaneswari and Mohanraj, 2025). The combination of technological progress and medical need is an indicator of a structural c</w:t>
      </w:r>
      <w:r>
        <w:rPr>
          <w:rStyle w:val="Strong"/>
          <w:b w:val="0"/>
        </w:rPr>
        <w:t>hange of the monitoring and management of mental wellbeing.</w:t>
      </w:r>
    </w:p>
    <w:p w:rsidR="008D3ED5" w:rsidRDefault="004874D8">
      <w:pPr>
        <w:rPr>
          <w:rStyle w:val="Strong"/>
          <w:b w:val="0"/>
        </w:rPr>
      </w:pPr>
      <w:r>
        <w:rPr>
          <w:rStyle w:val="Strong"/>
          <w:b w:val="0"/>
        </w:rPr>
        <w:t>Regardless of these developments, the current mental healthcare models are still hindered by the problem of accessibility, cost, and stigma, which limits their efficiency in meeting the increasing</w:t>
      </w:r>
      <w:r>
        <w:rPr>
          <w:rStyle w:val="Strong"/>
          <w:b w:val="0"/>
        </w:rPr>
        <w:t xml:space="preserve"> global needs (Channa et al., 2021). This loophole presents a major strategic </w:t>
      </w:r>
      <w:r>
        <w:rPr>
          <w:rStyle w:val="Strong"/>
          <w:b w:val="0"/>
        </w:rPr>
        <w:lastRenderedPageBreak/>
        <w:t>opportunity to AI-driven solutions like Samsung MindCare AI, capable of providing scalable, real-time, and personalised mental health assistance. Combining wearable sensors and A</w:t>
      </w:r>
      <w:r>
        <w:rPr>
          <w:rStyle w:val="Strong"/>
          <w:b w:val="0"/>
        </w:rPr>
        <w:t xml:space="preserve">I analytics will allow changing the approach to reactive treatment to preventive healthcare and improving early diagnosis and continuous monitoring (Alandjani, 2023). But this does not come without risk. </w:t>
      </w:r>
      <w:r>
        <w:rPr>
          <w:rStyle w:val="Strong"/>
          <w:b w:val="0"/>
          <w:bCs w:val="0"/>
        </w:rPr>
        <w:t xml:space="preserve">The use of sensitive behavioural and biometric data </w:t>
      </w:r>
      <w:r>
        <w:rPr>
          <w:rStyle w:val="Strong"/>
          <w:b w:val="0"/>
          <w:bCs w:val="0"/>
        </w:rPr>
        <w:t>creates vital issues about privacy of data, bias in algorithms, and consumer confidence.</w:t>
      </w:r>
      <w:r>
        <w:rPr>
          <w:rStyle w:val="Strong"/>
          <w:b w:val="0"/>
        </w:rPr>
        <w:t xml:space="preserve"> Thus, although AI-based mental health solutions have significant growth potential, their future success relies on the need to tackle ethical and regulatory issues as w</w:t>
      </w:r>
      <w:r>
        <w:rPr>
          <w:rStyle w:val="Strong"/>
          <w:b w:val="0"/>
        </w:rPr>
        <w:t>ell as technological innovation (Egon et al., 2023).</w:t>
      </w:r>
    </w:p>
    <w:p w:rsidR="008D3ED5" w:rsidRDefault="004874D8">
      <w:pPr>
        <w:pStyle w:val="Heading1"/>
        <w:rPr>
          <w:rStyle w:val="Strong"/>
          <w:b/>
          <w:bCs w:val="0"/>
        </w:rPr>
      </w:pPr>
      <w:bookmarkStart w:id="3" w:name="_Toc228499516"/>
      <w:r>
        <w:rPr>
          <w:rStyle w:val="Strong"/>
          <w:b/>
          <w:bCs w:val="0"/>
        </w:rPr>
        <w:t>3. STDP Analysis</w:t>
      </w:r>
      <w:bookmarkEnd w:id="3"/>
    </w:p>
    <w:p w:rsidR="008D3ED5" w:rsidRDefault="004874D8">
      <w:pPr>
        <w:pStyle w:val="Heading2"/>
        <w:rPr>
          <w:rStyle w:val="Strong"/>
          <w:b/>
          <w:bCs w:val="0"/>
        </w:rPr>
      </w:pPr>
      <w:bookmarkStart w:id="4" w:name="_Toc228499517"/>
      <w:r>
        <w:rPr>
          <w:rStyle w:val="Strong"/>
          <w:b/>
          <w:bCs w:val="0"/>
        </w:rPr>
        <w:t>3.1 Segmentation</w:t>
      </w:r>
      <w:bookmarkEnd w:id="4"/>
    </w:p>
    <w:p w:rsidR="008D3ED5" w:rsidRDefault="004874D8">
      <w:pPr>
        <w:rPr>
          <w:rStyle w:val="Strong"/>
          <w:b w:val="0"/>
        </w:rPr>
      </w:pPr>
      <w:r>
        <w:rPr>
          <w:rStyle w:val="Strong"/>
          <w:b w:val="0"/>
        </w:rPr>
        <w:t xml:space="preserve">Segmentation is also important in determining high-value markets of Samsung MindCare AI, especially in the quickly developing digital health ecosystem. The segmentation </w:t>
      </w:r>
      <w:r>
        <w:rPr>
          <w:rStyle w:val="Strong"/>
          <w:b w:val="0"/>
        </w:rPr>
        <w:t>plan is multidimensional and it includes geographic, demographic, psychographic and behavioural variables to make it precise and strategic (Guni et al., 2020). Geographically, the target is on the regions that are more urban and technologically sophisticat</w:t>
      </w:r>
      <w:r>
        <w:rPr>
          <w:rStyle w:val="Strong"/>
          <w:b w:val="0"/>
        </w:rPr>
        <w:t>ed like the United Kingdom, United States, and Asia where the rates of digital infrastructure and wearables adoption are much more advanced. These markets show higher levels of acceptance of AI-based health solutions and have scalability potential (Guni et</w:t>
      </w:r>
      <w:r>
        <w:rPr>
          <w:rStyle w:val="Strong"/>
          <w:b w:val="0"/>
        </w:rPr>
        <w:t xml:space="preserve"> al., 2021). The demographics of the main groups are people aged between 18-45, especially professionals and students, who are more prone to work-related stress and are also extremely technologically active (Li et al., 2021).</w:t>
      </w:r>
    </w:p>
    <w:p w:rsidR="008D3ED5" w:rsidRDefault="004874D8">
      <w:pPr>
        <w:rPr>
          <w:rStyle w:val="Strong"/>
          <w:b w:val="0"/>
        </w:rPr>
      </w:pPr>
      <w:r>
        <w:rPr>
          <w:rStyle w:val="Strong"/>
          <w:b w:val="0"/>
          <w:bCs w:val="0"/>
        </w:rPr>
        <w:t>Nonetheless, demographic segme</w:t>
      </w:r>
      <w:r>
        <w:rPr>
          <w:rStyle w:val="Strong"/>
          <w:b w:val="0"/>
          <w:bCs w:val="0"/>
        </w:rPr>
        <w:t>ntation is not the right tool to comprehensively represent the complexity of digital health consumers.</w:t>
      </w:r>
      <w:r>
        <w:rPr>
          <w:rStyle w:val="Strong"/>
          <w:b w:val="0"/>
        </w:rPr>
        <w:t xml:space="preserve"> Psychographic segmentation is more insightful as it addresses health-conscious people who have stressful lifestyles and seek self-improvement and wellnes</w:t>
      </w:r>
      <w:r>
        <w:rPr>
          <w:rStyle w:val="Strong"/>
          <w:b w:val="0"/>
        </w:rPr>
        <w:t>s solutions (Phung et al., 2022). This is further segmented using behavioural segmentation of wearables, app users, and those that are prone to preventive healthcare. Psychographic and behavioural segmentation will offer a more insightful perspective in di</w:t>
      </w:r>
      <w:r>
        <w:rPr>
          <w:rStyle w:val="Strong"/>
          <w:b w:val="0"/>
        </w:rPr>
        <w:t>gital health markets than the more traditional demographic method, with consumer motivations, attitudes, and patterns of technology use being more predictive of adoption behaviour (Kotler et al., 2024).</w:t>
      </w:r>
    </w:p>
    <w:p w:rsidR="008D3ED5" w:rsidRDefault="004874D8">
      <w:pPr>
        <w:rPr>
          <w:rStyle w:val="Strong"/>
        </w:rPr>
      </w:pPr>
      <w:r>
        <w:rPr>
          <w:rStyle w:val="Strong"/>
        </w:rPr>
        <w:t>Table 1: Market Segmentation of Samsung MindCare AI</w:t>
      </w:r>
    </w:p>
    <w:tbl>
      <w:tblPr>
        <w:tblStyle w:val="GridTable4-Accent51"/>
        <w:tblW w:w="0" w:type="auto"/>
        <w:tblLook w:val="04A0" w:firstRow="1" w:lastRow="0" w:firstColumn="1" w:lastColumn="0" w:noHBand="0" w:noVBand="1"/>
      </w:tblPr>
      <w:tblGrid>
        <w:gridCol w:w="3005"/>
        <w:gridCol w:w="3005"/>
        <w:gridCol w:w="3006"/>
      </w:tblGrid>
      <w:tr w:rsidR="008D3ED5" w:rsidTr="008D3E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8D3ED5" w:rsidRDefault="004874D8">
            <w:pPr>
              <w:rPr>
                <w:rStyle w:val="Strong"/>
              </w:rPr>
            </w:pPr>
            <w:r>
              <w:rPr>
                <w:rStyle w:val="Strong"/>
              </w:rPr>
              <w:lastRenderedPageBreak/>
              <w:t>Segmentation Type</w:t>
            </w:r>
          </w:p>
        </w:tc>
        <w:tc>
          <w:tcPr>
            <w:tcW w:w="3005" w:type="dxa"/>
          </w:tcPr>
          <w:p w:rsidR="008D3ED5" w:rsidRDefault="004874D8">
            <w:pPr>
              <w:cnfStyle w:val="100000000000" w:firstRow="1" w:lastRow="0" w:firstColumn="0" w:lastColumn="0" w:oddVBand="0" w:evenVBand="0" w:oddHBand="0" w:evenHBand="0" w:firstRowFirstColumn="0" w:firstRowLastColumn="0" w:lastRowFirstColumn="0" w:lastRowLastColumn="0"/>
              <w:rPr>
                <w:rStyle w:val="Strong"/>
              </w:rPr>
            </w:pPr>
            <w:r>
              <w:rPr>
                <w:rStyle w:val="Strong"/>
              </w:rPr>
              <w:t>Variables</w:t>
            </w:r>
          </w:p>
        </w:tc>
        <w:tc>
          <w:tcPr>
            <w:tcW w:w="3006" w:type="dxa"/>
          </w:tcPr>
          <w:p w:rsidR="008D3ED5" w:rsidRDefault="004874D8">
            <w:pPr>
              <w:cnfStyle w:val="100000000000" w:firstRow="1" w:lastRow="0" w:firstColumn="0" w:lastColumn="0" w:oddVBand="0" w:evenVBand="0" w:oddHBand="0" w:evenHBand="0" w:firstRowFirstColumn="0" w:firstRowLastColumn="0" w:lastRowFirstColumn="0" w:lastRowLastColumn="0"/>
              <w:rPr>
                <w:rStyle w:val="Strong"/>
              </w:rPr>
            </w:pPr>
            <w:r>
              <w:rPr>
                <w:rStyle w:val="Strong"/>
              </w:rPr>
              <w:t>Strategic Insight</w:t>
            </w:r>
          </w:p>
        </w:tc>
      </w:tr>
      <w:tr w:rsidR="008D3ED5" w:rsidTr="008D3E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8D3ED5" w:rsidRDefault="004874D8">
            <w:pPr>
              <w:rPr>
                <w:rStyle w:val="Strong"/>
              </w:rPr>
            </w:pPr>
            <w:r>
              <w:rPr>
                <w:rStyle w:val="Strong"/>
              </w:rPr>
              <w:t>Geographic</w:t>
            </w:r>
          </w:p>
        </w:tc>
        <w:tc>
          <w:tcPr>
            <w:tcW w:w="3005" w:type="dxa"/>
          </w:tcPr>
          <w:p w:rsidR="008D3ED5" w:rsidRDefault="004874D8">
            <w:pPr>
              <w:cnfStyle w:val="000000100000" w:firstRow="0" w:lastRow="0" w:firstColumn="0" w:lastColumn="0" w:oddVBand="0" w:evenVBand="0" w:oddHBand="1" w:evenHBand="0" w:firstRowFirstColumn="0" w:firstRowLastColumn="0" w:lastRowFirstColumn="0" w:lastRowLastColumn="0"/>
              <w:rPr>
                <w:rStyle w:val="Strong"/>
                <w:b w:val="0"/>
              </w:rPr>
            </w:pPr>
            <w:r>
              <w:rPr>
                <w:rStyle w:val="Strong"/>
                <w:b w:val="0"/>
              </w:rPr>
              <w:t>UK, US, Asia (urban markets)</w:t>
            </w:r>
          </w:p>
        </w:tc>
        <w:tc>
          <w:tcPr>
            <w:tcW w:w="3006" w:type="dxa"/>
          </w:tcPr>
          <w:p w:rsidR="008D3ED5" w:rsidRDefault="004874D8">
            <w:pPr>
              <w:cnfStyle w:val="000000100000" w:firstRow="0" w:lastRow="0" w:firstColumn="0" w:lastColumn="0" w:oddVBand="0" w:evenVBand="0" w:oddHBand="1" w:evenHBand="0" w:firstRowFirstColumn="0" w:firstRowLastColumn="0" w:lastRowFirstColumn="0" w:lastRowLastColumn="0"/>
              <w:rPr>
                <w:rStyle w:val="Strong"/>
                <w:b w:val="0"/>
              </w:rPr>
            </w:pPr>
            <w:r>
              <w:rPr>
                <w:rStyle w:val="Strong"/>
                <w:b w:val="0"/>
              </w:rPr>
              <w:t>High digital adoption and infrastructure support scalability</w:t>
            </w:r>
          </w:p>
        </w:tc>
      </w:tr>
      <w:tr w:rsidR="008D3ED5" w:rsidTr="008D3ED5">
        <w:tc>
          <w:tcPr>
            <w:cnfStyle w:val="001000000000" w:firstRow="0" w:lastRow="0" w:firstColumn="1" w:lastColumn="0" w:oddVBand="0" w:evenVBand="0" w:oddHBand="0" w:evenHBand="0" w:firstRowFirstColumn="0" w:firstRowLastColumn="0" w:lastRowFirstColumn="0" w:lastRowLastColumn="0"/>
            <w:tcW w:w="3005" w:type="dxa"/>
          </w:tcPr>
          <w:p w:rsidR="008D3ED5" w:rsidRDefault="004874D8">
            <w:pPr>
              <w:rPr>
                <w:rStyle w:val="Strong"/>
              </w:rPr>
            </w:pPr>
            <w:r>
              <w:rPr>
                <w:rStyle w:val="Strong"/>
              </w:rPr>
              <w:t>Demographic</w:t>
            </w:r>
          </w:p>
        </w:tc>
        <w:tc>
          <w:tcPr>
            <w:tcW w:w="3005" w:type="dxa"/>
          </w:tcPr>
          <w:p w:rsidR="008D3ED5" w:rsidRDefault="004874D8">
            <w:pPr>
              <w:cnfStyle w:val="000000000000" w:firstRow="0" w:lastRow="0" w:firstColumn="0" w:lastColumn="0" w:oddVBand="0" w:evenVBand="0" w:oddHBand="0" w:evenHBand="0" w:firstRowFirstColumn="0" w:firstRowLastColumn="0" w:lastRowFirstColumn="0" w:lastRowLastColumn="0"/>
              <w:rPr>
                <w:rStyle w:val="Strong"/>
                <w:b w:val="0"/>
              </w:rPr>
            </w:pPr>
            <w:r>
              <w:rPr>
                <w:rStyle w:val="Strong"/>
                <w:b w:val="0"/>
              </w:rPr>
              <w:t>Age 18–45; professionals, students</w:t>
            </w:r>
          </w:p>
        </w:tc>
        <w:tc>
          <w:tcPr>
            <w:tcW w:w="3006" w:type="dxa"/>
          </w:tcPr>
          <w:p w:rsidR="008D3ED5" w:rsidRDefault="004874D8">
            <w:pPr>
              <w:cnfStyle w:val="000000000000" w:firstRow="0" w:lastRow="0" w:firstColumn="0" w:lastColumn="0" w:oddVBand="0" w:evenVBand="0" w:oddHBand="0" w:evenHBand="0" w:firstRowFirstColumn="0" w:firstRowLastColumn="0" w:lastRowFirstColumn="0" w:lastRowLastColumn="0"/>
              <w:rPr>
                <w:rStyle w:val="Strong"/>
                <w:b w:val="0"/>
              </w:rPr>
            </w:pPr>
            <w:r>
              <w:rPr>
                <w:rStyle w:val="Strong"/>
                <w:b w:val="0"/>
              </w:rPr>
              <w:t>High stress levels and purchasing power</w:t>
            </w:r>
          </w:p>
        </w:tc>
      </w:tr>
      <w:tr w:rsidR="008D3ED5" w:rsidTr="008D3E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8D3ED5" w:rsidRDefault="004874D8">
            <w:pPr>
              <w:rPr>
                <w:rStyle w:val="Strong"/>
              </w:rPr>
            </w:pPr>
            <w:r>
              <w:rPr>
                <w:rStyle w:val="Strong"/>
              </w:rPr>
              <w:t>Psychographic</w:t>
            </w:r>
          </w:p>
        </w:tc>
        <w:tc>
          <w:tcPr>
            <w:tcW w:w="3005" w:type="dxa"/>
          </w:tcPr>
          <w:p w:rsidR="008D3ED5" w:rsidRDefault="004874D8">
            <w:pPr>
              <w:cnfStyle w:val="000000100000" w:firstRow="0" w:lastRow="0" w:firstColumn="0" w:lastColumn="0" w:oddVBand="0" w:evenVBand="0" w:oddHBand="1" w:evenHBand="0" w:firstRowFirstColumn="0" w:firstRowLastColumn="0" w:lastRowFirstColumn="0" w:lastRowLastColumn="0"/>
              <w:rPr>
                <w:rStyle w:val="Strong"/>
                <w:b w:val="0"/>
              </w:rPr>
            </w:pPr>
            <w:r>
              <w:rPr>
                <w:rStyle w:val="Strong"/>
                <w:b w:val="0"/>
              </w:rPr>
              <w:t>Health-conscious, stress-prone, tech-savvy</w:t>
            </w:r>
          </w:p>
        </w:tc>
        <w:tc>
          <w:tcPr>
            <w:tcW w:w="3006" w:type="dxa"/>
          </w:tcPr>
          <w:p w:rsidR="008D3ED5" w:rsidRDefault="004874D8">
            <w:pPr>
              <w:cnfStyle w:val="000000100000" w:firstRow="0" w:lastRow="0" w:firstColumn="0" w:lastColumn="0" w:oddVBand="0" w:evenVBand="0" w:oddHBand="1" w:evenHBand="0" w:firstRowFirstColumn="0" w:firstRowLastColumn="0" w:lastRowFirstColumn="0" w:lastRowLastColumn="0"/>
              <w:rPr>
                <w:rStyle w:val="Strong"/>
                <w:b w:val="0"/>
              </w:rPr>
            </w:pPr>
            <w:r>
              <w:rPr>
                <w:rStyle w:val="Strong"/>
                <w:b w:val="0"/>
              </w:rPr>
              <w:t>Strong motivation for wellness and self-monitoring</w:t>
            </w:r>
          </w:p>
        </w:tc>
      </w:tr>
      <w:tr w:rsidR="008D3ED5" w:rsidTr="008D3ED5">
        <w:tc>
          <w:tcPr>
            <w:cnfStyle w:val="001000000000" w:firstRow="0" w:lastRow="0" w:firstColumn="1" w:lastColumn="0" w:oddVBand="0" w:evenVBand="0" w:oddHBand="0" w:evenHBand="0" w:firstRowFirstColumn="0" w:firstRowLastColumn="0" w:lastRowFirstColumn="0" w:lastRowLastColumn="0"/>
            <w:tcW w:w="3005" w:type="dxa"/>
          </w:tcPr>
          <w:p w:rsidR="008D3ED5" w:rsidRDefault="004874D8">
            <w:pPr>
              <w:rPr>
                <w:rStyle w:val="Strong"/>
              </w:rPr>
            </w:pPr>
            <w:r>
              <w:rPr>
                <w:rStyle w:val="Strong"/>
              </w:rPr>
              <w:t>Behavioural</w:t>
            </w:r>
          </w:p>
        </w:tc>
        <w:tc>
          <w:tcPr>
            <w:tcW w:w="3005" w:type="dxa"/>
          </w:tcPr>
          <w:p w:rsidR="008D3ED5" w:rsidRDefault="004874D8">
            <w:pPr>
              <w:cnfStyle w:val="000000000000" w:firstRow="0" w:lastRow="0" w:firstColumn="0" w:lastColumn="0" w:oddVBand="0" w:evenVBand="0" w:oddHBand="0" w:evenHBand="0" w:firstRowFirstColumn="0" w:firstRowLastColumn="0" w:lastRowFirstColumn="0" w:lastRowLastColumn="0"/>
              <w:rPr>
                <w:rStyle w:val="Strong"/>
                <w:b w:val="0"/>
              </w:rPr>
            </w:pPr>
            <w:r>
              <w:rPr>
                <w:rStyle w:val="Strong"/>
                <w:b w:val="0"/>
              </w:rPr>
              <w:t>Wearable users, app subscribers</w:t>
            </w:r>
          </w:p>
        </w:tc>
        <w:tc>
          <w:tcPr>
            <w:tcW w:w="3006" w:type="dxa"/>
          </w:tcPr>
          <w:p w:rsidR="008D3ED5" w:rsidRDefault="004874D8">
            <w:pPr>
              <w:cnfStyle w:val="000000000000" w:firstRow="0" w:lastRow="0" w:firstColumn="0" w:lastColumn="0" w:oddVBand="0" w:evenVBand="0" w:oddHBand="0" w:evenHBand="0" w:firstRowFirstColumn="0" w:firstRowLastColumn="0" w:lastRowFirstColumn="0" w:lastRowLastColumn="0"/>
              <w:rPr>
                <w:rStyle w:val="Strong"/>
                <w:b w:val="0"/>
              </w:rPr>
            </w:pPr>
            <w:r>
              <w:rPr>
                <w:rStyle w:val="Strong"/>
                <w:b w:val="0"/>
              </w:rPr>
              <w:t>High likelihood of adoption and engagement</w:t>
            </w:r>
          </w:p>
        </w:tc>
      </w:tr>
    </w:tbl>
    <w:p w:rsidR="008D3ED5" w:rsidRDefault="008D3ED5">
      <w:pPr>
        <w:rPr>
          <w:rStyle w:val="Strong"/>
          <w:b w:val="0"/>
        </w:rPr>
      </w:pPr>
    </w:p>
    <w:p w:rsidR="008D3ED5" w:rsidRDefault="004874D8">
      <w:pPr>
        <w:pStyle w:val="Heading2"/>
        <w:rPr>
          <w:rStyle w:val="Strong"/>
          <w:b/>
          <w:bCs w:val="0"/>
        </w:rPr>
      </w:pPr>
      <w:bookmarkStart w:id="5" w:name="_Toc228499518"/>
      <w:r>
        <w:rPr>
          <w:rStyle w:val="Strong"/>
          <w:b/>
          <w:bCs w:val="0"/>
        </w:rPr>
        <w:t>3.2 Targeting</w:t>
      </w:r>
      <w:bookmarkEnd w:id="5"/>
    </w:p>
    <w:p w:rsidR="008D3ED5" w:rsidRDefault="004874D8">
      <w:pPr>
        <w:rPr>
          <w:rStyle w:val="Strong"/>
          <w:b w:val="0"/>
        </w:rPr>
      </w:pPr>
      <w:r>
        <w:rPr>
          <w:rStyle w:val="Strong"/>
          <w:b w:val="0"/>
        </w:rPr>
        <w:t>According to segmentation analysis, Samsung mindcare AI wi</w:t>
      </w:r>
      <w:r>
        <w:rPr>
          <w:rStyle w:val="Strong"/>
          <w:b w:val="0"/>
        </w:rPr>
        <w:t>ll use differentiated targeting strategy to target segments with high potential with different but complementary needs. Its target market will be young professionals aged 25-40 years old who are highly stressed because of their hardworking conditions and s</w:t>
      </w:r>
      <w:r>
        <w:rPr>
          <w:rStyle w:val="Strong"/>
          <w:b w:val="0"/>
        </w:rPr>
        <w:t>how high interest in using digital technologies (Liang et al., 2024). This segment is highly commercial as it has high purchasing power and readiness to invest in health-enhancing solutions. The secondary target is the students and early-career people, who</w:t>
      </w:r>
      <w:r>
        <w:rPr>
          <w:rStyle w:val="Strong"/>
          <w:b w:val="0"/>
        </w:rPr>
        <w:t xml:space="preserve"> are more influenced by academic and career-related stress but can be more price-sensitive. By focusing on this market, Samsung will be able to build initial brand relationships and customer loyalty (Arshad et al., 2025).</w:t>
      </w:r>
    </w:p>
    <w:p w:rsidR="008D3ED5" w:rsidRDefault="004874D8">
      <w:pPr>
        <w:rPr>
          <w:rStyle w:val="Strong"/>
          <w:b w:val="0"/>
        </w:rPr>
      </w:pPr>
      <w:r>
        <w:rPr>
          <w:rStyle w:val="Strong"/>
          <w:b w:val="0"/>
        </w:rPr>
        <w:t>A focus on digitally active people</w:t>
      </w:r>
      <w:r>
        <w:rPr>
          <w:rStyle w:val="Strong"/>
          <w:b w:val="0"/>
        </w:rPr>
        <w:t xml:space="preserve"> would increase the adoption rate as they are already familiar with wearable devices and themselves see the value of personalised healthcare. This strategy is in line with the modern day marketing theory that focuses on behavioural preparedness and the per</w:t>
      </w:r>
      <w:r>
        <w:rPr>
          <w:rStyle w:val="Strong"/>
          <w:b w:val="0"/>
        </w:rPr>
        <w:t>ceived utility as the most important factors in the adoption of technology (Wedel and Kamakura, 2012). More importantly, the strategy focuses on both need intensity and technological compatibility segments, thus maximising the adoption rates and reducing m</w:t>
      </w:r>
      <w:r>
        <w:rPr>
          <w:rStyle w:val="Strong"/>
          <w:b w:val="0"/>
        </w:rPr>
        <w:t>arket resistance (Butt et al., 2024).</w:t>
      </w:r>
    </w:p>
    <w:p w:rsidR="008D3ED5" w:rsidRDefault="004874D8">
      <w:pPr>
        <w:pStyle w:val="Heading2"/>
        <w:rPr>
          <w:rStyle w:val="Strong"/>
          <w:b/>
          <w:bCs w:val="0"/>
        </w:rPr>
      </w:pPr>
      <w:bookmarkStart w:id="6" w:name="_Toc228499519"/>
      <w:r>
        <w:rPr>
          <w:rStyle w:val="Strong"/>
          <w:b/>
          <w:bCs w:val="0"/>
        </w:rPr>
        <w:t>3.3 Differentiation</w:t>
      </w:r>
      <w:bookmarkEnd w:id="6"/>
    </w:p>
    <w:p w:rsidR="008D3ED5" w:rsidRDefault="004874D8">
      <w:pPr>
        <w:rPr>
          <w:rStyle w:val="Strong"/>
          <w:b w:val="0"/>
        </w:rPr>
      </w:pPr>
      <w:r>
        <w:rPr>
          <w:rStyle w:val="Strong"/>
          <w:b w:val="0"/>
        </w:rPr>
        <w:t>Samsung MindCare AI uses both technological innovation and integration with the ecosystem to achieve differentiation. It makes use of AI-driven live detection of stress and behavioural trends, unlik</w:t>
      </w:r>
      <w:r>
        <w:rPr>
          <w:rStyle w:val="Strong"/>
          <w:b w:val="0"/>
        </w:rPr>
        <w:t xml:space="preserve">e traditional health-related applications, allowing proactive instead of reactive </w:t>
      </w:r>
      <w:r>
        <w:rPr>
          <w:rStyle w:val="Strong"/>
          <w:b w:val="0"/>
        </w:rPr>
        <w:lastRenderedPageBreak/>
        <w:t>healthcare to take place (Putra et al., 2024). This has been complemented by integration into the wider Samsung ecosystem, such as smartphones, wearables, and IoT devices, wh</w:t>
      </w:r>
      <w:r>
        <w:rPr>
          <w:rStyle w:val="Strong"/>
          <w:b w:val="0"/>
        </w:rPr>
        <w:t>ich form an interconnected and seamless user experience (Wang et al., 2021). Comparatively speaking, Apple Health is well-integrated in its ecosystem, yet is somewhat less advanced in AI-based mental health analytics, whereas Fitbit is mostly concerned wit</w:t>
      </w:r>
      <w:r>
        <w:rPr>
          <w:rStyle w:val="Strong"/>
          <w:b w:val="0"/>
        </w:rPr>
        <w:t>h physical fitness tracking and not with mental wellness. This makes Samsung MindCare AI a unique synergy of AI, healthcare, and ecosystem (Secara and Hordiiuk, 2024).</w:t>
      </w:r>
    </w:p>
    <w:p w:rsidR="008D3ED5" w:rsidRDefault="004874D8">
      <w:pPr>
        <w:rPr>
          <w:rStyle w:val="Strong"/>
          <w:b w:val="0"/>
        </w:rPr>
      </w:pPr>
      <w:r>
        <w:rPr>
          <w:rStyle w:val="Strong"/>
          <w:b w:val="0"/>
        </w:rPr>
        <w:t>By integrating an ecosystem, Samsung develops competitive advantage whereby switching co</w:t>
      </w:r>
      <w:r>
        <w:rPr>
          <w:rStyle w:val="Strong"/>
          <w:b w:val="0"/>
        </w:rPr>
        <w:t>sts and user retention grow because users are integrated into a single digital space (Porter, 1985). This advantage, however, has to be offset by the risks that could arise due to over-reliance on proprietary platforms.</w:t>
      </w:r>
    </w:p>
    <w:p w:rsidR="008D3ED5" w:rsidRDefault="004874D8">
      <w:pPr>
        <w:rPr>
          <w:rStyle w:val="Strong"/>
        </w:rPr>
      </w:pPr>
      <w:r>
        <w:rPr>
          <w:rStyle w:val="Strong"/>
        </w:rPr>
        <w:t>Table 2: Competitive Differentiation</w:t>
      </w:r>
      <w:r>
        <w:rPr>
          <w:rStyle w:val="Strong"/>
        </w:rPr>
        <w:t xml:space="preserve"> Analysis</w:t>
      </w:r>
    </w:p>
    <w:tbl>
      <w:tblPr>
        <w:tblStyle w:val="GridTable4-Accent51"/>
        <w:tblW w:w="0" w:type="auto"/>
        <w:tblLook w:val="04A0" w:firstRow="1" w:lastRow="0" w:firstColumn="1" w:lastColumn="0" w:noHBand="0" w:noVBand="1"/>
      </w:tblPr>
      <w:tblGrid>
        <w:gridCol w:w="2254"/>
        <w:gridCol w:w="2254"/>
        <w:gridCol w:w="2254"/>
        <w:gridCol w:w="2254"/>
      </w:tblGrid>
      <w:tr w:rsidR="008D3ED5" w:rsidTr="008D3E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8D3ED5" w:rsidRDefault="004874D8">
            <w:pPr>
              <w:rPr>
                <w:rStyle w:val="Strong"/>
              </w:rPr>
            </w:pPr>
            <w:r>
              <w:rPr>
                <w:rStyle w:val="Strong"/>
              </w:rPr>
              <w:t>Feature</w:t>
            </w:r>
          </w:p>
        </w:tc>
        <w:tc>
          <w:tcPr>
            <w:tcW w:w="2254" w:type="dxa"/>
          </w:tcPr>
          <w:p w:rsidR="008D3ED5" w:rsidRDefault="004874D8">
            <w:pPr>
              <w:cnfStyle w:val="100000000000" w:firstRow="1" w:lastRow="0" w:firstColumn="0" w:lastColumn="0" w:oddVBand="0" w:evenVBand="0" w:oddHBand="0" w:evenHBand="0" w:firstRowFirstColumn="0" w:firstRowLastColumn="0" w:lastRowFirstColumn="0" w:lastRowLastColumn="0"/>
              <w:rPr>
                <w:rStyle w:val="Strong"/>
              </w:rPr>
            </w:pPr>
            <w:r>
              <w:rPr>
                <w:rStyle w:val="Strong"/>
              </w:rPr>
              <w:t>Samsung MindCare AI</w:t>
            </w:r>
          </w:p>
        </w:tc>
        <w:tc>
          <w:tcPr>
            <w:tcW w:w="2254" w:type="dxa"/>
          </w:tcPr>
          <w:p w:rsidR="008D3ED5" w:rsidRDefault="004874D8">
            <w:pPr>
              <w:cnfStyle w:val="100000000000" w:firstRow="1" w:lastRow="0" w:firstColumn="0" w:lastColumn="0" w:oddVBand="0" w:evenVBand="0" w:oddHBand="0" w:evenHBand="0" w:firstRowFirstColumn="0" w:firstRowLastColumn="0" w:lastRowFirstColumn="0" w:lastRowLastColumn="0"/>
              <w:rPr>
                <w:rStyle w:val="Strong"/>
              </w:rPr>
            </w:pPr>
            <w:r>
              <w:rPr>
                <w:rStyle w:val="Strong"/>
              </w:rPr>
              <w:t>Apple Health</w:t>
            </w:r>
          </w:p>
        </w:tc>
        <w:tc>
          <w:tcPr>
            <w:tcW w:w="2254" w:type="dxa"/>
          </w:tcPr>
          <w:p w:rsidR="008D3ED5" w:rsidRDefault="004874D8">
            <w:pPr>
              <w:cnfStyle w:val="100000000000" w:firstRow="1" w:lastRow="0" w:firstColumn="0" w:lastColumn="0" w:oddVBand="0" w:evenVBand="0" w:oddHBand="0" w:evenHBand="0" w:firstRowFirstColumn="0" w:firstRowLastColumn="0" w:lastRowFirstColumn="0" w:lastRowLastColumn="0"/>
              <w:rPr>
                <w:rStyle w:val="Strong"/>
              </w:rPr>
            </w:pPr>
            <w:r>
              <w:rPr>
                <w:rStyle w:val="Strong"/>
              </w:rPr>
              <w:t>Fitbit</w:t>
            </w:r>
          </w:p>
        </w:tc>
      </w:tr>
      <w:tr w:rsidR="008D3ED5" w:rsidTr="008D3E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8D3ED5" w:rsidRDefault="004874D8">
            <w:pPr>
              <w:rPr>
                <w:rStyle w:val="Strong"/>
              </w:rPr>
            </w:pPr>
            <w:r>
              <w:rPr>
                <w:rStyle w:val="Strong"/>
              </w:rPr>
              <w:t>AI Capability</w:t>
            </w:r>
          </w:p>
        </w:tc>
        <w:tc>
          <w:tcPr>
            <w:tcW w:w="2254" w:type="dxa"/>
          </w:tcPr>
          <w:p w:rsidR="008D3ED5" w:rsidRDefault="004874D8">
            <w:pPr>
              <w:cnfStyle w:val="000000100000" w:firstRow="0" w:lastRow="0" w:firstColumn="0" w:lastColumn="0" w:oddVBand="0" w:evenVBand="0" w:oddHBand="1" w:evenHBand="0" w:firstRowFirstColumn="0" w:firstRowLastColumn="0" w:lastRowFirstColumn="0" w:lastRowLastColumn="0"/>
              <w:rPr>
                <w:rStyle w:val="Strong"/>
                <w:b w:val="0"/>
              </w:rPr>
            </w:pPr>
            <w:r>
              <w:rPr>
                <w:rStyle w:val="Strong"/>
                <w:b w:val="0"/>
              </w:rPr>
              <w:t>Advanced real-time mental health detection</w:t>
            </w:r>
          </w:p>
        </w:tc>
        <w:tc>
          <w:tcPr>
            <w:tcW w:w="2254" w:type="dxa"/>
          </w:tcPr>
          <w:p w:rsidR="008D3ED5" w:rsidRDefault="004874D8">
            <w:pPr>
              <w:cnfStyle w:val="000000100000" w:firstRow="0" w:lastRow="0" w:firstColumn="0" w:lastColumn="0" w:oddVBand="0" w:evenVBand="0" w:oddHBand="1" w:evenHBand="0" w:firstRowFirstColumn="0" w:firstRowLastColumn="0" w:lastRowFirstColumn="0" w:lastRowLastColumn="0"/>
              <w:rPr>
                <w:rStyle w:val="Strong"/>
                <w:b w:val="0"/>
              </w:rPr>
            </w:pPr>
            <w:r>
              <w:rPr>
                <w:rStyle w:val="Strong"/>
                <w:b w:val="0"/>
              </w:rPr>
              <w:t>Limited AI depth</w:t>
            </w:r>
          </w:p>
        </w:tc>
        <w:tc>
          <w:tcPr>
            <w:tcW w:w="2254" w:type="dxa"/>
          </w:tcPr>
          <w:p w:rsidR="008D3ED5" w:rsidRDefault="004874D8">
            <w:pPr>
              <w:cnfStyle w:val="000000100000" w:firstRow="0" w:lastRow="0" w:firstColumn="0" w:lastColumn="0" w:oddVBand="0" w:evenVBand="0" w:oddHBand="1" w:evenHBand="0" w:firstRowFirstColumn="0" w:firstRowLastColumn="0" w:lastRowFirstColumn="0" w:lastRowLastColumn="0"/>
              <w:rPr>
                <w:rStyle w:val="Strong"/>
                <w:b w:val="0"/>
              </w:rPr>
            </w:pPr>
            <w:r>
              <w:rPr>
                <w:rStyle w:val="Strong"/>
                <w:b w:val="0"/>
              </w:rPr>
              <w:t>Basic analytics</w:t>
            </w:r>
          </w:p>
        </w:tc>
      </w:tr>
      <w:tr w:rsidR="008D3ED5" w:rsidTr="008D3ED5">
        <w:tc>
          <w:tcPr>
            <w:cnfStyle w:val="001000000000" w:firstRow="0" w:lastRow="0" w:firstColumn="1" w:lastColumn="0" w:oddVBand="0" w:evenVBand="0" w:oddHBand="0" w:evenHBand="0" w:firstRowFirstColumn="0" w:firstRowLastColumn="0" w:lastRowFirstColumn="0" w:lastRowLastColumn="0"/>
            <w:tcW w:w="2254" w:type="dxa"/>
          </w:tcPr>
          <w:p w:rsidR="008D3ED5" w:rsidRDefault="004874D8">
            <w:pPr>
              <w:rPr>
                <w:rStyle w:val="Strong"/>
              </w:rPr>
            </w:pPr>
            <w:r>
              <w:rPr>
                <w:rStyle w:val="Strong"/>
              </w:rPr>
              <w:t>Focus Area</w:t>
            </w:r>
          </w:p>
        </w:tc>
        <w:tc>
          <w:tcPr>
            <w:tcW w:w="2254" w:type="dxa"/>
          </w:tcPr>
          <w:p w:rsidR="008D3ED5" w:rsidRDefault="004874D8">
            <w:pPr>
              <w:cnfStyle w:val="000000000000" w:firstRow="0" w:lastRow="0" w:firstColumn="0" w:lastColumn="0" w:oddVBand="0" w:evenVBand="0" w:oddHBand="0" w:evenHBand="0" w:firstRowFirstColumn="0" w:firstRowLastColumn="0" w:lastRowFirstColumn="0" w:lastRowLastColumn="0"/>
              <w:rPr>
                <w:rStyle w:val="Strong"/>
                <w:b w:val="0"/>
              </w:rPr>
            </w:pPr>
            <w:r>
              <w:rPr>
                <w:rStyle w:val="Strong"/>
                <w:b w:val="0"/>
              </w:rPr>
              <w:t>Mental + physical health</w:t>
            </w:r>
          </w:p>
        </w:tc>
        <w:tc>
          <w:tcPr>
            <w:tcW w:w="2254" w:type="dxa"/>
          </w:tcPr>
          <w:p w:rsidR="008D3ED5" w:rsidRDefault="004874D8">
            <w:pPr>
              <w:cnfStyle w:val="000000000000" w:firstRow="0" w:lastRow="0" w:firstColumn="0" w:lastColumn="0" w:oddVBand="0" w:evenVBand="0" w:oddHBand="0" w:evenHBand="0" w:firstRowFirstColumn="0" w:firstRowLastColumn="0" w:lastRowFirstColumn="0" w:lastRowLastColumn="0"/>
              <w:rPr>
                <w:rStyle w:val="Strong"/>
                <w:b w:val="0"/>
              </w:rPr>
            </w:pPr>
            <w:r>
              <w:rPr>
                <w:rStyle w:val="Strong"/>
                <w:b w:val="0"/>
              </w:rPr>
              <w:t>General health tracking</w:t>
            </w:r>
          </w:p>
        </w:tc>
        <w:tc>
          <w:tcPr>
            <w:tcW w:w="2254" w:type="dxa"/>
          </w:tcPr>
          <w:p w:rsidR="008D3ED5" w:rsidRDefault="004874D8">
            <w:pPr>
              <w:cnfStyle w:val="000000000000" w:firstRow="0" w:lastRow="0" w:firstColumn="0" w:lastColumn="0" w:oddVBand="0" w:evenVBand="0" w:oddHBand="0" w:evenHBand="0" w:firstRowFirstColumn="0" w:firstRowLastColumn="0" w:lastRowFirstColumn="0" w:lastRowLastColumn="0"/>
              <w:rPr>
                <w:rStyle w:val="Strong"/>
                <w:b w:val="0"/>
              </w:rPr>
            </w:pPr>
            <w:r>
              <w:rPr>
                <w:rStyle w:val="Strong"/>
                <w:b w:val="0"/>
              </w:rPr>
              <w:t>Fitness-focused</w:t>
            </w:r>
          </w:p>
        </w:tc>
      </w:tr>
      <w:tr w:rsidR="008D3ED5" w:rsidTr="008D3E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8D3ED5" w:rsidRDefault="004874D8">
            <w:pPr>
              <w:rPr>
                <w:rStyle w:val="Strong"/>
              </w:rPr>
            </w:pPr>
            <w:r>
              <w:rPr>
                <w:rStyle w:val="Strong"/>
              </w:rPr>
              <w:t>Ecosystem Integration</w:t>
            </w:r>
          </w:p>
        </w:tc>
        <w:tc>
          <w:tcPr>
            <w:tcW w:w="2254" w:type="dxa"/>
          </w:tcPr>
          <w:p w:rsidR="008D3ED5" w:rsidRDefault="004874D8">
            <w:pPr>
              <w:cnfStyle w:val="000000100000" w:firstRow="0" w:lastRow="0" w:firstColumn="0" w:lastColumn="0" w:oddVBand="0" w:evenVBand="0" w:oddHBand="1" w:evenHBand="0" w:firstRowFirstColumn="0" w:firstRowLastColumn="0" w:lastRowFirstColumn="0" w:lastRowLastColumn="0"/>
              <w:rPr>
                <w:rStyle w:val="Strong"/>
                <w:b w:val="0"/>
              </w:rPr>
            </w:pPr>
            <w:r>
              <w:rPr>
                <w:rStyle w:val="Strong"/>
                <w:b w:val="0"/>
              </w:rPr>
              <w:t xml:space="preserve">Strong </w:t>
            </w:r>
            <w:r>
              <w:rPr>
                <w:rStyle w:val="Strong"/>
                <w:b w:val="0"/>
              </w:rPr>
              <w:t>(Samsung devices)</w:t>
            </w:r>
          </w:p>
        </w:tc>
        <w:tc>
          <w:tcPr>
            <w:tcW w:w="2254" w:type="dxa"/>
          </w:tcPr>
          <w:p w:rsidR="008D3ED5" w:rsidRDefault="004874D8">
            <w:pPr>
              <w:cnfStyle w:val="000000100000" w:firstRow="0" w:lastRow="0" w:firstColumn="0" w:lastColumn="0" w:oddVBand="0" w:evenVBand="0" w:oddHBand="1" w:evenHBand="0" w:firstRowFirstColumn="0" w:firstRowLastColumn="0" w:lastRowFirstColumn="0" w:lastRowLastColumn="0"/>
              <w:rPr>
                <w:rStyle w:val="Strong"/>
                <w:b w:val="0"/>
              </w:rPr>
            </w:pPr>
            <w:r>
              <w:rPr>
                <w:rStyle w:val="Strong"/>
                <w:b w:val="0"/>
              </w:rPr>
              <w:t>Strong (Apple devices)</w:t>
            </w:r>
          </w:p>
        </w:tc>
        <w:tc>
          <w:tcPr>
            <w:tcW w:w="2254" w:type="dxa"/>
          </w:tcPr>
          <w:p w:rsidR="008D3ED5" w:rsidRDefault="004874D8">
            <w:pPr>
              <w:cnfStyle w:val="000000100000" w:firstRow="0" w:lastRow="0" w:firstColumn="0" w:lastColumn="0" w:oddVBand="0" w:evenVBand="0" w:oddHBand="1" w:evenHBand="0" w:firstRowFirstColumn="0" w:firstRowLastColumn="0" w:lastRowFirstColumn="0" w:lastRowLastColumn="0"/>
              <w:rPr>
                <w:rStyle w:val="Strong"/>
                <w:b w:val="0"/>
              </w:rPr>
            </w:pPr>
            <w:r>
              <w:rPr>
                <w:rStyle w:val="Strong"/>
                <w:b w:val="0"/>
              </w:rPr>
              <w:t>Moderate</w:t>
            </w:r>
          </w:p>
        </w:tc>
      </w:tr>
      <w:tr w:rsidR="008D3ED5" w:rsidTr="008D3ED5">
        <w:tc>
          <w:tcPr>
            <w:cnfStyle w:val="001000000000" w:firstRow="0" w:lastRow="0" w:firstColumn="1" w:lastColumn="0" w:oddVBand="0" w:evenVBand="0" w:oddHBand="0" w:evenHBand="0" w:firstRowFirstColumn="0" w:firstRowLastColumn="0" w:lastRowFirstColumn="0" w:lastRowLastColumn="0"/>
            <w:tcW w:w="2254" w:type="dxa"/>
          </w:tcPr>
          <w:p w:rsidR="008D3ED5" w:rsidRDefault="004874D8">
            <w:pPr>
              <w:rPr>
                <w:rStyle w:val="Strong"/>
              </w:rPr>
            </w:pPr>
            <w:r>
              <w:rPr>
                <w:rStyle w:val="Strong"/>
              </w:rPr>
              <w:t>Personalisation</w:t>
            </w:r>
          </w:p>
        </w:tc>
        <w:tc>
          <w:tcPr>
            <w:tcW w:w="2254" w:type="dxa"/>
          </w:tcPr>
          <w:p w:rsidR="008D3ED5" w:rsidRDefault="004874D8">
            <w:pPr>
              <w:cnfStyle w:val="000000000000" w:firstRow="0" w:lastRow="0" w:firstColumn="0" w:lastColumn="0" w:oddVBand="0" w:evenVBand="0" w:oddHBand="0" w:evenHBand="0" w:firstRowFirstColumn="0" w:firstRowLastColumn="0" w:lastRowFirstColumn="0" w:lastRowLastColumn="0"/>
              <w:rPr>
                <w:rStyle w:val="Strong"/>
                <w:b w:val="0"/>
              </w:rPr>
            </w:pPr>
            <w:r>
              <w:rPr>
                <w:rStyle w:val="Strong"/>
                <w:b w:val="0"/>
              </w:rPr>
              <w:t>High (AI-driven insights)</w:t>
            </w:r>
          </w:p>
        </w:tc>
        <w:tc>
          <w:tcPr>
            <w:tcW w:w="2254" w:type="dxa"/>
          </w:tcPr>
          <w:p w:rsidR="008D3ED5" w:rsidRDefault="004874D8">
            <w:pPr>
              <w:cnfStyle w:val="000000000000" w:firstRow="0" w:lastRow="0" w:firstColumn="0" w:lastColumn="0" w:oddVBand="0" w:evenVBand="0" w:oddHBand="0" w:evenHBand="0" w:firstRowFirstColumn="0" w:firstRowLastColumn="0" w:lastRowFirstColumn="0" w:lastRowLastColumn="0"/>
              <w:rPr>
                <w:rStyle w:val="Strong"/>
                <w:b w:val="0"/>
              </w:rPr>
            </w:pPr>
            <w:r>
              <w:rPr>
                <w:rStyle w:val="Strong"/>
                <w:b w:val="0"/>
              </w:rPr>
              <w:t>Moderate</w:t>
            </w:r>
          </w:p>
        </w:tc>
        <w:tc>
          <w:tcPr>
            <w:tcW w:w="2254" w:type="dxa"/>
          </w:tcPr>
          <w:p w:rsidR="008D3ED5" w:rsidRDefault="004874D8">
            <w:pPr>
              <w:cnfStyle w:val="000000000000" w:firstRow="0" w:lastRow="0" w:firstColumn="0" w:lastColumn="0" w:oddVBand="0" w:evenVBand="0" w:oddHBand="0" w:evenHBand="0" w:firstRowFirstColumn="0" w:firstRowLastColumn="0" w:lastRowFirstColumn="0" w:lastRowLastColumn="0"/>
              <w:rPr>
                <w:rStyle w:val="Strong"/>
                <w:b w:val="0"/>
              </w:rPr>
            </w:pPr>
            <w:r>
              <w:rPr>
                <w:rStyle w:val="Strong"/>
                <w:b w:val="0"/>
              </w:rPr>
              <w:t>Limited</w:t>
            </w:r>
          </w:p>
        </w:tc>
      </w:tr>
    </w:tbl>
    <w:p w:rsidR="008D3ED5" w:rsidRDefault="008D3ED5">
      <w:pPr>
        <w:rPr>
          <w:rStyle w:val="Strong"/>
          <w:b w:val="0"/>
        </w:rPr>
      </w:pPr>
    </w:p>
    <w:p w:rsidR="008D3ED5" w:rsidRDefault="004874D8">
      <w:pPr>
        <w:pStyle w:val="Heading2"/>
        <w:rPr>
          <w:rStyle w:val="Strong"/>
          <w:b/>
          <w:bCs w:val="0"/>
        </w:rPr>
      </w:pPr>
      <w:bookmarkStart w:id="7" w:name="_Toc228499520"/>
      <w:r>
        <w:rPr>
          <w:rStyle w:val="Strong"/>
          <w:b/>
          <w:bCs w:val="0"/>
        </w:rPr>
        <w:t>3.4 Positioning</w:t>
      </w:r>
      <w:bookmarkEnd w:id="7"/>
    </w:p>
    <w:p w:rsidR="008D3ED5" w:rsidRDefault="004874D8">
      <w:pPr>
        <w:rPr>
          <w:rStyle w:val="Strong"/>
          <w:b w:val="0"/>
        </w:rPr>
      </w:pPr>
      <w:r>
        <w:rPr>
          <w:rStyle w:val="Strong"/>
          <w:b w:val="0"/>
        </w:rPr>
        <w:t xml:space="preserve">As a technology-sophisticated, yet emotionally relevant, AI-based mental health solution, Samsung MindCare AI is poised to be a </w:t>
      </w:r>
      <w:r>
        <w:rPr>
          <w:rStyle w:val="Strong"/>
          <w:b w:val="0"/>
        </w:rPr>
        <w:t>premium, yet affordable mental health offering. Samsung MindCare AI is a personalised mental wellness application based on AI that is offered to digitally connected citizens who aspire to receive mental health support, which is both available and subject t</w:t>
      </w:r>
      <w:r>
        <w:rPr>
          <w:rStyle w:val="Strong"/>
          <w:b w:val="0"/>
        </w:rPr>
        <w:t xml:space="preserve">o real-time (Tasmurzayev et al., 2025). This positioning incorporates both the functional value (AI accuracy, real-time monitoring) and the emotional one (mental </w:t>
      </w:r>
      <w:r>
        <w:rPr>
          <w:rStyle w:val="Strong"/>
          <w:b w:val="0"/>
        </w:rPr>
        <w:lastRenderedPageBreak/>
        <w:t>reassurance and wellbeing), which is especially important in the markets related to healthcare</w:t>
      </w:r>
      <w:r>
        <w:rPr>
          <w:rStyle w:val="Strong"/>
          <w:b w:val="0"/>
        </w:rPr>
        <w:t xml:space="preserve"> where trust and reliability play an essential role in the adoption.</w:t>
      </w:r>
    </w:p>
    <w:p w:rsidR="008D3ED5" w:rsidRDefault="004874D8">
      <w:pPr>
        <w:rPr>
          <w:rStyle w:val="Strong"/>
          <w:b w:val="0"/>
        </w:rPr>
      </w:pPr>
      <w:r>
        <w:rPr>
          <w:rStyle w:val="Strong"/>
          <w:b w:val="0"/>
        </w:rPr>
        <w:t>Strategically, placing the product between high innovation and high accessibility allows Samsung to become a differentiated product compared to competitors which might be good in one aspe</w:t>
      </w:r>
      <w:r>
        <w:rPr>
          <w:rStyle w:val="Strong"/>
          <w:b w:val="0"/>
        </w:rPr>
        <w:t>ct but not both. Nevertheless, it is necessary to keep this stance by continuously investing in AI accuracy and user experience and ethical data management to keep consumer trust (Yeung et al., 2023).</w:t>
      </w:r>
    </w:p>
    <w:p w:rsidR="008D3ED5" w:rsidRDefault="004874D8">
      <w:pPr>
        <w:pStyle w:val="Heading1"/>
        <w:rPr>
          <w:rStyle w:val="Strong"/>
          <w:b/>
          <w:bCs w:val="0"/>
        </w:rPr>
      </w:pPr>
      <w:bookmarkStart w:id="8" w:name="_Toc228499521"/>
      <w:r>
        <w:rPr>
          <w:rStyle w:val="Strong"/>
          <w:b/>
          <w:bCs w:val="0"/>
        </w:rPr>
        <w:t>4. Marketing Mix (7Ps)</w:t>
      </w:r>
      <w:bookmarkEnd w:id="8"/>
    </w:p>
    <w:p w:rsidR="008D3ED5" w:rsidRDefault="004874D8">
      <w:pPr>
        <w:pStyle w:val="Heading2"/>
        <w:rPr>
          <w:rStyle w:val="Strong"/>
          <w:b/>
          <w:bCs w:val="0"/>
        </w:rPr>
      </w:pPr>
      <w:bookmarkStart w:id="9" w:name="_Toc228499522"/>
      <w:r>
        <w:rPr>
          <w:rStyle w:val="Strong"/>
          <w:b/>
          <w:bCs w:val="0"/>
        </w:rPr>
        <w:t>4.1 Product</w:t>
      </w:r>
      <w:bookmarkEnd w:id="9"/>
    </w:p>
    <w:p w:rsidR="008D3ED5" w:rsidRDefault="004874D8">
      <w:pPr>
        <w:rPr>
          <w:rStyle w:val="Strong"/>
          <w:b w:val="0"/>
        </w:rPr>
      </w:pPr>
      <w:r>
        <w:rPr>
          <w:rStyle w:val="Strong"/>
          <w:b w:val="0"/>
        </w:rPr>
        <w:t xml:space="preserve">Samsung MindCare AI </w:t>
      </w:r>
      <w:r>
        <w:rPr>
          <w:rStyle w:val="Strong"/>
          <w:b w:val="0"/>
        </w:rPr>
        <w:t>is set as a high-tech AI-based mental health assistant that can be easily interrelated with the Samsung world of smartphones, wearables, and IoT. The product is able to provide round-the-clock monitoring via wearable sensors, allowing real time identificat</w:t>
      </w:r>
      <w:r>
        <w:rPr>
          <w:rStyle w:val="Strong"/>
          <w:b w:val="0"/>
        </w:rPr>
        <w:t xml:space="preserve">ion of stress, mood swings and behavioural habits. This will enable a transition towards proactive and preventive wellbeing management rather than reactive healthcare and increase user engagement and value creation in the long term. </w:t>
      </w:r>
      <w:r>
        <w:rPr>
          <w:rStyle w:val="Strong"/>
          <w:b w:val="0"/>
          <w:bCs w:val="0"/>
        </w:rPr>
        <w:t>In terms of product str</w:t>
      </w:r>
      <w:r>
        <w:rPr>
          <w:rStyle w:val="Strong"/>
          <w:b w:val="0"/>
          <w:bCs w:val="0"/>
        </w:rPr>
        <w:t xml:space="preserve">ategy, Samsung MindCare AI is at work at three different levels. </w:t>
      </w:r>
      <w:r>
        <w:rPr>
          <w:rStyle w:val="Strong"/>
          <w:b w:val="0"/>
        </w:rPr>
        <w:t xml:space="preserve">The core product will take into consideration the basic need of the available mental health assistance, and the actual product will comprise AI algorithms, wearable integration, and </w:t>
      </w:r>
      <w:r>
        <w:rPr>
          <w:rStyle w:val="Strong"/>
          <w:b w:val="0"/>
        </w:rPr>
        <w:t>personalised insights. The augmented product adds value in terms of data analytics, easy interfaces and integration with the broader health ecosystems.</w:t>
      </w:r>
    </w:p>
    <w:p w:rsidR="008D3ED5" w:rsidRDefault="004874D8">
      <w:pPr>
        <w:rPr>
          <w:rStyle w:val="Strong"/>
          <w:b w:val="0"/>
        </w:rPr>
      </w:pPr>
      <w:r>
        <w:rPr>
          <w:rStyle w:val="Strong"/>
          <w:b w:val="0"/>
        </w:rPr>
        <w:t>Nevertheless, the success of such a strategy depends on the reliability and accuracy of AI systems becau</w:t>
      </w:r>
      <w:r>
        <w:rPr>
          <w:rStyle w:val="Strong"/>
          <w:b w:val="0"/>
        </w:rPr>
        <w:t>se false evaluations can destroy the trust of users and even lead to harm. Moreover, the ethical responsibility is paramount in product design, especially in designing it in a manner that allows sensitive mental health data to be handled in a secure and tr</w:t>
      </w:r>
      <w:r>
        <w:rPr>
          <w:rStyle w:val="Strong"/>
          <w:b w:val="0"/>
        </w:rPr>
        <w:t>ansparent way. Therefore, even though the product is highly innovative, its success will be achieved through the balance of technological capability and ethical governance.</w:t>
      </w:r>
    </w:p>
    <w:p w:rsidR="008D3ED5" w:rsidRDefault="004874D8">
      <w:pPr>
        <w:pStyle w:val="Heading2"/>
        <w:rPr>
          <w:rStyle w:val="Strong"/>
          <w:b/>
          <w:bCs w:val="0"/>
        </w:rPr>
      </w:pPr>
      <w:bookmarkStart w:id="10" w:name="_Toc228499523"/>
      <w:r>
        <w:rPr>
          <w:rStyle w:val="Strong"/>
          <w:b/>
          <w:bCs w:val="0"/>
        </w:rPr>
        <w:t>4.2 Price</w:t>
      </w:r>
      <w:bookmarkEnd w:id="10"/>
    </w:p>
    <w:p w:rsidR="008D3ED5" w:rsidRDefault="004874D8">
      <w:pPr>
        <w:rPr>
          <w:rStyle w:val="Strong"/>
          <w:b w:val="0"/>
        </w:rPr>
      </w:pPr>
      <w:r>
        <w:rPr>
          <w:rStyle w:val="Strong"/>
          <w:b w:val="0"/>
        </w:rPr>
        <w:t>Samsung MindCare AI uses a freemium business model, which grants free ent</w:t>
      </w:r>
      <w:r>
        <w:rPr>
          <w:rStyle w:val="Strong"/>
          <w:b w:val="0"/>
        </w:rPr>
        <w:t xml:space="preserve">ry with basic functions and premiums with enhanced functionality as a subscription service. This reduces barriers to entry, leads to trial, and helps to acquire a user, at the same time creating recurring </w:t>
      </w:r>
      <w:r>
        <w:rPr>
          <w:rStyle w:val="Strong"/>
          <w:b w:val="0"/>
        </w:rPr>
        <w:lastRenderedPageBreak/>
        <w:t xml:space="preserve">revenue streams, which increase profitability over </w:t>
      </w:r>
      <w:r>
        <w:rPr>
          <w:rStyle w:val="Strong"/>
          <w:b w:val="0"/>
        </w:rPr>
        <w:t>time. The subscription pricing approach concurs with the value-based pricing model since users will tend to value more personalised AI-based health insights than conventional health applications. Moreover, the digital services are scalable, enabling Samsun</w:t>
      </w:r>
      <w:r>
        <w:rPr>
          <w:rStyle w:val="Strong"/>
          <w:b w:val="0"/>
        </w:rPr>
        <w:t>g to streamline cost structures and increase its user base. But there are some important ethical concerns when mental health services are priced. Pricing higher-level features can reduce accessibility to low-income users, thus perpetuating health dispariti</w:t>
      </w:r>
      <w:r>
        <w:rPr>
          <w:rStyle w:val="Strong"/>
          <w:b w:val="0"/>
        </w:rPr>
        <w:t>es. It begs the question of fairness of digital healthcare especially at a time when mental wellbeing is becoming a universal necessity. This means that Samsung will have to juggle between commercial and social responsibility, which may be through tiered p</w:t>
      </w:r>
      <w:r>
        <w:rPr>
          <w:rStyle w:val="Strong"/>
          <w:b w:val="0"/>
        </w:rPr>
        <w:t>ricing or subsidised access systems.</w:t>
      </w:r>
    </w:p>
    <w:p w:rsidR="008D3ED5" w:rsidRDefault="004874D8">
      <w:pPr>
        <w:pStyle w:val="Heading2"/>
        <w:rPr>
          <w:rStyle w:val="Strong"/>
          <w:b/>
          <w:bCs w:val="0"/>
        </w:rPr>
      </w:pPr>
      <w:bookmarkStart w:id="11" w:name="_Toc228499524"/>
      <w:r>
        <w:rPr>
          <w:rStyle w:val="Strong"/>
          <w:b/>
          <w:bCs w:val="0"/>
        </w:rPr>
        <w:t>4.3 Place</w:t>
      </w:r>
      <w:bookmarkEnd w:id="11"/>
    </w:p>
    <w:p w:rsidR="008D3ED5" w:rsidRDefault="004874D8">
      <w:pPr>
        <w:rPr>
          <w:rStyle w:val="Strong"/>
          <w:b w:val="0"/>
        </w:rPr>
      </w:pPr>
      <w:r>
        <w:rPr>
          <w:rStyle w:val="Strong"/>
          <w:b w:val="0"/>
        </w:rPr>
        <w:t>Samsung MindCare AI distribution strategy will mainly be digital, capitalizing on Samsung vast ecosystem of devices and platforms. The service is directly incorporated into Samsung smartphones, smartwatches, a</w:t>
      </w:r>
      <w:r>
        <w:rPr>
          <w:rStyle w:val="Strong"/>
          <w:b w:val="0"/>
        </w:rPr>
        <w:t xml:space="preserve">nd health apps, which makes it easily accessible to the current users (Abadir et al., 2025). This ecosystem-based distribution makes life easier on the user end, lowers the adoption friction and helps build brand loyalty. Moreover, online distribution via </w:t>
      </w:r>
      <w:r>
        <w:rPr>
          <w:rStyle w:val="Strong"/>
          <w:b w:val="0"/>
        </w:rPr>
        <w:t>applications store and online services can be scaled globally with the least physical infrastructure, which is in line with modern digital business models (Bittencourt et al., 2025). This strategy also helps to make real-time updates and ongoing service im</w:t>
      </w:r>
      <w:r>
        <w:rPr>
          <w:rStyle w:val="Strong"/>
          <w:b w:val="0"/>
        </w:rPr>
        <w:t>provement.</w:t>
      </w:r>
    </w:p>
    <w:p w:rsidR="008D3ED5" w:rsidRDefault="004874D8">
      <w:pPr>
        <w:rPr>
          <w:rStyle w:val="Strong"/>
          <w:b w:val="0"/>
        </w:rPr>
      </w:pPr>
      <w:r>
        <w:rPr>
          <w:rStyle w:val="Strong"/>
          <w:b w:val="0"/>
        </w:rPr>
        <w:t>Nonetheless, dependence on Samsung proprietary ecosystem poses strategic constraints. This issues cross-platform compatibility, which can limit the market penetration, especially to users of other competing devices (Calderone, 2025). This is a r</w:t>
      </w:r>
      <w:r>
        <w:rPr>
          <w:rStyle w:val="Strong"/>
          <w:b w:val="0"/>
        </w:rPr>
        <w:t>isk of platform dependency that may restrict scalability in the highly competitive markets where interoperability is more and more appreciated. As such, although integration in the ecosystem enhances competitive advantage, it can also limit the wider uptak</w:t>
      </w:r>
      <w:r>
        <w:rPr>
          <w:rStyle w:val="Strong"/>
          <w:b w:val="0"/>
        </w:rPr>
        <w:t>e unless handled strategically (Youseafzai et al., 2025).</w:t>
      </w:r>
    </w:p>
    <w:p w:rsidR="008D3ED5" w:rsidRDefault="004874D8">
      <w:pPr>
        <w:pStyle w:val="Heading2"/>
        <w:rPr>
          <w:rStyle w:val="Strong"/>
          <w:b/>
          <w:bCs w:val="0"/>
        </w:rPr>
      </w:pPr>
      <w:bookmarkStart w:id="12" w:name="_Toc228499525"/>
      <w:r>
        <w:rPr>
          <w:rStyle w:val="Strong"/>
          <w:b/>
          <w:bCs w:val="0"/>
        </w:rPr>
        <w:t>4.4 Promotion</w:t>
      </w:r>
      <w:bookmarkEnd w:id="12"/>
    </w:p>
    <w:p w:rsidR="008D3ED5" w:rsidRDefault="004874D8">
      <w:pPr>
        <w:rPr>
          <w:rStyle w:val="Strong"/>
          <w:b w:val="0"/>
        </w:rPr>
      </w:pPr>
      <w:r>
        <w:rPr>
          <w:rStyle w:val="Strong"/>
          <w:b w:val="0"/>
        </w:rPr>
        <w:t>The Samsung MindCare AI promotional approach focuses on digital interaction and creation of awareness, which is based on the media consumption behaviour of the target market (Sismondin</w:t>
      </w:r>
      <w:r>
        <w:rPr>
          <w:rStyle w:val="Strong"/>
          <w:b w:val="0"/>
        </w:rPr>
        <w:t>i, 2025). The important channels are social media marketing, collaborations with influencers, and specific digital advertising campaigns, which are aimed at maximising reach and interaction with digitally active consumers (Sarwal et al., 2021). Promotional</w:t>
      </w:r>
      <w:r>
        <w:rPr>
          <w:rStyle w:val="Strong"/>
          <w:b w:val="0"/>
        </w:rPr>
        <w:t xml:space="preserve"> effectiveness has a structured framework through the application of the AIDA model (Attention, Interest, </w:t>
      </w:r>
      <w:r>
        <w:rPr>
          <w:rStyle w:val="Strong"/>
          <w:b w:val="0"/>
        </w:rPr>
        <w:lastRenderedPageBreak/>
        <w:t>Desire, Action). The first stage (Attention) could be achieved by creating a campaign that is visually appealing and reflects the mental health issues</w:t>
      </w:r>
      <w:r>
        <w:rPr>
          <w:rStyle w:val="Strong"/>
          <w:b w:val="0"/>
        </w:rPr>
        <w:t xml:space="preserve"> and the second stage (Interest) should be created by providing educational information about the AI-based solutions. The desire is fostered through focusing on personalisation and real-time assistance, whereas Action is stimulated with the help of free tr</w:t>
      </w:r>
      <w:r>
        <w:rPr>
          <w:rStyle w:val="Strong"/>
          <w:b w:val="0"/>
        </w:rPr>
        <w:t>ials and the downloading of the app (Ren et al., 2023).</w:t>
      </w:r>
    </w:p>
    <w:p w:rsidR="008D3ED5" w:rsidRDefault="004874D8">
      <w:pPr>
        <w:rPr>
          <w:rStyle w:val="Strong"/>
          <w:b w:val="0"/>
        </w:rPr>
      </w:pPr>
      <w:r>
        <w:rPr>
          <w:rStyle w:val="Strong"/>
          <w:b w:val="0"/>
        </w:rPr>
        <w:t>Moreover, collaborations with mental health advocates and organisations can be used to increase credibility and decrease stigma, making Samsung a socially responsible brand. Nonetheless, marketing men</w:t>
      </w:r>
      <w:r>
        <w:rPr>
          <w:rStyle w:val="Strong"/>
          <w:b w:val="0"/>
        </w:rPr>
        <w:t>tal health services should be done with sensitive messaging not to trivialise or over-commercialise delicate matters (Cimbru et al., 2025). Most importantly, it is essential to establish trust and authenticity in the promotional strategies because consumer</w:t>
      </w:r>
      <w:r>
        <w:rPr>
          <w:rStyle w:val="Strong"/>
          <w:b w:val="0"/>
        </w:rPr>
        <w:t>s can be suspicious of the AI-based health solutions. Thus, it is crucial that transparency, ethical communication, and evidence-based claims play a crucial role in developing long-term credibility of the brands (Darus et al., 2024).</w:t>
      </w:r>
    </w:p>
    <w:p w:rsidR="008D3ED5" w:rsidRDefault="004874D8">
      <w:pPr>
        <w:pStyle w:val="Heading2"/>
        <w:rPr>
          <w:rStyle w:val="Strong"/>
          <w:b/>
          <w:bCs w:val="0"/>
        </w:rPr>
      </w:pPr>
      <w:bookmarkStart w:id="13" w:name="_Toc228499526"/>
      <w:r>
        <w:rPr>
          <w:rStyle w:val="Strong"/>
          <w:b/>
          <w:bCs w:val="0"/>
        </w:rPr>
        <w:t>4.5 People</w:t>
      </w:r>
      <w:bookmarkEnd w:id="13"/>
    </w:p>
    <w:p w:rsidR="008D3ED5" w:rsidRDefault="004874D8">
      <w:pPr>
        <w:rPr>
          <w:rStyle w:val="Strong"/>
          <w:b w:val="0"/>
        </w:rPr>
      </w:pPr>
      <w:r>
        <w:rPr>
          <w:rStyle w:val="Strong"/>
          <w:b w:val="0"/>
        </w:rPr>
        <w:t xml:space="preserve">The People </w:t>
      </w:r>
      <w:r>
        <w:rPr>
          <w:rStyle w:val="Strong"/>
          <w:b w:val="0"/>
        </w:rPr>
        <w:t xml:space="preserve">component includes the human support systems of Samsung MindCare AI, as well as the technological interface. Although AI is the core medium of interaction, user experience (UX) design is essential in the aspects of accessibility, usability, and engagement </w:t>
      </w:r>
      <w:r>
        <w:rPr>
          <w:rStyle w:val="Strong"/>
          <w:b w:val="0"/>
        </w:rPr>
        <w:t xml:space="preserve">(Franceschini et al., 2025). User satisfaction and retention are achieved through intuitiveness and customisation. Also, data scientists, healthcare professionals, and customer service professionals are the members of the backend support group, which also </w:t>
      </w:r>
      <w:r>
        <w:rPr>
          <w:rStyle w:val="Strong"/>
          <w:b w:val="0"/>
        </w:rPr>
        <w:t>helps to improve service quality and reliability (Naji, 2025). Human expertise can be properly integrated with AI systems to make sure that complicated or sensitive issues might be resolved accordingly. Strategically, the problem is to balance the automati</w:t>
      </w:r>
      <w:r>
        <w:rPr>
          <w:rStyle w:val="Strong"/>
          <w:b w:val="0"/>
        </w:rPr>
        <w:t>on and human element and make the service efficient and empathetic (Massaro et al., 2025).</w:t>
      </w:r>
    </w:p>
    <w:p w:rsidR="008D3ED5" w:rsidRDefault="004874D8">
      <w:pPr>
        <w:pStyle w:val="Heading2"/>
        <w:rPr>
          <w:rStyle w:val="Strong"/>
          <w:b/>
          <w:bCs w:val="0"/>
        </w:rPr>
      </w:pPr>
      <w:bookmarkStart w:id="14" w:name="_Toc228499527"/>
      <w:r>
        <w:rPr>
          <w:rStyle w:val="Strong"/>
          <w:b/>
          <w:bCs w:val="0"/>
        </w:rPr>
        <w:t>4.6 Process</w:t>
      </w:r>
      <w:bookmarkEnd w:id="14"/>
    </w:p>
    <w:p w:rsidR="008D3ED5" w:rsidRDefault="004874D8">
      <w:pPr>
        <w:rPr>
          <w:rStyle w:val="Strong"/>
          <w:b w:val="0"/>
        </w:rPr>
      </w:pPr>
      <w:r>
        <w:rPr>
          <w:rStyle w:val="Strong"/>
          <w:b w:val="0"/>
        </w:rPr>
        <w:t xml:space="preserve">A continuous process of data generation becomes the driving force of the service delivery process: data collection - AI analysis - personalised </w:t>
      </w:r>
      <w:r>
        <w:rPr>
          <w:rStyle w:val="Strong"/>
          <w:b w:val="0"/>
        </w:rPr>
        <w:t>recommendations (Labrecque et al., 2024). Wearable devices can record physiological and behavioural data, and AI algorithms process this information to produce actionable information that can be sent to users. This is an automated process that would suppor</w:t>
      </w:r>
      <w:r>
        <w:rPr>
          <w:rStyle w:val="Strong"/>
          <w:b w:val="0"/>
        </w:rPr>
        <w:t xml:space="preserve">t scalability and real-time monitoring, which would enable Samsung to maintain uniform quality of its service delivery to a big number of users (Ghosh et al., 2025). Also, AI learning is iterative, which increases accuracy with time, making </w:t>
      </w:r>
      <w:r>
        <w:rPr>
          <w:rStyle w:val="Strong"/>
          <w:b w:val="0"/>
        </w:rPr>
        <w:lastRenderedPageBreak/>
        <w:t>the service mor</w:t>
      </w:r>
      <w:r>
        <w:rPr>
          <w:rStyle w:val="Strong"/>
          <w:b w:val="0"/>
        </w:rPr>
        <w:t>e effective. Nevertheless, the process creates the issue of security of data, consent and transparency of algorithms. The users should be confident with the way their information is gathered, processed, and used. Thus, to maintain trust, it is crucial to h</w:t>
      </w:r>
      <w:r>
        <w:rPr>
          <w:rStyle w:val="Strong"/>
          <w:b w:val="0"/>
        </w:rPr>
        <w:t>ave effective data governance frameworks and regulatory adherence (Liu et al., 2021).</w:t>
      </w:r>
    </w:p>
    <w:p w:rsidR="008D3ED5" w:rsidRDefault="004874D8">
      <w:pPr>
        <w:pStyle w:val="Heading2"/>
        <w:rPr>
          <w:rStyle w:val="Strong"/>
          <w:b/>
          <w:bCs w:val="0"/>
        </w:rPr>
      </w:pPr>
      <w:bookmarkStart w:id="15" w:name="_Toc228499528"/>
      <w:r>
        <w:rPr>
          <w:rStyle w:val="Strong"/>
          <w:b/>
          <w:bCs w:val="0"/>
        </w:rPr>
        <w:t>4.7 Physical Evidence</w:t>
      </w:r>
      <w:bookmarkEnd w:id="15"/>
    </w:p>
    <w:p w:rsidR="008D3ED5" w:rsidRDefault="004874D8">
      <w:pPr>
        <w:rPr>
          <w:rStyle w:val="Strong"/>
          <w:b w:val="0"/>
        </w:rPr>
      </w:pPr>
      <w:r>
        <w:rPr>
          <w:rStyle w:val="Strong"/>
          <w:b w:val="0"/>
        </w:rPr>
        <w:t>Even though Samsung MindCare AI is an online service, tangible evidence has been instrumental in the perception and trust of users. The visual desig</w:t>
      </w:r>
      <w:r>
        <w:rPr>
          <w:rStyle w:val="Strong"/>
          <w:b w:val="0"/>
        </w:rPr>
        <w:t>n, application interface, and the branding aspect are the physical signs of quality and the professionalism (Anisha et al., 2025). Intuitive design makes it easy to use and a consistent branding promotes credibility. Moreover, by linking with physical devi</w:t>
      </w:r>
      <w:r>
        <w:rPr>
          <w:rStyle w:val="Strong"/>
          <w:b w:val="0"/>
        </w:rPr>
        <w:t>ces, including smartwatches and smartphones, by Samsung, the digital service can be brought into the physical world of the user. Such a hybrid presence enhances the presence of the brands and user interest (Hosseini et al., 2023). Nevertheless, design or p</w:t>
      </w:r>
      <w:r>
        <w:rPr>
          <w:rStyle w:val="Strong"/>
          <w:b w:val="0"/>
        </w:rPr>
        <w:t xml:space="preserve">erformance inconsistencies can have a detrimental effect on perceived reliability, especially in a healthcare environment where trust is paramount. Thus, it is imperative to uphold high design and functionality levels in enhancing the value proposition of </w:t>
      </w:r>
      <w:r>
        <w:rPr>
          <w:rStyle w:val="Strong"/>
          <w:b w:val="0"/>
        </w:rPr>
        <w:t>the service (Banville, 2020).</w:t>
      </w:r>
    </w:p>
    <w:p w:rsidR="008D3ED5" w:rsidRDefault="004874D8">
      <w:pPr>
        <w:rPr>
          <w:rStyle w:val="Strong"/>
        </w:rPr>
      </w:pPr>
      <w:r>
        <w:rPr>
          <w:rStyle w:val="Strong"/>
        </w:rPr>
        <w:t xml:space="preserve">Table 3: Marketing Mix </w:t>
      </w:r>
    </w:p>
    <w:tbl>
      <w:tblPr>
        <w:tblStyle w:val="GridTable4-Accent51"/>
        <w:tblW w:w="0" w:type="auto"/>
        <w:tblLook w:val="04A0" w:firstRow="1" w:lastRow="0" w:firstColumn="1" w:lastColumn="0" w:noHBand="0" w:noVBand="1"/>
      </w:tblPr>
      <w:tblGrid>
        <w:gridCol w:w="3005"/>
        <w:gridCol w:w="3005"/>
        <w:gridCol w:w="3006"/>
      </w:tblGrid>
      <w:tr w:rsidR="008D3ED5" w:rsidTr="008D3E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8D3ED5" w:rsidRDefault="004874D8">
            <w:pPr>
              <w:rPr>
                <w:rStyle w:val="Strong"/>
              </w:rPr>
            </w:pPr>
            <w:r>
              <w:rPr>
                <w:rStyle w:val="Strong"/>
              </w:rPr>
              <w:t>Element</w:t>
            </w:r>
          </w:p>
        </w:tc>
        <w:tc>
          <w:tcPr>
            <w:tcW w:w="3005" w:type="dxa"/>
          </w:tcPr>
          <w:p w:rsidR="008D3ED5" w:rsidRDefault="004874D8">
            <w:pPr>
              <w:cnfStyle w:val="100000000000" w:firstRow="1" w:lastRow="0" w:firstColumn="0" w:lastColumn="0" w:oddVBand="0" w:evenVBand="0" w:oddHBand="0" w:evenHBand="0" w:firstRowFirstColumn="0" w:firstRowLastColumn="0" w:lastRowFirstColumn="0" w:lastRowLastColumn="0"/>
              <w:rPr>
                <w:rStyle w:val="Strong"/>
              </w:rPr>
            </w:pPr>
            <w:r>
              <w:rPr>
                <w:rStyle w:val="Strong"/>
              </w:rPr>
              <w:t>Strategy</w:t>
            </w:r>
          </w:p>
        </w:tc>
        <w:tc>
          <w:tcPr>
            <w:tcW w:w="3006" w:type="dxa"/>
          </w:tcPr>
          <w:p w:rsidR="008D3ED5" w:rsidRDefault="004874D8">
            <w:pPr>
              <w:cnfStyle w:val="100000000000" w:firstRow="1" w:lastRow="0" w:firstColumn="0" w:lastColumn="0" w:oddVBand="0" w:evenVBand="0" w:oddHBand="0" w:evenHBand="0" w:firstRowFirstColumn="0" w:firstRowLastColumn="0" w:lastRowFirstColumn="0" w:lastRowLastColumn="0"/>
              <w:rPr>
                <w:rStyle w:val="Strong"/>
              </w:rPr>
            </w:pPr>
            <w:r>
              <w:rPr>
                <w:rStyle w:val="Strong"/>
              </w:rPr>
              <w:t>Critical Insight</w:t>
            </w:r>
          </w:p>
        </w:tc>
      </w:tr>
      <w:tr w:rsidR="008D3ED5" w:rsidTr="008D3E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8D3ED5" w:rsidRDefault="004874D8">
            <w:pPr>
              <w:rPr>
                <w:rStyle w:val="Strong"/>
              </w:rPr>
            </w:pPr>
            <w:r>
              <w:rPr>
                <w:rStyle w:val="Strong"/>
              </w:rPr>
              <w:t>Product</w:t>
            </w:r>
          </w:p>
        </w:tc>
        <w:tc>
          <w:tcPr>
            <w:tcW w:w="3005" w:type="dxa"/>
          </w:tcPr>
          <w:p w:rsidR="008D3ED5" w:rsidRDefault="004874D8">
            <w:pPr>
              <w:cnfStyle w:val="000000100000" w:firstRow="0" w:lastRow="0" w:firstColumn="0" w:lastColumn="0" w:oddVBand="0" w:evenVBand="0" w:oddHBand="1" w:evenHBand="0" w:firstRowFirstColumn="0" w:firstRowLastColumn="0" w:lastRowFirstColumn="0" w:lastRowLastColumn="0"/>
              <w:rPr>
                <w:rStyle w:val="Strong"/>
                <w:b w:val="0"/>
              </w:rPr>
            </w:pPr>
            <w:r>
              <w:rPr>
                <w:rStyle w:val="Strong"/>
                <w:b w:val="0"/>
              </w:rPr>
              <w:t>AI mental health assistant with wearable integration</w:t>
            </w:r>
          </w:p>
        </w:tc>
        <w:tc>
          <w:tcPr>
            <w:tcW w:w="3006" w:type="dxa"/>
          </w:tcPr>
          <w:p w:rsidR="008D3ED5" w:rsidRDefault="004874D8">
            <w:pPr>
              <w:cnfStyle w:val="000000100000" w:firstRow="0" w:lastRow="0" w:firstColumn="0" w:lastColumn="0" w:oddVBand="0" w:evenVBand="0" w:oddHBand="1" w:evenHBand="0" w:firstRowFirstColumn="0" w:firstRowLastColumn="0" w:lastRowFirstColumn="0" w:lastRowLastColumn="0"/>
              <w:rPr>
                <w:rStyle w:val="Strong"/>
                <w:b w:val="0"/>
              </w:rPr>
            </w:pPr>
            <w:r>
              <w:rPr>
                <w:rStyle w:val="Strong"/>
                <w:b w:val="0"/>
              </w:rPr>
              <w:t>Innovation vs ethical responsibility</w:t>
            </w:r>
          </w:p>
        </w:tc>
      </w:tr>
      <w:tr w:rsidR="008D3ED5" w:rsidTr="008D3ED5">
        <w:tc>
          <w:tcPr>
            <w:cnfStyle w:val="001000000000" w:firstRow="0" w:lastRow="0" w:firstColumn="1" w:lastColumn="0" w:oddVBand="0" w:evenVBand="0" w:oddHBand="0" w:evenHBand="0" w:firstRowFirstColumn="0" w:firstRowLastColumn="0" w:lastRowFirstColumn="0" w:lastRowLastColumn="0"/>
            <w:tcW w:w="3005" w:type="dxa"/>
          </w:tcPr>
          <w:p w:rsidR="008D3ED5" w:rsidRDefault="004874D8">
            <w:pPr>
              <w:rPr>
                <w:rStyle w:val="Strong"/>
              </w:rPr>
            </w:pPr>
            <w:r>
              <w:rPr>
                <w:rStyle w:val="Strong"/>
              </w:rPr>
              <w:t>Price</w:t>
            </w:r>
          </w:p>
        </w:tc>
        <w:tc>
          <w:tcPr>
            <w:tcW w:w="3005" w:type="dxa"/>
          </w:tcPr>
          <w:p w:rsidR="008D3ED5" w:rsidRDefault="004874D8">
            <w:pPr>
              <w:cnfStyle w:val="000000000000" w:firstRow="0" w:lastRow="0" w:firstColumn="0" w:lastColumn="0" w:oddVBand="0" w:evenVBand="0" w:oddHBand="0" w:evenHBand="0" w:firstRowFirstColumn="0" w:firstRowLastColumn="0" w:lastRowFirstColumn="0" w:lastRowLastColumn="0"/>
              <w:rPr>
                <w:rStyle w:val="Strong"/>
                <w:b w:val="0"/>
              </w:rPr>
            </w:pPr>
            <w:r>
              <w:rPr>
                <w:rStyle w:val="Strong"/>
                <w:b w:val="0"/>
              </w:rPr>
              <w:t>Freemium + subscription</w:t>
            </w:r>
          </w:p>
        </w:tc>
        <w:tc>
          <w:tcPr>
            <w:tcW w:w="3006" w:type="dxa"/>
          </w:tcPr>
          <w:p w:rsidR="008D3ED5" w:rsidRDefault="004874D8">
            <w:pPr>
              <w:cnfStyle w:val="000000000000" w:firstRow="0" w:lastRow="0" w:firstColumn="0" w:lastColumn="0" w:oddVBand="0" w:evenVBand="0" w:oddHBand="0" w:evenHBand="0" w:firstRowFirstColumn="0" w:firstRowLastColumn="0" w:lastRowFirstColumn="0" w:lastRowLastColumn="0"/>
              <w:rPr>
                <w:rStyle w:val="Strong"/>
                <w:b w:val="0"/>
              </w:rPr>
            </w:pPr>
            <w:r>
              <w:rPr>
                <w:rStyle w:val="Strong"/>
                <w:b w:val="0"/>
              </w:rPr>
              <w:t>Accessibility vs profitability</w:t>
            </w:r>
          </w:p>
        </w:tc>
      </w:tr>
      <w:tr w:rsidR="008D3ED5" w:rsidTr="008D3E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8D3ED5" w:rsidRDefault="004874D8">
            <w:pPr>
              <w:rPr>
                <w:rStyle w:val="Strong"/>
              </w:rPr>
            </w:pPr>
            <w:r>
              <w:rPr>
                <w:rStyle w:val="Strong"/>
              </w:rPr>
              <w:t>Place</w:t>
            </w:r>
          </w:p>
        </w:tc>
        <w:tc>
          <w:tcPr>
            <w:tcW w:w="3005" w:type="dxa"/>
          </w:tcPr>
          <w:p w:rsidR="008D3ED5" w:rsidRDefault="004874D8">
            <w:pPr>
              <w:cnfStyle w:val="000000100000" w:firstRow="0" w:lastRow="0" w:firstColumn="0" w:lastColumn="0" w:oddVBand="0" w:evenVBand="0" w:oddHBand="1" w:evenHBand="0" w:firstRowFirstColumn="0" w:firstRowLastColumn="0" w:lastRowFirstColumn="0" w:lastRowLastColumn="0"/>
              <w:rPr>
                <w:rStyle w:val="Strong"/>
                <w:b w:val="0"/>
              </w:rPr>
            </w:pPr>
            <w:r>
              <w:rPr>
                <w:rStyle w:val="Strong"/>
                <w:b w:val="0"/>
              </w:rPr>
              <w:t>Samsung ecosystem + digital platforms</w:t>
            </w:r>
          </w:p>
        </w:tc>
        <w:tc>
          <w:tcPr>
            <w:tcW w:w="3006" w:type="dxa"/>
          </w:tcPr>
          <w:p w:rsidR="008D3ED5" w:rsidRDefault="004874D8">
            <w:pPr>
              <w:cnfStyle w:val="000000100000" w:firstRow="0" w:lastRow="0" w:firstColumn="0" w:lastColumn="0" w:oddVBand="0" w:evenVBand="0" w:oddHBand="1" w:evenHBand="0" w:firstRowFirstColumn="0" w:firstRowLastColumn="0" w:lastRowFirstColumn="0" w:lastRowLastColumn="0"/>
              <w:rPr>
                <w:rStyle w:val="Strong"/>
                <w:b w:val="0"/>
              </w:rPr>
            </w:pPr>
            <w:r>
              <w:rPr>
                <w:rStyle w:val="Strong"/>
                <w:b w:val="0"/>
              </w:rPr>
              <w:t>Scalability vs platform dependency</w:t>
            </w:r>
          </w:p>
        </w:tc>
      </w:tr>
      <w:tr w:rsidR="008D3ED5" w:rsidTr="008D3ED5">
        <w:tc>
          <w:tcPr>
            <w:cnfStyle w:val="001000000000" w:firstRow="0" w:lastRow="0" w:firstColumn="1" w:lastColumn="0" w:oddVBand="0" w:evenVBand="0" w:oddHBand="0" w:evenHBand="0" w:firstRowFirstColumn="0" w:firstRowLastColumn="0" w:lastRowFirstColumn="0" w:lastRowLastColumn="0"/>
            <w:tcW w:w="3005" w:type="dxa"/>
          </w:tcPr>
          <w:p w:rsidR="008D3ED5" w:rsidRDefault="004874D8">
            <w:pPr>
              <w:rPr>
                <w:rStyle w:val="Strong"/>
              </w:rPr>
            </w:pPr>
            <w:r>
              <w:rPr>
                <w:rStyle w:val="Strong"/>
              </w:rPr>
              <w:t>Promotion</w:t>
            </w:r>
          </w:p>
        </w:tc>
        <w:tc>
          <w:tcPr>
            <w:tcW w:w="3005" w:type="dxa"/>
          </w:tcPr>
          <w:p w:rsidR="008D3ED5" w:rsidRDefault="004874D8">
            <w:pPr>
              <w:cnfStyle w:val="000000000000" w:firstRow="0" w:lastRow="0" w:firstColumn="0" w:lastColumn="0" w:oddVBand="0" w:evenVBand="0" w:oddHBand="0" w:evenHBand="0" w:firstRowFirstColumn="0" w:firstRowLastColumn="0" w:lastRowFirstColumn="0" w:lastRowLastColumn="0"/>
              <w:rPr>
                <w:rStyle w:val="Strong"/>
                <w:b w:val="0"/>
              </w:rPr>
            </w:pPr>
            <w:r>
              <w:rPr>
                <w:rStyle w:val="Strong"/>
                <w:b w:val="0"/>
              </w:rPr>
              <w:t>Digital campaigns + AIDA model</w:t>
            </w:r>
          </w:p>
        </w:tc>
        <w:tc>
          <w:tcPr>
            <w:tcW w:w="3006" w:type="dxa"/>
          </w:tcPr>
          <w:p w:rsidR="008D3ED5" w:rsidRDefault="004874D8">
            <w:pPr>
              <w:cnfStyle w:val="000000000000" w:firstRow="0" w:lastRow="0" w:firstColumn="0" w:lastColumn="0" w:oddVBand="0" w:evenVBand="0" w:oddHBand="0" w:evenHBand="0" w:firstRowFirstColumn="0" w:firstRowLastColumn="0" w:lastRowFirstColumn="0" w:lastRowLastColumn="0"/>
              <w:rPr>
                <w:rStyle w:val="Strong"/>
                <w:b w:val="0"/>
              </w:rPr>
            </w:pPr>
            <w:r>
              <w:rPr>
                <w:rStyle w:val="Strong"/>
                <w:b w:val="0"/>
              </w:rPr>
              <w:t>Engagement vs trust challenges</w:t>
            </w:r>
          </w:p>
        </w:tc>
      </w:tr>
      <w:tr w:rsidR="008D3ED5" w:rsidTr="008D3E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8D3ED5" w:rsidRDefault="004874D8">
            <w:pPr>
              <w:rPr>
                <w:rStyle w:val="Strong"/>
              </w:rPr>
            </w:pPr>
            <w:r>
              <w:rPr>
                <w:rStyle w:val="Strong"/>
              </w:rPr>
              <w:t>People</w:t>
            </w:r>
          </w:p>
        </w:tc>
        <w:tc>
          <w:tcPr>
            <w:tcW w:w="3005" w:type="dxa"/>
          </w:tcPr>
          <w:p w:rsidR="008D3ED5" w:rsidRDefault="004874D8">
            <w:pPr>
              <w:cnfStyle w:val="000000100000" w:firstRow="0" w:lastRow="0" w:firstColumn="0" w:lastColumn="0" w:oddVBand="0" w:evenVBand="0" w:oddHBand="1" w:evenHBand="0" w:firstRowFirstColumn="0" w:firstRowLastColumn="0" w:lastRowFirstColumn="0" w:lastRowLastColumn="0"/>
              <w:rPr>
                <w:rStyle w:val="Strong"/>
                <w:b w:val="0"/>
              </w:rPr>
            </w:pPr>
            <w:r>
              <w:rPr>
                <w:rStyle w:val="Strong"/>
                <w:b w:val="0"/>
              </w:rPr>
              <w:t>AI + UX + support teams</w:t>
            </w:r>
          </w:p>
        </w:tc>
        <w:tc>
          <w:tcPr>
            <w:tcW w:w="3006" w:type="dxa"/>
          </w:tcPr>
          <w:p w:rsidR="008D3ED5" w:rsidRDefault="004874D8">
            <w:pPr>
              <w:cnfStyle w:val="000000100000" w:firstRow="0" w:lastRow="0" w:firstColumn="0" w:lastColumn="0" w:oddVBand="0" w:evenVBand="0" w:oddHBand="1" w:evenHBand="0" w:firstRowFirstColumn="0" w:firstRowLastColumn="0" w:lastRowFirstColumn="0" w:lastRowLastColumn="0"/>
              <w:rPr>
                <w:rStyle w:val="Strong"/>
                <w:b w:val="0"/>
              </w:rPr>
            </w:pPr>
            <w:r>
              <w:rPr>
                <w:rStyle w:val="Strong"/>
                <w:b w:val="0"/>
              </w:rPr>
              <w:t>Automation vs human empathy</w:t>
            </w:r>
          </w:p>
        </w:tc>
      </w:tr>
      <w:tr w:rsidR="008D3ED5" w:rsidTr="008D3ED5">
        <w:tc>
          <w:tcPr>
            <w:cnfStyle w:val="001000000000" w:firstRow="0" w:lastRow="0" w:firstColumn="1" w:lastColumn="0" w:oddVBand="0" w:evenVBand="0" w:oddHBand="0" w:evenHBand="0" w:firstRowFirstColumn="0" w:firstRowLastColumn="0" w:lastRowFirstColumn="0" w:lastRowLastColumn="0"/>
            <w:tcW w:w="3005" w:type="dxa"/>
          </w:tcPr>
          <w:p w:rsidR="008D3ED5" w:rsidRDefault="004874D8">
            <w:pPr>
              <w:rPr>
                <w:rStyle w:val="Strong"/>
              </w:rPr>
            </w:pPr>
            <w:r>
              <w:rPr>
                <w:rStyle w:val="Strong"/>
              </w:rPr>
              <w:t>Process</w:t>
            </w:r>
          </w:p>
        </w:tc>
        <w:tc>
          <w:tcPr>
            <w:tcW w:w="3005" w:type="dxa"/>
          </w:tcPr>
          <w:p w:rsidR="008D3ED5" w:rsidRDefault="004874D8">
            <w:pPr>
              <w:cnfStyle w:val="000000000000" w:firstRow="0" w:lastRow="0" w:firstColumn="0" w:lastColumn="0" w:oddVBand="0" w:evenVBand="0" w:oddHBand="0" w:evenHBand="0" w:firstRowFirstColumn="0" w:firstRowLastColumn="0" w:lastRowFirstColumn="0" w:lastRowLastColumn="0"/>
              <w:rPr>
                <w:rStyle w:val="Strong"/>
                <w:b w:val="0"/>
              </w:rPr>
            </w:pPr>
            <w:r>
              <w:rPr>
                <w:rStyle w:val="Strong"/>
                <w:b w:val="0"/>
              </w:rPr>
              <w:t>Data → AI → recommendations</w:t>
            </w:r>
          </w:p>
        </w:tc>
        <w:tc>
          <w:tcPr>
            <w:tcW w:w="3006" w:type="dxa"/>
          </w:tcPr>
          <w:p w:rsidR="008D3ED5" w:rsidRDefault="004874D8">
            <w:pPr>
              <w:cnfStyle w:val="000000000000" w:firstRow="0" w:lastRow="0" w:firstColumn="0" w:lastColumn="0" w:oddVBand="0" w:evenVBand="0" w:oddHBand="0" w:evenHBand="0" w:firstRowFirstColumn="0" w:firstRowLastColumn="0" w:lastRowFirstColumn="0" w:lastRowLastColumn="0"/>
              <w:rPr>
                <w:rStyle w:val="Strong"/>
                <w:b w:val="0"/>
              </w:rPr>
            </w:pPr>
            <w:r>
              <w:rPr>
                <w:rStyle w:val="Strong"/>
                <w:b w:val="0"/>
              </w:rPr>
              <w:t>Efficiency vs</w:t>
            </w:r>
            <w:r>
              <w:rPr>
                <w:rStyle w:val="Strong"/>
                <w:b w:val="0"/>
              </w:rPr>
              <w:t xml:space="preserve"> data privacy risks</w:t>
            </w:r>
          </w:p>
        </w:tc>
      </w:tr>
      <w:tr w:rsidR="008D3ED5" w:rsidTr="008D3E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8D3ED5" w:rsidRDefault="004874D8">
            <w:pPr>
              <w:rPr>
                <w:rStyle w:val="Strong"/>
              </w:rPr>
            </w:pPr>
            <w:r>
              <w:rPr>
                <w:rStyle w:val="Strong"/>
              </w:rPr>
              <w:t>Physical Evidence</w:t>
            </w:r>
          </w:p>
        </w:tc>
        <w:tc>
          <w:tcPr>
            <w:tcW w:w="3005" w:type="dxa"/>
          </w:tcPr>
          <w:p w:rsidR="008D3ED5" w:rsidRDefault="004874D8">
            <w:pPr>
              <w:cnfStyle w:val="000000100000" w:firstRow="0" w:lastRow="0" w:firstColumn="0" w:lastColumn="0" w:oddVBand="0" w:evenVBand="0" w:oddHBand="1" w:evenHBand="0" w:firstRowFirstColumn="0" w:firstRowLastColumn="0" w:lastRowFirstColumn="0" w:lastRowLastColumn="0"/>
              <w:rPr>
                <w:rStyle w:val="Strong"/>
                <w:b w:val="0"/>
              </w:rPr>
            </w:pPr>
            <w:r>
              <w:rPr>
                <w:rStyle w:val="Strong"/>
                <w:b w:val="0"/>
              </w:rPr>
              <w:t>App interface + device integration</w:t>
            </w:r>
          </w:p>
        </w:tc>
        <w:tc>
          <w:tcPr>
            <w:tcW w:w="3006" w:type="dxa"/>
          </w:tcPr>
          <w:p w:rsidR="008D3ED5" w:rsidRDefault="004874D8">
            <w:pPr>
              <w:cnfStyle w:val="000000100000" w:firstRow="0" w:lastRow="0" w:firstColumn="0" w:lastColumn="0" w:oddVBand="0" w:evenVBand="0" w:oddHBand="1" w:evenHBand="0" w:firstRowFirstColumn="0" w:firstRowLastColumn="0" w:lastRowFirstColumn="0" w:lastRowLastColumn="0"/>
              <w:rPr>
                <w:rStyle w:val="Strong"/>
                <w:b w:val="0"/>
              </w:rPr>
            </w:pPr>
            <w:r>
              <w:rPr>
                <w:rStyle w:val="Strong"/>
                <w:b w:val="0"/>
              </w:rPr>
              <w:t>Trust built through design quality</w:t>
            </w:r>
          </w:p>
        </w:tc>
      </w:tr>
    </w:tbl>
    <w:p w:rsidR="008D3ED5" w:rsidRDefault="008D3ED5"/>
    <w:p w:rsidR="008D3ED5" w:rsidRDefault="004874D8">
      <w:pPr>
        <w:pStyle w:val="Heading1"/>
      </w:pPr>
      <w:bookmarkStart w:id="16" w:name="_Toc228499529"/>
      <w:r>
        <w:lastRenderedPageBreak/>
        <w:t>5. REFLECTION</w:t>
      </w:r>
      <w:bookmarkEnd w:id="16"/>
    </w:p>
    <w:p w:rsidR="008D3ED5" w:rsidRDefault="004874D8">
      <w:r>
        <w:t>The work on the creation of the Samsung MindCare AI brand extension and the poster accompanying it was an all-inclusive and intellectually stimulating process, which had to combine theoretical knowledge with practical strategic implementation. First, the p</w:t>
      </w:r>
      <w:r>
        <w:t>rocess was fraught with various challenges, especially in terms of applying abstract marketing terms like segmentation, positioning, and brand extension into a consistent, non-digital strategy in the fast-changing environment of digital health (Fletcher an</w:t>
      </w:r>
      <w:r>
        <w:t>d Gbadamosi, 2022). The intricacy of matching AI functionality with customer demands, and at the same time discussing issues related to ethical concerns, including information privacy, demanded a more critical and multidimensional strategy than expected (J</w:t>
      </w:r>
      <w:r>
        <w:t>hawar et al., 2023).</w:t>
      </w:r>
    </w:p>
    <w:p w:rsidR="008D3ED5" w:rsidRDefault="004874D8">
      <w:r>
        <w:t xml:space="preserve">Although these difficulties occurred, the experience of the entire development process was very valuable. The idea of Samsung MindCare AI has become a powerful and prospective solution, which will be backed by the market data, showing </w:t>
      </w:r>
      <w:r>
        <w:t>that wearable technologies and AI-based healthcare are growing considerably (Mouritzen et al., 2023). Capacity to support the strategic choices based on evidence strengthened the portfolio, especially in the context of showing how the incorporation of Sams</w:t>
      </w:r>
      <w:r>
        <w:t>ung ecosystem could generate sustainable competitive advantage (Jiang et al., 2025). Moreover, poster designing enhanced the skill to convey intricate concepts in a concise and persuasive way, which is a major professional competence.</w:t>
      </w:r>
    </w:p>
    <w:p w:rsidR="008D3ED5" w:rsidRDefault="004874D8">
      <w:r>
        <w:t>More to the point, th</w:t>
      </w:r>
      <w:r>
        <w:t>e process enhanced my knowledge of brand extension strategy, emphasizing that successful extensions do not necessarily rely on the aspect of innovation, but instead, on the strategic fit between the parent brand and the market demand (Ratushniak, 2020). Th</w:t>
      </w:r>
      <w:r>
        <w:t xml:space="preserve">e use of AI in marketing also showed its potential of transformation and limitations, especially towards trust, algorithmic bias, and ethical responsibility. Also, the role of consumer behaviour became more apparent where the functionality is not the only </w:t>
      </w:r>
      <w:r>
        <w:t>factor that prompts technological adoption but instead perceived value, trust, and emotional relevance (Sardar and Vijay, 2025).</w:t>
      </w:r>
    </w:p>
    <w:p w:rsidR="008D3ED5" w:rsidRDefault="004874D8">
      <w:r>
        <w:t>In general, this experience showed that the marketing strategy should be based on a balance between analytical rigour and creat</w:t>
      </w:r>
      <w:r>
        <w:t>ive thinking. To continue my further development, I would work on bettering my method by improving my data analysis capabilities, working more critically with scholarly sources, and increasing my strategic acumen (Sorosrungruang et al., 2024). This will al</w:t>
      </w:r>
      <w:r>
        <w:t>low me to develop more advanced, evidence-based strategies within future projects, especially in technology and complicated industries (Watkins et al., 2025).</w:t>
      </w:r>
    </w:p>
    <w:p w:rsidR="008D3ED5" w:rsidRDefault="004874D8">
      <w:pPr>
        <w:pStyle w:val="Heading1"/>
      </w:pPr>
      <w:bookmarkStart w:id="17" w:name="_Toc228499530"/>
      <w:r>
        <w:lastRenderedPageBreak/>
        <w:t>6. Conclusion</w:t>
      </w:r>
      <w:bookmarkEnd w:id="17"/>
      <w:r>
        <w:t xml:space="preserve"> </w:t>
      </w:r>
    </w:p>
    <w:p w:rsidR="008D3ED5" w:rsidRDefault="004874D8">
      <w:r>
        <w:t>Samsung MindCare AI shows high growth potential through the use of AI, wearable te</w:t>
      </w:r>
      <w:r>
        <w:t xml:space="preserve">chnology, and integrated Samsung ecosystem as a way to meet the increasing mental health demands. The strategy develops competitive advantage by innovation, personalisation and ecosystem synergy. But, the concern of ethical issues like privacy of data and </w:t>
      </w:r>
      <w:r>
        <w:t>trust will help in long-term success. Comprehensively, this brand extension shows that technology-based solutions can improve access to healthcare, and maintain a competitive edge in an ever-changing digital market.</w:t>
      </w:r>
    </w:p>
    <w:p w:rsidR="008D3ED5" w:rsidRDefault="004874D8">
      <w:pPr>
        <w:pStyle w:val="Heading1"/>
        <w:rPr>
          <w:rStyle w:val="Hyperlink"/>
          <w:color w:val="1F4E79"/>
          <w:u w:val="none"/>
        </w:rPr>
      </w:pPr>
      <w:bookmarkStart w:id="18" w:name="_Toc228499531"/>
      <w:r>
        <w:t>7. References</w:t>
      </w:r>
      <w:bookmarkEnd w:id="18"/>
    </w:p>
    <w:p w:rsidR="008D3ED5" w:rsidRDefault="004874D8">
      <w:pPr>
        <w:ind w:left="720" w:hanging="720"/>
        <w:rPr>
          <w:lang w:val="en-US"/>
        </w:rPr>
      </w:pPr>
      <w:r>
        <w:rPr>
          <w:lang w:val="en-US"/>
        </w:rPr>
        <w:t>Abadir, M., Dineen</w:t>
      </w:r>
      <w:r>
        <w:rPr>
          <w:lang w:val="en-US"/>
        </w:rPr>
        <w:t xml:space="preserve">, W., Myers, D.J., Yu, S. and Phan, P. (2025) ‘Navigating the future of artificial intelligence technologies for improving the care of older adults’, </w:t>
      </w:r>
      <w:r>
        <w:rPr>
          <w:i/>
          <w:iCs/>
          <w:lang w:val="en-US"/>
        </w:rPr>
        <w:t>Innovation in Aging</w:t>
      </w:r>
      <w:r>
        <w:rPr>
          <w:lang w:val="en-US"/>
        </w:rPr>
        <w:t xml:space="preserve">, 9(Supplement_1), pp. S24–S32. Available at: </w:t>
      </w:r>
      <w:hyperlink r:id="rId9" w:tgtFrame="_new" w:history="1">
        <w:r>
          <w:rPr>
            <w:rStyle w:val="Hyperlink"/>
            <w:lang w:val="en-US"/>
          </w:rPr>
          <w:t>https://doi.org/10.1093/geroni/igaf092</w:t>
        </w:r>
      </w:hyperlink>
    </w:p>
    <w:p w:rsidR="008D3ED5" w:rsidRDefault="004874D8">
      <w:pPr>
        <w:ind w:left="720" w:hanging="720"/>
        <w:rPr>
          <w:lang w:val="en-US"/>
        </w:rPr>
      </w:pPr>
      <w:r>
        <w:rPr>
          <w:lang w:val="en-US"/>
        </w:rPr>
        <w:t xml:space="preserve">Adibi, S., Rajabifard, A., Shojaei, D. and Wickramasinghe, N. (2024) ‘Enhancing healthcare through sensor-enabled digital twins in smart environments: A comprehensive analysis’, </w:t>
      </w:r>
      <w:r>
        <w:rPr>
          <w:i/>
          <w:iCs/>
          <w:lang w:val="en-US"/>
        </w:rPr>
        <w:t>Sensors</w:t>
      </w:r>
      <w:r>
        <w:rPr>
          <w:lang w:val="en-US"/>
        </w:rPr>
        <w:t>, 24(9),</w:t>
      </w:r>
      <w:r>
        <w:rPr>
          <w:lang w:val="en-US"/>
        </w:rPr>
        <w:t xml:space="preserve"> p. 2793. Available at: </w:t>
      </w:r>
      <w:hyperlink r:id="rId10" w:tgtFrame="_new" w:history="1">
        <w:r>
          <w:rPr>
            <w:rStyle w:val="Hyperlink"/>
            <w:lang w:val="en-US"/>
          </w:rPr>
          <w:t>https://doi.org/10.3390/s24092793</w:t>
        </w:r>
      </w:hyperlink>
    </w:p>
    <w:p w:rsidR="008D3ED5" w:rsidRDefault="004874D8">
      <w:pPr>
        <w:ind w:left="720" w:hanging="720"/>
      </w:pPr>
      <w:r>
        <w:t xml:space="preserve">Ajzen, I. (1991) ‘The theory of planned behavior’, </w:t>
      </w:r>
      <w:r>
        <w:rPr>
          <w:i/>
          <w:iCs/>
        </w:rPr>
        <w:t>Organizational Behavior and Human Decision Processes</w:t>
      </w:r>
      <w:r>
        <w:t xml:space="preserve">, 50(2), pp. 179–211. </w:t>
      </w:r>
      <w:hyperlink r:id="rId11" w:history="1">
        <w:r>
          <w:rPr>
            <w:rStyle w:val="Hyperlink"/>
          </w:rPr>
          <w:t>https://doi.org/10.1016/0749-5978(91)90020-T</w:t>
        </w:r>
      </w:hyperlink>
    </w:p>
    <w:p w:rsidR="008D3ED5" w:rsidRDefault="004874D8">
      <w:pPr>
        <w:ind w:left="720" w:hanging="720"/>
        <w:rPr>
          <w:lang w:val="en-US"/>
        </w:rPr>
      </w:pPr>
      <w:r>
        <w:rPr>
          <w:lang w:val="en-US"/>
        </w:rPr>
        <w:t xml:space="preserve">Alandjani, G. (2023) ‘Integrating AI with green Internet of Things in healthcare for achieving UN’s SDGs’, </w:t>
      </w:r>
      <w:r>
        <w:rPr>
          <w:i/>
          <w:iCs/>
          <w:lang w:val="en-US"/>
        </w:rPr>
        <w:t>Journal of Propulsion Technology</w:t>
      </w:r>
      <w:r>
        <w:rPr>
          <w:lang w:val="en-US"/>
        </w:rPr>
        <w:t>, 44(3), pp. 513–521. Av</w:t>
      </w:r>
      <w:r>
        <w:rPr>
          <w:lang w:val="en-US"/>
        </w:rPr>
        <w:t xml:space="preserve">ailable at: </w:t>
      </w:r>
      <w:hyperlink r:id="rId12" w:tgtFrame="_new" w:history="1">
        <w:r>
          <w:rPr>
            <w:rStyle w:val="Hyperlink"/>
            <w:lang w:val="en-US"/>
          </w:rPr>
          <w:t>https://doi.org/10.52783/tjjpt.v44.i3.330</w:t>
        </w:r>
      </w:hyperlink>
    </w:p>
    <w:p w:rsidR="008D3ED5" w:rsidRDefault="004874D8">
      <w:pPr>
        <w:ind w:left="720" w:hanging="720"/>
      </w:pPr>
      <w:r>
        <w:rPr>
          <w:lang w:val="en-US"/>
        </w:rPr>
        <w:t>Anisha, S.A., Sen, A., Ahmad, B. and Bain, C. (2025) ‘Exploring acceptance of digital health technologies for managing non-communicabl</w:t>
      </w:r>
      <w:r>
        <w:rPr>
          <w:lang w:val="en-US"/>
        </w:rPr>
        <w:t xml:space="preserve">e diseases among older adults: A systematic scoping review’, </w:t>
      </w:r>
      <w:r>
        <w:rPr>
          <w:i/>
          <w:iCs/>
          <w:lang w:val="en-US"/>
        </w:rPr>
        <w:t>Journal of Medical Systems</w:t>
      </w:r>
      <w:r>
        <w:rPr>
          <w:lang w:val="en-US"/>
        </w:rPr>
        <w:t xml:space="preserve">, 49(1). Available at: </w:t>
      </w:r>
      <w:hyperlink r:id="rId13" w:tgtFrame="_new" w:history="1">
        <w:r>
          <w:rPr>
            <w:rStyle w:val="Hyperlink"/>
            <w:lang w:val="en-US"/>
          </w:rPr>
          <w:t>https://doi.org/10.1007/s10916-025-02166-3</w:t>
        </w:r>
      </w:hyperlink>
    </w:p>
    <w:p w:rsidR="008D3ED5" w:rsidRDefault="004874D8">
      <w:pPr>
        <w:ind w:left="720" w:hanging="720"/>
        <w:rPr>
          <w:lang w:val="en-US"/>
        </w:rPr>
      </w:pPr>
      <w:r>
        <w:rPr>
          <w:lang w:val="en-US"/>
        </w:rPr>
        <w:t xml:space="preserve">Arshad, M.T., Ali, M.J., Maqsood, </w:t>
      </w:r>
      <w:r>
        <w:rPr>
          <w:lang w:val="en-US"/>
        </w:rPr>
        <w:t xml:space="preserve">S., Ikram, A., Ahmed, F., Aljameel, A.I., Al-Farga, A. and Hossain, M.S. (2025) ‘Personalized nutrition in the era of digital health: A new frontier </w:t>
      </w:r>
      <w:r>
        <w:rPr>
          <w:lang w:val="en-US"/>
        </w:rPr>
        <w:lastRenderedPageBreak/>
        <w:t xml:space="preserve">for managing diabetes and obesity’, </w:t>
      </w:r>
      <w:r>
        <w:rPr>
          <w:i/>
          <w:iCs/>
          <w:lang w:val="en-US"/>
        </w:rPr>
        <w:t>Food Science &amp; Nutrition</w:t>
      </w:r>
      <w:r>
        <w:rPr>
          <w:lang w:val="en-US"/>
        </w:rPr>
        <w:t xml:space="preserve">, 13(10). Available at: </w:t>
      </w:r>
      <w:hyperlink r:id="rId14" w:tgtFrame="_new" w:history="1">
        <w:r>
          <w:rPr>
            <w:rStyle w:val="Hyperlink"/>
            <w:lang w:val="en-US"/>
          </w:rPr>
          <w:t>https://doi.org/10.1002/fsn3.71006</w:t>
        </w:r>
      </w:hyperlink>
    </w:p>
    <w:p w:rsidR="008D3ED5" w:rsidRDefault="004874D8">
      <w:pPr>
        <w:ind w:left="720" w:hanging="720"/>
        <w:rPr>
          <w:lang w:val="en-US"/>
        </w:rPr>
      </w:pPr>
      <w:r>
        <w:rPr>
          <w:lang w:val="en-US"/>
        </w:rPr>
        <w:t>Atadoga, A., Omaghomi, T.T., Elufioye, O.A., Odilibe, I.P., Daraojimba, A.I. and Owolabi, O.R. (2024) ‘Internet of Things (IoT) in healthcare: A systematic review of use cases and ben</w:t>
      </w:r>
      <w:r>
        <w:rPr>
          <w:lang w:val="en-US"/>
        </w:rPr>
        <w:t xml:space="preserve">efits’, </w:t>
      </w:r>
      <w:r>
        <w:rPr>
          <w:i/>
          <w:iCs/>
          <w:lang w:val="en-US"/>
        </w:rPr>
        <w:t>International Journal of Science and Research Archive</w:t>
      </w:r>
      <w:r>
        <w:rPr>
          <w:lang w:val="en-US"/>
        </w:rPr>
        <w:t xml:space="preserve">, 11(1), pp. 1511–1517. Available at: </w:t>
      </w:r>
      <w:hyperlink r:id="rId15" w:tgtFrame="_new" w:history="1">
        <w:r>
          <w:rPr>
            <w:rStyle w:val="Hyperlink"/>
            <w:lang w:val="en-US"/>
          </w:rPr>
          <w:t>https://doi.org/10.30574/ijsra.2024.11.1.0243</w:t>
        </w:r>
      </w:hyperlink>
    </w:p>
    <w:p w:rsidR="008D3ED5" w:rsidRDefault="004874D8">
      <w:pPr>
        <w:ind w:left="720" w:hanging="720"/>
        <w:rPr>
          <w:lang w:val="en-US"/>
        </w:rPr>
      </w:pPr>
      <w:r>
        <w:rPr>
          <w:lang w:val="en-US"/>
        </w:rPr>
        <w:t>Banville, M.C. (2020) ‘Resisting survei</w:t>
      </w:r>
      <w:r>
        <w:rPr>
          <w:lang w:val="en-US"/>
        </w:rPr>
        <w:t xml:space="preserve">llance: Responding to wearable device privacy policies’, pp. 1–8. Available at: </w:t>
      </w:r>
      <w:hyperlink r:id="rId16" w:tgtFrame="_new" w:history="1">
        <w:r>
          <w:rPr>
            <w:rStyle w:val="Hyperlink"/>
            <w:lang w:val="en-US"/>
          </w:rPr>
          <w:t>https://doi.org/10.1145/3380851.3416764</w:t>
        </w:r>
      </w:hyperlink>
    </w:p>
    <w:p w:rsidR="008D3ED5" w:rsidRDefault="004874D8">
      <w:pPr>
        <w:ind w:left="720" w:hanging="720"/>
        <w:rPr>
          <w:lang w:val="en-US"/>
        </w:rPr>
      </w:pPr>
      <w:r>
        <w:rPr>
          <w:lang w:val="en-US"/>
        </w:rPr>
        <w:t>Bhuvaneswari, V. and Mohanraj</w:t>
      </w:r>
      <w:r>
        <w:rPr>
          <w:lang w:val="en-US"/>
        </w:rPr>
        <w:t xml:space="preserve">, T. (2025) ‘Towards intelligent safety: A systematic review on assault detection and technologies’, </w:t>
      </w:r>
      <w:r>
        <w:rPr>
          <w:i/>
          <w:iCs/>
          <w:lang w:val="en-US"/>
        </w:rPr>
        <w:t>Sensors</w:t>
      </w:r>
      <w:r>
        <w:rPr>
          <w:lang w:val="en-US"/>
        </w:rPr>
        <w:t xml:space="preserve">, 25(13), p. 3985. Available at: </w:t>
      </w:r>
      <w:hyperlink r:id="rId17" w:tgtFrame="_new" w:history="1">
        <w:r>
          <w:rPr>
            <w:rStyle w:val="Hyperlink"/>
            <w:lang w:val="en-US"/>
          </w:rPr>
          <w:t>https://doi.org/10.3390/s25133985</w:t>
        </w:r>
      </w:hyperlink>
    </w:p>
    <w:p w:rsidR="008D3ED5" w:rsidRDefault="004874D8">
      <w:pPr>
        <w:ind w:left="720" w:hanging="720"/>
        <w:rPr>
          <w:lang w:val="en-US"/>
        </w:rPr>
      </w:pPr>
      <w:r>
        <w:rPr>
          <w:lang w:val="en-US"/>
        </w:rPr>
        <w:t xml:space="preserve">Bittencourt, J.C.N., </w:t>
      </w:r>
      <w:r>
        <w:rPr>
          <w:lang w:val="en-US"/>
        </w:rPr>
        <w:t xml:space="preserve">Flores, T., Jesus, T.C. and Costa, D.G. (2025) ‘On the role of AI in building generative urban intelligence’. Available at: </w:t>
      </w:r>
      <w:hyperlink r:id="rId18" w:tgtFrame="_new" w:history="1">
        <w:r>
          <w:rPr>
            <w:rStyle w:val="Hyperlink"/>
            <w:lang w:val="en-US"/>
          </w:rPr>
          <w:t>https://doi.org/10.21203/rs.3.rs-7131966/v1</w:t>
        </w:r>
      </w:hyperlink>
    </w:p>
    <w:p w:rsidR="008D3ED5" w:rsidRDefault="004874D8">
      <w:pPr>
        <w:ind w:left="720" w:hanging="720"/>
        <w:rPr>
          <w:lang w:val="en-US"/>
        </w:rPr>
      </w:pPr>
      <w:r>
        <w:rPr>
          <w:lang w:val="en-US"/>
        </w:rPr>
        <w:t>Butt, A.H., Ahmad,</w:t>
      </w:r>
      <w:r>
        <w:rPr>
          <w:lang w:val="en-US"/>
        </w:rPr>
        <w:t xml:space="preserve"> H. and Muzaffar, A. (2024) ‘Augmented reality is the new digital banking – AR brand experience impact on brand loyalty’, </w:t>
      </w:r>
      <w:r>
        <w:rPr>
          <w:i/>
          <w:iCs/>
          <w:lang w:val="en-US"/>
        </w:rPr>
        <w:t>International Journal of Bank Marketing</w:t>
      </w:r>
      <w:r>
        <w:rPr>
          <w:lang w:val="en-US"/>
        </w:rPr>
        <w:t xml:space="preserve">, 42(2), pp. 156–182. Available at: </w:t>
      </w:r>
      <w:hyperlink r:id="rId19" w:tgtFrame="_new" w:history="1">
        <w:r>
          <w:rPr>
            <w:rStyle w:val="Hyperlink"/>
            <w:lang w:val="en-US"/>
          </w:rPr>
          <w:t>https://doi.org/10.1108/ijbm-11-2022-0522</w:t>
        </w:r>
      </w:hyperlink>
    </w:p>
    <w:p w:rsidR="008D3ED5" w:rsidRDefault="004874D8">
      <w:pPr>
        <w:ind w:left="720" w:hanging="720"/>
        <w:rPr>
          <w:lang w:val="en-US"/>
        </w:rPr>
      </w:pPr>
      <w:r>
        <w:rPr>
          <w:lang w:val="en-US"/>
        </w:rPr>
        <w:t xml:space="preserve">Calderone, A. (2025) ‘Mind meets machine: A narrative review of artificial intelligence role in clinical psychology practice’, </w:t>
      </w:r>
      <w:r>
        <w:rPr>
          <w:i/>
          <w:iCs/>
          <w:lang w:val="en-US"/>
        </w:rPr>
        <w:t>Clinical Psychology &amp; Psychotherapy</w:t>
      </w:r>
      <w:r>
        <w:rPr>
          <w:lang w:val="en-US"/>
        </w:rPr>
        <w:t xml:space="preserve">, 32(6). Available at: </w:t>
      </w:r>
      <w:hyperlink r:id="rId20" w:tgtFrame="_new" w:history="1">
        <w:r>
          <w:rPr>
            <w:rStyle w:val="Hyperlink"/>
            <w:lang w:val="en-US"/>
          </w:rPr>
          <w:t>https://doi.org/10.1002/cpp.70191</w:t>
        </w:r>
      </w:hyperlink>
    </w:p>
    <w:p w:rsidR="008D3ED5" w:rsidRDefault="004874D8">
      <w:pPr>
        <w:ind w:left="720" w:hanging="720"/>
      </w:pPr>
      <w:r>
        <w:t xml:space="preserve">Chaffey, D. and Ellis-Chadwick, F. (2019) </w:t>
      </w:r>
      <w:r>
        <w:rPr>
          <w:i/>
          <w:iCs/>
        </w:rPr>
        <w:t>Digital Marketing</w:t>
      </w:r>
      <w:r>
        <w:t>. 7th edn. Harlow: Pearson.</w:t>
      </w:r>
    </w:p>
    <w:p w:rsidR="008D3ED5" w:rsidRDefault="004874D8">
      <w:pPr>
        <w:ind w:left="720" w:hanging="720"/>
        <w:rPr>
          <w:lang w:val="en-US"/>
        </w:rPr>
      </w:pPr>
      <w:r>
        <w:rPr>
          <w:lang w:val="en-US"/>
        </w:rPr>
        <w:t>Channa, A., Popescu, N., Skibińska, J. and Bürget, R. (2021) ‘The rise of wearable devices duri</w:t>
      </w:r>
      <w:r>
        <w:rPr>
          <w:lang w:val="en-US"/>
        </w:rPr>
        <w:t xml:space="preserve">ng the COVID-19 pandemic: A systematic review’, </w:t>
      </w:r>
      <w:r>
        <w:rPr>
          <w:i/>
          <w:iCs/>
          <w:lang w:val="en-US"/>
        </w:rPr>
        <w:t>Sensors</w:t>
      </w:r>
      <w:r>
        <w:rPr>
          <w:lang w:val="en-US"/>
        </w:rPr>
        <w:t xml:space="preserve">, 21(17), p. 5787. Available at: </w:t>
      </w:r>
      <w:hyperlink r:id="rId21" w:tgtFrame="_new" w:history="1">
        <w:r>
          <w:rPr>
            <w:rStyle w:val="Hyperlink"/>
            <w:lang w:val="en-US"/>
          </w:rPr>
          <w:t>https://doi.org/10.3390/s21175787</w:t>
        </w:r>
      </w:hyperlink>
    </w:p>
    <w:p w:rsidR="008D3ED5" w:rsidRDefault="004874D8">
      <w:pPr>
        <w:ind w:left="720" w:hanging="720"/>
        <w:rPr>
          <w:lang w:val="en-US"/>
        </w:rPr>
      </w:pPr>
      <w:r>
        <w:rPr>
          <w:lang w:val="en-US"/>
        </w:rPr>
        <w:t>Cimbru, I., Wagner, J. and Röschmann, A.Z. (2025) ‘On IoT-enabled risk pre</w:t>
      </w:r>
      <w:r>
        <w:rPr>
          <w:lang w:val="en-US"/>
        </w:rPr>
        <w:t xml:space="preserve">vention and insurance: A systematic literature review’, </w:t>
      </w:r>
      <w:r>
        <w:rPr>
          <w:i/>
          <w:iCs/>
          <w:lang w:val="en-US"/>
        </w:rPr>
        <w:t>Risk Management and Insurance Review</w:t>
      </w:r>
      <w:r>
        <w:rPr>
          <w:lang w:val="en-US"/>
        </w:rPr>
        <w:t xml:space="preserve">, 28(4), pp. 643–694. Available at: </w:t>
      </w:r>
      <w:hyperlink r:id="rId22" w:tgtFrame="_new" w:history="1">
        <w:r>
          <w:rPr>
            <w:rStyle w:val="Hyperlink"/>
            <w:lang w:val="en-US"/>
          </w:rPr>
          <w:t>https://doi.org/10.1111/rmir.70025</w:t>
        </w:r>
      </w:hyperlink>
    </w:p>
    <w:p w:rsidR="008D3ED5" w:rsidRDefault="004874D8">
      <w:pPr>
        <w:ind w:left="720" w:hanging="720"/>
        <w:rPr>
          <w:lang w:val="en-US"/>
        </w:rPr>
      </w:pPr>
      <w:r>
        <w:rPr>
          <w:lang w:val="en-US"/>
        </w:rPr>
        <w:t xml:space="preserve">Darus, F.M., Tan, P. and Yusop, </w:t>
      </w:r>
      <w:r>
        <w:rPr>
          <w:lang w:val="en-US"/>
        </w:rPr>
        <w:t xml:space="preserve">H.M. (2024) ‘Exploratory factor analysis on acceptance of artificial intelligence as online healthcare product sales advisor among consumers of </w:t>
      </w:r>
      <w:r>
        <w:rPr>
          <w:lang w:val="en-US"/>
        </w:rPr>
        <w:lastRenderedPageBreak/>
        <w:t xml:space="preserve">Guardian pharmaceutical outlets in Malaysia’, </w:t>
      </w:r>
      <w:r>
        <w:rPr>
          <w:i/>
          <w:iCs/>
          <w:lang w:val="en-US"/>
        </w:rPr>
        <w:t>MAJCAFE</w:t>
      </w:r>
      <w:r>
        <w:rPr>
          <w:lang w:val="en-US"/>
        </w:rPr>
        <w:t xml:space="preserve">, 32(1), pp. 456–479. Available at: </w:t>
      </w:r>
      <w:hyperlink r:id="rId23" w:tgtFrame="_new" w:history="1">
        <w:r>
          <w:rPr>
            <w:rStyle w:val="Hyperlink"/>
            <w:lang w:val="en-US"/>
          </w:rPr>
          <w:t>https://doi.org/10.60016/majcafe.v32.18</w:t>
        </w:r>
      </w:hyperlink>
    </w:p>
    <w:p w:rsidR="008D3ED5" w:rsidRDefault="004874D8">
      <w:pPr>
        <w:ind w:left="720" w:hanging="720"/>
      </w:pPr>
      <w:r>
        <w:t xml:space="preserve">Davenport, T.H., Guha, A., Grewal, D. and Bressgott, T. (2020) ‘How artificial intelligence will change the future of marketing’, </w:t>
      </w:r>
      <w:r>
        <w:rPr>
          <w:i/>
          <w:iCs/>
        </w:rPr>
        <w:t>Journal of the Academy of Marketing Science</w:t>
      </w:r>
      <w:r>
        <w:t xml:space="preserve">, 48(1), pp. 24–42. </w:t>
      </w:r>
      <w:hyperlink r:id="rId24" w:tgtFrame="_new" w:history="1">
        <w:r>
          <w:rPr>
            <w:rStyle w:val="Hyperlink"/>
          </w:rPr>
          <w:t>https://doi.org/10.1007/s11747-019-00696-0</w:t>
        </w:r>
      </w:hyperlink>
    </w:p>
    <w:p w:rsidR="008D3ED5" w:rsidRDefault="004874D8">
      <w:pPr>
        <w:ind w:left="720" w:hanging="720"/>
        <w:rPr>
          <w:lang w:val="en-US"/>
        </w:rPr>
      </w:pPr>
      <w:r>
        <w:rPr>
          <w:lang w:val="en-US"/>
        </w:rPr>
        <w:t xml:space="preserve">Egon, K., Lord, M.L. and Olaoye, G. (2023) </w:t>
      </w:r>
      <w:r>
        <w:rPr>
          <w:i/>
          <w:iCs/>
          <w:lang w:val="en-US"/>
        </w:rPr>
        <w:t>Future unraveled: The wonders of wearable and flexible electronics</w:t>
      </w:r>
      <w:r>
        <w:rPr>
          <w:lang w:val="en-US"/>
        </w:rPr>
        <w:t>. Available at:</w:t>
      </w:r>
      <w:r>
        <w:rPr>
          <w:lang w:val="en-US"/>
        </w:rPr>
        <w:t xml:space="preserve"> </w:t>
      </w:r>
      <w:hyperlink r:id="rId25" w:tgtFrame="_new" w:history="1">
        <w:r>
          <w:rPr>
            <w:rStyle w:val="Hyperlink"/>
            <w:lang w:val="en-US"/>
          </w:rPr>
          <w:t>https://doi.org/10.31219/osf.io/5xkfw</w:t>
        </w:r>
      </w:hyperlink>
    </w:p>
    <w:p w:rsidR="008D3ED5" w:rsidRDefault="004874D8">
      <w:pPr>
        <w:ind w:left="720" w:hanging="720"/>
        <w:rPr>
          <w:lang w:val="en-US"/>
        </w:rPr>
      </w:pPr>
      <w:r>
        <w:rPr>
          <w:lang w:val="en-US"/>
        </w:rPr>
        <w:t xml:space="preserve">Fletcher, K.-A. and Gbadamosi, A. (2022) ‘Examining social media live stream’s influence on the consumer decision-making: A thematic analysis’, </w:t>
      </w:r>
      <w:r>
        <w:rPr>
          <w:i/>
          <w:iCs/>
          <w:lang w:val="en-US"/>
        </w:rPr>
        <w:t>Electroni</w:t>
      </w:r>
      <w:r>
        <w:rPr>
          <w:i/>
          <w:iCs/>
          <w:lang w:val="en-US"/>
        </w:rPr>
        <w:t>c Commerce Research</w:t>
      </w:r>
      <w:r>
        <w:rPr>
          <w:lang w:val="en-US"/>
        </w:rPr>
        <w:t xml:space="preserve">, 24(3), pp. 2175–2205. Available at: </w:t>
      </w:r>
      <w:hyperlink r:id="rId26" w:tgtFrame="_new" w:history="1">
        <w:r>
          <w:rPr>
            <w:rStyle w:val="Hyperlink"/>
            <w:lang w:val="en-US"/>
          </w:rPr>
          <w:t>https://doi.org/10.1007/s10660-022-09623-y</w:t>
        </w:r>
      </w:hyperlink>
    </w:p>
    <w:p w:rsidR="008D3ED5" w:rsidRDefault="004874D8">
      <w:pPr>
        <w:ind w:left="720" w:hanging="720"/>
        <w:rPr>
          <w:lang w:val="en-US"/>
        </w:rPr>
      </w:pPr>
      <w:r>
        <w:rPr>
          <w:lang w:val="en-US"/>
        </w:rPr>
        <w:t>Franceschini, C., Ahmadi, M., Zhang, X., Wu, K.L., Lin, M., Rodio, A., Tang, Y., Engebe</w:t>
      </w:r>
      <w:r>
        <w:rPr>
          <w:lang w:val="en-US"/>
        </w:rPr>
        <w:t xml:space="preserve">rg, E.D., Pires, G., Cheema, T.A. and Vrionis, F.D. (2025) ‘Revolutionizing spine surgery with emerging AI–FEA integration’, </w:t>
      </w:r>
      <w:r>
        <w:rPr>
          <w:i/>
          <w:iCs/>
          <w:lang w:val="en-US"/>
        </w:rPr>
        <w:t>Journal of Robotic Surgery</w:t>
      </w:r>
      <w:r>
        <w:rPr>
          <w:lang w:val="en-US"/>
        </w:rPr>
        <w:t xml:space="preserve">, 19(1). Available at: </w:t>
      </w:r>
      <w:hyperlink r:id="rId27" w:tgtFrame="_new" w:history="1">
        <w:r>
          <w:rPr>
            <w:rStyle w:val="Hyperlink"/>
            <w:lang w:val="en-US"/>
          </w:rPr>
          <w:t>https://doi.org/</w:t>
        </w:r>
        <w:r>
          <w:rPr>
            <w:rStyle w:val="Hyperlink"/>
            <w:lang w:val="en-US"/>
          </w:rPr>
          <w:t>10.1007/s11701-025-02772-w</w:t>
        </w:r>
      </w:hyperlink>
    </w:p>
    <w:p w:rsidR="008D3ED5" w:rsidRDefault="004874D8">
      <w:pPr>
        <w:ind w:left="720" w:hanging="720"/>
        <w:rPr>
          <w:lang w:val="en-US"/>
        </w:rPr>
      </w:pPr>
      <w:r>
        <w:rPr>
          <w:lang w:val="en-US"/>
        </w:rPr>
        <w:t xml:space="preserve">Ghosh, A., Saini, A. and Barad, H. (2025) ‘Transforming healthcare in India: The role of artificial intelligence and regulatory frameworks for sustainable growth’, </w:t>
      </w:r>
      <w:r>
        <w:rPr>
          <w:i/>
          <w:iCs/>
          <w:lang w:val="en-US"/>
        </w:rPr>
        <w:t>World Medical &amp; Health Policy</w:t>
      </w:r>
      <w:r>
        <w:rPr>
          <w:lang w:val="en-US"/>
        </w:rPr>
        <w:t>, 17(3), pp. 475–490. Available a</w:t>
      </w:r>
      <w:r>
        <w:rPr>
          <w:lang w:val="en-US"/>
        </w:rPr>
        <w:t xml:space="preserve">t: </w:t>
      </w:r>
      <w:hyperlink r:id="rId28" w:tgtFrame="_new" w:history="1">
        <w:r>
          <w:rPr>
            <w:rStyle w:val="Hyperlink"/>
            <w:lang w:val="en-US"/>
          </w:rPr>
          <w:t>https://doi.org/10.1002/wmh3.70015</w:t>
        </w:r>
      </w:hyperlink>
    </w:p>
    <w:p w:rsidR="008D3ED5" w:rsidRDefault="004874D8">
      <w:pPr>
        <w:ind w:left="720" w:hanging="720"/>
      </w:pPr>
      <w:r>
        <w:t xml:space="preserve">Grand View Research (2025) </w:t>
      </w:r>
      <w:r>
        <w:rPr>
          <w:i/>
          <w:iCs/>
        </w:rPr>
        <w:t>AI Mental Health Market Size Report</w:t>
      </w:r>
      <w:r>
        <w:t xml:space="preserve">. Available at: </w:t>
      </w:r>
      <w:hyperlink r:id="rId29" w:tgtFrame="_new" w:history="1">
        <w:r>
          <w:rPr>
            <w:rStyle w:val="Hyperlink"/>
          </w:rPr>
          <w:t>https://www.grandviewresearch.com</w:t>
        </w:r>
      </w:hyperlink>
      <w:r>
        <w:t xml:space="preserve"> (Accessed: 5 April 2026).</w:t>
      </w:r>
    </w:p>
    <w:p w:rsidR="008D3ED5" w:rsidRDefault="004874D8">
      <w:pPr>
        <w:ind w:left="720" w:hanging="720"/>
        <w:rPr>
          <w:lang w:val="en-US"/>
        </w:rPr>
      </w:pPr>
      <w:r>
        <w:rPr>
          <w:lang w:val="en-US"/>
        </w:rPr>
        <w:t xml:space="preserve">Guni, A., Normahani, P., Davies, A.H. and Jaffer, U. (2020) ‘Harnessing machine learning to personalize web-based health care content (Preprint)’. Available at: </w:t>
      </w:r>
      <w:hyperlink r:id="rId30" w:tgtFrame="_new" w:history="1">
        <w:r>
          <w:rPr>
            <w:rStyle w:val="Hyperlink"/>
            <w:lang w:val="en-US"/>
          </w:rPr>
          <w:t>https://doi.org/10.2196/preprints.25497</w:t>
        </w:r>
      </w:hyperlink>
    </w:p>
    <w:p w:rsidR="008D3ED5" w:rsidRDefault="004874D8">
      <w:pPr>
        <w:ind w:left="720" w:hanging="720"/>
        <w:rPr>
          <w:lang w:val="en-US"/>
        </w:rPr>
      </w:pPr>
      <w:r>
        <w:rPr>
          <w:lang w:val="en-US"/>
        </w:rPr>
        <w:t xml:space="preserve">Guni, A., Normahani, P., Davies, A.H. and Jaffer, U. (2021) ‘Harnessing machine learning to personalize web-based health care content’, </w:t>
      </w:r>
      <w:r>
        <w:rPr>
          <w:i/>
          <w:iCs/>
          <w:lang w:val="en-US"/>
        </w:rPr>
        <w:t>Journal of Medical Internet Research</w:t>
      </w:r>
      <w:r>
        <w:rPr>
          <w:lang w:val="en-US"/>
        </w:rPr>
        <w:t xml:space="preserve">, 23(10), </w:t>
      </w:r>
      <w:r>
        <w:rPr>
          <w:lang w:val="en-US"/>
        </w:rPr>
        <w:t xml:space="preserve">p. e25497. Available at: </w:t>
      </w:r>
      <w:hyperlink r:id="rId31" w:tgtFrame="_new" w:history="1">
        <w:r>
          <w:rPr>
            <w:rStyle w:val="Hyperlink"/>
            <w:lang w:val="en-US"/>
          </w:rPr>
          <w:t>https://doi.org/10.2196/25497</w:t>
        </w:r>
      </w:hyperlink>
    </w:p>
    <w:p w:rsidR="008D3ED5" w:rsidRDefault="004874D8">
      <w:pPr>
        <w:ind w:left="720" w:hanging="720"/>
        <w:rPr>
          <w:lang w:val="en-US"/>
        </w:rPr>
      </w:pPr>
      <w:r>
        <w:rPr>
          <w:lang w:val="en-US"/>
        </w:rPr>
        <w:t>Hosseini, M.M., Hosseini, S.T.M., Qayumi, K. and Hosseinzadeh, S. (2023) ‘Smartwatches in healthcare medicine: Assistance and monitoring; a scopi</w:t>
      </w:r>
      <w:r>
        <w:rPr>
          <w:lang w:val="en-US"/>
        </w:rPr>
        <w:t xml:space="preserve">ng review’, </w:t>
      </w:r>
      <w:r>
        <w:rPr>
          <w:i/>
          <w:iCs/>
          <w:lang w:val="en-US"/>
        </w:rPr>
        <w:t>BMC Medical Informatics and Decision Making</w:t>
      </w:r>
      <w:r>
        <w:rPr>
          <w:lang w:val="en-US"/>
        </w:rPr>
        <w:t xml:space="preserve">, 23(1). Available at: </w:t>
      </w:r>
      <w:hyperlink r:id="rId32" w:tgtFrame="_new" w:history="1">
        <w:r>
          <w:rPr>
            <w:rStyle w:val="Hyperlink"/>
            <w:lang w:val="en-US"/>
          </w:rPr>
          <w:t>https://doi.org/10.1186/s12911-023-02350-w</w:t>
        </w:r>
      </w:hyperlink>
    </w:p>
    <w:p w:rsidR="008D3ED5" w:rsidRDefault="004874D8">
      <w:pPr>
        <w:ind w:left="720" w:hanging="720"/>
      </w:pPr>
      <w:r>
        <w:lastRenderedPageBreak/>
        <w:t xml:space="preserve">International Data Corporation (IDC) (2025) </w:t>
      </w:r>
      <w:r>
        <w:rPr>
          <w:i/>
          <w:iCs/>
        </w:rPr>
        <w:t>Worldwide Wearable Dev</w:t>
      </w:r>
      <w:r>
        <w:rPr>
          <w:i/>
          <w:iCs/>
        </w:rPr>
        <w:t>ice Market Forecast</w:t>
      </w:r>
      <w:r>
        <w:t xml:space="preserve">. Available at: </w:t>
      </w:r>
      <w:hyperlink r:id="rId33" w:tgtFrame="_new" w:history="1">
        <w:r>
          <w:rPr>
            <w:rStyle w:val="Hyperlink"/>
          </w:rPr>
          <w:t>https://www.idc.com</w:t>
        </w:r>
      </w:hyperlink>
      <w:r>
        <w:t xml:space="preserve"> (Accessed: 5 April 2026).</w:t>
      </w:r>
    </w:p>
    <w:p w:rsidR="008D3ED5" w:rsidRDefault="004874D8">
      <w:pPr>
        <w:ind w:left="720" w:hanging="720"/>
        <w:rPr>
          <w:lang w:val="en-US"/>
        </w:rPr>
      </w:pPr>
      <w:r>
        <w:rPr>
          <w:lang w:val="en-US"/>
        </w:rPr>
        <w:t>Jhawar, A., Kumar, P. and Varshney, S. (2023) ‘The emergence of virtual influencers: A shift in the influencer marketing paradigm</w:t>
      </w:r>
      <w:r>
        <w:rPr>
          <w:lang w:val="en-US"/>
        </w:rPr>
        <w:t xml:space="preserve">’, </w:t>
      </w:r>
      <w:r>
        <w:rPr>
          <w:i/>
          <w:iCs/>
          <w:lang w:val="en-US"/>
        </w:rPr>
        <w:t>Young Consumers</w:t>
      </w:r>
      <w:r>
        <w:rPr>
          <w:lang w:val="en-US"/>
        </w:rPr>
        <w:t xml:space="preserve">, 24(4), pp. 468–484. Available at: </w:t>
      </w:r>
      <w:hyperlink r:id="rId34" w:tgtFrame="_new" w:history="1">
        <w:r>
          <w:rPr>
            <w:rStyle w:val="Hyperlink"/>
            <w:lang w:val="en-US"/>
          </w:rPr>
          <w:t>https://doi.org/10.1108/yc-05-2022-1529</w:t>
        </w:r>
      </w:hyperlink>
    </w:p>
    <w:p w:rsidR="008D3ED5" w:rsidRDefault="004874D8">
      <w:pPr>
        <w:ind w:left="720" w:hanging="720"/>
        <w:rPr>
          <w:lang w:val="en-US"/>
        </w:rPr>
      </w:pPr>
      <w:r>
        <w:rPr>
          <w:lang w:val="en-US"/>
        </w:rPr>
        <w:t>Jiang, Z., Wu, D. and Lin-Jun, Y. (2025) ‘Differential role of internet-based targeted persuasiv</w:t>
      </w:r>
      <w:r>
        <w:rPr>
          <w:lang w:val="en-US"/>
        </w:rPr>
        <w:t xml:space="preserve">e advertising versus mass advertising on firms with unique qualities in an anchoring perspective’, </w:t>
      </w:r>
      <w:r>
        <w:rPr>
          <w:i/>
          <w:iCs/>
          <w:lang w:val="en-US"/>
        </w:rPr>
        <w:t>PLOS ONE</w:t>
      </w:r>
      <w:r>
        <w:rPr>
          <w:lang w:val="en-US"/>
        </w:rPr>
        <w:t xml:space="preserve">, 20(7), p. e0325552. Available at: </w:t>
      </w:r>
      <w:hyperlink r:id="rId35" w:tgtFrame="_new" w:history="1">
        <w:r>
          <w:rPr>
            <w:rStyle w:val="Hyperlink"/>
            <w:lang w:val="en-US"/>
          </w:rPr>
          <w:t>https://doi.org/10.1371/journal.pone.0325552</w:t>
        </w:r>
      </w:hyperlink>
    </w:p>
    <w:p w:rsidR="008D3ED5" w:rsidRDefault="004874D8">
      <w:pPr>
        <w:ind w:left="720" w:hanging="720"/>
      </w:pPr>
      <w:r>
        <w:t xml:space="preserve">Kaplan, A. and Haenlein, M. (2019) ‘Siri, Siri, in my hand: Who’s the fairest in the land? On the interpretations, illustrations, and implications of artificial intelligence’, </w:t>
      </w:r>
      <w:r>
        <w:rPr>
          <w:i/>
          <w:iCs/>
        </w:rPr>
        <w:t>Business Horizons</w:t>
      </w:r>
      <w:r>
        <w:t xml:space="preserve">, 62(1), pp. 15–25. </w:t>
      </w:r>
      <w:hyperlink r:id="rId36" w:tgtFrame="_new" w:history="1">
        <w:r>
          <w:rPr>
            <w:rStyle w:val="Hyperlink"/>
          </w:rPr>
          <w:t>https://doi.org/10.1016/j.bushor.2018.08.004</w:t>
        </w:r>
      </w:hyperlink>
    </w:p>
    <w:p w:rsidR="008D3ED5" w:rsidRDefault="004874D8">
      <w:pPr>
        <w:ind w:left="720" w:hanging="720"/>
      </w:pPr>
      <w:r>
        <w:t xml:space="preserve">Kotler, P., Keller, K.L. and Chernev, A. (2024) </w:t>
      </w:r>
      <w:r>
        <w:rPr>
          <w:i/>
          <w:iCs/>
        </w:rPr>
        <w:t>Marketing Management</w:t>
      </w:r>
      <w:r>
        <w:t>. 16th edn. Harlow: Pearson.</w:t>
      </w:r>
    </w:p>
    <w:p w:rsidR="008D3ED5" w:rsidRDefault="004874D8">
      <w:pPr>
        <w:ind w:left="720" w:hanging="720"/>
        <w:rPr>
          <w:lang w:val="en-US"/>
        </w:rPr>
      </w:pPr>
      <w:r>
        <w:rPr>
          <w:lang w:val="en-US"/>
        </w:rPr>
        <w:t>Labrecque, L.I., Peña, P., Leonard, H.A. an</w:t>
      </w:r>
      <w:r>
        <w:rPr>
          <w:lang w:val="en-US"/>
        </w:rPr>
        <w:t xml:space="preserve">d Leger, R. (2024) ‘Not all sunshine and rainbows: Exploring the dark side of AI in interactive marketing’, </w:t>
      </w:r>
      <w:r>
        <w:rPr>
          <w:i/>
          <w:iCs/>
          <w:lang w:val="en-US"/>
        </w:rPr>
        <w:t>Journal of Research in Interactive Marketing</w:t>
      </w:r>
      <w:r>
        <w:rPr>
          <w:lang w:val="en-US"/>
        </w:rPr>
        <w:t xml:space="preserve">, 18(5), pp. 970–999. Available at: </w:t>
      </w:r>
      <w:hyperlink r:id="rId37" w:tgtFrame="_new" w:history="1">
        <w:r>
          <w:rPr>
            <w:rStyle w:val="Hyperlink"/>
            <w:lang w:val="en-US"/>
          </w:rPr>
          <w:t>htt</w:t>
        </w:r>
        <w:r>
          <w:rPr>
            <w:rStyle w:val="Hyperlink"/>
            <w:lang w:val="en-US"/>
          </w:rPr>
          <w:t>ps://doi.org/10.1108/jrim-02-2024-0073</w:t>
        </w:r>
      </w:hyperlink>
    </w:p>
    <w:p w:rsidR="008D3ED5" w:rsidRDefault="004874D8">
      <w:pPr>
        <w:ind w:left="720" w:hanging="720"/>
        <w:rPr>
          <w:lang w:val="en-US"/>
        </w:rPr>
      </w:pPr>
      <w:r>
        <w:rPr>
          <w:lang w:val="en-US"/>
        </w:rPr>
        <w:t xml:space="preserve">Li, W., Chai, Y., Khan, F., Jan, S.R.U., Verma, S., Menon, V.G., Kavita, K. and Li, X. (2021) ‘A comprehensive survey on machine learning-based big data analytics for IoT-enabled smart healthcare system’, </w:t>
      </w:r>
      <w:r>
        <w:rPr>
          <w:i/>
          <w:iCs/>
          <w:lang w:val="en-US"/>
        </w:rPr>
        <w:t>Mobile Ne</w:t>
      </w:r>
      <w:r>
        <w:rPr>
          <w:i/>
          <w:iCs/>
          <w:lang w:val="en-US"/>
        </w:rPr>
        <w:t>tworks and Applications</w:t>
      </w:r>
      <w:r>
        <w:rPr>
          <w:lang w:val="en-US"/>
        </w:rPr>
        <w:t xml:space="preserve">, 26(1), pp. 234–252. Available at: </w:t>
      </w:r>
      <w:hyperlink r:id="rId38" w:tgtFrame="_new" w:history="1">
        <w:r>
          <w:rPr>
            <w:rStyle w:val="Hyperlink"/>
            <w:lang w:val="en-US"/>
          </w:rPr>
          <w:t>https://doi.org/10.1007/s11036-020-01700-6</w:t>
        </w:r>
      </w:hyperlink>
    </w:p>
    <w:p w:rsidR="008D3ED5" w:rsidRDefault="004874D8">
      <w:pPr>
        <w:ind w:left="720" w:hanging="720"/>
        <w:rPr>
          <w:lang w:val="en-US"/>
        </w:rPr>
      </w:pPr>
      <w:r>
        <w:rPr>
          <w:lang w:val="en-US"/>
        </w:rPr>
        <w:t>Liang, F., Yang, X., Peng, W., Zhen, S., Cao, W., Li, Q., Xiao, Z., Gong, M., Wang, Y</w:t>
      </w:r>
      <w:r>
        <w:rPr>
          <w:lang w:val="en-US"/>
        </w:rPr>
        <w:t xml:space="preserve">. and Gu, D. (2024) ‘Applications of digital health approaches for cardiometabolic diseases prevention and management in the Western Pacific region’, </w:t>
      </w:r>
      <w:r>
        <w:rPr>
          <w:i/>
          <w:iCs/>
          <w:lang w:val="en-US"/>
        </w:rPr>
        <w:t>The Lancet Regional Health – Western Pacific</w:t>
      </w:r>
      <w:r>
        <w:rPr>
          <w:lang w:val="en-US"/>
        </w:rPr>
        <w:t xml:space="preserve">, 43, p. 100817. Available at: </w:t>
      </w:r>
      <w:hyperlink r:id="rId39" w:tgtFrame="_new" w:history="1">
        <w:r>
          <w:rPr>
            <w:rStyle w:val="Hyperlink"/>
            <w:lang w:val="en-US"/>
          </w:rPr>
          <w:t>https://doi.org/10.1016/j.lanwpc.2023.100817</w:t>
        </w:r>
      </w:hyperlink>
    </w:p>
    <w:p w:rsidR="008D3ED5" w:rsidRDefault="004874D8">
      <w:pPr>
        <w:ind w:left="720" w:hanging="720"/>
        <w:rPr>
          <w:lang w:val="en-US"/>
        </w:rPr>
      </w:pPr>
      <w:r>
        <w:rPr>
          <w:lang w:val="en-US"/>
        </w:rPr>
        <w:t xml:space="preserve">Liu, R., Gupta, S. and Patel, P. (2021) ‘The application of the principles of responsible AI on social media marketing for digital health’, </w:t>
      </w:r>
      <w:r>
        <w:rPr>
          <w:i/>
          <w:iCs/>
          <w:lang w:val="en-US"/>
        </w:rPr>
        <w:t>Information Systems Frontiers</w:t>
      </w:r>
      <w:r>
        <w:rPr>
          <w:lang w:val="en-US"/>
        </w:rPr>
        <w:t xml:space="preserve">, </w:t>
      </w:r>
      <w:r>
        <w:rPr>
          <w:lang w:val="en-US"/>
        </w:rPr>
        <w:t xml:space="preserve">25(6), pp. 2275–2299. Available at: </w:t>
      </w:r>
      <w:hyperlink r:id="rId40" w:tgtFrame="_new" w:history="1">
        <w:r>
          <w:rPr>
            <w:rStyle w:val="Hyperlink"/>
            <w:lang w:val="en-US"/>
          </w:rPr>
          <w:t>https://doi.org/10.1007/s10796-021-10191-z</w:t>
        </w:r>
      </w:hyperlink>
    </w:p>
    <w:p w:rsidR="008D3ED5" w:rsidRDefault="004874D8">
      <w:pPr>
        <w:ind w:left="720" w:hanging="720"/>
      </w:pPr>
      <w:r>
        <w:lastRenderedPageBreak/>
        <w:t xml:space="preserve">MarketsandMarkets (2025) </w:t>
      </w:r>
      <w:r>
        <w:rPr>
          <w:i/>
          <w:iCs/>
        </w:rPr>
        <w:t>Wearable Medical Devices Market Report</w:t>
      </w:r>
      <w:r>
        <w:t xml:space="preserve">. Available at: </w:t>
      </w:r>
      <w:hyperlink r:id="rId41" w:tgtFrame="_new" w:history="1">
        <w:r>
          <w:rPr>
            <w:rStyle w:val="Hyperlink"/>
          </w:rPr>
          <w:t>https://www.marketsandmarkets.com</w:t>
        </w:r>
      </w:hyperlink>
      <w:r>
        <w:t xml:space="preserve"> </w:t>
      </w:r>
    </w:p>
    <w:p w:rsidR="008D3ED5" w:rsidRDefault="004874D8">
      <w:pPr>
        <w:ind w:left="720" w:hanging="720"/>
        <w:rPr>
          <w:lang w:val="en-US"/>
        </w:rPr>
      </w:pPr>
      <w:r>
        <w:rPr>
          <w:lang w:val="en-US"/>
        </w:rPr>
        <w:t xml:space="preserve">Massaro, S., Yang, T.-C. and Christopoulos, G.I. (2025) ‘Wearable devices methodology: Opportunities and challenges in human resource management’, </w:t>
      </w:r>
      <w:r>
        <w:rPr>
          <w:i/>
          <w:iCs/>
          <w:lang w:val="en-US"/>
        </w:rPr>
        <w:t>Human Resource</w:t>
      </w:r>
      <w:r>
        <w:rPr>
          <w:i/>
          <w:iCs/>
          <w:lang w:val="en-US"/>
        </w:rPr>
        <w:t xml:space="preserve"> Management Journal</w:t>
      </w:r>
      <w:r>
        <w:rPr>
          <w:lang w:val="en-US"/>
        </w:rPr>
        <w:t xml:space="preserve">, 36(1), pp. 158–177. Available at: </w:t>
      </w:r>
      <w:hyperlink r:id="rId42" w:tgtFrame="_new" w:history="1">
        <w:r>
          <w:rPr>
            <w:rStyle w:val="Hyperlink"/>
            <w:lang w:val="en-US"/>
          </w:rPr>
          <w:t>https://doi.org/10.1111/1748-8583.70014</w:t>
        </w:r>
      </w:hyperlink>
    </w:p>
    <w:p w:rsidR="008D3ED5" w:rsidRDefault="004874D8">
      <w:pPr>
        <w:ind w:left="720" w:hanging="720"/>
      </w:pPr>
      <w:r>
        <w:t xml:space="preserve">McCarthy, E.J. (1964) </w:t>
      </w:r>
      <w:r>
        <w:rPr>
          <w:i/>
          <w:iCs/>
        </w:rPr>
        <w:t>Basic Marketing: A Managerial Approach</w:t>
      </w:r>
      <w:r>
        <w:t>. Homewood: Irwin.</w:t>
      </w:r>
    </w:p>
    <w:p w:rsidR="008D3ED5" w:rsidRDefault="004874D8">
      <w:pPr>
        <w:ind w:left="720" w:hanging="720"/>
        <w:rPr>
          <w:lang w:val="en-US"/>
        </w:rPr>
      </w:pPr>
      <w:r>
        <w:rPr>
          <w:lang w:val="en-US"/>
        </w:rPr>
        <w:t>Mouritzen, S.L.T</w:t>
      </w:r>
      <w:r>
        <w:rPr>
          <w:lang w:val="en-US"/>
        </w:rPr>
        <w:t xml:space="preserve">., Penttinen, V. and Pedersen, S. (2023) ‘Virtual influencer marketing: The good, the bad and the unreal’, </w:t>
      </w:r>
      <w:r>
        <w:rPr>
          <w:i/>
          <w:iCs/>
          <w:lang w:val="en-US"/>
        </w:rPr>
        <w:t>European Journal of Marketing</w:t>
      </w:r>
      <w:r>
        <w:rPr>
          <w:lang w:val="en-US"/>
        </w:rPr>
        <w:t xml:space="preserve">, 58(2), pp. 410–440. Available at: </w:t>
      </w:r>
      <w:hyperlink r:id="rId43" w:tgtFrame="_new" w:history="1">
        <w:r>
          <w:rPr>
            <w:rStyle w:val="Hyperlink"/>
            <w:lang w:val="en-US"/>
          </w:rPr>
          <w:t>https://doi.org/10.1</w:t>
        </w:r>
        <w:r>
          <w:rPr>
            <w:rStyle w:val="Hyperlink"/>
            <w:lang w:val="en-US"/>
          </w:rPr>
          <w:t>108/ejm-12-2022-0915</w:t>
        </w:r>
      </w:hyperlink>
    </w:p>
    <w:p w:rsidR="008D3ED5" w:rsidRDefault="004874D8">
      <w:pPr>
        <w:ind w:left="720" w:hanging="720"/>
        <w:rPr>
          <w:lang w:val="en-US"/>
        </w:rPr>
      </w:pPr>
      <w:r>
        <w:rPr>
          <w:lang w:val="en-US"/>
        </w:rPr>
        <w:t xml:space="preserve">Naji, G.M.A. (2025) ‘Factors influencing perceived benefits and behavioral intention to use mental health chatbots among professional employees: An empirical study’, </w:t>
      </w:r>
      <w:r>
        <w:rPr>
          <w:i/>
          <w:iCs/>
          <w:lang w:val="en-US"/>
        </w:rPr>
        <w:t>Frontiers in Digital Health</w:t>
      </w:r>
      <w:r>
        <w:rPr>
          <w:lang w:val="en-US"/>
        </w:rPr>
        <w:t xml:space="preserve">, 7. Available at: </w:t>
      </w:r>
      <w:hyperlink r:id="rId44" w:tgtFrame="_new" w:history="1">
        <w:r>
          <w:rPr>
            <w:rStyle w:val="Hyperlink"/>
            <w:lang w:val="en-US"/>
          </w:rPr>
          <w:t>https://doi.org/10.3389/fdgth.2025.1606273</w:t>
        </w:r>
      </w:hyperlink>
    </w:p>
    <w:p w:rsidR="008D3ED5" w:rsidRDefault="004874D8">
      <w:pPr>
        <w:ind w:left="720" w:hanging="720"/>
        <w:rPr>
          <w:lang w:val="en-US"/>
        </w:rPr>
      </w:pPr>
      <w:r>
        <w:rPr>
          <w:lang w:val="en-US"/>
        </w:rPr>
        <w:t xml:space="preserve">Pap, I.A. and Oniga, S. (2022) ‘A review of converging technologies in eHealth pertaining to artificial intelligence’, </w:t>
      </w:r>
      <w:r>
        <w:rPr>
          <w:i/>
          <w:iCs/>
          <w:lang w:val="en-US"/>
        </w:rPr>
        <w:t>International Journal of Environmental Resear</w:t>
      </w:r>
      <w:r>
        <w:rPr>
          <w:i/>
          <w:iCs/>
          <w:lang w:val="en-US"/>
        </w:rPr>
        <w:t>ch and Public Health</w:t>
      </w:r>
      <w:r>
        <w:rPr>
          <w:lang w:val="en-US"/>
        </w:rPr>
        <w:t xml:space="preserve">, 19(18), p. 11413. Available at: </w:t>
      </w:r>
      <w:hyperlink r:id="rId45" w:tgtFrame="_new" w:history="1">
        <w:r>
          <w:rPr>
            <w:rStyle w:val="Hyperlink"/>
            <w:lang w:val="en-US"/>
          </w:rPr>
          <w:t>https://doi.org/10.3390/ijerph191811413</w:t>
        </w:r>
      </w:hyperlink>
    </w:p>
    <w:p w:rsidR="008D3ED5" w:rsidRDefault="004874D8">
      <w:pPr>
        <w:ind w:left="720" w:hanging="720"/>
        <w:rPr>
          <w:lang w:val="en-US"/>
        </w:rPr>
      </w:pPr>
      <w:r>
        <w:rPr>
          <w:lang w:val="en-US"/>
        </w:rPr>
        <w:t>Phung, K.A., Kirbas, C., Dereci, L. and Nguyen, T. (2022) ‘Pervasive healthcare Internet of Thin</w:t>
      </w:r>
      <w:r>
        <w:rPr>
          <w:lang w:val="en-US"/>
        </w:rPr>
        <w:t xml:space="preserve">gs: A survey’, </w:t>
      </w:r>
      <w:r>
        <w:rPr>
          <w:i/>
          <w:iCs/>
          <w:lang w:val="en-US"/>
        </w:rPr>
        <w:t>Information</w:t>
      </w:r>
      <w:r>
        <w:rPr>
          <w:lang w:val="en-US"/>
        </w:rPr>
        <w:t xml:space="preserve">, 13(8), p. 360. Available at: </w:t>
      </w:r>
      <w:hyperlink r:id="rId46" w:tgtFrame="_new" w:history="1">
        <w:r>
          <w:rPr>
            <w:rStyle w:val="Hyperlink"/>
            <w:lang w:val="en-US"/>
          </w:rPr>
          <w:t>https://doi.org/10.3390/info13080360</w:t>
        </w:r>
      </w:hyperlink>
    </w:p>
    <w:p w:rsidR="008D3ED5" w:rsidRDefault="004874D8">
      <w:pPr>
        <w:ind w:left="720" w:hanging="720"/>
      </w:pPr>
      <w:r>
        <w:t xml:space="preserve">Porter, M.E. (1985) </w:t>
      </w:r>
      <w:r>
        <w:rPr>
          <w:i/>
          <w:iCs/>
        </w:rPr>
        <w:t>Competitive Advantage: Creating and Sustaining Superior Performance</w:t>
      </w:r>
      <w:r>
        <w:t xml:space="preserve">. New York: </w:t>
      </w:r>
      <w:r>
        <w:t>Free Press.</w:t>
      </w:r>
    </w:p>
    <w:p w:rsidR="008D3ED5" w:rsidRDefault="004874D8">
      <w:pPr>
        <w:ind w:left="720" w:hanging="720"/>
        <w:rPr>
          <w:lang w:val="en-US"/>
        </w:rPr>
      </w:pPr>
      <w:r>
        <w:rPr>
          <w:lang w:val="en-US"/>
        </w:rPr>
        <w:t>Putra, K.T., Arrayyan, A.Z., Hayati, N., Firdaus, F., Damarjati, C., Bakar, A. and Chen, H. (2024) ‘A review on the application of Internet of Medical Things in wearable personal health monitoring: A cloud-edge artificial intelligence approach’</w:t>
      </w:r>
      <w:r>
        <w:rPr>
          <w:lang w:val="en-US"/>
        </w:rPr>
        <w:t xml:space="preserve">, </w:t>
      </w:r>
      <w:r>
        <w:rPr>
          <w:i/>
          <w:iCs/>
          <w:lang w:val="en-US"/>
        </w:rPr>
        <w:t>IEEE Access</w:t>
      </w:r>
      <w:r>
        <w:rPr>
          <w:lang w:val="en-US"/>
        </w:rPr>
        <w:t xml:space="preserve">, 12, pp. 21437–21452. Available at: </w:t>
      </w:r>
      <w:hyperlink r:id="rId47" w:tgtFrame="_new" w:history="1">
        <w:r>
          <w:rPr>
            <w:rStyle w:val="Hyperlink"/>
            <w:lang w:val="en-US"/>
          </w:rPr>
          <w:t>https://doi.org/10.1109/access.2024.3358827</w:t>
        </w:r>
      </w:hyperlink>
    </w:p>
    <w:p w:rsidR="008D3ED5" w:rsidRDefault="004874D8">
      <w:pPr>
        <w:ind w:left="720" w:hanging="720"/>
        <w:rPr>
          <w:lang w:val="en-US"/>
        </w:rPr>
      </w:pPr>
      <w:r>
        <w:rPr>
          <w:lang w:val="en-US"/>
        </w:rPr>
        <w:t xml:space="preserve">Ratushniak, M. (2020) ‘Business response to market tendencies: Consumerism, AI, e-commerce, </w:t>
      </w:r>
      <w:r>
        <w:rPr>
          <w:lang w:val="en-US"/>
        </w:rPr>
        <w:t xml:space="preserve">and their influence on modern societies’, </w:t>
      </w:r>
      <w:r>
        <w:rPr>
          <w:i/>
          <w:iCs/>
          <w:lang w:val="en-US"/>
        </w:rPr>
        <w:t>Business Economics Sustainability Leadership and Innovation</w:t>
      </w:r>
      <w:r>
        <w:rPr>
          <w:lang w:val="en-US"/>
        </w:rPr>
        <w:t xml:space="preserve">, (5), pp. 4–7. Available at: </w:t>
      </w:r>
      <w:hyperlink r:id="rId48" w:tgtFrame="_new" w:history="1">
        <w:r>
          <w:rPr>
            <w:rStyle w:val="Hyperlink"/>
            <w:lang w:val="en-US"/>
          </w:rPr>
          <w:t>https://doi.org/10.37659/2663-5070-2020-5-4-7</w:t>
        </w:r>
      </w:hyperlink>
    </w:p>
    <w:p w:rsidR="008D3ED5" w:rsidRDefault="004874D8">
      <w:pPr>
        <w:ind w:left="720" w:hanging="720"/>
        <w:rPr>
          <w:lang w:val="en-US"/>
        </w:rPr>
      </w:pPr>
      <w:r>
        <w:rPr>
          <w:lang w:val="en-US"/>
        </w:rPr>
        <w:lastRenderedPageBreak/>
        <w:t>Ren, T.</w:t>
      </w:r>
      <w:r>
        <w:rPr>
          <w:lang w:val="en-US"/>
        </w:rPr>
        <w:t xml:space="preserve">, Le, H.T.P.M. and Park, J. (2023) ‘Drivers of customers’ efforts to cope with wearable device usage problems and the role of demographics in a study in China’, </w:t>
      </w:r>
      <w:r>
        <w:rPr>
          <w:i/>
          <w:iCs/>
          <w:lang w:val="en-US"/>
        </w:rPr>
        <w:t>Asia Pacific Journal of Marketing and Logistics</w:t>
      </w:r>
      <w:r>
        <w:rPr>
          <w:lang w:val="en-US"/>
        </w:rPr>
        <w:t xml:space="preserve">, 35(11), pp. 2727–2747. Available at: </w:t>
      </w:r>
      <w:hyperlink r:id="rId49" w:tgtFrame="_new" w:history="1">
        <w:r>
          <w:rPr>
            <w:rStyle w:val="Hyperlink"/>
            <w:lang w:val="en-US"/>
          </w:rPr>
          <w:t>https://doi.org/10.1108/apjml-12-2022-1036</w:t>
        </w:r>
      </w:hyperlink>
    </w:p>
    <w:p w:rsidR="008D3ED5" w:rsidRDefault="004874D8">
      <w:pPr>
        <w:ind w:left="720" w:hanging="720"/>
      </w:pPr>
      <w:r>
        <w:t xml:space="preserve">Research and Markets (2025) </w:t>
      </w:r>
      <w:r>
        <w:rPr>
          <w:i/>
          <w:iCs/>
        </w:rPr>
        <w:t>Wearable Technology Market Analysis</w:t>
      </w:r>
      <w:r>
        <w:t xml:space="preserve">. Available at: </w:t>
      </w:r>
      <w:hyperlink r:id="rId50" w:tgtFrame="_new" w:history="1">
        <w:r>
          <w:rPr>
            <w:rStyle w:val="Hyperlink"/>
          </w:rPr>
          <w:t>https://www.rese</w:t>
        </w:r>
        <w:r>
          <w:rPr>
            <w:rStyle w:val="Hyperlink"/>
          </w:rPr>
          <w:t>archandmarkets.com</w:t>
        </w:r>
      </w:hyperlink>
      <w:r>
        <w:t xml:space="preserve"> </w:t>
      </w:r>
    </w:p>
    <w:p w:rsidR="008D3ED5" w:rsidRDefault="004874D8">
      <w:pPr>
        <w:ind w:left="720" w:hanging="720"/>
      </w:pPr>
      <w:r>
        <w:t xml:space="preserve">Rogers, E.M. (2003) </w:t>
      </w:r>
      <w:r>
        <w:rPr>
          <w:i/>
          <w:iCs/>
        </w:rPr>
        <w:t>Diffusion of Innovations</w:t>
      </w:r>
      <w:r>
        <w:t>. 5th edn. New York: Free Press.</w:t>
      </w:r>
    </w:p>
    <w:p w:rsidR="008D3ED5" w:rsidRDefault="004874D8">
      <w:pPr>
        <w:ind w:left="720" w:hanging="720"/>
      </w:pPr>
      <w:r>
        <w:t xml:space="preserve">Samsung Electronics (2024) </w:t>
      </w:r>
      <w:r>
        <w:rPr>
          <w:i/>
          <w:iCs/>
        </w:rPr>
        <w:t>Annual Report 2024</w:t>
      </w:r>
      <w:r>
        <w:t xml:space="preserve">. Available at: </w:t>
      </w:r>
      <w:hyperlink r:id="rId51" w:tgtFrame="_new" w:history="1">
        <w:r>
          <w:rPr>
            <w:rStyle w:val="Hyperlink"/>
          </w:rPr>
          <w:t>https://www.samsung.com</w:t>
        </w:r>
      </w:hyperlink>
      <w:r>
        <w:t xml:space="preserve"> (Accessed: 5 April 2026).</w:t>
      </w:r>
    </w:p>
    <w:p w:rsidR="008D3ED5" w:rsidRDefault="004874D8">
      <w:pPr>
        <w:ind w:left="720" w:hanging="720"/>
        <w:rPr>
          <w:lang w:val="en-US"/>
        </w:rPr>
      </w:pPr>
      <w:r>
        <w:rPr>
          <w:lang w:val="en-US"/>
        </w:rPr>
        <w:t xml:space="preserve">Sardar, S. and Vijay, T.S. (2025) ‘Social media influencers and purchase intention: A review and research agenda’, </w:t>
      </w:r>
      <w:r>
        <w:rPr>
          <w:i/>
          <w:iCs/>
          <w:lang w:val="en-US"/>
        </w:rPr>
        <w:t>International Journal of Consumer Studies</w:t>
      </w:r>
      <w:r>
        <w:rPr>
          <w:lang w:val="en-US"/>
        </w:rPr>
        <w:t xml:space="preserve">, 49(3). Available at: </w:t>
      </w:r>
      <w:hyperlink r:id="rId52" w:tgtFrame="_new" w:history="1">
        <w:r>
          <w:rPr>
            <w:rStyle w:val="Hyperlink"/>
            <w:lang w:val="en-US"/>
          </w:rPr>
          <w:t>https://doi.org/10.1111/ijcs.70046</w:t>
        </w:r>
      </w:hyperlink>
    </w:p>
    <w:p w:rsidR="008D3ED5" w:rsidRDefault="004874D8">
      <w:pPr>
        <w:ind w:left="720" w:hanging="720"/>
        <w:rPr>
          <w:lang w:val="en-US"/>
        </w:rPr>
      </w:pPr>
      <w:r>
        <w:rPr>
          <w:lang w:val="en-US"/>
        </w:rPr>
        <w:t xml:space="preserve">Sarwal, R., Prasad, U.R., Gopal, K.M., Kalal, S., Kaur, D., Kumar, A., Regy, P. and Sharma, J.V. (2021) </w:t>
      </w:r>
      <w:r>
        <w:rPr>
          <w:i/>
          <w:iCs/>
          <w:lang w:val="en-US"/>
        </w:rPr>
        <w:t>Investment opportunities in India’s healthcare sector</w:t>
      </w:r>
      <w:r>
        <w:rPr>
          <w:lang w:val="en-US"/>
        </w:rPr>
        <w:t xml:space="preserve">. Available at: </w:t>
      </w:r>
      <w:hyperlink r:id="rId53" w:tgtFrame="_new" w:history="1">
        <w:r>
          <w:rPr>
            <w:rStyle w:val="Hyperlink"/>
            <w:lang w:val="en-US"/>
          </w:rPr>
          <w:t>https://doi.org/10.31219/osf.io/rtup2</w:t>
        </w:r>
      </w:hyperlink>
    </w:p>
    <w:p w:rsidR="008D3ED5" w:rsidRDefault="004874D8">
      <w:pPr>
        <w:ind w:left="720" w:hanging="720"/>
        <w:rPr>
          <w:lang w:val="en-US"/>
        </w:rPr>
      </w:pPr>
      <w:r>
        <w:rPr>
          <w:lang w:val="en-US"/>
        </w:rPr>
        <w:t xml:space="preserve">Secara, I.-A. and Hordiiuk, D. (2024) ‘Personalized health monitoring systems: Integrating wearable and AI’, </w:t>
      </w:r>
      <w:r>
        <w:rPr>
          <w:i/>
          <w:iCs/>
          <w:lang w:val="en-US"/>
        </w:rPr>
        <w:t>Journal of Intelligent Learning Systems and Applications</w:t>
      </w:r>
      <w:r>
        <w:rPr>
          <w:lang w:val="en-US"/>
        </w:rPr>
        <w:t>, 16(2), pp. 44–52. Availa</w:t>
      </w:r>
      <w:r>
        <w:rPr>
          <w:lang w:val="en-US"/>
        </w:rPr>
        <w:t xml:space="preserve">ble at: </w:t>
      </w:r>
      <w:hyperlink r:id="rId54" w:tgtFrame="_new" w:history="1">
        <w:r>
          <w:rPr>
            <w:rStyle w:val="Hyperlink"/>
            <w:lang w:val="en-US"/>
          </w:rPr>
          <w:t>https://doi.org/10.4236/jilsa.2024.162004</w:t>
        </w:r>
      </w:hyperlink>
    </w:p>
    <w:p w:rsidR="008D3ED5" w:rsidRDefault="004874D8">
      <w:pPr>
        <w:ind w:left="720" w:hanging="720"/>
        <w:rPr>
          <w:lang w:val="en-US"/>
        </w:rPr>
      </w:pPr>
      <w:r>
        <w:rPr>
          <w:lang w:val="en-US"/>
        </w:rPr>
        <w:t xml:space="preserve">Sismondini, F. (2025) ‘Are young Europeans tired of the digital world?’, </w:t>
      </w:r>
      <w:r>
        <w:rPr>
          <w:i/>
          <w:iCs/>
          <w:lang w:val="en-US"/>
        </w:rPr>
        <w:t>European View</w:t>
      </w:r>
      <w:r>
        <w:rPr>
          <w:lang w:val="en-US"/>
        </w:rPr>
        <w:t xml:space="preserve">, 24(2), pp. 215–223. Available at: </w:t>
      </w:r>
      <w:hyperlink r:id="rId55" w:tgtFrame="_new" w:history="1">
        <w:r>
          <w:rPr>
            <w:rStyle w:val="Hyperlink"/>
            <w:lang w:val="en-US"/>
          </w:rPr>
          <w:t>https://doi.org/10.1177/17816858251388812</w:t>
        </w:r>
      </w:hyperlink>
    </w:p>
    <w:p w:rsidR="008D3ED5" w:rsidRDefault="004874D8">
      <w:pPr>
        <w:ind w:left="720" w:hanging="720"/>
        <w:rPr>
          <w:lang w:val="en-US"/>
        </w:rPr>
      </w:pPr>
      <w:r>
        <w:rPr>
          <w:lang w:val="en-US"/>
        </w:rPr>
        <w:t>Sorosrungruang, T., Ameen, N. and Hackley, C. (2024) ‘How real is real enough? Unveiling the diverse power of generative AI-enabled virtual influencers and the dy</w:t>
      </w:r>
      <w:r>
        <w:rPr>
          <w:lang w:val="en-US"/>
        </w:rPr>
        <w:t xml:space="preserve">namics of human responses’, </w:t>
      </w:r>
      <w:r>
        <w:rPr>
          <w:i/>
          <w:iCs/>
          <w:lang w:val="en-US"/>
        </w:rPr>
        <w:t>Psychology and Marketing</w:t>
      </w:r>
      <w:r>
        <w:rPr>
          <w:lang w:val="en-US"/>
        </w:rPr>
        <w:t xml:space="preserve">, 41(12), pp. 3124–3143. Available at: </w:t>
      </w:r>
      <w:hyperlink r:id="rId56" w:tgtFrame="_new" w:history="1">
        <w:r>
          <w:rPr>
            <w:rStyle w:val="Hyperlink"/>
            <w:lang w:val="en-US"/>
          </w:rPr>
          <w:t>https://doi.org/10.1002/mar.22105</w:t>
        </w:r>
      </w:hyperlink>
    </w:p>
    <w:p w:rsidR="008D3ED5" w:rsidRDefault="004874D8">
      <w:pPr>
        <w:ind w:left="720" w:hanging="720"/>
        <w:rPr>
          <w:lang w:val="en-US"/>
        </w:rPr>
      </w:pPr>
      <w:r>
        <w:rPr>
          <w:lang w:val="en-US"/>
        </w:rPr>
        <w:t>Tasmurzayev, N., Amangeldy, B., Imanbek, B., Baigarayeva, Z., Imankulov</w:t>
      </w:r>
      <w:r>
        <w:rPr>
          <w:lang w:val="en-US"/>
        </w:rPr>
        <w:t xml:space="preserve">, T., Dikhanbayeva, G., Amangeldi, I. and Sharipova, S.A. (2025) ‘Digital cardiovascular twins, AI agents, and sensor data: A narrative review from system architecture to proactive heart health’, </w:t>
      </w:r>
      <w:r>
        <w:rPr>
          <w:i/>
          <w:iCs/>
          <w:lang w:val="en-US"/>
        </w:rPr>
        <w:t>Sensors</w:t>
      </w:r>
      <w:r>
        <w:rPr>
          <w:lang w:val="en-US"/>
        </w:rPr>
        <w:t xml:space="preserve">, 25(17), p. 5272. Available at: </w:t>
      </w:r>
      <w:hyperlink r:id="rId57" w:tgtFrame="_new" w:history="1">
        <w:r>
          <w:rPr>
            <w:rStyle w:val="Hyperlink"/>
            <w:lang w:val="en-US"/>
          </w:rPr>
          <w:t>https://doi.org/10.3390/s25175272</w:t>
        </w:r>
      </w:hyperlink>
    </w:p>
    <w:p w:rsidR="008D3ED5" w:rsidRDefault="004874D8">
      <w:pPr>
        <w:ind w:left="720" w:hanging="720"/>
        <w:rPr>
          <w:lang w:val="en-US"/>
        </w:rPr>
      </w:pPr>
      <w:r>
        <w:rPr>
          <w:lang w:val="en-US"/>
        </w:rPr>
        <w:t xml:space="preserve">Wang, Q., Su, M., Zhang, M. and Li, R. (2021) ‘Integrating digital technologies and public health to fight COVID-19 pandemic: Key technologies, applications, challenges and </w:t>
      </w:r>
      <w:r>
        <w:rPr>
          <w:lang w:val="en-US"/>
        </w:rPr>
        <w:lastRenderedPageBreak/>
        <w:t>outlook o</w:t>
      </w:r>
      <w:r>
        <w:rPr>
          <w:lang w:val="en-US"/>
        </w:rPr>
        <w:t xml:space="preserve">f digital healthcare’, </w:t>
      </w:r>
      <w:r>
        <w:rPr>
          <w:i/>
          <w:iCs/>
          <w:lang w:val="en-US"/>
        </w:rPr>
        <w:t>International Journal of Environmental Research and Public Health</w:t>
      </w:r>
      <w:r>
        <w:rPr>
          <w:lang w:val="en-US"/>
        </w:rPr>
        <w:t xml:space="preserve">, 18(11), p. 6053. Available at: </w:t>
      </w:r>
      <w:hyperlink r:id="rId58" w:tgtFrame="_new" w:history="1">
        <w:r>
          <w:rPr>
            <w:rStyle w:val="Hyperlink"/>
            <w:lang w:val="en-US"/>
          </w:rPr>
          <w:t>https://doi.org/10.3390/ijerph18116053</w:t>
        </w:r>
      </w:hyperlink>
    </w:p>
    <w:p w:rsidR="008D3ED5" w:rsidRDefault="004874D8">
      <w:pPr>
        <w:ind w:left="720" w:hanging="720"/>
        <w:rPr>
          <w:lang w:val="en-US"/>
        </w:rPr>
      </w:pPr>
      <w:r>
        <w:rPr>
          <w:lang w:val="en-US"/>
        </w:rPr>
        <w:t xml:space="preserve">Watkins, L., Aitken, R., Gage, </w:t>
      </w:r>
      <w:r>
        <w:rPr>
          <w:lang w:val="en-US"/>
        </w:rPr>
        <w:t xml:space="preserve">R. and Signal, L. (2025) ‘In-school marketing: The nature, extent, and ethics of children’s commercial exposure’, </w:t>
      </w:r>
      <w:r>
        <w:rPr>
          <w:i/>
          <w:iCs/>
          <w:lang w:val="en-US"/>
        </w:rPr>
        <w:t>Journal of Macromarketing</w:t>
      </w:r>
      <w:r>
        <w:rPr>
          <w:lang w:val="en-US"/>
        </w:rPr>
        <w:t xml:space="preserve">, 45(2), pp. 264–279. Available at: </w:t>
      </w:r>
      <w:hyperlink r:id="rId59" w:tgtFrame="_new" w:history="1">
        <w:r>
          <w:rPr>
            <w:rStyle w:val="Hyperlink"/>
            <w:lang w:val="en-US"/>
          </w:rPr>
          <w:t>https://doi.org/</w:t>
        </w:r>
        <w:r>
          <w:rPr>
            <w:rStyle w:val="Hyperlink"/>
            <w:lang w:val="en-US"/>
          </w:rPr>
          <w:t>10.1177/02761467251316137</w:t>
        </w:r>
      </w:hyperlink>
    </w:p>
    <w:p w:rsidR="008D3ED5" w:rsidRDefault="004874D8">
      <w:pPr>
        <w:ind w:left="720" w:hanging="720"/>
      </w:pPr>
      <w:r>
        <w:t xml:space="preserve">Wedel, M. and Kamakura, W.A. (2012) </w:t>
      </w:r>
      <w:r>
        <w:rPr>
          <w:i/>
          <w:iCs/>
        </w:rPr>
        <w:t>Market Segmentation: Conceptual and Methodological Foundations</w:t>
      </w:r>
      <w:r>
        <w:t>. 2nd edn. New York: Springer.</w:t>
      </w:r>
    </w:p>
    <w:p w:rsidR="008D3ED5" w:rsidRDefault="004874D8">
      <w:pPr>
        <w:ind w:left="720" w:hanging="720"/>
        <w:rPr>
          <w:rStyle w:val="Hyperlink"/>
        </w:rPr>
      </w:pPr>
      <w:r>
        <w:t xml:space="preserve">World Health Organization (WHO) (2023) </w:t>
      </w:r>
      <w:r>
        <w:rPr>
          <w:i/>
          <w:iCs/>
        </w:rPr>
        <w:t>Mental Health and Digital Health Report</w:t>
      </w:r>
      <w:r>
        <w:t xml:space="preserve">. Available at: </w:t>
      </w:r>
      <w:hyperlink r:id="rId60" w:tgtFrame="_new" w:history="1">
        <w:r>
          <w:rPr>
            <w:rStyle w:val="Hyperlink"/>
          </w:rPr>
          <w:t>https://www.who.int</w:t>
        </w:r>
      </w:hyperlink>
    </w:p>
    <w:p w:rsidR="008D3ED5" w:rsidRDefault="004874D8">
      <w:pPr>
        <w:ind w:left="720" w:hanging="720"/>
        <w:rPr>
          <w:lang w:val="en-US"/>
        </w:rPr>
      </w:pPr>
      <w:r>
        <w:rPr>
          <w:lang w:val="en-US"/>
        </w:rPr>
        <w:t>Yeung, A.W.K., Torkamani, A., Butte, A.J., Glicksberg, B.S., Schuller, B.W., Rodríguez, B., Ting, D.S.W., Bates, D.W., Schaden, E., Peng, H., Willschke, H., van der Laak, J., Car, J., Rahimi</w:t>
      </w:r>
      <w:r>
        <w:rPr>
          <w:lang w:val="en-US"/>
        </w:rPr>
        <w:t xml:space="preserve">, K., Celi, L.A., Banach, M., Kletecka-Pulker, M., Kimberger, O., Eils, R. and Atanasov, A.G. (2023) ‘The promise of digital healthcare technologies’, </w:t>
      </w:r>
      <w:r>
        <w:rPr>
          <w:i/>
          <w:iCs/>
          <w:lang w:val="en-US"/>
        </w:rPr>
        <w:t>Frontiers in Public Health</w:t>
      </w:r>
      <w:r>
        <w:rPr>
          <w:lang w:val="en-US"/>
        </w:rPr>
        <w:t xml:space="preserve">, 11. Available at: </w:t>
      </w:r>
      <w:hyperlink r:id="rId61" w:tgtFrame="_new" w:history="1">
        <w:r>
          <w:rPr>
            <w:rStyle w:val="Hyperlink"/>
            <w:lang w:val="en-US"/>
          </w:rPr>
          <w:t>https://doi.org/10.3389/fpubh.2023.1196596</w:t>
        </w:r>
      </w:hyperlink>
    </w:p>
    <w:p w:rsidR="008D3ED5" w:rsidRDefault="004874D8">
      <w:pPr>
        <w:ind w:left="720" w:hanging="720"/>
        <w:rPr>
          <w:lang w:val="en-US"/>
        </w:rPr>
      </w:pPr>
      <w:r>
        <w:rPr>
          <w:lang w:val="en-US"/>
        </w:rPr>
        <w:t>Yousafzai, A.K., Fatima, R. and Fatima, Z. (2025) ‘Exploring the role of artificial intelligence applications in mental healthcare: A systematic review of patients’ and clinicians’ experiences’. Availabl</w:t>
      </w:r>
      <w:r>
        <w:rPr>
          <w:lang w:val="en-US"/>
        </w:rPr>
        <w:t xml:space="preserve">e at: </w:t>
      </w:r>
      <w:hyperlink r:id="rId62" w:tgtFrame="_new" w:history="1">
        <w:r>
          <w:rPr>
            <w:rStyle w:val="Hyperlink"/>
            <w:lang w:val="en-US"/>
          </w:rPr>
          <w:t>https://doi.org/10.21203/rs.3.rs-7820094/v1</w:t>
        </w:r>
      </w:hyperlink>
    </w:p>
    <w:p w:rsidR="008D3ED5" w:rsidRDefault="004874D8">
      <w:pPr>
        <w:ind w:left="720" w:hanging="720"/>
        <w:jc w:val="center"/>
      </w:pPr>
      <w:r>
        <w:rPr>
          <w:noProof/>
          <w:lang w:val="en-US"/>
        </w:rPr>
        <w:lastRenderedPageBreak/>
        <w:drawing>
          <wp:inline distT="0" distB="0" distL="0" distR="0">
            <wp:extent cx="4637405" cy="6993331"/>
            <wp:effectExtent l="0" t="0" r="0" b="0"/>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3" cstate="print"/>
                    <a:srcRect/>
                    <a:stretch/>
                  </pic:blipFill>
                  <pic:spPr>
                    <a:xfrm>
                      <a:off x="0" y="0"/>
                      <a:ext cx="4637405" cy="6993331"/>
                    </a:xfrm>
                    <a:prstGeom prst="rect">
                      <a:avLst/>
                    </a:prstGeom>
                  </pic:spPr>
                </pic:pic>
              </a:graphicData>
            </a:graphic>
          </wp:inline>
        </w:drawing>
      </w:r>
    </w:p>
    <w:p w:rsidR="008D3ED5" w:rsidRDefault="008D3ED5">
      <w:pPr>
        <w:ind w:left="720" w:hanging="720"/>
      </w:pPr>
    </w:p>
    <w:p w:rsidR="008D3ED5" w:rsidRDefault="008D3ED5"/>
    <w:p w:rsidR="008D3ED5" w:rsidRDefault="008D3ED5"/>
    <w:p w:rsidR="008D3ED5" w:rsidRDefault="008D3ED5"/>
    <w:sectPr w:rsidR="008D3ED5">
      <w:footerReference w:type="default" r:id="rId6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74D8" w:rsidRDefault="004874D8">
      <w:pPr>
        <w:spacing w:after="0" w:line="240" w:lineRule="auto"/>
      </w:pPr>
      <w:r>
        <w:separator/>
      </w:r>
    </w:p>
  </w:endnote>
  <w:endnote w:type="continuationSeparator" w:id="0">
    <w:p w:rsidR="004874D8" w:rsidRDefault="004874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altName w:val="Arial"/>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ED5" w:rsidRDefault="004874D8">
    <w:pPr>
      <w:pStyle w:val="Footer"/>
      <w:jc w:val="center"/>
    </w:pPr>
    <w:r>
      <w:fldChar w:fldCharType="begin"/>
    </w:r>
    <w:r>
      <w:instrText xml:space="preserve"> PAGE   \* MERGEFORMAT </w:instrText>
    </w:r>
    <w:r>
      <w:fldChar w:fldCharType="separate"/>
    </w:r>
    <w:r w:rsidR="00B204B6">
      <w:rPr>
        <w:noProof/>
      </w:rPr>
      <w:t>1</w:t>
    </w:r>
    <w:r>
      <w:rPr>
        <w:noProof/>
      </w:rPr>
      <w:fldChar w:fldCharType="end"/>
    </w:r>
  </w:p>
  <w:p w:rsidR="008D3ED5" w:rsidRDefault="008D3ED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74D8" w:rsidRDefault="004874D8">
      <w:pPr>
        <w:spacing w:after="0" w:line="240" w:lineRule="auto"/>
      </w:pPr>
      <w:r>
        <w:separator/>
      </w:r>
    </w:p>
  </w:footnote>
  <w:footnote w:type="continuationSeparator" w:id="0">
    <w:p w:rsidR="004874D8" w:rsidRDefault="004874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multiLevelType w:val="multilevel"/>
    <w:tmpl w:val="401CDE96"/>
    <w:lvl w:ilvl="0">
      <w:start w:val="1"/>
      <w:numFmt w:val="decimal"/>
      <w:lvlText w:val="%1."/>
      <w:lvlJc w:val="left"/>
      <w:pPr>
        <w:ind w:left="567" w:hanging="567"/>
      </w:pPr>
      <w:rPr>
        <w:rFonts w:ascii="Arial" w:hAnsi="Arial"/>
        <w:b/>
        <w:i w:val="0"/>
        <w:color w:val="302683"/>
        <w:sz w:val="44"/>
        <w:u w:val="none" w:color="00B3E1"/>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00000001"/>
    <w:multiLevelType w:val="hybridMultilevel"/>
    <w:tmpl w:val="509E4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ED5"/>
    <w:rsid w:val="004874D8"/>
    <w:rsid w:val="008D3ED5"/>
    <w:rsid w:val="00B204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76EF6"/>
  <w15:docId w15:val="{C04C6B53-325B-440E-B2B2-1D91F7744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rial"/>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60" w:lineRule="auto"/>
      <w:jc w:val="both"/>
    </w:pPr>
    <w:rPr>
      <w:rFonts w:ascii="Times New Roman" w:hAnsi="Times New Roman"/>
    </w:rPr>
  </w:style>
  <w:style w:type="paragraph" w:styleId="Heading1">
    <w:name w:val="heading 1"/>
    <w:basedOn w:val="Normal"/>
    <w:next w:val="Normal"/>
    <w:link w:val="Heading1Char"/>
    <w:uiPriority w:val="9"/>
    <w:qFormat/>
    <w:pPr>
      <w:keepNext/>
      <w:keepLines/>
      <w:spacing w:before="360" w:after="80"/>
      <w:outlineLvl w:val="0"/>
    </w:pPr>
    <w:rPr>
      <w:rFonts w:eastAsia="SimSun" w:cs="Times New Roman"/>
      <w:b/>
      <w:color w:val="1F4E79"/>
      <w:sz w:val="36"/>
      <w:szCs w:val="40"/>
    </w:rPr>
  </w:style>
  <w:style w:type="paragraph" w:styleId="Heading2">
    <w:name w:val="heading 2"/>
    <w:basedOn w:val="Normal"/>
    <w:next w:val="Normal"/>
    <w:link w:val="Heading2Char"/>
    <w:uiPriority w:val="9"/>
    <w:qFormat/>
    <w:pPr>
      <w:keepNext/>
      <w:keepLines/>
      <w:spacing w:before="160" w:after="80"/>
      <w:outlineLvl w:val="1"/>
    </w:pPr>
    <w:rPr>
      <w:rFonts w:eastAsia="SimSun" w:cs="Times New Roman"/>
      <w:b/>
      <w:color w:val="2E74B5"/>
      <w:sz w:val="28"/>
      <w:szCs w:val="32"/>
    </w:rPr>
  </w:style>
  <w:style w:type="paragraph" w:styleId="Heading3">
    <w:name w:val="heading 3"/>
    <w:basedOn w:val="Normal"/>
    <w:next w:val="Normal"/>
    <w:link w:val="Heading3Char"/>
    <w:uiPriority w:val="9"/>
    <w:qFormat/>
    <w:pPr>
      <w:keepNext/>
      <w:keepLines/>
      <w:spacing w:before="160" w:after="80"/>
      <w:outlineLvl w:val="2"/>
    </w:pPr>
    <w:rPr>
      <w:rFonts w:ascii="Aptos" w:eastAsia="SimSun" w:hAnsi="Aptos" w:cs="Times New Roman"/>
      <w:color w:val="2E74B5"/>
      <w:sz w:val="28"/>
      <w:szCs w:val="28"/>
    </w:rPr>
  </w:style>
  <w:style w:type="paragraph" w:styleId="Heading4">
    <w:name w:val="heading 4"/>
    <w:basedOn w:val="Normal"/>
    <w:next w:val="Normal"/>
    <w:link w:val="Heading4Char"/>
    <w:uiPriority w:val="9"/>
    <w:qFormat/>
    <w:pPr>
      <w:keepNext/>
      <w:keepLines/>
      <w:spacing w:before="80" w:after="40"/>
      <w:outlineLvl w:val="3"/>
    </w:pPr>
    <w:rPr>
      <w:rFonts w:ascii="Aptos" w:eastAsia="SimSun" w:hAnsi="Aptos" w:cs="Times New Roman"/>
      <w:i/>
      <w:iCs/>
      <w:color w:val="2E74B5"/>
    </w:rPr>
  </w:style>
  <w:style w:type="paragraph" w:styleId="Heading5">
    <w:name w:val="heading 5"/>
    <w:basedOn w:val="Normal"/>
    <w:next w:val="Normal"/>
    <w:link w:val="Heading5Char"/>
    <w:uiPriority w:val="9"/>
    <w:qFormat/>
    <w:pPr>
      <w:keepNext/>
      <w:keepLines/>
      <w:spacing w:before="80" w:after="40"/>
      <w:outlineLvl w:val="4"/>
    </w:pPr>
    <w:rPr>
      <w:rFonts w:ascii="Aptos" w:eastAsia="SimSun" w:hAnsi="Aptos" w:cs="Times New Roman"/>
      <w:color w:val="2E74B5"/>
    </w:rPr>
  </w:style>
  <w:style w:type="paragraph" w:styleId="Heading6">
    <w:name w:val="heading 6"/>
    <w:basedOn w:val="Normal"/>
    <w:next w:val="Normal"/>
    <w:link w:val="Heading6Char"/>
    <w:uiPriority w:val="9"/>
    <w:qFormat/>
    <w:pPr>
      <w:keepNext/>
      <w:keepLines/>
      <w:spacing w:before="40" w:after="0"/>
      <w:outlineLvl w:val="5"/>
    </w:pPr>
    <w:rPr>
      <w:rFonts w:ascii="Aptos" w:eastAsia="SimSun" w:hAnsi="Aptos" w:cs="Times New Roman"/>
      <w:i/>
      <w:iCs/>
      <w:color w:val="595959"/>
    </w:rPr>
  </w:style>
  <w:style w:type="paragraph" w:styleId="Heading7">
    <w:name w:val="heading 7"/>
    <w:basedOn w:val="Normal"/>
    <w:next w:val="Normal"/>
    <w:link w:val="Heading7Char"/>
    <w:uiPriority w:val="9"/>
    <w:qFormat/>
    <w:pPr>
      <w:keepNext/>
      <w:keepLines/>
      <w:spacing w:before="40" w:after="0"/>
      <w:outlineLvl w:val="6"/>
    </w:pPr>
    <w:rPr>
      <w:rFonts w:ascii="Aptos" w:eastAsia="SimSun" w:hAnsi="Aptos" w:cs="Times New Roman"/>
      <w:color w:val="595959"/>
    </w:rPr>
  </w:style>
  <w:style w:type="paragraph" w:styleId="Heading8">
    <w:name w:val="heading 8"/>
    <w:basedOn w:val="Normal"/>
    <w:next w:val="Normal"/>
    <w:link w:val="Heading8Char"/>
    <w:uiPriority w:val="9"/>
    <w:qFormat/>
    <w:pPr>
      <w:keepNext/>
      <w:keepLines/>
      <w:spacing w:after="0"/>
      <w:outlineLvl w:val="7"/>
    </w:pPr>
    <w:rPr>
      <w:rFonts w:ascii="Aptos" w:eastAsia="SimSun" w:hAnsi="Aptos" w:cs="Times New Roman"/>
      <w:i/>
      <w:iCs/>
      <w:color w:val="272727"/>
    </w:rPr>
  </w:style>
  <w:style w:type="paragraph" w:styleId="Heading9">
    <w:name w:val="heading 9"/>
    <w:basedOn w:val="Normal"/>
    <w:next w:val="Normal"/>
    <w:link w:val="Heading9Char"/>
    <w:uiPriority w:val="9"/>
    <w:qFormat/>
    <w:pPr>
      <w:keepNext/>
      <w:keepLines/>
      <w:spacing w:after="0"/>
      <w:outlineLvl w:val="8"/>
    </w:pPr>
    <w:rPr>
      <w:rFonts w:ascii="Aptos" w:eastAsia="SimSun" w:hAnsi="Aptos"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SimSun" w:hAnsi="Times New Roman" w:cs="Times New Roman"/>
      <w:b/>
      <w:color w:val="1F4E79"/>
      <w:sz w:val="36"/>
      <w:szCs w:val="40"/>
    </w:rPr>
  </w:style>
  <w:style w:type="character" w:customStyle="1" w:styleId="Heading2Char">
    <w:name w:val="Heading 2 Char"/>
    <w:basedOn w:val="DefaultParagraphFont"/>
    <w:link w:val="Heading2"/>
    <w:uiPriority w:val="9"/>
    <w:rPr>
      <w:rFonts w:ascii="Times New Roman" w:eastAsia="SimSun" w:hAnsi="Times New Roman" w:cs="Times New Roman"/>
      <w:b/>
      <w:color w:val="2E74B5"/>
      <w:sz w:val="28"/>
      <w:szCs w:val="32"/>
    </w:rPr>
  </w:style>
  <w:style w:type="character" w:customStyle="1" w:styleId="Heading3Char">
    <w:name w:val="Heading 3 Char"/>
    <w:basedOn w:val="DefaultParagraphFont"/>
    <w:link w:val="Heading3"/>
    <w:uiPriority w:val="9"/>
    <w:rPr>
      <w:rFonts w:eastAsia="SimSun" w:cs="Times New Roman"/>
      <w:color w:val="2E74B5"/>
      <w:sz w:val="28"/>
      <w:szCs w:val="28"/>
    </w:rPr>
  </w:style>
  <w:style w:type="character" w:customStyle="1" w:styleId="Heading4Char">
    <w:name w:val="Heading 4 Char"/>
    <w:basedOn w:val="DefaultParagraphFont"/>
    <w:link w:val="Heading4"/>
    <w:uiPriority w:val="9"/>
    <w:rPr>
      <w:rFonts w:eastAsia="SimSun" w:cs="Times New Roman"/>
      <w:i/>
      <w:iCs/>
      <w:color w:val="2E74B5"/>
    </w:rPr>
  </w:style>
  <w:style w:type="character" w:customStyle="1" w:styleId="Heading5Char">
    <w:name w:val="Heading 5 Char"/>
    <w:basedOn w:val="DefaultParagraphFont"/>
    <w:link w:val="Heading5"/>
    <w:uiPriority w:val="9"/>
    <w:rPr>
      <w:rFonts w:eastAsia="SimSun" w:cs="Times New Roman"/>
      <w:color w:val="2E74B5"/>
    </w:rPr>
  </w:style>
  <w:style w:type="character" w:customStyle="1" w:styleId="Heading6Char">
    <w:name w:val="Heading 6 Char"/>
    <w:basedOn w:val="DefaultParagraphFont"/>
    <w:link w:val="Heading6"/>
    <w:uiPriority w:val="9"/>
    <w:rPr>
      <w:rFonts w:eastAsia="SimSun" w:cs="Times New Roman"/>
      <w:i/>
      <w:iCs/>
      <w:color w:val="595959"/>
    </w:rPr>
  </w:style>
  <w:style w:type="character" w:customStyle="1" w:styleId="Heading7Char">
    <w:name w:val="Heading 7 Char"/>
    <w:basedOn w:val="DefaultParagraphFont"/>
    <w:link w:val="Heading7"/>
    <w:uiPriority w:val="9"/>
    <w:rPr>
      <w:rFonts w:eastAsia="SimSun" w:cs="Times New Roman"/>
      <w:color w:val="595959"/>
    </w:rPr>
  </w:style>
  <w:style w:type="character" w:customStyle="1" w:styleId="Heading8Char">
    <w:name w:val="Heading 8 Char"/>
    <w:basedOn w:val="DefaultParagraphFont"/>
    <w:link w:val="Heading8"/>
    <w:uiPriority w:val="9"/>
    <w:rPr>
      <w:rFonts w:eastAsia="SimSun" w:cs="Times New Roman"/>
      <w:i/>
      <w:iCs/>
      <w:color w:val="272727"/>
    </w:rPr>
  </w:style>
  <w:style w:type="character" w:customStyle="1" w:styleId="Heading9Char">
    <w:name w:val="Heading 9 Char"/>
    <w:basedOn w:val="DefaultParagraphFont"/>
    <w:link w:val="Heading9"/>
    <w:uiPriority w:val="9"/>
    <w:rPr>
      <w:rFonts w:eastAsia="SimSun" w:cs="Times New Roman"/>
      <w:color w:val="272727"/>
    </w:rPr>
  </w:style>
  <w:style w:type="paragraph" w:styleId="Title">
    <w:name w:val="Title"/>
    <w:basedOn w:val="Normal"/>
    <w:next w:val="Normal"/>
    <w:link w:val="TitleChar"/>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TitleChar">
    <w:name w:val="Title Char"/>
    <w:basedOn w:val="DefaultParagraphFont"/>
    <w:link w:val="Title"/>
    <w:uiPriority w:val="10"/>
    <w:rPr>
      <w:rFonts w:ascii="Aptos Display" w:eastAsia="SimSun" w:hAnsi="Aptos Display" w:cs="Times New Roman"/>
      <w:spacing w:val="-10"/>
      <w:kern w:val="28"/>
      <w:sz w:val="56"/>
      <w:szCs w:val="56"/>
    </w:rPr>
  </w:style>
  <w:style w:type="paragraph" w:styleId="Subtitle">
    <w:name w:val="Subtitle"/>
    <w:basedOn w:val="Normal"/>
    <w:next w:val="Normal"/>
    <w:link w:val="SubtitleChar"/>
    <w:uiPriority w:val="11"/>
    <w:qFormat/>
    <w:pPr>
      <w:numPr>
        <w:ilvl w:val="1"/>
      </w:numPr>
    </w:pPr>
    <w:rPr>
      <w:rFonts w:ascii="Aptos" w:eastAsia="SimSun" w:hAnsi="Aptos" w:cs="Times New Roman"/>
      <w:color w:val="595959"/>
      <w:spacing w:val="15"/>
      <w:sz w:val="28"/>
      <w:szCs w:val="28"/>
    </w:rPr>
  </w:style>
  <w:style w:type="character" w:customStyle="1" w:styleId="SubtitleChar">
    <w:name w:val="Subtitle Char"/>
    <w:basedOn w:val="DefaultParagraphFont"/>
    <w:link w:val="Subtitle"/>
    <w:uiPriority w:val="11"/>
    <w:rPr>
      <w:rFonts w:eastAsia="SimSun" w:cs="Times New Roman"/>
      <w:color w:val="595959"/>
      <w:spacing w:val="15"/>
      <w:sz w:val="28"/>
      <w:szCs w:val="28"/>
    </w:rPr>
  </w:style>
  <w:style w:type="character" w:styleId="Strong">
    <w:name w:val="Strong"/>
    <w:basedOn w:val="DefaultParagraphFont"/>
    <w:uiPriority w:val="22"/>
    <w:qFormat/>
    <w:rPr>
      <w:b/>
      <w:bCs/>
    </w:rPr>
  </w:style>
  <w:style w:type="paragraph" w:styleId="ListParagraph">
    <w:name w:val="List Paragraph"/>
    <w:basedOn w:val="Normal"/>
    <w:uiPriority w:val="34"/>
    <w:qFormat/>
    <w:pPr>
      <w:ind w:left="720"/>
      <w:contextualSpacing/>
    </w:pPr>
  </w:style>
  <w:style w:type="paragraph" w:styleId="Quote">
    <w:name w:val="Quote"/>
    <w:basedOn w:val="Normal"/>
    <w:next w:val="Normal"/>
    <w:link w:val="QuoteChar"/>
    <w:uiPriority w:val="29"/>
    <w:qFormat/>
    <w:pPr>
      <w:spacing w:before="160"/>
      <w:jc w:val="center"/>
    </w:pPr>
    <w:rPr>
      <w:rFonts w:ascii="Aptos" w:hAnsi="Aptos"/>
      <w:i/>
      <w:iCs/>
      <w:color w:val="404040"/>
    </w:rPr>
  </w:style>
  <w:style w:type="character" w:customStyle="1" w:styleId="QuoteChar">
    <w:name w:val="Quote Char"/>
    <w:basedOn w:val="DefaultParagraphFont"/>
    <w:link w:val="Quote"/>
    <w:uiPriority w:val="29"/>
    <w:rPr>
      <w:i/>
      <w:iCs/>
      <w:color w:val="404040"/>
    </w:rPr>
  </w:style>
  <w:style w:type="paragraph" w:styleId="IntenseQuote">
    <w:name w:val="Intense Quote"/>
    <w:basedOn w:val="Normal"/>
    <w:next w:val="Normal"/>
    <w:link w:val="IntenseQuoteChar"/>
    <w:uiPriority w:val="30"/>
    <w:qFormat/>
    <w:pPr>
      <w:pBdr>
        <w:top w:val="single" w:sz="4" w:space="10" w:color="2E74B5"/>
        <w:bottom w:val="single" w:sz="4" w:space="10" w:color="2E74B5"/>
      </w:pBdr>
      <w:spacing w:before="360" w:after="360"/>
      <w:ind w:left="864" w:right="864"/>
      <w:jc w:val="center"/>
    </w:pPr>
    <w:rPr>
      <w:rFonts w:ascii="Aptos" w:hAnsi="Aptos"/>
      <w:i/>
      <w:iCs/>
      <w:color w:val="2E74B5"/>
    </w:rPr>
  </w:style>
  <w:style w:type="character" w:customStyle="1" w:styleId="IntenseQuoteChar">
    <w:name w:val="Intense Quote Char"/>
    <w:basedOn w:val="DefaultParagraphFont"/>
    <w:link w:val="IntenseQuote"/>
    <w:uiPriority w:val="30"/>
    <w:rPr>
      <w:i/>
      <w:iCs/>
      <w:color w:val="2E74B5"/>
    </w:rPr>
  </w:style>
  <w:style w:type="character" w:styleId="IntenseEmphasis">
    <w:name w:val="Intense Emphasis"/>
    <w:basedOn w:val="DefaultParagraphFont"/>
    <w:uiPriority w:val="21"/>
    <w:qFormat/>
    <w:rPr>
      <w:i/>
      <w:iCs/>
      <w:color w:val="2E74B5"/>
    </w:rPr>
  </w:style>
  <w:style w:type="character" w:styleId="IntenseReference">
    <w:name w:val="Intense Reference"/>
    <w:basedOn w:val="DefaultParagraphFont"/>
    <w:uiPriority w:val="32"/>
    <w:qFormat/>
    <w:rPr>
      <w:b/>
      <w:bCs/>
      <w:smallCaps/>
      <w:color w:val="2E74B5"/>
      <w:spacing w:val="5"/>
    </w:rPr>
  </w:style>
  <w:style w:type="paragraph" w:styleId="NormalWeb">
    <w:name w:val="Normal (Web)"/>
    <w:basedOn w:val="Normal"/>
    <w:uiPriority w:val="99"/>
    <w:pPr>
      <w:spacing w:before="100" w:beforeAutospacing="1" w:after="100" w:afterAutospacing="1" w:line="240" w:lineRule="auto"/>
      <w:jc w:val="left"/>
    </w:pPr>
    <w:rPr>
      <w:rFonts w:eastAsia="Times New Roman" w:cs="Times New Roman"/>
      <w:kern w:val="0"/>
      <w:lang w:eastAsia="en-GB"/>
      <w14:ligatures w14:val="none"/>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Times New Roman" w:hAnsi="Times New Roman"/>
    </w:rPr>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Times New Roman" w:hAnsi="Times New Roman"/>
    </w:rPr>
  </w:style>
  <w:style w:type="character" w:styleId="Hyperlink">
    <w:name w:val="Hyperlink"/>
    <w:basedOn w:val="DefaultParagraphFont"/>
    <w:uiPriority w:val="99"/>
    <w:rPr>
      <w:color w:val="0563C1"/>
      <w:u w:val="single"/>
    </w:rPr>
  </w:style>
  <w:style w:type="character" w:customStyle="1" w:styleId="cursor-pointer">
    <w:name w:val="cursor-pointer"/>
    <w:basedOn w:val="DefaultParagraphFont"/>
  </w:style>
  <w:style w:type="paragraph" w:styleId="TOCHeading">
    <w:name w:val="TOC Heading"/>
    <w:basedOn w:val="Heading1"/>
    <w:next w:val="Normal"/>
    <w:uiPriority w:val="39"/>
    <w:unhideWhenUsed/>
    <w:qFormat/>
    <w:rsid w:val="00B204B6"/>
    <w:pPr>
      <w:spacing w:before="240" w:after="0" w:line="259" w:lineRule="auto"/>
      <w:jc w:val="left"/>
      <w:outlineLvl w:val="9"/>
    </w:pPr>
    <w:rPr>
      <w:rFonts w:asciiTheme="majorHAnsi" w:eastAsiaTheme="majorEastAsia" w:hAnsiTheme="majorHAnsi" w:cstheme="majorBidi"/>
      <w:b w:val="0"/>
      <w:color w:val="365F91" w:themeColor="accent1" w:themeShade="BF"/>
      <w:kern w:val="0"/>
      <w:sz w:val="32"/>
      <w:szCs w:val="32"/>
      <w:lang w:val="en-US"/>
      <w14:ligatures w14:val="none"/>
    </w:rPr>
  </w:style>
  <w:style w:type="paragraph" w:styleId="TOC1">
    <w:name w:val="toc 1"/>
    <w:basedOn w:val="Normal"/>
    <w:next w:val="Normal"/>
    <w:autoRedefine/>
    <w:uiPriority w:val="39"/>
    <w:unhideWhenUsed/>
    <w:rsid w:val="00B204B6"/>
    <w:pPr>
      <w:spacing w:after="100"/>
    </w:pPr>
  </w:style>
  <w:style w:type="paragraph" w:styleId="TOC2">
    <w:name w:val="toc 2"/>
    <w:basedOn w:val="Normal"/>
    <w:next w:val="Normal"/>
    <w:autoRedefine/>
    <w:uiPriority w:val="39"/>
    <w:unhideWhenUsed/>
    <w:rsid w:val="00B204B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doi.org/10.1007/s10916-025-02166-3" TargetMode="External"/><Relationship Id="rId18" Type="http://schemas.openxmlformats.org/officeDocument/2006/relationships/hyperlink" Target="https://doi.org/10.21203/rs.3.rs-7131966/v1" TargetMode="External"/><Relationship Id="rId26" Type="http://schemas.openxmlformats.org/officeDocument/2006/relationships/hyperlink" Target="https://doi.org/10.1007/s10660-022-09623-y" TargetMode="External"/><Relationship Id="rId39" Type="http://schemas.openxmlformats.org/officeDocument/2006/relationships/hyperlink" Target="https://doi.org/10.1016/j.lanwpc.2023.100817" TargetMode="External"/><Relationship Id="rId21" Type="http://schemas.openxmlformats.org/officeDocument/2006/relationships/hyperlink" Target="https://doi.org/10.3390/s21175787" TargetMode="External"/><Relationship Id="rId34" Type="http://schemas.openxmlformats.org/officeDocument/2006/relationships/hyperlink" Target="https://doi.org/10.1108/yc-05-2022-1529" TargetMode="External"/><Relationship Id="rId42" Type="http://schemas.openxmlformats.org/officeDocument/2006/relationships/hyperlink" Target="https://doi.org/10.1111/1748-8583.70014" TargetMode="External"/><Relationship Id="rId47" Type="http://schemas.openxmlformats.org/officeDocument/2006/relationships/hyperlink" Target="https://doi.org/10.1109/access.2024.3358827" TargetMode="External"/><Relationship Id="rId50" Type="http://schemas.openxmlformats.org/officeDocument/2006/relationships/hyperlink" Target="https://www.researchandmarkets.com" TargetMode="External"/><Relationship Id="rId55" Type="http://schemas.openxmlformats.org/officeDocument/2006/relationships/hyperlink" Target="https://doi.org/10.1177/17816858251388812" TargetMode="External"/><Relationship Id="rId63" Type="http://schemas.openxmlformats.org/officeDocument/2006/relationships/image" Target="media/image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45/3380851.3416764" TargetMode="External"/><Relationship Id="rId20" Type="http://schemas.openxmlformats.org/officeDocument/2006/relationships/hyperlink" Target="https://doi.org/10.1002/cpp.70191" TargetMode="External"/><Relationship Id="rId29" Type="http://schemas.openxmlformats.org/officeDocument/2006/relationships/hyperlink" Target="https://www.grandviewresearch.com" TargetMode="External"/><Relationship Id="rId41" Type="http://schemas.openxmlformats.org/officeDocument/2006/relationships/hyperlink" Target="https://www.marketsandmarkets.com" TargetMode="External"/><Relationship Id="rId54" Type="http://schemas.openxmlformats.org/officeDocument/2006/relationships/hyperlink" Target="https://doi.org/10.4236/jilsa.2024.162004" TargetMode="External"/><Relationship Id="rId62" Type="http://schemas.openxmlformats.org/officeDocument/2006/relationships/hyperlink" Target="https://doi.org/10.21203/rs.3.rs-7820094/v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0749-5978(91)90020-T" TargetMode="External"/><Relationship Id="rId24" Type="http://schemas.openxmlformats.org/officeDocument/2006/relationships/hyperlink" Target="https://doi.org/10.1007/s11747-019-00696-0" TargetMode="External"/><Relationship Id="rId32" Type="http://schemas.openxmlformats.org/officeDocument/2006/relationships/hyperlink" Target="https://doi.org/10.1186/s12911-023-02350-w" TargetMode="External"/><Relationship Id="rId37" Type="http://schemas.openxmlformats.org/officeDocument/2006/relationships/hyperlink" Target="https://doi.org/10.1108/jrim-02-2024-0073" TargetMode="External"/><Relationship Id="rId40" Type="http://schemas.openxmlformats.org/officeDocument/2006/relationships/hyperlink" Target="https://doi.org/10.1007/s10796-021-10191-z" TargetMode="External"/><Relationship Id="rId45" Type="http://schemas.openxmlformats.org/officeDocument/2006/relationships/hyperlink" Target="https://doi.org/10.3390/ijerph191811413" TargetMode="External"/><Relationship Id="rId53" Type="http://schemas.openxmlformats.org/officeDocument/2006/relationships/hyperlink" Target="https://doi.org/10.31219/osf.io/rtup2" TargetMode="External"/><Relationship Id="rId58" Type="http://schemas.openxmlformats.org/officeDocument/2006/relationships/hyperlink" Target="https://doi.org/10.3390/ijerph18116053"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30574/ijsra.2024.11.1.0243" TargetMode="External"/><Relationship Id="rId23" Type="http://schemas.openxmlformats.org/officeDocument/2006/relationships/hyperlink" Target="https://doi.org/10.60016/majcafe.v32.18" TargetMode="External"/><Relationship Id="rId28" Type="http://schemas.openxmlformats.org/officeDocument/2006/relationships/hyperlink" Target="https://doi.org/10.1002/wmh3.70015" TargetMode="External"/><Relationship Id="rId36" Type="http://schemas.openxmlformats.org/officeDocument/2006/relationships/hyperlink" Target="https://doi.org/10.1016/j.bushor.2018.08.004" TargetMode="External"/><Relationship Id="rId49" Type="http://schemas.openxmlformats.org/officeDocument/2006/relationships/hyperlink" Target="https://doi.org/10.1108/apjml-12-2022-1036" TargetMode="External"/><Relationship Id="rId57" Type="http://schemas.openxmlformats.org/officeDocument/2006/relationships/hyperlink" Target="https://doi.org/10.3390/s25175272" TargetMode="External"/><Relationship Id="rId61" Type="http://schemas.openxmlformats.org/officeDocument/2006/relationships/hyperlink" Target="https://doi.org/10.3389/fpubh.2023.1196596" TargetMode="External"/><Relationship Id="rId10" Type="http://schemas.openxmlformats.org/officeDocument/2006/relationships/hyperlink" Target="https://doi.org/10.3390/s24092793" TargetMode="External"/><Relationship Id="rId19" Type="http://schemas.openxmlformats.org/officeDocument/2006/relationships/hyperlink" Target="https://doi.org/10.1108/ijbm-11-2022-0522" TargetMode="External"/><Relationship Id="rId31" Type="http://schemas.openxmlformats.org/officeDocument/2006/relationships/hyperlink" Target="https://doi.org/10.2196/25497" TargetMode="External"/><Relationship Id="rId44" Type="http://schemas.openxmlformats.org/officeDocument/2006/relationships/hyperlink" Target="https://doi.org/10.3389/fdgth.2025.1606273" TargetMode="External"/><Relationship Id="rId52" Type="http://schemas.openxmlformats.org/officeDocument/2006/relationships/hyperlink" Target="https://doi.org/10.1111/ijcs.70046" TargetMode="External"/><Relationship Id="rId60" Type="http://schemas.openxmlformats.org/officeDocument/2006/relationships/hyperlink" Target="https://www.who.int"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93/geroni/igaf092" TargetMode="External"/><Relationship Id="rId14" Type="http://schemas.openxmlformats.org/officeDocument/2006/relationships/hyperlink" Target="https://doi.org/10.1002/fsn3.71006" TargetMode="External"/><Relationship Id="rId22" Type="http://schemas.openxmlformats.org/officeDocument/2006/relationships/hyperlink" Target="https://doi.org/10.1111/rmir.70025" TargetMode="External"/><Relationship Id="rId27" Type="http://schemas.openxmlformats.org/officeDocument/2006/relationships/hyperlink" Target="https://doi.org/10.1007/s11701-025-02772-w" TargetMode="External"/><Relationship Id="rId30" Type="http://schemas.openxmlformats.org/officeDocument/2006/relationships/hyperlink" Target="https://doi.org/10.2196/preprints.25497" TargetMode="External"/><Relationship Id="rId35" Type="http://schemas.openxmlformats.org/officeDocument/2006/relationships/hyperlink" Target="https://doi.org/10.1371/journal.pone.0325552" TargetMode="External"/><Relationship Id="rId43" Type="http://schemas.openxmlformats.org/officeDocument/2006/relationships/hyperlink" Target="https://doi.org/10.1108/ejm-12-2022-0915" TargetMode="External"/><Relationship Id="rId48" Type="http://schemas.openxmlformats.org/officeDocument/2006/relationships/hyperlink" Target="https://doi.org/10.37659/2663-5070-2020-5-4-7" TargetMode="External"/><Relationship Id="rId56" Type="http://schemas.openxmlformats.org/officeDocument/2006/relationships/hyperlink" Target="https://doi.org/10.1002/mar.22105" TargetMode="External"/><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samsung.com" TargetMode="External"/><Relationship Id="rId3" Type="http://schemas.openxmlformats.org/officeDocument/2006/relationships/styles" Target="styles.xml"/><Relationship Id="rId12" Type="http://schemas.openxmlformats.org/officeDocument/2006/relationships/hyperlink" Target="https://doi.org/10.52783/tjjpt.v44.i3.330" TargetMode="External"/><Relationship Id="rId17" Type="http://schemas.openxmlformats.org/officeDocument/2006/relationships/hyperlink" Target="https://doi.org/10.3390/s25133985" TargetMode="External"/><Relationship Id="rId25" Type="http://schemas.openxmlformats.org/officeDocument/2006/relationships/hyperlink" Target="https://doi.org/10.31219/osf.io/5xkfw" TargetMode="External"/><Relationship Id="rId33" Type="http://schemas.openxmlformats.org/officeDocument/2006/relationships/hyperlink" Target="https://www.idc.com" TargetMode="External"/><Relationship Id="rId38" Type="http://schemas.openxmlformats.org/officeDocument/2006/relationships/hyperlink" Target="https://doi.org/10.1007/s11036-020-01700-6" TargetMode="External"/><Relationship Id="rId46" Type="http://schemas.openxmlformats.org/officeDocument/2006/relationships/hyperlink" Target="https://doi.org/10.3390/info13080360" TargetMode="External"/><Relationship Id="rId59" Type="http://schemas.openxmlformats.org/officeDocument/2006/relationships/hyperlink" Target="https://doi.org/10.1177/027614672513161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883B7-0B4F-4DD1-822F-EED6F8D7F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6119</Words>
  <Characters>34879</Characters>
  <Application>Microsoft Office Word</Application>
  <DocSecurity>0</DocSecurity>
  <Lines>290</Lines>
  <Paragraphs>81</Paragraphs>
  <ScaleCrop>false</ScaleCrop>
  <Company/>
  <LinksUpToDate>false</LinksUpToDate>
  <CharactersWithSpaces>40917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SEO</cp:lastModifiedBy>
  <cp:revision>4</cp:revision>
  <dcterms:created xsi:type="dcterms:W3CDTF">2026-04-25T18:09:00Z</dcterms:created>
  <dcterms:modified xsi:type="dcterms:W3CDTF">2026-04-30T22:45:00Z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71aaa48b8963491f97ef4d7a5a0ebb71</vt:lpwstr>
  </property>
</Properties>
</file>