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A39" w:rsidRDefault="00E84255" w:rsidP="00E84255">
      <w:pPr>
        <w:jc w:val="center"/>
      </w:pPr>
      <w:r>
        <w:t>Trusts revision exam</w:t>
      </w:r>
    </w:p>
    <w:p w:rsidR="00E84255" w:rsidRDefault="00E84255" w:rsidP="00E84255">
      <w:pPr>
        <w:jc w:val="center"/>
      </w:pPr>
      <w:r>
        <w:t xml:space="preserve">Answer </w:t>
      </w:r>
      <w:r w:rsidRPr="004C6BE4">
        <w:rPr>
          <w:u w:val="single"/>
        </w:rPr>
        <w:t>one</w:t>
      </w:r>
      <w:r>
        <w:t xml:space="preserve"> question from Section A and </w:t>
      </w:r>
      <w:r w:rsidRPr="004C6BE4">
        <w:rPr>
          <w:u w:val="single"/>
        </w:rPr>
        <w:t>one</w:t>
      </w:r>
      <w:r>
        <w:t xml:space="preserve"> question from Section B</w:t>
      </w:r>
    </w:p>
    <w:p w:rsidR="00485AD9" w:rsidRPr="00485AD9" w:rsidRDefault="00485AD9" w:rsidP="00E84255">
      <w:pPr>
        <w:jc w:val="center"/>
        <w:rPr>
          <w:b/>
        </w:rPr>
      </w:pPr>
      <w:r>
        <w:rPr>
          <w:b/>
        </w:rPr>
        <w:t>Section A</w:t>
      </w:r>
    </w:p>
    <w:p w:rsidR="00E84255" w:rsidRDefault="00E84255" w:rsidP="00E84255">
      <w:pPr>
        <w:pStyle w:val="ListParagraph"/>
        <w:numPr>
          <w:ilvl w:val="0"/>
          <w:numId w:val="1"/>
        </w:numPr>
      </w:pPr>
      <w:r>
        <w:t xml:space="preserve">‘A trust may be created for the benefit of persons….but not for a purpose or object unless the purpose or object </w:t>
      </w:r>
      <w:proofErr w:type="gramStart"/>
      <w:r>
        <w:t>be</w:t>
      </w:r>
      <w:proofErr w:type="gramEnd"/>
      <w:r>
        <w:t xml:space="preserve"> charitable.  For a purpose of object cannot sue…’</w:t>
      </w:r>
    </w:p>
    <w:p w:rsidR="00E84255" w:rsidRDefault="00E84255" w:rsidP="00E84255">
      <w:pPr>
        <w:pStyle w:val="ListParagraph"/>
      </w:pPr>
    </w:p>
    <w:p w:rsidR="00E84255" w:rsidRDefault="00E84255" w:rsidP="00E84255">
      <w:pPr>
        <w:pStyle w:val="ListParagraph"/>
      </w:pPr>
      <w:r>
        <w:t>(Leahy v A-G of New South Wales (1959) Viscount Simonds)</w:t>
      </w:r>
      <w:bookmarkStart w:id="0" w:name="_GoBack"/>
      <w:bookmarkEnd w:id="0"/>
    </w:p>
    <w:p w:rsidR="00E84255" w:rsidRDefault="00E84255" w:rsidP="00E84255">
      <w:pPr>
        <w:pStyle w:val="ListParagraph"/>
      </w:pPr>
    </w:p>
    <w:p w:rsidR="00E84255" w:rsidRDefault="00E84255" w:rsidP="00E84255">
      <w:pPr>
        <w:pStyle w:val="ListParagraph"/>
      </w:pPr>
      <w:r>
        <w:t>In the light of this comment, critically analyse, with reference to case law, how the courts have dealt with trusts for non-charitable purposes.</w:t>
      </w:r>
    </w:p>
    <w:p w:rsidR="00E84255" w:rsidRDefault="00E84255" w:rsidP="00E84255">
      <w:pPr>
        <w:pStyle w:val="ListParagraph"/>
      </w:pPr>
    </w:p>
    <w:p w:rsidR="00E84255" w:rsidRDefault="00E84255" w:rsidP="00E84255">
      <w:pPr>
        <w:pStyle w:val="ListParagraph"/>
        <w:rPr>
          <w:b/>
        </w:rPr>
      </w:pPr>
      <w:r>
        <w:tab/>
      </w:r>
      <w:r>
        <w:tab/>
      </w:r>
      <w:r>
        <w:tab/>
      </w:r>
      <w:r>
        <w:tab/>
      </w:r>
      <w:r>
        <w:tab/>
      </w:r>
      <w:r>
        <w:tab/>
      </w:r>
      <w:r>
        <w:tab/>
      </w:r>
      <w:r>
        <w:tab/>
      </w:r>
      <w:r>
        <w:tab/>
      </w:r>
      <w:r>
        <w:rPr>
          <w:b/>
        </w:rPr>
        <w:t>(25 marks)</w:t>
      </w:r>
    </w:p>
    <w:p w:rsidR="00E84255" w:rsidRDefault="00E84255" w:rsidP="00E84255">
      <w:pPr>
        <w:pStyle w:val="ListParagraph"/>
        <w:rPr>
          <w:b/>
        </w:rPr>
      </w:pPr>
    </w:p>
    <w:p w:rsidR="00E84255" w:rsidRDefault="00E84255" w:rsidP="00E84255">
      <w:pPr>
        <w:pStyle w:val="ListParagraph"/>
        <w:numPr>
          <w:ilvl w:val="0"/>
          <w:numId w:val="1"/>
        </w:numPr>
      </w:pPr>
      <w:r>
        <w:t>Secret trusts provide a method of side-stepping the requirements of the Wills Act 1837.</w:t>
      </w:r>
    </w:p>
    <w:p w:rsidR="00E84255" w:rsidRDefault="00E84255" w:rsidP="00E84255">
      <w:pPr>
        <w:pStyle w:val="ListParagraph"/>
      </w:pPr>
    </w:p>
    <w:p w:rsidR="00E84255" w:rsidRDefault="00E84255" w:rsidP="00E84255">
      <w:pPr>
        <w:pStyle w:val="ListParagraph"/>
      </w:pPr>
      <w:r>
        <w:t>Critically evaluate how the courts justify the enforcement of secret trusts.</w:t>
      </w:r>
    </w:p>
    <w:p w:rsidR="00E84255" w:rsidRDefault="00E84255" w:rsidP="00E84255">
      <w:pPr>
        <w:pStyle w:val="ListParagraph"/>
      </w:pPr>
    </w:p>
    <w:p w:rsidR="00E84255" w:rsidRDefault="00E84255" w:rsidP="00E84255">
      <w:pPr>
        <w:pStyle w:val="ListParagraph"/>
        <w:rPr>
          <w:b/>
        </w:rPr>
      </w:pPr>
      <w:r>
        <w:tab/>
      </w:r>
      <w:r>
        <w:tab/>
      </w:r>
      <w:r>
        <w:tab/>
      </w:r>
      <w:r>
        <w:tab/>
      </w:r>
      <w:r>
        <w:tab/>
      </w:r>
      <w:r>
        <w:tab/>
      </w:r>
      <w:r>
        <w:tab/>
      </w:r>
      <w:r>
        <w:tab/>
      </w:r>
      <w:r>
        <w:tab/>
      </w:r>
      <w:r>
        <w:rPr>
          <w:b/>
        </w:rPr>
        <w:t>(25 marks)</w:t>
      </w:r>
    </w:p>
    <w:p w:rsidR="00E84255" w:rsidRDefault="00E84255" w:rsidP="00E84255">
      <w:pPr>
        <w:pStyle w:val="ListParagraph"/>
        <w:rPr>
          <w:b/>
        </w:rPr>
      </w:pPr>
    </w:p>
    <w:p w:rsidR="00E84255" w:rsidRDefault="00E84255" w:rsidP="00E84255">
      <w:pPr>
        <w:pStyle w:val="ListParagraph"/>
        <w:numPr>
          <w:ilvl w:val="0"/>
          <w:numId w:val="1"/>
        </w:numPr>
      </w:pPr>
      <w:r>
        <w:t>The maxim ‘Equity will not perfect an imperfect gift’ suggests that gifts will fail unless they are transferred to the done using the correct formalities.  It is argued that these formalities ensure consistency and certainty.  However, where a gift could fail on a mere technicality, the result may be contrary to the donor’s intention and perhaps inequitable.</w:t>
      </w:r>
    </w:p>
    <w:p w:rsidR="00E84255" w:rsidRDefault="00E84255" w:rsidP="00E84255">
      <w:pPr>
        <w:pStyle w:val="ListParagraph"/>
      </w:pPr>
    </w:p>
    <w:p w:rsidR="00E84255" w:rsidRDefault="00E84255" w:rsidP="00E84255">
      <w:pPr>
        <w:pStyle w:val="ListParagraph"/>
      </w:pPr>
      <w:r>
        <w:t>Critically evaluate how far the following exceptions to the maxim reflect the arguments outlined above:</w:t>
      </w:r>
    </w:p>
    <w:p w:rsidR="00E84255" w:rsidRPr="00E84255" w:rsidRDefault="00E84255" w:rsidP="00E84255">
      <w:pPr>
        <w:pStyle w:val="ListParagraph"/>
        <w:numPr>
          <w:ilvl w:val="0"/>
          <w:numId w:val="2"/>
        </w:numPr>
      </w:pPr>
      <w:r>
        <w:t>The ‘every effort’ test (Re Rose (1952));</w:t>
      </w:r>
      <w:r>
        <w:tab/>
      </w:r>
      <w:r>
        <w:tab/>
      </w:r>
      <w:r>
        <w:tab/>
      </w:r>
      <w:r>
        <w:tab/>
      </w:r>
      <w:r>
        <w:rPr>
          <w:b/>
        </w:rPr>
        <w:t>(7 marks)</w:t>
      </w:r>
    </w:p>
    <w:p w:rsidR="00E84255" w:rsidRPr="00E84255" w:rsidRDefault="00E84255" w:rsidP="00E84255">
      <w:pPr>
        <w:pStyle w:val="ListParagraph"/>
        <w:numPr>
          <w:ilvl w:val="0"/>
          <w:numId w:val="2"/>
        </w:numPr>
      </w:pPr>
      <w:r>
        <w:t>The rule in Strong v Bird (1874);</w:t>
      </w:r>
      <w:r>
        <w:tab/>
      </w:r>
      <w:r>
        <w:tab/>
      </w:r>
      <w:r>
        <w:tab/>
      </w:r>
      <w:r>
        <w:tab/>
      </w:r>
      <w:r>
        <w:tab/>
      </w:r>
      <w:r>
        <w:rPr>
          <w:b/>
        </w:rPr>
        <w:t>(5 marks)</w:t>
      </w:r>
    </w:p>
    <w:p w:rsidR="00E84255" w:rsidRPr="00E84255" w:rsidRDefault="00E84255" w:rsidP="00E84255">
      <w:pPr>
        <w:pStyle w:val="ListParagraph"/>
        <w:numPr>
          <w:ilvl w:val="0"/>
          <w:numId w:val="2"/>
        </w:numPr>
      </w:pPr>
      <w:proofErr w:type="gramStart"/>
      <w:r>
        <w:t>a</w:t>
      </w:r>
      <w:proofErr w:type="gramEnd"/>
      <w:r>
        <w:t xml:space="preserve"> </w:t>
      </w:r>
      <w:proofErr w:type="spellStart"/>
      <w:r>
        <w:t>Donatio</w:t>
      </w:r>
      <w:proofErr w:type="spellEnd"/>
      <w:r>
        <w:t xml:space="preserve"> Mortis Causa.</w:t>
      </w:r>
      <w:r>
        <w:tab/>
      </w:r>
      <w:r>
        <w:tab/>
      </w:r>
      <w:r>
        <w:tab/>
      </w:r>
      <w:r>
        <w:tab/>
      </w:r>
      <w:r>
        <w:tab/>
      </w:r>
      <w:r>
        <w:tab/>
      </w:r>
      <w:r>
        <w:rPr>
          <w:b/>
        </w:rPr>
        <w:t>(13 marks)</w:t>
      </w:r>
    </w:p>
    <w:p w:rsidR="00E84255" w:rsidRDefault="00E84255" w:rsidP="00E84255">
      <w:pPr>
        <w:pStyle w:val="ListParagraph"/>
        <w:ind w:left="6480"/>
        <w:rPr>
          <w:b/>
        </w:rPr>
      </w:pPr>
      <w:r>
        <w:rPr>
          <w:b/>
        </w:rPr>
        <w:t xml:space="preserve">    (Total: 25 marks)</w:t>
      </w:r>
    </w:p>
    <w:p w:rsidR="00485AD9" w:rsidRDefault="00485AD9" w:rsidP="00485AD9">
      <w:pPr>
        <w:jc w:val="both"/>
        <w:rPr>
          <w:b/>
        </w:rPr>
      </w:pPr>
    </w:p>
    <w:p w:rsidR="00485AD9" w:rsidRDefault="00485AD9" w:rsidP="00485AD9">
      <w:pPr>
        <w:jc w:val="center"/>
        <w:rPr>
          <w:b/>
        </w:rPr>
      </w:pPr>
      <w:r>
        <w:rPr>
          <w:b/>
        </w:rPr>
        <w:t>Section B</w:t>
      </w:r>
    </w:p>
    <w:p w:rsidR="00485AD9" w:rsidRDefault="00485AD9" w:rsidP="00485AD9">
      <w:pPr>
        <w:pStyle w:val="ListParagraph"/>
        <w:numPr>
          <w:ilvl w:val="0"/>
          <w:numId w:val="4"/>
        </w:numPr>
      </w:pPr>
      <w:r>
        <w:t>Ben shows you his will, which was drawn up by his nephew.  He asks whether the provisions detailed in the will (and set out below) are valid.</w:t>
      </w:r>
    </w:p>
    <w:p w:rsidR="00485AD9" w:rsidRDefault="00485AD9" w:rsidP="00485AD9">
      <w:pPr>
        <w:pStyle w:val="ListParagraph"/>
        <w:numPr>
          <w:ilvl w:val="0"/>
          <w:numId w:val="5"/>
        </w:numPr>
      </w:pPr>
      <w:r>
        <w:t>‘I give £50,000 to by sister, Charlotte, knowing that she will continue to help with the rent and expenses of our mother, Yvonne, as I have done for the past few years.’</w:t>
      </w:r>
    </w:p>
    <w:p w:rsidR="00485AD9" w:rsidRDefault="00485AD9" w:rsidP="00485AD9">
      <w:pPr>
        <w:pStyle w:val="ListParagraph"/>
        <w:numPr>
          <w:ilvl w:val="0"/>
          <w:numId w:val="5"/>
        </w:numPr>
      </w:pPr>
      <w:r>
        <w:t>‘I give £100,000 to the Hartley Cricket Club on trust to build new changing rooms at their cricket ground.’</w:t>
      </w:r>
    </w:p>
    <w:p w:rsidR="00485AD9" w:rsidRDefault="00485AD9" w:rsidP="00485AD9">
      <w:pPr>
        <w:pStyle w:val="ListParagraph"/>
        <w:numPr>
          <w:ilvl w:val="0"/>
          <w:numId w:val="5"/>
        </w:numPr>
      </w:pPr>
      <w:r>
        <w:t>‘I give the residue of my estate to my Trustee to hold on trust for such worthy young cricket players and in such shares as my Trustee shall, in his absolute discretion, think fit.</w:t>
      </w:r>
      <w:r w:rsidR="00AB0637">
        <w:t>’</w:t>
      </w:r>
    </w:p>
    <w:p w:rsidR="00AB0637" w:rsidRDefault="00AB0637" w:rsidP="00AB0637">
      <w:pPr>
        <w:pStyle w:val="ListParagraph"/>
        <w:ind w:left="1440"/>
      </w:pPr>
      <w:r>
        <w:lastRenderedPageBreak/>
        <w:t>Advise Ben whether the provisions are valid and on any improvements you would make.</w:t>
      </w:r>
    </w:p>
    <w:p w:rsidR="002E167C" w:rsidRDefault="002E167C" w:rsidP="002E167C"/>
    <w:p w:rsidR="002E167C" w:rsidRDefault="002E167C" w:rsidP="002E167C">
      <w:pPr>
        <w:pStyle w:val="ListParagraph"/>
        <w:numPr>
          <w:ilvl w:val="0"/>
          <w:numId w:val="4"/>
        </w:numPr>
      </w:pPr>
      <w:r>
        <w:t>In February 2017, Carla won £12 million on the National Lottery competition.  The following week, she decided to share some of her other property among her relatives.</w:t>
      </w:r>
    </w:p>
    <w:p w:rsidR="002E167C" w:rsidRDefault="002E167C" w:rsidP="002E167C">
      <w:pPr>
        <w:pStyle w:val="ListParagraph"/>
        <w:numPr>
          <w:ilvl w:val="0"/>
          <w:numId w:val="6"/>
        </w:numPr>
      </w:pPr>
      <w:r>
        <w:t>Under a trust set up by Carla’s father, trustees were holding a substantial trust fund on trust for Carla if she should attain the age of the 30.  Carla had her thirtieth birthday in January 2017.  At a meeting of the trustees, she told them, ‘I want you to hold everything on trust for my son, Alex.  Please see to the formalities.’ Carla took no further steps.</w:t>
      </w:r>
    </w:p>
    <w:p w:rsidR="002E167C" w:rsidRDefault="002E167C" w:rsidP="002E167C">
      <w:pPr>
        <w:pStyle w:val="ListParagraph"/>
        <w:numPr>
          <w:ilvl w:val="0"/>
          <w:numId w:val="6"/>
        </w:numPr>
      </w:pPr>
      <w:r>
        <w:t xml:space="preserve">Carla told her brother, Stefan, that she was retiring from the family business, </w:t>
      </w:r>
      <w:proofErr w:type="spellStart"/>
      <w:r>
        <w:t>Ellco</w:t>
      </w:r>
      <w:proofErr w:type="spellEnd"/>
      <w:r>
        <w:t xml:space="preserve"> Ltd, and was giving him her shares so that he would get involved with the company.  She sent a signed transfer form to Stefan.  No further action has been taken, because Carla could not find the share certificate.  Stefan had previously lent money to the company.</w:t>
      </w:r>
    </w:p>
    <w:p w:rsidR="002E167C" w:rsidRDefault="002E167C" w:rsidP="002E167C">
      <w:pPr>
        <w:pStyle w:val="ListParagraph"/>
        <w:numPr>
          <w:ilvl w:val="0"/>
          <w:numId w:val="6"/>
        </w:numPr>
      </w:pPr>
      <w:r>
        <w:t>Carla wrote a letter to her cousin, Patrick, saying that she was giving him her collection of paintings.  Patrick never got round to collecting the paintings.</w:t>
      </w:r>
    </w:p>
    <w:p w:rsidR="002E167C" w:rsidRDefault="002E167C" w:rsidP="002E167C">
      <w:pPr>
        <w:pStyle w:val="ListParagraph"/>
        <w:numPr>
          <w:ilvl w:val="0"/>
          <w:numId w:val="6"/>
        </w:numPr>
      </w:pPr>
      <w:r>
        <w:t>Carla wrote a letter to her sister Julia, saying, ‘I am hereby transferring Park House to you and I want you to hold it on trust for Amber is she attains the age of 25’.  She enclosed an executed deed transferring the house to Julia.  Amber is Julia’s 17 year old daughter.</w:t>
      </w:r>
    </w:p>
    <w:p w:rsidR="002E167C" w:rsidRDefault="002E167C" w:rsidP="002E167C">
      <w:pPr>
        <w:ind w:left="1080"/>
      </w:pPr>
      <w:r>
        <w:t>Carla died last week, having made a will in April 2017 leaving Park House and her paintings to her partner, Bill.  She left the residue of her estate to Oxfam, a registered charity.  She appointed her cousin, Patrick</w:t>
      </w:r>
      <w:r w:rsidR="00CD5005">
        <w:t>, to be her executor.</w:t>
      </w:r>
    </w:p>
    <w:p w:rsidR="00CD5005" w:rsidRDefault="00CD5005" w:rsidP="002E167C">
      <w:pPr>
        <w:ind w:left="1080"/>
      </w:pPr>
      <w:r>
        <w:t>Explain who is entitled to the property that Carla purported to dispose of during her life time.</w:t>
      </w:r>
    </w:p>
    <w:p w:rsidR="00CD5005" w:rsidRDefault="00CD5005" w:rsidP="002E167C">
      <w:pPr>
        <w:ind w:left="1080"/>
        <w:rPr>
          <w:b/>
        </w:rPr>
      </w:pPr>
      <w:r>
        <w:tab/>
      </w:r>
      <w:r>
        <w:tab/>
      </w:r>
      <w:r>
        <w:tab/>
      </w:r>
      <w:r>
        <w:tab/>
      </w:r>
      <w:r>
        <w:tab/>
      </w:r>
      <w:r>
        <w:tab/>
      </w:r>
      <w:r>
        <w:tab/>
      </w:r>
      <w:r>
        <w:tab/>
      </w:r>
      <w:r>
        <w:tab/>
      </w:r>
      <w:r>
        <w:tab/>
      </w:r>
      <w:r>
        <w:rPr>
          <w:b/>
        </w:rPr>
        <w:t>(25 marks)</w:t>
      </w:r>
    </w:p>
    <w:p w:rsidR="00CD5005" w:rsidRDefault="00CD5005" w:rsidP="00CD5005">
      <w:pPr>
        <w:rPr>
          <w:b/>
        </w:rPr>
      </w:pPr>
    </w:p>
    <w:p w:rsidR="00CD5005" w:rsidRDefault="00CD5005" w:rsidP="00CD5005">
      <w:pPr>
        <w:pStyle w:val="ListParagraph"/>
        <w:numPr>
          <w:ilvl w:val="0"/>
          <w:numId w:val="4"/>
        </w:numPr>
      </w:pPr>
      <w:r>
        <w:t>Daniel and his partner, Grace, have recently separated; they were not married.  Daniel is seeking advice on the following matter.</w:t>
      </w:r>
    </w:p>
    <w:p w:rsidR="00CD5005" w:rsidRDefault="00CD5005" w:rsidP="00CD5005">
      <w:pPr>
        <w:pStyle w:val="ListParagraph"/>
      </w:pPr>
    </w:p>
    <w:p w:rsidR="00CD5005" w:rsidRDefault="00CD5005" w:rsidP="00CD5005">
      <w:pPr>
        <w:pStyle w:val="ListParagraph"/>
      </w:pPr>
      <w:r>
        <w:t>In 2010, Daniel decided to buy a house.  Originally, Daniel and Grace planned to buy the house in joint names, but the mortgage lender would not accept Grace as a party to the mortgage because she had a poor credit rating.  They decided that the house would have to be purchased in Daniel’s sole name, but he said that he would always treat it as Beth’s home as well.</w:t>
      </w:r>
    </w:p>
    <w:p w:rsidR="00CD5005" w:rsidRDefault="00CD5005" w:rsidP="00CD5005">
      <w:pPr>
        <w:pStyle w:val="ListParagraph"/>
      </w:pPr>
      <w:r>
        <w:t>The purchase price was £200,000.  Daniel provided a deposit of £10,000.  The mortgage loan covered the rest of the price.  Grace paid for some furniture from her savings.</w:t>
      </w:r>
    </w:p>
    <w:p w:rsidR="00CD5005" w:rsidRDefault="00CD5005" w:rsidP="00CD5005">
      <w:pPr>
        <w:pStyle w:val="ListParagraph"/>
      </w:pPr>
      <w:r>
        <w:lastRenderedPageBreak/>
        <w:t>Daniel and Grace have lived there ever since.  Daniel paid the monthly mortgage repayments.  They opened a joint account, into which they both paid a monthly sum; Daniel contributed</w:t>
      </w:r>
    </w:p>
    <w:p w:rsidR="00CD5005" w:rsidRDefault="00CD5005" w:rsidP="00CD5005">
      <w:pPr>
        <w:pStyle w:val="ListParagraph"/>
      </w:pPr>
    </w:p>
    <w:p w:rsidR="00CD5005" w:rsidRDefault="00CD5005" w:rsidP="00CD5005">
      <w:pPr>
        <w:pStyle w:val="ListParagraph"/>
      </w:pPr>
      <w:r>
        <w:t xml:space="preserve"> £700 every month and Grace paid in £1000 a month.  The regular household outgoings have been paid by direct debit out of the joint account.</w:t>
      </w:r>
    </w:p>
    <w:p w:rsidR="00CD5005" w:rsidRDefault="00CD5005" w:rsidP="00CD5005">
      <w:pPr>
        <w:pStyle w:val="ListParagraph"/>
      </w:pPr>
      <w:r>
        <w:t>The house is still registered in Daniel’s sole name and he claims that Grace has no interest in the house.  Grace maintains that she has a half share.</w:t>
      </w:r>
    </w:p>
    <w:p w:rsidR="00CD5005" w:rsidRDefault="00CD5005" w:rsidP="00CD5005">
      <w:pPr>
        <w:pStyle w:val="ListParagraph"/>
      </w:pPr>
    </w:p>
    <w:p w:rsidR="00CD5005" w:rsidRDefault="00CD5005" w:rsidP="00CD5005">
      <w:pPr>
        <w:pStyle w:val="ListParagraph"/>
      </w:pPr>
      <w:r>
        <w:t>Explain on what grounds Grace could claim a half-share in the house and whether she is likely to be successful.</w:t>
      </w:r>
    </w:p>
    <w:p w:rsidR="00CD5005" w:rsidRPr="00CD5005" w:rsidRDefault="00CD5005" w:rsidP="00CD5005">
      <w:pPr>
        <w:pStyle w:val="ListParagraph"/>
        <w:jc w:val="right"/>
        <w:rPr>
          <w:b/>
        </w:rPr>
      </w:pPr>
      <w:r>
        <w:rPr>
          <w:b/>
        </w:rPr>
        <w:t>(25 marks)</w:t>
      </w:r>
    </w:p>
    <w:sectPr w:rsidR="00CD5005" w:rsidRPr="00CD50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0331D"/>
    <w:multiLevelType w:val="hybridMultilevel"/>
    <w:tmpl w:val="37727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A2213CD"/>
    <w:multiLevelType w:val="hybridMultilevel"/>
    <w:tmpl w:val="918AECA8"/>
    <w:lvl w:ilvl="0" w:tplc="691CC1F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39426368"/>
    <w:multiLevelType w:val="hybridMultilevel"/>
    <w:tmpl w:val="005C1472"/>
    <w:lvl w:ilvl="0" w:tplc="FBB4C97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5E564FD1"/>
    <w:multiLevelType w:val="hybridMultilevel"/>
    <w:tmpl w:val="AAD66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D3257E0"/>
    <w:multiLevelType w:val="hybridMultilevel"/>
    <w:tmpl w:val="8D4E8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708488F"/>
    <w:multiLevelType w:val="hybridMultilevel"/>
    <w:tmpl w:val="C8DA119E"/>
    <w:lvl w:ilvl="0" w:tplc="A1A822F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255"/>
    <w:rsid w:val="001825D9"/>
    <w:rsid w:val="001A52B4"/>
    <w:rsid w:val="002E167C"/>
    <w:rsid w:val="00485AD9"/>
    <w:rsid w:val="004C6BE4"/>
    <w:rsid w:val="00AB0637"/>
    <w:rsid w:val="00CD5005"/>
    <w:rsid w:val="00E84255"/>
    <w:rsid w:val="00ED0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2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2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Holmes</dc:creator>
  <cp:lastModifiedBy>Louise Holmes</cp:lastModifiedBy>
  <cp:revision>2</cp:revision>
  <cp:lastPrinted>2018-12-13T11:06:00Z</cp:lastPrinted>
  <dcterms:created xsi:type="dcterms:W3CDTF">2018-12-13T11:31:00Z</dcterms:created>
  <dcterms:modified xsi:type="dcterms:W3CDTF">2018-12-13T11:31:00Z</dcterms:modified>
</cp:coreProperties>
</file>