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eastAsia="en-US"/>
          <w14:ligatures w14:val="standardContextual"/>
        </w:rPr>
        <w:id w:val="-1120757934"/>
        <w:docPartObj>
          <w:docPartGallery w:val="Cover Pages"/>
          <w:docPartUnique/>
        </w:docPartObj>
      </w:sdtPr>
      <w:sdtEndPr/>
      <w:sdtContent>
        <w:p w14:paraId="39D84F04" w14:textId="5CEA71E0" w:rsidR="00E665E7" w:rsidRPr="00660BA3" w:rsidRDefault="00E665E7" w:rsidP="004F187F">
          <w:pPr>
            <w:pStyle w:val="NoSpacing"/>
            <w:spacing w:line="276" w:lineRule="auto"/>
            <w:jc w:val="both"/>
            <w:rPr>
              <w:rFonts w:ascii="Arial" w:hAnsi="Arial" w:cs="Arial"/>
            </w:rPr>
          </w:pPr>
          <w:r w:rsidRPr="00660BA3">
            <w:rPr>
              <w:rFonts w:ascii="Arial" w:hAnsi="Arial" w:cs="Arial"/>
              <w:noProof/>
            </w:rPr>
            <mc:AlternateContent>
              <mc:Choice Requires="wpg">
                <w:drawing>
                  <wp:anchor distT="0" distB="0" distL="114300" distR="114300" simplePos="0" relativeHeight="251659264" behindDoc="1" locked="0" layoutInCell="1" allowOverlap="1" wp14:anchorId="3A5C20E6" wp14:editId="7B66E6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6T00:00:00Z">
                                      <w:dateFormat w:val="dd/MM/yyyy"/>
                                      <w:lid w:val="en-GB"/>
                                      <w:storeMappedDataAs w:val="dateTime"/>
                                      <w:calendar w:val="gregorian"/>
                                    </w:date>
                                  </w:sdtPr>
                                  <w:sdtEndPr/>
                                  <w:sdtContent>
                                    <w:p w14:paraId="59C243F2" w14:textId="48CCA901" w:rsidR="00E665E7" w:rsidRDefault="008000D0">
                                      <w:pPr>
                                        <w:pStyle w:val="NoSpacing"/>
                                        <w:jc w:val="right"/>
                                        <w:rPr>
                                          <w:color w:val="FFFFFF" w:themeColor="background1"/>
                                          <w:sz w:val="28"/>
                                          <w:szCs w:val="28"/>
                                        </w:rPr>
                                      </w:pPr>
                                      <w:r>
                                        <w:rPr>
                                          <w:color w:val="FFFFFF" w:themeColor="background1"/>
                                          <w:sz w:val="28"/>
                                          <w:szCs w:val="28"/>
                                        </w:rPr>
                                        <w:t>26/07/2026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5C20E6"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6T00:00:00Z">
                                <w:dateFormat w:val="dd/MM/yyyy"/>
                                <w:lid w:val="en-GB"/>
                                <w:storeMappedDataAs w:val="dateTime"/>
                                <w:calendar w:val="gregorian"/>
                              </w:date>
                            </w:sdtPr>
                            <w:sdtEndPr/>
                            <w:sdtContent>
                              <w:p w14:paraId="59C243F2" w14:textId="48CCA901" w:rsidR="00E665E7" w:rsidRDefault="008000D0">
                                <w:pPr>
                                  <w:pStyle w:val="NoSpacing"/>
                                  <w:jc w:val="right"/>
                                  <w:rPr>
                                    <w:color w:val="FFFFFF" w:themeColor="background1"/>
                                    <w:sz w:val="28"/>
                                    <w:szCs w:val="28"/>
                                  </w:rPr>
                                </w:pPr>
                                <w:r>
                                  <w:rPr>
                                    <w:color w:val="FFFFFF" w:themeColor="background1"/>
                                    <w:sz w:val="28"/>
                                    <w:szCs w:val="28"/>
                                  </w:rPr>
                                  <w:t>26/07/2026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44342F9" w14:textId="291F73B8" w:rsidR="00520164" w:rsidRDefault="008000D0" w:rsidP="00520164">
          <w:pPr>
            <w:spacing w:line="276" w:lineRule="auto"/>
            <w:jc w:val="both"/>
            <w:rPr>
              <w:rFonts w:ascii="Arial" w:hAnsi="Arial" w:cs="Arial"/>
              <w:sz w:val="22"/>
              <w:szCs w:val="22"/>
            </w:rPr>
          </w:pPr>
          <w:r w:rsidRPr="00660BA3">
            <w:rPr>
              <w:rFonts w:ascii="Arial" w:hAnsi="Arial" w:cs="Arial"/>
              <w:noProof/>
              <w:sz w:val="22"/>
              <w:szCs w:val="22"/>
            </w:rPr>
            <mc:AlternateContent>
              <mc:Choice Requires="wps">
                <w:drawing>
                  <wp:anchor distT="0" distB="0" distL="114300" distR="114300" simplePos="0" relativeHeight="251661312" behindDoc="0" locked="0" layoutInCell="1" allowOverlap="1" wp14:anchorId="359B34A2" wp14:editId="0186C24E">
                    <wp:simplePos x="0" y="0"/>
                    <wp:positionH relativeFrom="page">
                      <wp:posOffset>2153412</wp:posOffset>
                    </wp:positionH>
                    <wp:positionV relativeFrom="page">
                      <wp:posOffset>9409176</wp:posOffset>
                    </wp:positionV>
                    <wp:extent cx="4814316" cy="365760"/>
                    <wp:effectExtent l="0" t="0" r="5715" b="0"/>
                    <wp:wrapNone/>
                    <wp:docPr id="32" name="Text Box 28"/>
                    <wp:cNvGraphicFramePr/>
                    <a:graphic xmlns:a="http://schemas.openxmlformats.org/drawingml/2006/main">
                      <a:graphicData uri="http://schemas.microsoft.com/office/word/2010/wordprocessingShape">
                        <wps:wsp>
                          <wps:cNvSpPr txBox="1"/>
                          <wps:spPr>
                            <a:xfrm>
                              <a:off x="0" y="0"/>
                              <a:ext cx="4814316"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0FABB" w14:textId="4A8CBE65" w:rsidR="00E665E7" w:rsidRPr="008000D0" w:rsidRDefault="00DB05FC">
                                <w:pPr>
                                  <w:pStyle w:val="NoSpacing"/>
                                  <w:rPr>
                                    <w:rFonts w:ascii="Arial" w:hAnsi="Arial" w:cs="Arial"/>
                                    <w:b/>
                                    <w:bCs/>
                                    <w:color w:val="156082" w:themeColor="accent1"/>
                                    <w:sz w:val="28"/>
                                    <w:szCs w:val="28"/>
                                  </w:rPr>
                                </w:pPr>
                                <w:sdt>
                                  <w:sdtPr>
                                    <w:rPr>
                                      <w:rFonts w:ascii="Arial" w:hAnsi="Arial" w:cs="Arial"/>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65E7" w:rsidRPr="008000D0">
                                      <w:rPr>
                                        <w:rFonts w:ascii="Arial" w:hAnsi="Arial" w:cs="Arial"/>
                                        <w:b/>
                                        <w:bCs/>
                                        <w:color w:val="156082" w:themeColor="accent1"/>
                                        <w:sz w:val="28"/>
                                        <w:szCs w:val="28"/>
                                      </w:rPr>
                                      <w:t>Ionela Alina Marcu (2321713)</w:t>
                                    </w:r>
                                  </w:sdtContent>
                                </w:sdt>
                              </w:p>
                              <w:p w14:paraId="3F8FA064" w14:textId="1C8D7771" w:rsidR="00E665E7" w:rsidRPr="008000D0" w:rsidRDefault="00DB05FC">
                                <w:pPr>
                                  <w:pStyle w:val="NoSpacing"/>
                                  <w:rPr>
                                    <w:rFonts w:ascii="Arial" w:hAnsi="Arial" w:cs="Arial"/>
                                    <w:b/>
                                    <w:bCs/>
                                    <w:color w:val="595959" w:themeColor="text1" w:themeTint="A6"/>
                                    <w:sz w:val="32"/>
                                    <w:szCs w:val="32"/>
                                  </w:rPr>
                                </w:pPr>
                                <w:sdt>
                                  <w:sdtPr>
                                    <w:rPr>
                                      <w:rFonts w:ascii="Arial" w:hAnsi="Arial" w:cs="Arial"/>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00D0" w:rsidRPr="008000D0">
                                      <w:rPr>
                                        <w:rFonts w:ascii="Arial" w:hAnsi="Arial" w:cs="Arial"/>
                                        <w:b/>
                                        <w:bCs/>
                                        <w:caps/>
                                        <w:color w:val="595959" w:themeColor="text1" w:themeTint="A6"/>
                                        <w:sz w:val="32"/>
                                        <w:szCs w:val="32"/>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59B34A2" id="_x0000_t202" coordsize="21600,21600" o:spt="202" path="m,l,21600r21600,l21600,xe">
                    <v:stroke joinstyle="miter"/>
                    <v:path gradientshapeok="t" o:connecttype="rect"/>
                  </v:shapetype>
                  <v:shape id="Text Box 28" o:spid="_x0000_s1055" type="#_x0000_t202" style="position:absolute;left:0;text-align:left;margin-left:169.55pt;margin-top:740.9pt;width:379.1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KgyYgIAADQFAAAOAAAAZHJzL2Uyb0RvYy54bWysVN9P2zAQfp+0/8Hy+5qWQociUtSBOk1C&#10;gCgTz65jt9Ecn3d2m3R//c5O0iK2F6a9OBff7+++89V1Wxu2V+grsAWfjMacKSuhrOym4N+fl58u&#10;OfNB2FIYsKrgB+X59fzjh6vG5eoMtmBKhYyCWJ83ruDbEFyeZV5uVS38CJyypNSAtQj0i5usRNFQ&#10;9NpkZ+PxLGsAS4cglfd0e9sp+TzF11rJ8KC1V4GZglNtIZ2YznU8s/mVyDco3LaSfRniH6qoRWUp&#10;6THUrQiC7bD6I1RdSQQPOowk1BloXUmVeqBuJuM33ay2wqnUC4Hj3REm///Cyvv9yj0iC+0XaGmA&#10;EZDG+dzTZeyn1VjHL1XKSE8QHo6wqTYwSZfnl5Pz6WTGmSTddHbxeZZwzU7eDn34qqBmUSg40lgS&#10;WmJ/5wNlJNPBJCazsKyMSaMxljUFn00vxsnhqCEPY6OtSkPuw5wqT1I4GBVtjH1SmlVlaiBeJHqp&#10;G4NsL4gYQkplQ+o9xSXraKWpiPc49vanqt7j3PUxZAYbjs51ZQFT92/KLn8MJevOnoB81XcUQ7tu&#10;qfFXg11DeaB5I3Sr4J1cVjSUO+HDo0DiPo2Y9jk80KENEPjQS5xtAX/97T7aEyVJy1lDu1Rw/3Mn&#10;UHFmvlkia1y8QcBBWA+C3dU3QFOY0EvhZBLJAYMZRI1Qv9CaL2IWUgkrKVfB14N4E7qNpmdCqsUi&#10;GdF6ORHu7MrJGDoOJVLsuX0R6HoeBmLwPQxbJvI3dOxsE1/cYheIlImrEdcOxR5vWs1E4f4Zibv/&#10;+j9ZnR67+W8AAAD//wMAUEsDBBQABgAIAAAAIQArpzXt4gAAAA4BAAAPAAAAZHJzL2Rvd25yZXYu&#10;eG1sTI/BTsMwEETvSPyDtUjcqBPS0ibEqRASEhKnlh7g5sbbJNReR7HbhL9neyq3Hc3T7Ey5npwV&#10;ZxxC50lBOktAINXedNQo2H2+PaxAhKjJaOsJFfxigHV1e1PqwviRNnjexkZwCIVCK2hj7AspQ92i&#10;02HmeyT2Dn5wOrIcGmkGPXK4s/IxSZ6k0x3xh1b3+NpifdyenAKKh8zsFiPS18d7M/7Y5XH8HpS6&#10;v5tenkFEnOIVhkt9rg4Vd9r7E5kgrIIsy1NG2ZivUh5xQZJ8mYHY87XI8jnIqpT/Z1R/AAAA//8D&#10;AFBLAQItABQABgAIAAAAIQC2gziS/gAAAOEBAAATAAAAAAAAAAAAAAAAAAAAAABbQ29udGVudF9U&#10;eXBlc10ueG1sUEsBAi0AFAAGAAgAAAAhADj9If/WAAAAlAEAAAsAAAAAAAAAAAAAAAAALwEAAF9y&#10;ZWxzLy5yZWxzUEsBAi0AFAAGAAgAAAAhAJJEqDJiAgAANAUAAA4AAAAAAAAAAAAAAAAALgIAAGRy&#10;cy9lMm9Eb2MueG1sUEsBAi0AFAAGAAgAAAAhACunNe3iAAAADgEAAA8AAAAAAAAAAAAAAAAAvAQA&#10;AGRycy9kb3ducmV2LnhtbFBLBQYAAAAABAAEAPMAAADLBQAAAAA=&#10;" filled="f" stroked="f" strokeweight=".5pt">
                    <v:textbox style="mso-fit-shape-to-text:t" inset="0,0,0,0">
                      <w:txbxContent>
                        <w:p w14:paraId="2BB0FABB" w14:textId="4A8CBE65" w:rsidR="00E665E7" w:rsidRPr="008000D0" w:rsidRDefault="00DB05FC">
                          <w:pPr>
                            <w:pStyle w:val="NoSpacing"/>
                            <w:rPr>
                              <w:rFonts w:ascii="Arial" w:hAnsi="Arial" w:cs="Arial"/>
                              <w:b/>
                              <w:bCs/>
                              <w:color w:val="156082" w:themeColor="accent1"/>
                              <w:sz w:val="28"/>
                              <w:szCs w:val="28"/>
                            </w:rPr>
                          </w:pPr>
                          <w:sdt>
                            <w:sdtPr>
                              <w:rPr>
                                <w:rFonts w:ascii="Arial" w:hAnsi="Arial" w:cs="Arial"/>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65E7" w:rsidRPr="008000D0">
                                <w:rPr>
                                  <w:rFonts w:ascii="Arial" w:hAnsi="Arial" w:cs="Arial"/>
                                  <w:b/>
                                  <w:bCs/>
                                  <w:color w:val="156082" w:themeColor="accent1"/>
                                  <w:sz w:val="28"/>
                                  <w:szCs w:val="28"/>
                                </w:rPr>
                                <w:t>Ionela Alina Marcu (2321713)</w:t>
                              </w:r>
                            </w:sdtContent>
                          </w:sdt>
                        </w:p>
                        <w:p w14:paraId="3F8FA064" w14:textId="1C8D7771" w:rsidR="00E665E7" w:rsidRPr="008000D0" w:rsidRDefault="00DB05FC">
                          <w:pPr>
                            <w:pStyle w:val="NoSpacing"/>
                            <w:rPr>
                              <w:rFonts w:ascii="Arial" w:hAnsi="Arial" w:cs="Arial"/>
                              <w:b/>
                              <w:bCs/>
                              <w:color w:val="595959" w:themeColor="text1" w:themeTint="A6"/>
                              <w:sz w:val="32"/>
                              <w:szCs w:val="32"/>
                            </w:rPr>
                          </w:pPr>
                          <w:sdt>
                            <w:sdtPr>
                              <w:rPr>
                                <w:rFonts w:ascii="Arial" w:hAnsi="Arial" w:cs="Arial"/>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00D0" w:rsidRPr="008000D0">
                                <w:rPr>
                                  <w:rFonts w:ascii="Arial" w:hAnsi="Arial" w:cs="Arial"/>
                                  <w:b/>
                                  <w:bCs/>
                                  <w:caps/>
                                  <w:color w:val="595959" w:themeColor="text1" w:themeTint="A6"/>
                                  <w:sz w:val="32"/>
                                  <w:szCs w:val="32"/>
                                </w:rPr>
                                <w:t>University of Wales trinity saint david</w:t>
                              </w:r>
                            </w:sdtContent>
                          </w:sdt>
                        </w:p>
                      </w:txbxContent>
                    </v:textbox>
                    <w10:wrap anchorx="page" anchory="page"/>
                  </v:shape>
                </w:pict>
              </mc:Fallback>
            </mc:AlternateContent>
          </w:r>
          <w:r w:rsidR="00EB147A" w:rsidRPr="00660BA3">
            <w:rPr>
              <w:rFonts w:ascii="Arial" w:hAnsi="Arial" w:cs="Arial"/>
              <w:noProof/>
              <w:sz w:val="22"/>
              <w:szCs w:val="22"/>
            </w:rPr>
            <mc:AlternateContent>
              <mc:Choice Requires="wps">
                <w:drawing>
                  <wp:anchor distT="0" distB="0" distL="114300" distR="114300" simplePos="0" relativeHeight="251660288" behindDoc="0" locked="0" layoutInCell="1" allowOverlap="1" wp14:anchorId="729E0C3A" wp14:editId="1AA93281">
                    <wp:simplePos x="0" y="0"/>
                    <wp:positionH relativeFrom="page">
                      <wp:posOffset>2926080</wp:posOffset>
                    </wp:positionH>
                    <wp:positionV relativeFrom="page">
                      <wp:posOffset>1869948</wp:posOffset>
                    </wp:positionV>
                    <wp:extent cx="4150995" cy="4576572"/>
                    <wp:effectExtent l="0" t="0" r="1905" b="14605"/>
                    <wp:wrapNone/>
                    <wp:docPr id="1" name="Text Box 30"/>
                    <wp:cNvGraphicFramePr/>
                    <a:graphic xmlns:a="http://schemas.openxmlformats.org/drawingml/2006/main">
                      <a:graphicData uri="http://schemas.microsoft.com/office/word/2010/wordprocessingShape">
                        <wps:wsp>
                          <wps:cNvSpPr txBox="1"/>
                          <wps:spPr>
                            <a:xfrm>
                              <a:off x="0" y="0"/>
                              <a:ext cx="4150995" cy="45765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CF274" w14:textId="23770B94" w:rsidR="00B51F71" w:rsidRPr="00FA0A9A" w:rsidRDefault="00DB05FC" w:rsidP="00FA0A9A">
                                <w:pPr>
                                  <w:pStyle w:val="NoSpacing"/>
                                  <w:jc w:val="center"/>
                                  <w:rPr>
                                    <w:rFonts w:ascii="Arial" w:eastAsiaTheme="majorEastAsia" w:hAnsi="Arial" w:cs="Arial"/>
                                    <w:color w:val="262626" w:themeColor="text1" w:themeTint="D9"/>
                                    <w:sz w:val="72"/>
                                  </w:rPr>
                                </w:pPr>
                                <w:sdt>
                                  <w:sdtPr>
                                    <w:rPr>
                                      <w:rFonts w:ascii="Arial" w:hAnsi="Arial" w:cs="Arial"/>
                                      <w:b/>
                                      <w:color w:val="1F3B57"/>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E3335" w:rsidRPr="00FA0A9A">
                                      <w:rPr>
                                        <w:rFonts w:ascii="Arial" w:hAnsi="Arial" w:cs="Arial"/>
                                        <w:b/>
                                        <w:color w:val="1F3B57"/>
                                        <w:sz w:val="48"/>
                                      </w:rPr>
                                      <w:t>Data Warehousing for NHS England</w:t>
                                    </w:r>
                                  </w:sdtContent>
                                </w:sdt>
                              </w:p>
                              <w:p w14:paraId="27E7B56D" w14:textId="7D7AD1F9" w:rsidR="00E665E7" w:rsidRPr="00FA0A9A" w:rsidRDefault="00DB05FC" w:rsidP="00FA0A9A">
                                <w:pPr>
                                  <w:spacing w:before="120"/>
                                  <w:jc w:val="center"/>
                                  <w:rPr>
                                    <w:rFonts w:ascii="Arial" w:hAnsi="Arial" w:cs="Arial"/>
                                    <w:b/>
                                    <w:color w:val="2C5F8A"/>
                                    <w:sz w:val="32"/>
                                  </w:rPr>
                                </w:pPr>
                                <w:sdt>
                                  <w:sdtPr>
                                    <w:rPr>
                                      <w:rFonts w:ascii="Arial" w:hAnsi="Arial" w:cs="Arial"/>
                                      <w:b/>
                                      <w:color w:val="2C5F8A"/>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1CFE" w:rsidRPr="00FA0A9A">
                                      <w:rPr>
                                        <w:rFonts w:ascii="Arial" w:hAnsi="Arial" w:cs="Arial"/>
                                        <w:b/>
                                        <w:color w:val="2C5F8A"/>
                                        <w:sz w:val="32"/>
                                      </w:rPr>
                                      <w:t xml:space="preserve">A Strategic Architecture and Implementation Plan for </w:t>
                                    </w:r>
                                    <w:r w:rsidR="0047036C" w:rsidRPr="00FA0A9A">
                                      <w:rPr>
                                        <w:rFonts w:ascii="Arial" w:hAnsi="Arial" w:cs="Arial"/>
                                        <w:b/>
                                        <w:color w:val="2C5F8A"/>
                                        <w:sz w:val="32"/>
                                      </w:rPr>
                                      <w:t>Enhancing National</w:t>
                                    </w:r>
                                    <w:r w:rsidR="00B91CFE" w:rsidRPr="00FA0A9A">
                                      <w:rPr>
                                        <w:rFonts w:ascii="Arial" w:hAnsi="Arial" w:cs="Arial"/>
                                        <w:b/>
                                        <w:color w:val="2C5F8A"/>
                                        <w:sz w:val="32"/>
                                      </w:rPr>
                                      <w:t xml:space="preserve"> Healthcare Performance with Data Analytics</w:t>
                                    </w:r>
                                  </w:sdtContent>
                                </w:sdt>
                              </w:p>
                              <w:p w14:paraId="04DD3AA7" w14:textId="77777777" w:rsidR="00936321" w:rsidRPr="00FA0A9A" w:rsidRDefault="00936321" w:rsidP="00FA0A9A">
                                <w:pPr>
                                  <w:spacing w:before="120"/>
                                  <w:jc w:val="center"/>
                                  <w:rPr>
                                    <w:rFonts w:ascii="Arial" w:hAnsi="Arial" w:cs="Arial"/>
                                    <w:b/>
                                    <w:color w:val="2C5F8A"/>
                                    <w:sz w:val="32"/>
                                  </w:rPr>
                                </w:pPr>
                              </w:p>
                              <w:p w14:paraId="7A3B57E4" w14:textId="77777777" w:rsidR="00936321" w:rsidRPr="00FA0A9A" w:rsidRDefault="00936321" w:rsidP="00FA0A9A">
                                <w:pPr>
                                  <w:spacing w:before="120"/>
                                  <w:jc w:val="center"/>
                                  <w:rPr>
                                    <w:rFonts w:ascii="Arial" w:hAnsi="Arial" w:cs="Arial"/>
                                    <w:b/>
                                    <w:color w:val="2C5F8A"/>
                                    <w:sz w:val="32"/>
                                  </w:rPr>
                                </w:pPr>
                              </w:p>
                              <w:p w14:paraId="29D59024" w14:textId="4A27E2EC" w:rsidR="00936321" w:rsidRPr="00FA0A9A" w:rsidRDefault="00936321" w:rsidP="00FA0A9A">
                                <w:pPr>
                                  <w:spacing w:before="120"/>
                                  <w:jc w:val="center"/>
                                  <w:rPr>
                                    <w:rFonts w:ascii="Arial" w:hAnsi="Arial" w:cs="Arial"/>
                                    <w:b/>
                                    <w:color w:val="2C5F8A"/>
                                    <w:sz w:val="32"/>
                                  </w:rPr>
                                </w:pPr>
                                <w:r w:rsidRPr="00FA0A9A">
                                  <w:rPr>
                                    <w:rFonts w:ascii="Arial" w:hAnsi="Arial" w:cs="Arial"/>
                                    <w:b/>
                                    <w:color w:val="2C5F8A"/>
                                    <w:sz w:val="32"/>
                                  </w:rPr>
                                  <w:t>Module: ACCA6026 – Data Warehousing &amp; Data Mining</w:t>
                                </w:r>
                              </w:p>
                              <w:p w14:paraId="703A00B2" w14:textId="2C93166A" w:rsidR="00936321" w:rsidRPr="00FA0A9A" w:rsidRDefault="00C004F3" w:rsidP="00FA0A9A">
                                <w:pPr>
                                  <w:spacing w:before="120"/>
                                  <w:jc w:val="center"/>
                                  <w:rPr>
                                    <w:rFonts w:ascii="Arial" w:hAnsi="Arial" w:cs="Arial"/>
                                    <w:b/>
                                    <w:color w:val="2C5F8A"/>
                                    <w:sz w:val="32"/>
                                  </w:rPr>
                                </w:pPr>
                                <w:r w:rsidRPr="00FA0A9A">
                                  <w:rPr>
                                    <w:rFonts w:ascii="Arial" w:hAnsi="Arial" w:cs="Arial"/>
                                    <w:b/>
                                    <w:color w:val="2C5F8A"/>
                                    <w:sz w:val="32"/>
                                  </w:rPr>
                                  <w:t>Assignment: Component 1 – Data Warehousing</w:t>
                                </w:r>
                              </w:p>
                              <w:p w14:paraId="34221412" w14:textId="7A696598" w:rsidR="00C004F3" w:rsidRPr="00FA0A9A" w:rsidRDefault="00C004F3" w:rsidP="00FA0A9A">
                                <w:pPr>
                                  <w:spacing w:before="120"/>
                                  <w:jc w:val="center"/>
                                  <w:rPr>
                                    <w:rFonts w:ascii="Arial" w:hAnsi="Arial" w:cs="Arial"/>
                                    <w:color w:val="404040" w:themeColor="text1" w:themeTint="BF"/>
                                    <w:sz w:val="36"/>
                                    <w:szCs w:val="36"/>
                                  </w:rPr>
                                </w:pPr>
                                <w:r w:rsidRPr="00FA0A9A">
                                  <w:rPr>
                                    <w:rFonts w:ascii="Arial" w:hAnsi="Arial" w:cs="Arial"/>
                                    <w:b/>
                                    <w:color w:val="2C5F8A"/>
                                    <w:sz w:val="32"/>
                                  </w:rPr>
                                  <w:t>Lecture</w:t>
                                </w:r>
                                <w:r w:rsidR="00FA0A9A" w:rsidRPr="00FA0A9A">
                                  <w:rPr>
                                    <w:rFonts w:ascii="Arial" w:hAnsi="Arial" w:cs="Arial"/>
                                    <w:b/>
                                    <w:color w:val="2C5F8A"/>
                                    <w:sz w:val="32"/>
                                  </w:rPr>
                                  <w:t>: Rajeev Nath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29E0C3A" id="Text Box 30" o:spid="_x0000_s1056" type="#_x0000_t202" style="position:absolute;left:0;text-align:left;margin-left:230.4pt;margin-top:147.25pt;width:326.85pt;height:360.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1RfYwIAADUFAAAOAAAAZHJzL2Uyb0RvYy54bWysVN9v2jAQfp+0/8Hy+wiw0q6IUDGqTpOq&#10;thqd+mwcG6I5Pu9sSNhfv7OTQMX20mkvzuXuu8/307ObpjJsr9CXYHM+Ggw5U1ZCUdpNzr8/3334&#10;xJkPwhbCgFU5PyjPb+bv381qN1Vj2IIpFDIisX5au5xvQ3DTLPNyqyrhB+CUJaMGrESgX9xkBYqa&#10;2CuTjYfDy6wGLByCVN6T9rY18nni11rJ8Ki1V4GZnFNsIZ2YznU8s/lMTDco3LaUXRjiH6KoRGnp&#10;0iPVrQiC7bD8g6oqJYIHHQYSqgy0LqVKOVA2o+FZNqutcCrlQsXx7lgm//9o5cN+5Z6QheYzNNTA&#10;WJDa+aknZcyn0VjFL0XKyE4lPBzLpprAJCkvRpPh9fWEM0m2i8nV5eRqHHmyk7tDH74oqFgUco7U&#10;l1Qusb/3oYX2kHibhbvSmNQbY1md88uPk2FyOFqI3NiIVanLHc0p9CSFg1ERY+w3pVlZpAyiIs2X&#10;Whpke0GTIaRUNqTkEy+hI0pTEG9x7PCnqN7i3ObR3ww2HJ2r0gKm7M/CLn70IesWTzV/lXcUQ7Nu&#10;KPGcp45EzRqKAzUcod0F7+RdSU25Fz48CaThpx7TQodHOrQBKj50EmdbwF9/00c8zSRZOatpmXLu&#10;f+4EKs7MV0vTGjevF7AX1r1gd9USqAsjeiqcTCI5YDC9qBGqF9rzRbyFTMJKuivnoReXoV1peiek&#10;WiwSiPbLiXBvV05G6tiUOGLPzYtA181hoBF+gH7NxPRsHFts9LSw2AXQZZrVUxW7etNupmnv3pG4&#10;/K//E+r02s1/AwAA//8DAFBLAwQUAAYACAAAACEAzN7+DeAAAAANAQAADwAAAGRycy9kb3ducmV2&#10;LnhtbEyPS0/DMBCE70j8B2uRuFHbUVtBiFMhHjeeBSS4OfGSRMR2ZG/S8O9xTnCb1Yxmvi12s+3Z&#10;hCF23imQKwEMXe1N5xoFb693Z+fAImlndO8dKvjBCLvy+KjQufEH94LTnhqWSlzMtYKWaMg5j3WL&#10;VseVH9Al78sHqymdoeEm6EMqtz3PhNhyqzuXFlo94HWL9fd+tAr6jxjuK0Gf003zQM9PfHy/lY9K&#10;nZ7MV5fACGf6C8OCn9ChTEyVH52JrFew3oqETgqyi/UG2JKQclFVUkJuMuBlwf9/Uf4CAAD//wMA&#10;UEsBAi0AFAAGAAgAAAAhALaDOJL+AAAA4QEAABMAAAAAAAAAAAAAAAAAAAAAAFtDb250ZW50X1R5&#10;cGVzXS54bWxQSwECLQAUAAYACAAAACEAOP0h/9YAAACUAQAACwAAAAAAAAAAAAAAAAAvAQAAX3Jl&#10;bHMvLnJlbHNQSwECLQAUAAYACAAAACEAJd9UX2MCAAA1BQAADgAAAAAAAAAAAAAAAAAuAgAAZHJz&#10;L2Uyb0RvYy54bWxQSwECLQAUAAYACAAAACEAzN7+DeAAAAANAQAADwAAAAAAAAAAAAAAAAC9BAAA&#10;ZHJzL2Rvd25yZXYueG1sUEsFBgAAAAAEAAQA8wAAAMoFAAAAAA==&#10;" filled="f" stroked="f" strokeweight=".5pt">
                    <v:textbox inset="0,0,0,0">
                      <w:txbxContent>
                        <w:p w14:paraId="13ECF274" w14:textId="23770B94" w:rsidR="00B51F71" w:rsidRPr="00FA0A9A" w:rsidRDefault="00DB05FC" w:rsidP="00FA0A9A">
                          <w:pPr>
                            <w:pStyle w:val="NoSpacing"/>
                            <w:jc w:val="center"/>
                            <w:rPr>
                              <w:rFonts w:ascii="Arial" w:eastAsiaTheme="majorEastAsia" w:hAnsi="Arial" w:cs="Arial"/>
                              <w:color w:val="262626" w:themeColor="text1" w:themeTint="D9"/>
                              <w:sz w:val="72"/>
                            </w:rPr>
                          </w:pPr>
                          <w:sdt>
                            <w:sdtPr>
                              <w:rPr>
                                <w:rFonts w:ascii="Arial" w:hAnsi="Arial" w:cs="Arial"/>
                                <w:b/>
                                <w:color w:val="1F3B57"/>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E3335" w:rsidRPr="00FA0A9A">
                                <w:rPr>
                                  <w:rFonts w:ascii="Arial" w:hAnsi="Arial" w:cs="Arial"/>
                                  <w:b/>
                                  <w:color w:val="1F3B57"/>
                                  <w:sz w:val="48"/>
                                </w:rPr>
                                <w:t>Data Warehousing for NHS England</w:t>
                              </w:r>
                            </w:sdtContent>
                          </w:sdt>
                        </w:p>
                        <w:p w14:paraId="27E7B56D" w14:textId="7D7AD1F9" w:rsidR="00E665E7" w:rsidRPr="00FA0A9A" w:rsidRDefault="00DB05FC" w:rsidP="00FA0A9A">
                          <w:pPr>
                            <w:spacing w:before="120"/>
                            <w:jc w:val="center"/>
                            <w:rPr>
                              <w:rFonts w:ascii="Arial" w:hAnsi="Arial" w:cs="Arial"/>
                              <w:b/>
                              <w:color w:val="2C5F8A"/>
                              <w:sz w:val="32"/>
                            </w:rPr>
                          </w:pPr>
                          <w:sdt>
                            <w:sdtPr>
                              <w:rPr>
                                <w:rFonts w:ascii="Arial" w:hAnsi="Arial" w:cs="Arial"/>
                                <w:b/>
                                <w:color w:val="2C5F8A"/>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1CFE" w:rsidRPr="00FA0A9A">
                                <w:rPr>
                                  <w:rFonts w:ascii="Arial" w:hAnsi="Arial" w:cs="Arial"/>
                                  <w:b/>
                                  <w:color w:val="2C5F8A"/>
                                  <w:sz w:val="32"/>
                                </w:rPr>
                                <w:t xml:space="preserve">A Strategic Architecture and Implementation Plan for </w:t>
                              </w:r>
                              <w:r w:rsidR="0047036C" w:rsidRPr="00FA0A9A">
                                <w:rPr>
                                  <w:rFonts w:ascii="Arial" w:hAnsi="Arial" w:cs="Arial"/>
                                  <w:b/>
                                  <w:color w:val="2C5F8A"/>
                                  <w:sz w:val="32"/>
                                </w:rPr>
                                <w:t>Enhancing National</w:t>
                              </w:r>
                              <w:r w:rsidR="00B91CFE" w:rsidRPr="00FA0A9A">
                                <w:rPr>
                                  <w:rFonts w:ascii="Arial" w:hAnsi="Arial" w:cs="Arial"/>
                                  <w:b/>
                                  <w:color w:val="2C5F8A"/>
                                  <w:sz w:val="32"/>
                                </w:rPr>
                                <w:t xml:space="preserve"> Healthcare Performance with Data Analytics</w:t>
                              </w:r>
                            </w:sdtContent>
                          </w:sdt>
                        </w:p>
                        <w:p w14:paraId="04DD3AA7" w14:textId="77777777" w:rsidR="00936321" w:rsidRPr="00FA0A9A" w:rsidRDefault="00936321" w:rsidP="00FA0A9A">
                          <w:pPr>
                            <w:spacing w:before="120"/>
                            <w:jc w:val="center"/>
                            <w:rPr>
                              <w:rFonts w:ascii="Arial" w:hAnsi="Arial" w:cs="Arial"/>
                              <w:b/>
                              <w:color w:val="2C5F8A"/>
                              <w:sz w:val="32"/>
                            </w:rPr>
                          </w:pPr>
                        </w:p>
                        <w:p w14:paraId="7A3B57E4" w14:textId="77777777" w:rsidR="00936321" w:rsidRPr="00FA0A9A" w:rsidRDefault="00936321" w:rsidP="00FA0A9A">
                          <w:pPr>
                            <w:spacing w:before="120"/>
                            <w:jc w:val="center"/>
                            <w:rPr>
                              <w:rFonts w:ascii="Arial" w:hAnsi="Arial" w:cs="Arial"/>
                              <w:b/>
                              <w:color w:val="2C5F8A"/>
                              <w:sz w:val="32"/>
                            </w:rPr>
                          </w:pPr>
                        </w:p>
                        <w:p w14:paraId="29D59024" w14:textId="4A27E2EC" w:rsidR="00936321" w:rsidRPr="00FA0A9A" w:rsidRDefault="00936321" w:rsidP="00FA0A9A">
                          <w:pPr>
                            <w:spacing w:before="120"/>
                            <w:jc w:val="center"/>
                            <w:rPr>
                              <w:rFonts w:ascii="Arial" w:hAnsi="Arial" w:cs="Arial"/>
                              <w:b/>
                              <w:color w:val="2C5F8A"/>
                              <w:sz w:val="32"/>
                            </w:rPr>
                          </w:pPr>
                          <w:r w:rsidRPr="00FA0A9A">
                            <w:rPr>
                              <w:rFonts w:ascii="Arial" w:hAnsi="Arial" w:cs="Arial"/>
                              <w:b/>
                              <w:color w:val="2C5F8A"/>
                              <w:sz w:val="32"/>
                            </w:rPr>
                            <w:t>Module: ACCA6026 – Data Warehousing &amp; Data Mining</w:t>
                          </w:r>
                        </w:p>
                        <w:p w14:paraId="703A00B2" w14:textId="2C93166A" w:rsidR="00936321" w:rsidRPr="00FA0A9A" w:rsidRDefault="00C004F3" w:rsidP="00FA0A9A">
                          <w:pPr>
                            <w:spacing w:before="120"/>
                            <w:jc w:val="center"/>
                            <w:rPr>
                              <w:rFonts w:ascii="Arial" w:hAnsi="Arial" w:cs="Arial"/>
                              <w:b/>
                              <w:color w:val="2C5F8A"/>
                              <w:sz w:val="32"/>
                            </w:rPr>
                          </w:pPr>
                          <w:r w:rsidRPr="00FA0A9A">
                            <w:rPr>
                              <w:rFonts w:ascii="Arial" w:hAnsi="Arial" w:cs="Arial"/>
                              <w:b/>
                              <w:color w:val="2C5F8A"/>
                              <w:sz w:val="32"/>
                            </w:rPr>
                            <w:t>Assignment: Component 1 – Data Warehousing</w:t>
                          </w:r>
                        </w:p>
                        <w:p w14:paraId="34221412" w14:textId="7A696598" w:rsidR="00C004F3" w:rsidRPr="00FA0A9A" w:rsidRDefault="00C004F3" w:rsidP="00FA0A9A">
                          <w:pPr>
                            <w:spacing w:before="120"/>
                            <w:jc w:val="center"/>
                            <w:rPr>
                              <w:rFonts w:ascii="Arial" w:hAnsi="Arial" w:cs="Arial"/>
                              <w:color w:val="404040" w:themeColor="text1" w:themeTint="BF"/>
                              <w:sz w:val="36"/>
                              <w:szCs w:val="36"/>
                            </w:rPr>
                          </w:pPr>
                          <w:r w:rsidRPr="00FA0A9A">
                            <w:rPr>
                              <w:rFonts w:ascii="Arial" w:hAnsi="Arial" w:cs="Arial"/>
                              <w:b/>
                              <w:color w:val="2C5F8A"/>
                              <w:sz w:val="32"/>
                            </w:rPr>
                            <w:t>Lecture</w:t>
                          </w:r>
                          <w:r w:rsidR="00FA0A9A" w:rsidRPr="00FA0A9A">
                            <w:rPr>
                              <w:rFonts w:ascii="Arial" w:hAnsi="Arial" w:cs="Arial"/>
                              <w:b/>
                              <w:color w:val="2C5F8A"/>
                              <w:sz w:val="32"/>
                            </w:rPr>
                            <w:t>: Rajeev Nath</w:t>
                          </w:r>
                        </w:p>
                      </w:txbxContent>
                    </v:textbox>
                    <w10:wrap anchorx="page" anchory="page"/>
                  </v:shape>
                </w:pict>
              </mc:Fallback>
            </mc:AlternateContent>
          </w:r>
          <w:r w:rsidR="00E665E7" w:rsidRPr="00660BA3">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409763461"/>
            <w:docPartObj>
              <w:docPartGallery w:val="Table of Contents"/>
              <w:docPartUnique/>
            </w:docPartObj>
          </w:sdtPr>
          <w:sdtEndPr>
            <w:rPr>
              <w:b/>
              <w:bCs/>
            </w:rPr>
          </w:sdtEndPr>
          <w:sdtContent>
            <w:p w14:paraId="278E8E50" w14:textId="44ADAE19" w:rsidR="00F34397" w:rsidRPr="00F34397" w:rsidRDefault="00F34397">
              <w:pPr>
                <w:pStyle w:val="TOCHeading"/>
                <w:rPr>
                  <w:rFonts w:ascii="Arial" w:hAnsi="Arial" w:cs="Arial"/>
                  <w:b/>
                  <w:bCs/>
                </w:rPr>
              </w:pPr>
              <w:r w:rsidRPr="00F34397">
                <w:rPr>
                  <w:rFonts w:ascii="Arial" w:hAnsi="Arial" w:cs="Arial"/>
                  <w:b/>
                  <w:bCs/>
                </w:rPr>
                <w:t>Table of Contents</w:t>
              </w:r>
            </w:p>
            <w:p w14:paraId="431F657F" w14:textId="01151AF6" w:rsidR="00E94AAB" w:rsidRDefault="00F343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88912" w:history="1">
                <w:r w:rsidR="00E94AAB" w:rsidRPr="002A1F7C">
                  <w:rPr>
                    <w:rStyle w:val="Hyperlink"/>
                    <w:rFonts w:ascii="Arial" w:hAnsi="Arial" w:cs="Arial"/>
                    <w:b/>
                    <w:bCs/>
                    <w:noProof/>
                  </w:rPr>
                  <w:t>Introduction</w:t>
                </w:r>
                <w:r w:rsidR="00E94AAB">
                  <w:rPr>
                    <w:noProof/>
                    <w:webHidden/>
                  </w:rPr>
                  <w:tab/>
                </w:r>
                <w:r w:rsidR="00E94AAB">
                  <w:rPr>
                    <w:noProof/>
                    <w:webHidden/>
                  </w:rPr>
                  <w:fldChar w:fldCharType="begin"/>
                </w:r>
                <w:r w:rsidR="00E94AAB">
                  <w:rPr>
                    <w:noProof/>
                    <w:webHidden/>
                  </w:rPr>
                  <w:instrText xml:space="preserve"> PAGEREF _Toc235988912 \h </w:instrText>
                </w:r>
                <w:r w:rsidR="00E94AAB">
                  <w:rPr>
                    <w:noProof/>
                    <w:webHidden/>
                  </w:rPr>
                </w:r>
                <w:r w:rsidR="00E94AAB">
                  <w:rPr>
                    <w:noProof/>
                    <w:webHidden/>
                  </w:rPr>
                  <w:fldChar w:fldCharType="separate"/>
                </w:r>
                <w:r w:rsidR="00E94AAB">
                  <w:rPr>
                    <w:noProof/>
                    <w:webHidden/>
                  </w:rPr>
                  <w:t>1</w:t>
                </w:r>
                <w:r w:rsidR="00E94AAB">
                  <w:rPr>
                    <w:noProof/>
                    <w:webHidden/>
                  </w:rPr>
                  <w:fldChar w:fldCharType="end"/>
                </w:r>
              </w:hyperlink>
            </w:p>
            <w:p w14:paraId="268594ED" w14:textId="2A91612E" w:rsidR="00E94AAB" w:rsidRDefault="00E94AAB">
              <w:pPr>
                <w:pStyle w:val="TOC1"/>
                <w:tabs>
                  <w:tab w:val="right" w:leader="dot" w:pos="9016"/>
                </w:tabs>
                <w:rPr>
                  <w:rFonts w:eastAsiaTheme="minorEastAsia"/>
                  <w:noProof/>
                  <w:lang w:eastAsia="en-GB"/>
                </w:rPr>
              </w:pPr>
              <w:hyperlink w:anchor="_Toc235988913" w:history="1">
                <w:r w:rsidRPr="002A1F7C">
                  <w:rPr>
                    <w:rStyle w:val="Hyperlink"/>
                    <w:rFonts w:ascii="Arial" w:hAnsi="Arial" w:cs="Arial"/>
                    <w:b/>
                    <w:bCs/>
                    <w:noProof/>
                  </w:rPr>
                  <w:t>Task 1: The Strategic Case for a Data Warehouse</w:t>
                </w:r>
                <w:r>
                  <w:rPr>
                    <w:noProof/>
                    <w:webHidden/>
                  </w:rPr>
                  <w:tab/>
                </w:r>
                <w:r>
                  <w:rPr>
                    <w:noProof/>
                    <w:webHidden/>
                  </w:rPr>
                  <w:fldChar w:fldCharType="begin"/>
                </w:r>
                <w:r>
                  <w:rPr>
                    <w:noProof/>
                    <w:webHidden/>
                  </w:rPr>
                  <w:instrText xml:space="preserve"> PAGEREF _Toc235988913 \h </w:instrText>
                </w:r>
                <w:r>
                  <w:rPr>
                    <w:noProof/>
                    <w:webHidden/>
                  </w:rPr>
                </w:r>
                <w:r>
                  <w:rPr>
                    <w:noProof/>
                    <w:webHidden/>
                  </w:rPr>
                  <w:fldChar w:fldCharType="separate"/>
                </w:r>
                <w:r>
                  <w:rPr>
                    <w:noProof/>
                    <w:webHidden/>
                  </w:rPr>
                  <w:t>2</w:t>
                </w:r>
                <w:r>
                  <w:rPr>
                    <w:noProof/>
                    <w:webHidden/>
                  </w:rPr>
                  <w:fldChar w:fldCharType="end"/>
                </w:r>
              </w:hyperlink>
            </w:p>
            <w:p w14:paraId="6DAF0F21" w14:textId="7DE8518A" w:rsidR="00E94AAB" w:rsidRDefault="00E94AAB">
              <w:pPr>
                <w:pStyle w:val="TOC2"/>
                <w:tabs>
                  <w:tab w:val="right" w:leader="dot" w:pos="9016"/>
                </w:tabs>
                <w:rPr>
                  <w:rFonts w:eastAsiaTheme="minorEastAsia"/>
                  <w:noProof/>
                  <w:lang w:eastAsia="en-GB"/>
                </w:rPr>
              </w:pPr>
              <w:hyperlink w:anchor="_Toc235988914" w:history="1">
                <w:r w:rsidRPr="002A1F7C">
                  <w:rPr>
                    <w:rStyle w:val="Hyperlink"/>
                    <w:rFonts w:ascii="Arial" w:hAnsi="Arial" w:cs="Arial"/>
                    <w:b/>
                    <w:bCs/>
                    <w:noProof/>
                  </w:rPr>
                  <w:t>1.1 OLTP Systems versus a Data Warehouse</w:t>
                </w:r>
                <w:r>
                  <w:rPr>
                    <w:noProof/>
                    <w:webHidden/>
                  </w:rPr>
                  <w:tab/>
                </w:r>
                <w:r>
                  <w:rPr>
                    <w:noProof/>
                    <w:webHidden/>
                  </w:rPr>
                  <w:fldChar w:fldCharType="begin"/>
                </w:r>
                <w:r>
                  <w:rPr>
                    <w:noProof/>
                    <w:webHidden/>
                  </w:rPr>
                  <w:instrText xml:space="preserve"> PAGEREF _Toc235988914 \h </w:instrText>
                </w:r>
                <w:r>
                  <w:rPr>
                    <w:noProof/>
                    <w:webHidden/>
                  </w:rPr>
                </w:r>
                <w:r>
                  <w:rPr>
                    <w:noProof/>
                    <w:webHidden/>
                  </w:rPr>
                  <w:fldChar w:fldCharType="separate"/>
                </w:r>
                <w:r>
                  <w:rPr>
                    <w:noProof/>
                    <w:webHidden/>
                  </w:rPr>
                  <w:t>2</w:t>
                </w:r>
                <w:r>
                  <w:rPr>
                    <w:noProof/>
                    <w:webHidden/>
                  </w:rPr>
                  <w:fldChar w:fldCharType="end"/>
                </w:r>
              </w:hyperlink>
            </w:p>
            <w:p w14:paraId="6FE44651" w14:textId="444A64D2" w:rsidR="00E94AAB" w:rsidRDefault="00E94AAB">
              <w:pPr>
                <w:pStyle w:val="TOC2"/>
                <w:tabs>
                  <w:tab w:val="right" w:leader="dot" w:pos="9016"/>
                </w:tabs>
                <w:rPr>
                  <w:rFonts w:eastAsiaTheme="minorEastAsia"/>
                  <w:noProof/>
                  <w:lang w:eastAsia="en-GB"/>
                </w:rPr>
              </w:pPr>
              <w:hyperlink w:anchor="_Toc235988915" w:history="1">
                <w:r w:rsidRPr="002A1F7C">
                  <w:rPr>
                    <w:rStyle w:val="Hyperlink"/>
                    <w:rFonts w:ascii="Arial" w:hAnsi="Arial" w:cs="Arial"/>
                    <w:b/>
                    <w:bCs/>
                    <w:noProof/>
                  </w:rPr>
                  <w:t>1.2 Data Warehouse Architecture and the ETL Process</w:t>
                </w:r>
                <w:r>
                  <w:rPr>
                    <w:noProof/>
                    <w:webHidden/>
                  </w:rPr>
                  <w:tab/>
                </w:r>
                <w:r>
                  <w:rPr>
                    <w:noProof/>
                    <w:webHidden/>
                  </w:rPr>
                  <w:fldChar w:fldCharType="begin"/>
                </w:r>
                <w:r>
                  <w:rPr>
                    <w:noProof/>
                    <w:webHidden/>
                  </w:rPr>
                  <w:instrText xml:space="preserve"> PAGEREF _Toc235988915 \h </w:instrText>
                </w:r>
                <w:r>
                  <w:rPr>
                    <w:noProof/>
                    <w:webHidden/>
                  </w:rPr>
                </w:r>
                <w:r>
                  <w:rPr>
                    <w:noProof/>
                    <w:webHidden/>
                  </w:rPr>
                  <w:fldChar w:fldCharType="separate"/>
                </w:r>
                <w:r>
                  <w:rPr>
                    <w:noProof/>
                    <w:webHidden/>
                  </w:rPr>
                  <w:t>2</w:t>
                </w:r>
                <w:r>
                  <w:rPr>
                    <w:noProof/>
                    <w:webHidden/>
                  </w:rPr>
                  <w:fldChar w:fldCharType="end"/>
                </w:r>
              </w:hyperlink>
            </w:p>
            <w:p w14:paraId="236A8FD5" w14:textId="3315C2DD" w:rsidR="00E94AAB" w:rsidRDefault="00E94AAB">
              <w:pPr>
                <w:pStyle w:val="TOC2"/>
                <w:tabs>
                  <w:tab w:val="right" w:leader="dot" w:pos="9016"/>
                </w:tabs>
                <w:rPr>
                  <w:rFonts w:eastAsiaTheme="minorEastAsia"/>
                  <w:noProof/>
                  <w:lang w:eastAsia="en-GB"/>
                </w:rPr>
              </w:pPr>
              <w:hyperlink w:anchor="_Toc235988916" w:history="1">
                <w:r w:rsidRPr="002A1F7C">
                  <w:rPr>
                    <w:rStyle w:val="Hyperlink"/>
                    <w:rFonts w:ascii="Arial" w:hAnsi="Arial" w:cs="Arial"/>
                    <w:b/>
                    <w:bCs/>
                    <w:noProof/>
                  </w:rPr>
                  <w:t>1.3 Data Marts for Management Decision-Making</w:t>
                </w:r>
                <w:r>
                  <w:rPr>
                    <w:noProof/>
                    <w:webHidden/>
                  </w:rPr>
                  <w:tab/>
                </w:r>
                <w:r>
                  <w:rPr>
                    <w:noProof/>
                    <w:webHidden/>
                  </w:rPr>
                  <w:fldChar w:fldCharType="begin"/>
                </w:r>
                <w:r>
                  <w:rPr>
                    <w:noProof/>
                    <w:webHidden/>
                  </w:rPr>
                  <w:instrText xml:space="preserve"> PAGEREF _Toc235988916 \h </w:instrText>
                </w:r>
                <w:r>
                  <w:rPr>
                    <w:noProof/>
                    <w:webHidden/>
                  </w:rPr>
                </w:r>
                <w:r>
                  <w:rPr>
                    <w:noProof/>
                    <w:webHidden/>
                  </w:rPr>
                  <w:fldChar w:fldCharType="separate"/>
                </w:r>
                <w:r>
                  <w:rPr>
                    <w:noProof/>
                    <w:webHidden/>
                  </w:rPr>
                  <w:t>4</w:t>
                </w:r>
                <w:r>
                  <w:rPr>
                    <w:noProof/>
                    <w:webHidden/>
                  </w:rPr>
                  <w:fldChar w:fldCharType="end"/>
                </w:r>
              </w:hyperlink>
            </w:p>
            <w:p w14:paraId="4A1CA257" w14:textId="33BC7726" w:rsidR="00E94AAB" w:rsidRDefault="00E94AAB">
              <w:pPr>
                <w:pStyle w:val="TOC2"/>
                <w:tabs>
                  <w:tab w:val="right" w:leader="dot" w:pos="9016"/>
                </w:tabs>
                <w:rPr>
                  <w:rFonts w:eastAsiaTheme="minorEastAsia"/>
                  <w:noProof/>
                  <w:lang w:eastAsia="en-GB"/>
                </w:rPr>
              </w:pPr>
              <w:hyperlink w:anchor="_Toc235988917" w:history="1">
                <w:r w:rsidRPr="002A1F7C">
                  <w:rPr>
                    <w:rStyle w:val="Hyperlink"/>
                    <w:rFonts w:ascii="Arial" w:hAnsi="Arial" w:cs="Arial"/>
                    <w:b/>
                    <w:bCs/>
                    <w:noProof/>
                  </w:rPr>
                  <w:t>1.4 From OLTP Normalisation to Dimensional Modelling</w:t>
                </w:r>
                <w:r>
                  <w:rPr>
                    <w:noProof/>
                    <w:webHidden/>
                  </w:rPr>
                  <w:tab/>
                </w:r>
                <w:r>
                  <w:rPr>
                    <w:noProof/>
                    <w:webHidden/>
                  </w:rPr>
                  <w:fldChar w:fldCharType="begin"/>
                </w:r>
                <w:r>
                  <w:rPr>
                    <w:noProof/>
                    <w:webHidden/>
                  </w:rPr>
                  <w:instrText xml:space="preserve"> PAGEREF _Toc235988917 \h </w:instrText>
                </w:r>
                <w:r>
                  <w:rPr>
                    <w:noProof/>
                    <w:webHidden/>
                  </w:rPr>
                </w:r>
                <w:r>
                  <w:rPr>
                    <w:noProof/>
                    <w:webHidden/>
                  </w:rPr>
                  <w:fldChar w:fldCharType="separate"/>
                </w:r>
                <w:r>
                  <w:rPr>
                    <w:noProof/>
                    <w:webHidden/>
                  </w:rPr>
                  <w:t>5</w:t>
                </w:r>
                <w:r>
                  <w:rPr>
                    <w:noProof/>
                    <w:webHidden/>
                  </w:rPr>
                  <w:fldChar w:fldCharType="end"/>
                </w:r>
              </w:hyperlink>
            </w:p>
            <w:p w14:paraId="478CB3C7" w14:textId="3BD18B34" w:rsidR="00E94AAB" w:rsidRDefault="00E94AAB">
              <w:pPr>
                <w:pStyle w:val="TOC1"/>
                <w:tabs>
                  <w:tab w:val="right" w:leader="dot" w:pos="9016"/>
                </w:tabs>
                <w:rPr>
                  <w:rFonts w:eastAsiaTheme="minorEastAsia"/>
                  <w:noProof/>
                  <w:lang w:eastAsia="en-GB"/>
                </w:rPr>
              </w:pPr>
              <w:hyperlink w:anchor="_Toc235988918" w:history="1">
                <w:r w:rsidRPr="002A1F7C">
                  <w:rPr>
                    <w:rStyle w:val="Hyperlink"/>
                    <w:rFonts w:ascii="Arial" w:hAnsi="Arial" w:cs="Arial"/>
                    <w:b/>
                    <w:bCs/>
                    <w:noProof/>
                  </w:rPr>
                  <w:t>Task 2: Star Schema Design and Implementation Plan</w:t>
                </w:r>
                <w:r>
                  <w:rPr>
                    <w:noProof/>
                    <w:webHidden/>
                  </w:rPr>
                  <w:tab/>
                </w:r>
                <w:r>
                  <w:rPr>
                    <w:noProof/>
                    <w:webHidden/>
                  </w:rPr>
                  <w:fldChar w:fldCharType="begin"/>
                </w:r>
                <w:r>
                  <w:rPr>
                    <w:noProof/>
                    <w:webHidden/>
                  </w:rPr>
                  <w:instrText xml:space="preserve"> PAGEREF _Toc235988918 \h </w:instrText>
                </w:r>
                <w:r>
                  <w:rPr>
                    <w:noProof/>
                    <w:webHidden/>
                  </w:rPr>
                </w:r>
                <w:r>
                  <w:rPr>
                    <w:noProof/>
                    <w:webHidden/>
                  </w:rPr>
                  <w:fldChar w:fldCharType="separate"/>
                </w:r>
                <w:r>
                  <w:rPr>
                    <w:noProof/>
                    <w:webHidden/>
                  </w:rPr>
                  <w:t>6</w:t>
                </w:r>
                <w:r>
                  <w:rPr>
                    <w:noProof/>
                    <w:webHidden/>
                  </w:rPr>
                  <w:fldChar w:fldCharType="end"/>
                </w:r>
              </w:hyperlink>
            </w:p>
            <w:p w14:paraId="7BD9C0C4" w14:textId="5FD5693F" w:rsidR="00E94AAB" w:rsidRDefault="00E94AAB">
              <w:pPr>
                <w:pStyle w:val="TOC2"/>
                <w:tabs>
                  <w:tab w:val="right" w:leader="dot" w:pos="9016"/>
                </w:tabs>
                <w:rPr>
                  <w:rFonts w:eastAsiaTheme="minorEastAsia"/>
                  <w:noProof/>
                  <w:lang w:eastAsia="en-GB"/>
                </w:rPr>
              </w:pPr>
              <w:hyperlink w:anchor="_Toc235988919" w:history="1">
                <w:r w:rsidRPr="002A1F7C">
                  <w:rPr>
                    <w:rStyle w:val="Hyperlink"/>
                    <w:rFonts w:ascii="Arial" w:hAnsi="Arial" w:cs="Arial"/>
                    <w:b/>
                    <w:bCs/>
                    <w:noProof/>
                  </w:rPr>
                  <w:t>2.1 Source System Identification</w:t>
                </w:r>
                <w:r>
                  <w:rPr>
                    <w:noProof/>
                    <w:webHidden/>
                  </w:rPr>
                  <w:tab/>
                </w:r>
                <w:r>
                  <w:rPr>
                    <w:noProof/>
                    <w:webHidden/>
                  </w:rPr>
                  <w:fldChar w:fldCharType="begin"/>
                </w:r>
                <w:r>
                  <w:rPr>
                    <w:noProof/>
                    <w:webHidden/>
                  </w:rPr>
                  <w:instrText xml:space="preserve"> PAGEREF _Toc235988919 \h </w:instrText>
                </w:r>
                <w:r>
                  <w:rPr>
                    <w:noProof/>
                    <w:webHidden/>
                  </w:rPr>
                </w:r>
                <w:r>
                  <w:rPr>
                    <w:noProof/>
                    <w:webHidden/>
                  </w:rPr>
                  <w:fldChar w:fldCharType="separate"/>
                </w:r>
                <w:r>
                  <w:rPr>
                    <w:noProof/>
                    <w:webHidden/>
                  </w:rPr>
                  <w:t>6</w:t>
                </w:r>
                <w:r>
                  <w:rPr>
                    <w:noProof/>
                    <w:webHidden/>
                  </w:rPr>
                  <w:fldChar w:fldCharType="end"/>
                </w:r>
              </w:hyperlink>
            </w:p>
            <w:p w14:paraId="6BC5197C" w14:textId="65FE7C7B" w:rsidR="00E94AAB" w:rsidRDefault="00E94AAB">
              <w:pPr>
                <w:pStyle w:val="TOC2"/>
                <w:tabs>
                  <w:tab w:val="right" w:leader="dot" w:pos="9016"/>
                </w:tabs>
                <w:rPr>
                  <w:rFonts w:eastAsiaTheme="minorEastAsia"/>
                  <w:noProof/>
                  <w:lang w:eastAsia="en-GB"/>
                </w:rPr>
              </w:pPr>
              <w:hyperlink w:anchor="_Toc235988920" w:history="1">
                <w:r w:rsidRPr="002A1F7C">
                  <w:rPr>
                    <w:rStyle w:val="Hyperlink"/>
                    <w:rFonts w:ascii="Arial" w:hAnsi="Arial" w:cs="Arial"/>
                    <w:b/>
                    <w:bCs/>
                    <w:noProof/>
                  </w:rPr>
                  <w:t>2.2 Star Schema Design</w:t>
                </w:r>
                <w:r>
                  <w:rPr>
                    <w:noProof/>
                    <w:webHidden/>
                  </w:rPr>
                  <w:tab/>
                </w:r>
                <w:r>
                  <w:rPr>
                    <w:noProof/>
                    <w:webHidden/>
                  </w:rPr>
                  <w:fldChar w:fldCharType="begin"/>
                </w:r>
                <w:r>
                  <w:rPr>
                    <w:noProof/>
                    <w:webHidden/>
                  </w:rPr>
                  <w:instrText xml:space="preserve"> PAGEREF _Toc235988920 \h </w:instrText>
                </w:r>
                <w:r>
                  <w:rPr>
                    <w:noProof/>
                    <w:webHidden/>
                  </w:rPr>
                </w:r>
                <w:r>
                  <w:rPr>
                    <w:noProof/>
                    <w:webHidden/>
                  </w:rPr>
                  <w:fldChar w:fldCharType="separate"/>
                </w:r>
                <w:r>
                  <w:rPr>
                    <w:noProof/>
                    <w:webHidden/>
                  </w:rPr>
                  <w:t>6</w:t>
                </w:r>
                <w:r>
                  <w:rPr>
                    <w:noProof/>
                    <w:webHidden/>
                  </w:rPr>
                  <w:fldChar w:fldCharType="end"/>
                </w:r>
              </w:hyperlink>
            </w:p>
            <w:p w14:paraId="036F94AD" w14:textId="17A88667" w:rsidR="00E94AAB" w:rsidRDefault="00E94AAB">
              <w:pPr>
                <w:pStyle w:val="TOC2"/>
                <w:tabs>
                  <w:tab w:val="right" w:leader="dot" w:pos="9016"/>
                </w:tabs>
                <w:rPr>
                  <w:rFonts w:eastAsiaTheme="minorEastAsia"/>
                  <w:noProof/>
                  <w:lang w:eastAsia="en-GB"/>
                </w:rPr>
              </w:pPr>
              <w:hyperlink w:anchor="_Toc235988921" w:history="1">
                <w:r w:rsidRPr="002A1F7C">
                  <w:rPr>
                    <w:rStyle w:val="Hyperlink"/>
                    <w:rFonts w:ascii="Arial" w:hAnsi="Arial" w:cs="Arial"/>
                    <w:b/>
                    <w:bCs/>
                    <w:noProof/>
                  </w:rPr>
                  <w:t>2.3 Data Marts and Schema</w:t>
                </w:r>
                <w:r>
                  <w:rPr>
                    <w:noProof/>
                    <w:webHidden/>
                  </w:rPr>
                  <w:tab/>
                </w:r>
                <w:r>
                  <w:rPr>
                    <w:noProof/>
                    <w:webHidden/>
                  </w:rPr>
                  <w:fldChar w:fldCharType="begin"/>
                </w:r>
                <w:r>
                  <w:rPr>
                    <w:noProof/>
                    <w:webHidden/>
                  </w:rPr>
                  <w:instrText xml:space="preserve"> PAGEREF _Toc235988921 \h </w:instrText>
                </w:r>
                <w:r>
                  <w:rPr>
                    <w:noProof/>
                    <w:webHidden/>
                  </w:rPr>
                </w:r>
                <w:r>
                  <w:rPr>
                    <w:noProof/>
                    <w:webHidden/>
                  </w:rPr>
                  <w:fldChar w:fldCharType="separate"/>
                </w:r>
                <w:r>
                  <w:rPr>
                    <w:noProof/>
                    <w:webHidden/>
                  </w:rPr>
                  <w:t>7</w:t>
                </w:r>
                <w:r>
                  <w:rPr>
                    <w:noProof/>
                    <w:webHidden/>
                  </w:rPr>
                  <w:fldChar w:fldCharType="end"/>
                </w:r>
              </w:hyperlink>
            </w:p>
            <w:p w14:paraId="6AA7503E" w14:textId="1A6AAA97" w:rsidR="00E94AAB" w:rsidRDefault="00E94AAB">
              <w:pPr>
                <w:pStyle w:val="TOC2"/>
                <w:tabs>
                  <w:tab w:val="right" w:leader="dot" w:pos="9016"/>
                </w:tabs>
                <w:rPr>
                  <w:rFonts w:eastAsiaTheme="minorEastAsia"/>
                  <w:noProof/>
                  <w:lang w:eastAsia="en-GB"/>
                </w:rPr>
              </w:pPr>
              <w:hyperlink w:anchor="_Toc235988922" w:history="1">
                <w:r w:rsidRPr="002A1F7C">
                  <w:rPr>
                    <w:rStyle w:val="Hyperlink"/>
                    <w:rFonts w:ascii="Arial" w:hAnsi="Arial" w:cs="Arial"/>
                    <w:b/>
                    <w:bCs/>
                    <w:noProof/>
                  </w:rPr>
                  <w:t>2.4 ETL Plan</w:t>
                </w:r>
                <w:r>
                  <w:rPr>
                    <w:noProof/>
                    <w:webHidden/>
                  </w:rPr>
                  <w:tab/>
                </w:r>
                <w:r>
                  <w:rPr>
                    <w:noProof/>
                    <w:webHidden/>
                  </w:rPr>
                  <w:fldChar w:fldCharType="begin"/>
                </w:r>
                <w:r>
                  <w:rPr>
                    <w:noProof/>
                    <w:webHidden/>
                  </w:rPr>
                  <w:instrText xml:space="preserve"> PAGEREF _Toc235988922 \h </w:instrText>
                </w:r>
                <w:r>
                  <w:rPr>
                    <w:noProof/>
                    <w:webHidden/>
                  </w:rPr>
                </w:r>
                <w:r>
                  <w:rPr>
                    <w:noProof/>
                    <w:webHidden/>
                  </w:rPr>
                  <w:fldChar w:fldCharType="separate"/>
                </w:r>
                <w:r>
                  <w:rPr>
                    <w:noProof/>
                    <w:webHidden/>
                  </w:rPr>
                  <w:t>8</w:t>
                </w:r>
                <w:r>
                  <w:rPr>
                    <w:noProof/>
                    <w:webHidden/>
                  </w:rPr>
                  <w:fldChar w:fldCharType="end"/>
                </w:r>
              </w:hyperlink>
            </w:p>
            <w:p w14:paraId="2FBE387C" w14:textId="094F450E" w:rsidR="00E94AAB" w:rsidRDefault="00E94AAB">
              <w:pPr>
                <w:pStyle w:val="TOC2"/>
                <w:tabs>
                  <w:tab w:val="right" w:leader="dot" w:pos="9016"/>
                </w:tabs>
                <w:rPr>
                  <w:rFonts w:eastAsiaTheme="minorEastAsia"/>
                  <w:noProof/>
                  <w:lang w:eastAsia="en-GB"/>
                </w:rPr>
              </w:pPr>
              <w:hyperlink w:anchor="_Toc235988923" w:history="1">
                <w:r w:rsidRPr="002A1F7C">
                  <w:rPr>
                    <w:rStyle w:val="Hyperlink"/>
                    <w:rFonts w:ascii="Arial" w:hAnsi="Arial" w:cs="Arial"/>
                    <w:b/>
                    <w:bCs/>
                    <w:noProof/>
                  </w:rPr>
                  <w:t>2.5 Data Quality and Governance</w:t>
                </w:r>
                <w:r>
                  <w:rPr>
                    <w:noProof/>
                    <w:webHidden/>
                  </w:rPr>
                  <w:tab/>
                </w:r>
                <w:r>
                  <w:rPr>
                    <w:noProof/>
                    <w:webHidden/>
                  </w:rPr>
                  <w:fldChar w:fldCharType="begin"/>
                </w:r>
                <w:r>
                  <w:rPr>
                    <w:noProof/>
                    <w:webHidden/>
                  </w:rPr>
                  <w:instrText xml:space="preserve"> PAGEREF _Toc235988923 \h </w:instrText>
                </w:r>
                <w:r>
                  <w:rPr>
                    <w:noProof/>
                    <w:webHidden/>
                  </w:rPr>
                </w:r>
                <w:r>
                  <w:rPr>
                    <w:noProof/>
                    <w:webHidden/>
                  </w:rPr>
                  <w:fldChar w:fldCharType="separate"/>
                </w:r>
                <w:r>
                  <w:rPr>
                    <w:noProof/>
                    <w:webHidden/>
                  </w:rPr>
                  <w:t>9</w:t>
                </w:r>
                <w:r>
                  <w:rPr>
                    <w:noProof/>
                    <w:webHidden/>
                  </w:rPr>
                  <w:fldChar w:fldCharType="end"/>
                </w:r>
              </w:hyperlink>
            </w:p>
            <w:p w14:paraId="2F89BE58" w14:textId="70943F05" w:rsidR="00E94AAB" w:rsidRDefault="00E94AAB">
              <w:pPr>
                <w:pStyle w:val="TOC1"/>
                <w:tabs>
                  <w:tab w:val="right" w:leader="dot" w:pos="9016"/>
                </w:tabs>
                <w:rPr>
                  <w:rFonts w:eastAsiaTheme="minorEastAsia"/>
                  <w:noProof/>
                  <w:lang w:eastAsia="en-GB"/>
                </w:rPr>
              </w:pPr>
              <w:hyperlink w:anchor="_Toc235988924" w:history="1">
                <w:r w:rsidRPr="002A1F7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_Toc235988924 \h </w:instrText>
                </w:r>
                <w:r>
                  <w:rPr>
                    <w:noProof/>
                    <w:webHidden/>
                  </w:rPr>
                </w:r>
                <w:r>
                  <w:rPr>
                    <w:noProof/>
                    <w:webHidden/>
                  </w:rPr>
                  <w:fldChar w:fldCharType="separate"/>
                </w:r>
                <w:r>
                  <w:rPr>
                    <w:noProof/>
                    <w:webHidden/>
                  </w:rPr>
                  <w:t>10</w:t>
                </w:r>
                <w:r>
                  <w:rPr>
                    <w:noProof/>
                    <w:webHidden/>
                  </w:rPr>
                  <w:fldChar w:fldCharType="end"/>
                </w:r>
              </w:hyperlink>
            </w:p>
            <w:p w14:paraId="525812E1" w14:textId="4D7B3658" w:rsidR="00E94AAB" w:rsidRDefault="00E94AAB">
              <w:pPr>
                <w:pStyle w:val="TOC1"/>
                <w:tabs>
                  <w:tab w:val="right" w:leader="dot" w:pos="9016"/>
                </w:tabs>
                <w:rPr>
                  <w:rFonts w:eastAsiaTheme="minorEastAsia"/>
                  <w:noProof/>
                  <w:lang w:eastAsia="en-GB"/>
                </w:rPr>
              </w:pPr>
              <w:hyperlink w:anchor="_Toc235988925" w:history="1">
                <w:r w:rsidRPr="002A1F7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_Toc235988925 \h </w:instrText>
                </w:r>
                <w:r>
                  <w:rPr>
                    <w:noProof/>
                    <w:webHidden/>
                  </w:rPr>
                </w:r>
                <w:r>
                  <w:rPr>
                    <w:noProof/>
                    <w:webHidden/>
                  </w:rPr>
                  <w:fldChar w:fldCharType="separate"/>
                </w:r>
                <w:r>
                  <w:rPr>
                    <w:noProof/>
                    <w:webHidden/>
                  </w:rPr>
                  <w:t>11</w:t>
                </w:r>
                <w:r>
                  <w:rPr>
                    <w:noProof/>
                    <w:webHidden/>
                  </w:rPr>
                  <w:fldChar w:fldCharType="end"/>
                </w:r>
              </w:hyperlink>
            </w:p>
            <w:p w14:paraId="22F64AD0" w14:textId="17D92492" w:rsidR="00F34397" w:rsidRDefault="00F34397">
              <w:r>
                <w:rPr>
                  <w:b/>
                  <w:bCs/>
                </w:rPr>
                <w:fldChar w:fldCharType="end"/>
              </w:r>
            </w:p>
          </w:sdtContent>
        </w:sdt>
        <w:p w14:paraId="5945C281" w14:textId="77777777" w:rsidR="00F34397" w:rsidRDefault="00F34397" w:rsidP="00520164">
          <w:pPr>
            <w:spacing w:line="276" w:lineRule="auto"/>
            <w:jc w:val="both"/>
            <w:rPr>
              <w:rFonts w:ascii="Arial" w:hAnsi="Arial" w:cs="Arial"/>
              <w:sz w:val="22"/>
              <w:szCs w:val="22"/>
            </w:rPr>
          </w:pPr>
        </w:p>
        <w:p w14:paraId="12E8305A" w14:textId="77777777" w:rsidR="00F34397" w:rsidRDefault="00F34397" w:rsidP="00520164">
          <w:pPr>
            <w:spacing w:line="276" w:lineRule="auto"/>
            <w:jc w:val="both"/>
            <w:rPr>
              <w:rFonts w:ascii="Arial" w:hAnsi="Arial" w:cs="Arial"/>
              <w:sz w:val="22"/>
              <w:szCs w:val="22"/>
            </w:rPr>
          </w:pPr>
        </w:p>
        <w:p w14:paraId="68EABB5F" w14:textId="77777777" w:rsidR="00F34397" w:rsidRDefault="00F34397" w:rsidP="00520164">
          <w:pPr>
            <w:spacing w:line="276" w:lineRule="auto"/>
            <w:jc w:val="both"/>
            <w:rPr>
              <w:rFonts w:ascii="Arial" w:hAnsi="Arial" w:cs="Arial"/>
              <w:sz w:val="22"/>
              <w:szCs w:val="22"/>
            </w:rPr>
          </w:pPr>
        </w:p>
        <w:p w14:paraId="2EA1B08D" w14:textId="77777777" w:rsidR="00F34397" w:rsidRDefault="00F34397" w:rsidP="00520164">
          <w:pPr>
            <w:spacing w:line="276" w:lineRule="auto"/>
            <w:jc w:val="both"/>
            <w:rPr>
              <w:rFonts w:ascii="Arial" w:hAnsi="Arial" w:cs="Arial"/>
              <w:sz w:val="22"/>
              <w:szCs w:val="22"/>
            </w:rPr>
          </w:pPr>
        </w:p>
        <w:p w14:paraId="4E220FC2" w14:textId="77777777" w:rsidR="00F34397" w:rsidRDefault="00F34397" w:rsidP="00520164">
          <w:pPr>
            <w:spacing w:line="276" w:lineRule="auto"/>
            <w:jc w:val="both"/>
            <w:rPr>
              <w:rFonts w:ascii="Arial" w:hAnsi="Arial" w:cs="Arial"/>
              <w:sz w:val="22"/>
              <w:szCs w:val="22"/>
            </w:rPr>
          </w:pPr>
        </w:p>
        <w:p w14:paraId="637C9D74" w14:textId="77777777" w:rsidR="00F34397" w:rsidRDefault="00F34397" w:rsidP="00520164">
          <w:pPr>
            <w:spacing w:line="276" w:lineRule="auto"/>
            <w:jc w:val="both"/>
            <w:rPr>
              <w:rFonts w:ascii="Arial" w:hAnsi="Arial" w:cs="Arial"/>
              <w:sz w:val="22"/>
              <w:szCs w:val="22"/>
            </w:rPr>
          </w:pPr>
        </w:p>
        <w:p w14:paraId="36A0E9F4" w14:textId="77777777" w:rsidR="00F34397" w:rsidRDefault="00F34397" w:rsidP="00520164">
          <w:pPr>
            <w:spacing w:line="276" w:lineRule="auto"/>
            <w:jc w:val="both"/>
            <w:rPr>
              <w:rFonts w:ascii="Arial" w:hAnsi="Arial" w:cs="Arial"/>
              <w:sz w:val="22"/>
              <w:szCs w:val="22"/>
            </w:rPr>
          </w:pPr>
        </w:p>
        <w:p w14:paraId="579285B8" w14:textId="77777777" w:rsidR="00F34397" w:rsidRDefault="00F34397" w:rsidP="00520164">
          <w:pPr>
            <w:spacing w:line="276" w:lineRule="auto"/>
            <w:jc w:val="both"/>
            <w:rPr>
              <w:rFonts w:ascii="Arial" w:hAnsi="Arial" w:cs="Arial"/>
              <w:sz w:val="22"/>
              <w:szCs w:val="22"/>
            </w:rPr>
          </w:pPr>
        </w:p>
        <w:p w14:paraId="237E2436" w14:textId="77777777" w:rsidR="00F34397" w:rsidRDefault="00F34397" w:rsidP="00520164">
          <w:pPr>
            <w:spacing w:line="276" w:lineRule="auto"/>
            <w:jc w:val="both"/>
            <w:rPr>
              <w:rFonts w:ascii="Arial" w:hAnsi="Arial" w:cs="Arial"/>
              <w:sz w:val="22"/>
              <w:szCs w:val="22"/>
            </w:rPr>
          </w:pPr>
        </w:p>
        <w:p w14:paraId="66358129" w14:textId="77777777" w:rsidR="00F34397" w:rsidRDefault="00F34397" w:rsidP="00520164">
          <w:pPr>
            <w:spacing w:line="276" w:lineRule="auto"/>
            <w:jc w:val="both"/>
            <w:rPr>
              <w:rFonts w:ascii="Arial" w:hAnsi="Arial" w:cs="Arial"/>
              <w:sz w:val="22"/>
              <w:szCs w:val="22"/>
            </w:rPr>
          </w:pPr>
        </w:p>
        <w:p w14:paraId="43727C6A" w14:textId="77777777" w:rsidR="00F34397" w:rsidRDefault="00F34397" w:rsidP="00520164">
          <w:pPr>
            <w:spacing w:line="276" w:lineRule="auto"/>
            <w:jc w:val="both"/>
            <w:rPr>
              <w:rFonts w:ascii="Arial" w:hAnsi="Arial" w:cs="Arial"/>
              <w:sz w:val="22"/>
              <w:szCs w:val="22"/>
            </w:rPr>
          </w:pPr>
        </w:p>
        <w:p w14:paraId="3840803A" w14:textId="77777777" w:rsidR="00F34397" w:rsidRDefault="00F34397" w:rsidP="00520164">
          <w:pPr>
            <w:spacing w:line="276" w:lineRule="auto"/>
            <w:jc w:val="both"/>
            <w:rPr>
              <w:rFonts w:ascii="Arial" w:hAnsi="Arial" w:cs="Arial"/>
              <w:sz w:val="22"/>
              <w:szCs w:val="22"/>
            </w:rPr>
          </w:pPr>
        </w:p>
        <w:p w14:paraId="0057BA07" w14:textId="1A1BD17E" w:rsidR="00520164" w:rsidRPr="00520164" w:rsidRDefault="00DB05FC" w:rsidP="00520164">
          <w:pPr>
            <w:spacing w:line="276" w:lineRule="auto"/>
            <w:jc w:val="both"/>
            <w:rPr>
              <w:rFonts w:ascii="Arial" w:hAnsi="Arial" w:cs="Arial"/>
              <w:sz w:val="22"/>
              <w:szCs w:val="22"/>
            </w:rPr>
          </w:pPr>
        </w:p>
      </w:sdtContent>
    </w:sdt>
    <w:p w14:paraId="0B2565A0" w14:textId="1B64AD44" w:rsidR="00E665E7" w:rsidRDefault="00E665E7" w:rsidP="004F187F">
      <w:pPr>
        <w:pStyle w:val="Heading1"/>
        <w:spacing w:line="276" w:lineRule="auto"/>
        <w:jc w:val="both"/>
        <w:rPr>
          <w:rFonts w:ascii="Arial" w:hAnsi="Arial" w:cs="Arial"/>
          <w:b/>
          <w:bCs/>
          <w:sz w:val="32"/>
          <w:szCs w:val="32"/>
        </w:rPr>
      </w:pPr>
      <w:bookmarkStart w:id="0" w:name="_Toc235988912"/>
      <w:r w:rsidRPr="004F187F">
        <w:rPr>
          <w:rFonts w:ascii="Arial" w:hAnsi="Arial" w:cs="Arial"/>
          <w:b/>
          <w:bCs/>
          <w:sz w:val="32"/>
          <w:szCs w:val="32"/>
        </w:rPr>
        <w:lastRenderedPageBreak/>
        <w:t>Introduction</w:t>
      </w:r>
      <w:bookmarkEnd w:id="0"/>
    </w:p>
    <w:p w14:paraId="69C523EC" w14:textId="77777777" w:rsidR="002F2CE7" w:rsidRPr="00660BA3" w:rsidRDefault="002F2CE7" w:rsidP="004F187F">
      <w:pPr>
        <w:spacing w:line="276" w:lineRule="auto"/>
        <w:jc w:val="both"/>
        <w:rPr>
          <w:rFonts w:ascii="Arial" w:hAnsi="Arial" w:cs="Arial"/>
          <w:sz w:val="22"/>
          <w:szCs w:val="22"/>
        </w:rPr>
      </w:pPr>
      <w:r w:rsidRPr="00660BA3">
        <w:rPr>
          <w:rFonts w:ascii="Arial" w:hAnsi="Arial" w:cs="Arial"/>
          <w:sz w:val="22"/>
          <w:szCs w:val="22"/>
        </w:rPr>
        <w:t>This report has been prepared from the perspective of an external data warehousing consultant advising NHS England. The first part presents the strategic case for introducing a data warehouse, explaining how it could improve reporting and decision-making while working alongside existing systems such as the Electronic Patient Record (EPR) and Patient Administration System (PAS).</w:t>
      </w:r>
    </w:p>
    <w:p w14:paraId="4AFFFE62" w14:textId="51FDF1A2" w:rsidR="002F2CE7" w:rsidRPr="00660BA3" w:rsidRDefault="002F2CE7" w:rsidP="004F187F">
      <w:pPr>
        <w:spacing w:line="276" w:lineRule="auto"/>
        <w:jc w:val="both"/>
        <w:rPr>
          <w:rFonts w:ascii="Arial" w:hAnsi="Arial" w:cs="Arial"/>
          <w:sz w:val="22"/>
          <w:szCs w:val="22"/>
        </w:rPr>
      </w:pPr>
      <w:r w:rsidRPr="00660BA3">
        <w:rPr>
          <w:rFonts w:ascii="Arial" w:hAnsi="Arial" w:cs="Arial"/>
          <w:sz w:val="22"/>
          <w:szCs w:val="22"/>
        </w:rPr>
        <w:t xml:space="preserve">The report then develops this proposal into a practical technical design. It covers the main data sources, star schema, data marts, ETL process, and data quality and governance requirements. Together, these elements provide a clear foundation for developing a secure, </w:t>
      </w:r>
      <w:r w:rsidR="00B95B01" w:rsidRPr="00660BA3">
        <w:rPr>
          <w:rFonts w:ascii="Arial" w:hAnsi="Arial" w:cs="Arial"/>
          <w:sz w:val="22"/>
          <w:szCs w:val="22"/>
        </w:rPr>
        <w:t>dependable</w:t>
      </w:r>
      <w:r w:rsidR="0064383A" w:rsidRPr="00660BA3">
        <w:rPr>
          <w:rFonts w:ascii="Arial" w:hAnsi="Arial" w:cs="Arial"/>
          <w:sz w:val="22"/>
          <w:szCs w:val="22"/>
        </w:rPr>
        <w:t>,</w:t>
      </w:r>
      <w:r w:rsidRPr="00660BA3">
        <w:rPr>
          <w:rFonts w:ascii="Arial" w:hAnsi="Arial" w:cs="Arial"/>
          <w:sz w:val="22"/>
          <w:szCs w:val="22"/>
        </w:rPr>
        <w:t xml:space="preserve"> and scalable data warehouse for NHS England.</w:t>
      </w:r>
    </w:p>
    <w:p w14:paraId="1B7EEA09" w14:textId="77777777" w:rsidR="008E0885" w:rsidRPr="00660BA3" w:rsidRDefault="008E0885" w:rsidP="004F187F">
      <w:pPr>
        <w:spacing w:line="276" w:lineRule="auto"/>
        <w:jc w:val="both"/>
        <w:rPr>
          <w:rFonts w:ascii="Arial" w:hAnsi="Arial" w:cs="Arial"/>
          <w:sz w:val="22"/>
          <w:szCs w:val="22"/>
        </w:rPr>
      </w:pPr>
    </w:p>
    <w:p w14:paraId="13AD4FAC" w14:textId="77777777" w:rsidR="00CC1A17" w:rsidRPr="004F187F" w:rsidRDefault="00CC1A17" w:rsidP="004F187F">
      <w:pPr>
        <w:pStyle w:val="Heading1"/>
        <w:rPr>
          <w:rFonts w:ascii="Arial" w:hAnsi="Arial" w:cs="Arial"/>
          <w:b/>
          <w:bCs/>
          <w:sz w:val="32"/>
          <w:szCs w:val="32"/>
        </w:rPr>
      </w:pPr>
      <w:bookmarkStart w:id="1" w:name="_Toc235988913"/>
      <w:r w:rsidRPr="004F187F">
        <w:rPr>
          <w:rFonts w:ascii="Arial" w:hAnsi="Arial" w:cs="Arial"/>
          <w:b/>
          <w:bCs/>
          <w:sz w:val="32"/>
          <w:szCs w:val="32"/>
        </w:rPr>
        <w:t>Task 1: The Strategic Case for a Data Warehouse</w:t>
      </w:r>
      <w:bookmarkEnd w:id="1"/>
    </w:p>
    <w:p w14:paraId="7AD625C4" w14:textId="77777777" w:rsidR="00CC1A17" w:rsidRPr="00660BA3" w:rsidRDefault="00CC1A17" w:rsidP="004F187F">
      <w:pPr>
        <w:spacing w:line="276" w:lineRule="auto"/>
        <w:jc w:val="both"/>
        <w:rPr>
          <w:rFonts w:ascii="Arial" w:hAnsi="Arial" w:cs="Arial"/>
          <w:b/>
          <w:bCs/>
          <w:sz w:val="22"/>
          <w:szCs w:val="22"/>
        </w:rPr>
      </w:pPr>
      <w:r w:rsidRPr="00660BA3">
        <w:rPr>
          <w:rFonts w:ascii="Arial" w:hAnsi="Arial" w:cs="Arial"/>
          <w:b/>
          <w:bCs/>
          <w:sz w:val="22"/>
          <w:szCs w:val="22"/>
        </w:rPr>
        <w:t>Prepared for the Chief Executive and Board of NHS England</w:t>
      </w:r>
    </w:p>
    <w:p w14:paraId="0473B775" w14:textId="77777777" w:rsidR="00CC1A17" w:rsidRPr="004F187F" w:rsidRDefault="00CC1A17" w:rsidP="004F187F">
      <w:pPr>
        <w:pStyle w:val="Heading2"/>
        <w:rPr>
          <w:rFonts w:ascii="Arial" w:hAnsi="Arial" w:cs="Arial"/>
          <w:b/>
          <w:bCs/>
          <w:sz w:val="28"/>
          <w:szCs w:val="28"/>
        </w:rPr>
      </w:pPr>
      <w:bookmarkStart w:id="2" w:name="_Toc235988914"/>
      <w:r w:rsidRPr="004F187F">
        <w:rPr>
          <w:rFonts w:ascii="Arial" w:hAnsi="Arial" w:cs="Arial"/>
          <w:b/>
          <w:bCs/>
          <w:sz w:val="28"/>
          <w:szCs w:val="28"/>
        </w:rPr>
        <w:t>1.1 OLTP Systems versus a Data Warehouse</w:t>
      </w:r>
      <w:bookmarkEnd w:id="2"/>
    </w:p>
    <w:p w14:paraId="7D1BACEB" w14:textId="4B76436F" w:rsidR="00147121" w:rsidRPr="00660BA3" w:rsidRDefault="00147121" w:rsidP="004F187F">
      <w:pPr>
        <w:spacing w:line="276" w:lineRule="auto"/>
        <w:jc w:val="both"/>
        <w:rPr>
          <w:rFonts w:ascii="Arial" w:hAnsi="Arial" w:cs="Arial"/>
          <w:sz w:val="22"/>
          <w:szCs w:val="22"/>
        </w:rPr>
      </w:pPr>
      <w:r w:rsidRPr="00660BA3">
        <w:rPr>
          <w:rFonts w:ascii="Arial" w:hAnsi="Arial" w:cs="Arial"/>
          <w:sz w:val="22"/>
          <w:szCs w:val="22"/>
        </w:rPr>
        <w:t xml:space="preserve">NHS England relies on operational systems such as the Patient Administration System (PAS) and Electronic Patient Record (EPR) to support everyday activities, including booking appointments and recording diagnoses. These Online Transaction Processing (OLTP) systems are designed to process individual transactions quickly and accurately, such as patient admissions, test </w:t>
      </w:r>
      <w:r w:rsidR="0037173A" w:rsidRPr="00660BA3">
        <w:rPr>
          <w:rFonts w:ascii="Arial" w:hAnsi="Arial" w:cs="Arial"/>
          <w:sz w:val="22"/>
          <w:szCs w:val="22"/>
        </w:rPr>
        <w:t>results,</w:t>
      </w:r>
      <w:r w:rsidRPr="00660BA3">
        <w:rPr>
          <w:rFonts w:ascii="Arial" w:hAnsi="Arial" w:cs="Arial"/>
          <w:sz w:val="22"/>
          <w:szCs w:val="22"/>
        </w:rPr>
        <w:t xml:space="preserve"> and invoices [1]. Their highly normalised database structures reduce duplication and maintain data consistency.</w:t>
      </w:r>
    </w:p>
    <w:p w14:paraId="29C5AF9B" w14:textId="668D31B1" w:rsidR="00147121" w:rsidRPr="00660BA3" w:rsidRDefault="00147121" w:rsidP="004F187F">
      <w:pPr>
        <w:spacing w:line="276" w:lineRule="auto"/>
        <w:jc w:val="both"/>
        <w:rPr>
          <w:rFonts w:ascii="Arial" w:hAnsi="Arial" w:cs="Arial"/>
          <w:sz w:val="22"/>
          <w:szCs w:val="22"/>
        </w:rPr>
      </w:pPr>
      <w:r w:rsidRPr="00660BA3">
        <w:rPr>
          <w:rFonts w:ascii="Arial" w:hAnsi="Arial" w:cs="Arial"/>
          <w:sz w:val="22"/>
          <w:szCs w:val="22"/>
        </w:rPr>
        <w:t xml:space="preserve">A data warehouse serves a different purpose. Instead of processing individual transactions, it combines historical data for reporting, </w:t>
      </w:r>
      <w:r w:rsidR="0064383A" w:rsidRPr="00660BA3">
        <w:rPr>
          <w:rFonts w:ascii="Arial" w:hAnsi="Arial" w:cs="Arial"/>
          <w:sz w:val="22"/>
          <w:szCs w:val="22"/>
        </w:rPr>
        <w:t>analysis,</w:t>
      </w:r>
      <w:r w:rsidRPr="00660BA3">
        <w:rPr>
          <w:rFonts w:ascii="Arial" w:hAnsi="Arial" w:cs="Arial"/>
          <w:sz w:val="22"/>
          <w:szCs w:val="22"/>
        </w:rPr>
        <w:t xml:space="preserve"> and decision-making. For example, it can answer broader questions such as how bed occupancy has changed over time or which specialties are contributing most to the elective care backlog.</w:t>
      </w:r>
    </w:p>
    <w:p w14:paraId="1FEE8715" w14:textId="30FB454E" w:rsidR="00147121" w:rsidRDefault="00147121" w:rsidP="004F187F">
      <w:pPr>
        <w:spacing w:line="276" w:lineRule="auto"/>
        <w:jc w:val="both"/>
        <w:rPr>
          <w:rFonts w:ascii="Arial" w:hAnsi="Arial" w:cs="Arial"/>
          <w:sz w:val="22"/>
          <w:szCs w:val="22"/>
        </w:rPr>
      </w:pPr>
      <w:r w:rsidRPr="00660BA3">
        <w:rPr>
          <w:rFonts w:ascii="Arial" w:hAnsi="Arial" w:cs="Arial"/>
          <w:sz w:val="22"/>
          <w:szCs w:val="22"/>
        </w:rPr>
        <w:t xml:space="preserve">The warehouse integrates data from EPR, PAS, workforce and financial systems into a single environment designed for efficient analysis [2]. For the Board, this provides a reliable historical view of organisational performance, supporting decisions on capacity, treatment costs, </w:t>
      </w:r>
      <w:r w:rsidR="0064383A" w:rsidRPr="00660BA3">
        <w:rPr>
          <w:rFonts w:ascii="Arial" w:hAnsi="Arial" w:cs="Arial"/>
          <w:sz w:val="22"/>
          <w:szCs w:val="22"/>
        </w:rPr>
        <w:t>demand,</w:t>
      </w:r>
      <w:r w:rsidRPr="00660BA3">
        <w:rPr>
          <w:rFonts w:ascii="Arial" w:hAnsi="Arial" w:cs="Arial"/>
          <w:sz w:val="22"/>
          <w:szCs w:val="22"/>
        </w:rPr>
        <w:t xml:space="preserve"> and future healthcare pressures that individual operational systems cannot provide alone [3].</w:t>
      </w:r>
    </w:p>
    <w:p w14:paraId="08054FF0" w14:textId="77777777" w:rsidR="002E008E" w:rsidRPr="00660BA3" w:rsidRDefault="002E008E" w:rsidP="004F187F">
      <w:pPr>
        <w:spacing w:line="276" w:lineRule="auto"/>
        <w:jc w:val="both"/>
        <w:rPr>
          <w:rFonts w:ascii="Arial" w:hAnsi="Arial" w:cs="Arial"/>
          <w:sz w:val="22"/>
          <w:szCs w:val="22"/>
        </w:rPr>
      </w:pPr>
    </w:p>
    <w:p w14:paraId="004994F5" w14:textId="77777777" w:rsidR="00BD7213" w:rsidRPr="004F187F" w:rsidRDefault="00BD7213" w:rsidP="004F187F">
      <w:pPr>
        <w:pStyle w:val="Heading2"/>
        <w:rPr>
          <w:rFonts w:ascii="Arial" w:hAnsi="Arial" w:cs="Arial"/>
          <w:b/>
          <w:bCs/>
          <w:sz w:val="28"/>
          <w:szCs w:val="28"/>
        </w:rPr>
      </w:pPr>
      <w:bookmarkStart w:id="3" w:name="_Toc235988915"/>
      <w:r w:rsidRPr="004F187F">
        <w:rPr>
          <w:rFonts w:ascii="Arial" w:hAnsi="Arial" w:cs="Arial"/>
          <w:b/>
          <w:bCs/>
          <w:sz w:val="28"/>
          <w:szCs w:val="28"/>
        </w:rPr>
        <w:t>1.2 Data Warehouse Architecture and the ETL Process</w:t>
      </w:r>
      <w:bookmarkEnd w:id="3"/>
    </w:p>
    <w:p w14:paraId="5113EAE6"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sz w:val="22"/>
          <w:szCs w:val="22"/>
        </w:rPr>
        <w:t>The proposed NHS England data warehouse would follow the layered architecture shown in Figure 1, consisting of source systems, a staging and ETL layer, the enterprise data warehouse, subject-specific data marts, and a business intelligence and reporting layer.</w:t>
      </w:r>
    </w:p>
    <w:p w14:paraId="04274DEE" w14:textId="7A7AFF99"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Source layer:</w:t>
      </w:r>
      <w:r w:rsidRPr="00660BA3">
        <w:rPr>
          <w:rFonts w:ascii="Arial" w:hAnsi="Arial" w:cs="Arial"/>
          <w:sz w:val="22"/>
          <w:szCs w:val="22"/>
        </w:rPr>
        <w:t xml:space="preserve"> The warehouse would collect data from existing systems rather than replace them. EPR and PAS would provide patient and clinical data, while workforce, finance, </w:t>
      </w:r>
      <w:r w:rsidR="00F4787F" w:rsidRPr="00660BA3">
        <w:rPr>
          <w:rFonts w:ascii="Arial" w:hAnsi="Arial" w:cs="Arial"/>
          <w:sz w:val="22"/>
          <w:szCs w:val="22"/>
        </w:rPr>
        <w:t>community,</w:t>
      </w:r>
      <w:r w:rsidRPr="00660BA3">
        <w:rPr>
          <w:rFonts w:ascii="Arial" w:hAnsi="Arial" w:cs="Arial"/>
          <w:sz w:val="22"/>
          <w:szCs w:val="22"/>
        </w:rPr>
        <w:t xml:space="preserve"> and mental health systems would provide additional information. Data would normally </w:t>
      </w:r>
      <w:r w:rsidR="0064383A" w:rsidRPr="00660BA3">
        <w:rPr>
          <w:rFonts w:ascii="Arial" w:hAnsi="Arial" w:cs="Arial"/>
          <w:sz w:val="22"/>
          <w:szCs w:val="22"/>
        </w:rPr>
        <w:t>extract</w:t>
      </w:r>
      <w:r w:rsidRPr="00660BA3">
        <w:rPr>
          <w:rFonts w:ascii="Arial" w:hAnsi="Arial" w:cs="Arial"/>
          <w:sz w:val="22"/>
          <w:szCs w:val="22"/>
        </w:rPr>
        <w:t xml:space="preserve"> on a scheduled basis to minimise disruption to operational activities [4].</w:t>
      </w:r>
    </w:p>
    <w:p w14:paraId="72E544CD"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lastRenderedPageBreak/>
        <w:t>Staging area and ETL:</w:t>
      </w:r>
      <w:r w:rsidRPr="00660BA3">
        <w:rPr>
          <w:rFonts w:ascii="Arial" w:hAnsi="Arial" w:cs="Arial"/>
          <w:sz w:val="22"/>
          <w:szCs w:val="22"/>
        </w:rPr>
        <w:t xml:space="preserve"> As shown in Figure 2, ETL moves data from source systems into the warehouse. Data is first extracted into a staging area, where it is cleaned and standardised. This includes validating NHS numbers and ICD-10 codes, standardising hospital names, and identifying duplicate or incomplete records. Records that fail validation are sent to a data quality exception log. Cleaned data is then loaded into the warehouse's fact and dimension tables.</w:t>
      </w:r>
    </w:p>
    <w:p w14:paraId="608D6628"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sz w:val="22"/>
          <w:szCs w:val="22"/>
        </w:rPr>
        <w:t>Separating analytical processing from live operational systems reduces the impact on EPR, PAS and other systems used for day-to-day healthcare delivery.</w:t>
      </w:r>
    </w:p>
    <w:p w14:paraId="2B94E5C6" w14:textId="78B26840"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Enterprise warehouse and data marts:</w:t>
      </w:r>
      <w:r w:rsidRPr="00660BA3">
        <w:rPr>
          <w:rFonts w:ascii="Arial" w:hAnsi="Arial" w:cs="Arial"/>
          <w:sz w:val="22"/>
          <w:szCs w:val="22"/>
        </w:rPr>
        <w:t xml:space="preserve"> Once loaded, the integrated data supports data marts for areas such as finance, workforce, </w:t>
      </w:r>
      <w:r w:rsidR="0064383A" w:rsidRPr="00660BA3">
        <w:rPr>
          <w:rFonts w:ascii="Arial" w:hAnsi="Arial" w:cs="Arial"/>
          <w:sz w:val="22"/>
          <w:szCs w:val="22"/>
        </w:rPr>
        <w:t>operations,</w:t>
      </w:r>
      <w:r w:rsidRPr="00660BA3">
        <w:rPr>
          <w:rFonts w:ascii="Arial" w:hAnsi="Arial" w:cs="Arial"/>
          <w:sz w:val="22"/>
          <w:szCs w:val="22"/>
        </w:rPr>
        <w:t xml:space="preserve"> and clinical quality. These provide focused dashboards and reports for senior decision-makers [5].</w:t>
      </w:r>
    </w:p>
    <w:p w14:paraId="0A3F9D39"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Refresh frequency:</w:t>
      </w:r>
      <w:r w:rsidRPr="00660BA3">
        <w:rPr>
          <w:rFonts w:ascii="Arial" w:hAnsi="Arial" w:cs="Arial"/>
          <w:sz w:val="22"/>
          <w:szCs w:val="22"/>
        </w:rPr>
        <w:t xml:space="preserve"> Overnight or several-times-daily updates should be sufficient for most strategic reporting, with more frequent refreshes introduced where timely information, such as bed occupancy, is required.</w:t>
      </w:r>
    </w:p>
    <w:p w14:paraId="1B6585E1" w14:textId="431579BA" w:rsidR="002673F9" w:rsidRPr="00660BA3" w:rsidRDefault="005D17A9"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4384" behindDoc="0" locked="0" layoutInCell="1" allowOverlap="1" wp14:anchorId="4C0F3A1D" wp14:editId="29EBA472">
            <wp:simplePos x="0" y="0"/>
            <wp:positionH relativeFrom="margin">
              <wp:align>left</wp:align>
            </wp:positionH>
            <wp:positionV relativeFrom="paragraph">
              <wp:posOffset>328295</wp:posOffset>
            </wp:positionV>
            <wp:extent cx="5729605" cy="3354070"/>
            <wp:effectExtent l="0" t="0" r="4445" b="0"/>
            <wp:wrapSquare wrapText="bothSides"/>
            <wp:docPr id="838432638" name="Picture 838432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32638" name="Picture 8384326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9605" cy="3354070"/>
                    </a:xfrm>
                    <a:prstGeom prst="rect">
                      <a:avLst/>
                    </a:prstGeom>
                  </pic:spPr>
                </pic:pic>
              </a:graphicData>
            </a:graphic>
            <wp14:sizeRelV relativeFrom="margin">
              <wp14:pctHeight>0</wp14:pctHeight>
            </wp14:sizeRelV>
          </wp:anchor>
        </w:drawing>
      </w:r>
      <w:r w:rsidR="0054088A" w:rsidRPr="00660BA3">
        <w:rPr>
          <w:rFonts w:ascii="Arial" w:hAnsi="Arial" w:cs="Arial"/>
          <w:noProof/>
          <w:sz w:val="22"/>
          <w:szCs w:val="22"/>
        </w:rPr>
        <mc:AlternateContent>
          <mc:Choice Requires="wps">
            <w:drawing>
              <wp:inline distT="0" distB="0" distL="0" distR="0" wp14:anchorId="39DA6B6A" wp14:editId="55FDC3E2">
                <wp:extent cx="302895" cy="302895"/>
                <wp:effectExtent l="0" t="0" r="0" b="0"/>
                <wp:docPr id="1861070194" name="Rectangle 28" descr="NHS data warehouse architecture and fl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A33664" id="Rectangle 28" o:spid="_x0000_s1026" alt="NHS data warehouse architecture and flow"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3773D458" w14:textId="77777777" w:rsidR="008000D0" w:rsidRDefault="008000D0" w:rsidP="004F187F">
      <w:pPr>
        <w:spacing w:line="276" w:lineRule="auto"/>
        <w:jc w:val="both"/>
        <w:rPr>
          <w:rFonts w:ascii="Arial" w:hAnsi="Arial" w:cs="Arial"/>
          <w:b/>
          <w:bCs/>
          <w:sz w:val="22"/>
          <w:szCs w:val="22"/>
        </w:rPr>
      </w:pPr>
    </w:p>
    <w:p w14:paraId="3B3E4FF3" w14:textId="6E7C73D0" w:rsidR="00E221D5" w:rsidRPr="004F187F" w:rsidRDefault="00E221D5" w:rsidP="004F187F">
      <w:pPr>
        <w:spacing w:line="276" w:lineRule="auto"/>
        <w:jc w:val="both"/>
        <w:rPr>
          <w:rFonts w:ascii="Arial" w:hAnsi="Arial" w:cs="Arial"/>
          <w:sz w:val="22"/>
          <w:szCs w:val="22"/>
        </w:rPr>
      </w:pPr>
      <w:r w:rsidRPr="00660BA3">
        <w:rPr>
          <w:rFonts w:ascii="Arial" w:hAnsi="Arial" w:cs="Arial"/>
          <w:b/>
          <w:bCs/>
          <w:sz w:val="22"/>
          <w:szCs w:val="22"/>
        </w:rPr>
        <w:t>Figure 1</w:t>
      </w:r>
      <w:r w:rsidRPr="004F187F">
        <w:rPr>
          <w:rFonts w:ascii="Arial" w:hAnsi="Arial" w:cs="Arial"/>
          <w:sz w:val="22"/>
          <w:szCs w:val="22"/>
        </w:rPr>
        <w:t>. Proposed NHS England data warehouse architecture, showing data flow from OLTP source systems through ETL and the enterprise warehouse to data marts and business intelligence reporting.</w:t>
      </w:r>
    </w:p>
    <w:p w14:paraId="1FABA794" w14:textId="3E30F6DE" w:rsidR="00112670" w:rsidRPr="00660BA3" w:rsidRDefault="00090A7A" w:rsidP="004F187F">
      <w:pPr>
        <w:spacing w:line="276" w:lineRule="auto"/>
        <w:jc w:val="both"/>
        <w:rPr>
          <w:rFonts w:ascii="Arial" w:hAnsi="Arial" w:cs="Arial"/>
          <w:sz w:val="22"/>
          <w:szCs w:val="22"/>
        </w:rPr>
      </w:pPr>
      <w:r w:rsidRPr="00660BA3">
        <w:rPr>
          <w:rFonts w:ascii="Arial" w:hAnsi="Arial" w:cs="Arial"/>
          <w:noProof/>
          <w:sz w:val="22"/>
          <w:szCs w:val="22"/>
        </w:rPr>
        <w:lastRenderedPageBreak/>
        <w:drawing>
          <wp:anchor distT="0" distB="0" distL="114300" distR="114300" simplePos="0" relativeHeight="251662336" behindDoc="0" locked="0" layoutInCell="1" allowOverlap="1" wp14:anchorId="777B6A0D" wp14:editId="0F0D4C3E">
            <wp:simplePos x="0" y="0"/>
            <wp:positionH relativeFrom="column">
              <wp:posOffset>0</wp:posOffset>
            </wp:positionH>
            <wp:positionV relativeFrom="paragraph">
              <wp:posOffset>0</wp:posOffset>
            </wp:positionV>
            <wp:extent cx="5731510" cy="2679790"/>
            <wp:effectExtent l="0" t="0" r="2540" b="6350"/>
            <wp:wrapSquare wrapText="bothSides"/>
            <wp:docPr id="2122740306" name="Picture 2122740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740306" name="Picture 2122740306"/>
                    <pic:cNvPicPr/>
                  </pic:nvPicPr>
                  <pic:blipFill>
                    <a:blip r:embed="rId9">
                      <a:extLst>
                        <a:ext uri="{28A0092B-C50C-407E-A947-70E740481C1C}">
                          <a14:useLocalDpi xmlns:a14="http://schemas.microsoft.com/office/drawing/2010/main" val="0"/>
                        </a:ext>
                      </a:extLst>
                    </a:blip>
                    <a:stretch>
                      <a:fillRect/>
                    </a:stretch>
                  </pic:blipFill>
                  <pic:spPr>
                    <a:xfrm>
                      <a:off x="0" y="0"/>
                      <a:ext cx="5731510" cy="2679790"/>
                    </a:xfrm>
                    <a:prstGeom prst="rect">
                      <a:avLst/>
                    </a:prstGeom>
                  </pic:spPr>
                </pic:pic>
              </a:graphicData>
            </a:graphic>
          </wp:anchor>
        </w:drawing>
      </w:r>
    </w:p>
    <w:p w14:paraId="1E54AFD9" w14:textId="77777777" w:rsidR="00727F98" w:rsidRDefault="00923C4B" w:rsidP="004F187F">
      <w:pPr>
        <w:spacing w:line="276" w:lineRule="auto"/>
        <w:jc w:val="both"/>
        <w:rPr>
          <w:rFonts w:ascii="Arial" w:hAnsi="Arial" w:cs="Arial"/>
          <w:sz w:val="22"/>
          <w:szCs w:val="22"/>
        </w:rPr>
      </w:pPr>
      <w:r w:rsidRPr="00660BA3">
        <w:rPr>
          <w:rFonts w:ascii="Arial" w:hAnsi="Arial" w:cs="Arial"/>
          <w:b/>
          <w:bCs/>
          <w:sz w:val="22"/>
          <w:szCs w:val="22"/>
        </w:rPr>
        <w:t xml:space="preserve">Figure 2. </w:t>
      </w:r>
      <w:r w:rsidRPr="005E389B">
        <w:rPr>
          <w:rFonts w:ascii="Arial" w:hAnsi="Arial" w:cs="Arial"/>
          <w:sz w:val="22"/>
          <w:szCs w:val="22"/>
        </w:rPr>
        <w:t>Proposed NHS England ETL process, showing the Extract, Transform and Load stages, including data validation and exception handling.</w:t>
      </w:r>
    </w:p>
    <w:p w14:paraId="5D2AD1E5" w14:textId="77777777" w:rsidR="002E008E" w:rsidRPr="005E389B" w:rsidRDefault="002E008E" w:rsidP="004F187F">
      <w:pPr>
        <w:spacing w:line="276" w:lineRule="auto"/>
        <w:jc w:val="both"/>
        <w:rPr>
          <w:rFonts w:ascii="Arial" w:hAnsi="Arial" w:cs="Arial"/>
          <w:sz w:val="22"/>
          <w:szCs w:val="22"/>
        </w:rPr>
      </w:pPr>
    </w:p>
    <w:p w14:paraId="6FB3DA8F" w14:textId="77777777" w:rsidR="003A69CC" w:rsidRPr="005E389B" w:rsidRDefault="003A69CC" w:rsidP="005E389B">
      <w:pPr>
        <w:pStyle w:val="Heading2"/>
        <w:rPr>
          <w:rFonts w:ascii="Arial" w:hAnsi="Arial" w:cs="Arial"/>
          <w:b/>
          <w:bCs/>
          <w:sz w:val="28"/>
          <w:szCs w:val="28"/>
        </w:rPr>
      </w:pPr>
      <w:bookmarkStart w:id="4" w:name="_Toc235988916"/>
      <w:r w:rsidRPr="005E389B">
        <w:rPr>
          <w:rFonts w:ascii="Arial" w:hAnsi="Arial" w:cs="Arial"/>
          <w:b/>
          <w:bCs/>
          <w:sz w:val="28"/>
          <w:szCs w:val="28"/>
        </w:rPr>
        <w:t>1.3 Data Marts for Management Decision-Making</w:t>
      </w:r>
      <w:bookmarkEnd w:id="4"/>
    </w:p>
    <w:p w14:paraId="3462B324" w14:textId="26EADFA9"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t xml:space="preserve">A data mart is a focused part of the wider data warehouse that is designed to meet the information needs of a particular group of users. Rather than requiring senior managers to search through </w:t>
      </w:r>
      <w:r w:rsidR="00B95B01" w:rsidRPr="005E389B">
        <w:rPr>
          <w:rFonts w:ascii="Arial" w:hAnsi="Arial" w:cs="Arial"/>
          <w:sz w:val="22"/>
          <w:szCs w:val="22"/>
        </w:rPr>
        <w:t>substantial amounts</w:t>
      </w:r>
      <w:r w:rsidRPr="005E389B">
        <w:rPr>
          <w:rFonts w:ascii="Arial" w:hAnsi="Arial" w:cs="Arial"/>
          <w:sz w:val="22"/>
          <w:szCs w:val="22"/>
        </w:rPr>
        <w:t xml:space="preserve"> of warehouse data, NHS England could provide separate data marts that present the information most relevant to each leadership role. Although each mart would have a different focus, they would all draw from the same integrated data warehouse and use common definitions.</w:t>
      </w:r>
    </w:p>
    <w:p w14:paraId="497F4DB6" w14:textId="33E14365" w:rsidR="0022042B" w:rsidRPr="005E389B" w:rsidRDefault="0022042B" w:rsidP="004F187F">
      <w:pPr>
        <w:spacing w:line="276" w:lineRule="auto"/>
        <w:jc w:val="both"/>
        <w:rPr>
          <w:rFonts w:ascii="Arial" w:hAnsi="Arial" w:cs="Arial"/>
          <w:sz w:val="22"/>
          <w:szCs w:val="22"/>
        </w:rPr>
      </w:pPr>
      <w:r w:rsidRPr="00660BA3">
        <w:rPr>
          <w:rFonts w:ascii="Arial" w:hAnsi="Arial" w:cs="Arial"/>
          <w:b/>
          <w:bCs/>
          <w:sz w:val="22"/>
          <w:szCs w:val="22"/>
        </w:rPr>
        <w:t xml:space="preserve">Chief Executive: </w:t>
      </w:r>
      <w:r w:rsidRPr="005E389B">
        <w:rPr>
          <w:rFonts w:ascii="Arial" w:hAnsi="Arial" w:cs="Arial"/>
          <w:sz w:val="22"/>
          <w:szCs w:val="22"/>
        </w:rPr>
        <w:t xml:space="preserve">An executive data mart would provide a high-level view of NHS performance across clinical, </w:t>
      </w:r>
      <w:r w:rsidR="0064383A" w:rsidRPr="005E389B">
        <w:rPr>
          <w:rFonts w:ascii="Arial" w:hAnsi="Arial" w:cs="Arial"/>
          <w:sz w:val="22"/>
          <w:szCs w:val="22"/>
        </w:rPr>
        <w:t>operational,</w:t>
      </w:r>
      <w:r w:rsidRPr="005E389B">
        <w:rPr>
          <w:rFonts w:ascii="Arial" w:hAnsi="Arial" w:cs="Arial"/>
          <w:sz w:val="22"/>
          <w:szCs w:val="22"/>
        </w:rPr>
        <w:t xml:space="preserve"> and financial areas. It could include key performance indicators (KPIs) such as referral-to-treatment (RTT) waiting times, bed occupancy, patient safety </w:t>
      </w:r>
      <w:r w:rsidR="0064383A" w:rsidRPr="005E389B">
        <w:rPr>
          <w:rFonts w:ascii="Arial" w:hAnsi="Arial" w:cs="Arial"/>
          <w:sz w:val="22"/>
          <w:szCs w:val="22"/>
        </w:rPr>
        <w:t>incidents,</w:t>
      </w:r>
      <w:r w:rsidRPr="005E389B">
        <w:rPr>
          <w:rFonts w:ascii="Arial" w:hAnsi="Arial" w:cs="Arial"/>
          <w:sz w:val="22"/>
          <w:szCs w:val="22"/>
        </w:rPr>
        <w:t xml:space="preserve"> and overall budget performance. These indicators could also be compared across regions and Trusts, allowing the Chief Executive to identify areas experiencing capacity pressures or </w:t>
      </w:r>
      <w:r w:rsidR="00861E11" w:rsidRPr="005E389B">
        <w:rPr>
          <w:rFonts w:ascii="Arial" w:hAnsi="Arial" w:cs="Arial"/>
          <w:sz w:val="22"/>
          <w:szCs w:val="22"/>
        </w:rPr>
        <w:t>deficient performance</w:t>
      </w:r>
      <w:r w:rsidRPr="005E389B">
        <w:rPr>
          <w:rFonts w:ascii="Arial" w:hAnsi="Arial" w:cs="Arial"/>
          <w:sz w:val="22"/>
          <w:szCs w:val="22"/>
        </w:rPr>
        <w:t xml:space="preserve"> [6]. This would support strategic decisions about resource allocation, service </w:t>
      </w:r>
      <w:r w:rsidR="0064383A" w:rsidRPr="005E389B">
        <w:rPr>
          <w:rFonts w:ascii="Arial" w:hAnsi="Arial" w:cs="Arial"/>
          <w:sz w:val="22"/>
          <w:szCs w:val="22"/>
        </w:rPr>
        <w:t>improvement,</w:t>
      </w:r>
      <w:r w:rsidRPr="005E389B">
        <w:rPr>
          <w:rFonts w:ascii="Arial" w:hAnsi="Arial" w:cs="Arial"/>
          <w:sz w:val="22"/>
          <w:szCs w:val="22"/>
        </w:rPr>
        <w:t xml:space="preserve"> and future healthcare demand.</w:t>
      </w:r>
    </w:p>
    <w:p w14:paraId="33D50C98" w14:textId="77777777" w:rsidR="0022042B" w:rsidRPr="005E389B" w:rsidRDefault="0022042B" w:rsidP="004F187F">
      <w:pPr>
        <w:spacing w:line="276" w:lineRule="auto"/>
        <w:jc w:val="both"/>
        <w:rPr>
          <w:rFonts w:ascii="Arial" w:hAnsi="Arial" w:cs="Arial"/>
          <w:sz w:val="22"/>
          <w:szCs w:val="22"/>
        </w:rPr>
      </w:pPr>
      <w:r w:rsidRPr="00660BA3">
        <w:rPr>
          <w:rFonts w:ascii="Arial" w:hAnsi="Arial" w:cs="Arial"/>
          <w:b/>
          <w:bCs/>
          <w:sz w:val="22"/>
          <w:szCs w:val="22"/>
        </w:rPr>
        <w:t xml:space="preserve">Finance Director: </w:t>
      </w:r>
      <w:r w:rsidRPr="005E389B">
        <w:rPr>
          <w:rFonts w:ascii="Arial" w:hAnsi="Arial" w:cs="Arial"/>
          <w:sz w:val="22"/>
          <w:szCs w:val="22"/>
        </w:rPr>
        <w:t>A finance data mart would focus on the financial performance of NHS services. It could provide information on cost per treatment, tariff income, budget variance, agency staffing costs and other workforce expenditure. By using the same shared dimensions as the rest of the warehouse, financial information could be compared with clinical and operational activity. This would help the Finance Director understand where costs are increasing and whether resources are being used effectively [7].</w:t>
      </w:r>
    </w:p>
    <w:p w14:paraId="0F50F605" w14:textId="00C1A39F"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t xml:space="preserve">Medical Director: A clinical quality data mart would provide information needed to monitor patient care and clinical performance. Measures could include readmission rates, mortality indicators, theatre utilisation, patient safety incidents and outcomes by diagnosis or procedure. This would allow the Medical Director to identify trends, compare </w:t>
      </w:r>
      <w:r w:rsidR="0064383A" w:rsidRPr="005E389B">
        <w:rPr>
          <w:rFonts w:ascii="Arial" w:hAnsi="Arial" w:cs="Arial"/>
          <w:sz w:val="22"/>
          <w:szCs w:val="22"/>
        </w:rPr>
        <w:t>services,</w:t>
      </w:r>
      <w:r w:rsidRPr="005E389B">
        <w:rPr>
          <w:rFonts w:ascii="Arial" w:hAnsi="Arial" w:cs="Arial"/>
          <w:sz w:val="22"/>
          <w:szCs w:val="22"/>
        </w:rPr>
        <w:t xml:space="preserve"> and investigate areas where clinical performance may require improvement.</w:t>
      </w:r>
    </w:p>
    <w:p w14:paraId="2FFAC647" w14:textId="6C7F5C55"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lastRenderedPageBreak/>
        <w:t xml:space="preserve">The main advantage of these data marts is that they would all use the same integrated warehouse and shared definitions. This would reduce the risk of different departments reporting conflicting figures for the same performance measure. As a result, the Chief Executive, Finance Director and Medical Director would have a consistent and reliable evidence base for making coordinated decisions about NHS performance, </w:t>
      </w:r>
      <w:r w:rsidR="0064383A" w:rsidRPr="005E389B">
        <w:rPr>
          <w:rFonts w:ascii="Arial" w:hAnsi="Arial" w:cs="Arial"/>
          <w:sz w:val="22"/>
          <w:szCs w:val="22"/>
        </w:rPr>
        <w:t>costs,</w:t>
      </w:r>
      <w:r w:rsidRPr="005E389B">
        <w:rPr>
          <w:rFonts w:ascii="Arial" w:hAnsi="Arial" w:cs="Arial"/>
          <w:sz w:val="22"/>
          <w:szCs w:val="22"/>
        </w:rPr>
        <w:t xml:space="preserve"> and quality of care [8].</w:t>
      </w:r>
    </w:p>
    <w:p w14:paraId="04BDF5F1" w14:textId="77777777" w:rsidR="00D90BE5" w:rsidRPr="00660BA3" w:rsidRDefault="00D90BE5" w:rsidP="004F187F">
      <w:pPr>
        <w:spacing w:line="276" w:lineRule="auto"/>
        <w:jc w:val="both"/>
        <w:rPr>
          <w:rFonts w:ascii="Arial" w:hAnsi="Arial" w:cs="Arial"/>
          <w:sz w:val="22"/>
          <w:szCs w:val="22"/>
        </w:rPr>
      </w:pPr>
    </w:p>
    <w:p w14:paraId="145ECDF7" w14:textId="77777777" w:rsidR="00D90BE5" w:rsidRPr="005E389B" w:rsidRDefault="00D90BE5" w:rsidP="005E389B">
      <w:pPr>
        <w:pStyle w:val="Heading2"/>
        <w:rPr>
          <w:rFonts w:ascii="Arial" w:hAnsi="Arial" w:cs="Arial"/>
          <w:b/>
          <w:bCs/>
          <w:sz w:val="28"/>
          <w:szCs w:val="28"/>
        </w:rPr>
      </w:pPr>
      <w:bookmarkStart w:id="5" w:name="_Toc235988917"/>
      <w:r w:rsidRPr="005E389B">
        <w:rPr>
          <w:rFonts w:ascii="Arial" w:hAnsi="Arial" w:cs="Arial"/>
          <w:b/>
          <w:bCs/>
          <w:sz w:val="28"/>
          <w:szCs w:val="28"/>
        </w:rPr>
        <w:t>1.4 From OLTP Normalisation to Dimensional Modelling</w:t>
      </w:r>
      <w:bookmarkEnd w:id="5"/>
    </w:p>
    <w:p w14:paraId="0956F586" w14:textId="77777777" w:rsidR="0025596F" w:rsidRPr="00660BA3" w:rsidRDefault="0025596F" w:rsidP="004F187F">
      <w:pPr>
        <w:spacing w:line="276" w:lineRule="auto"/>
        <w:jc w:val="both"/>
        <w:rPr>
          <w:rFonts w:ascii="Arial" w:hAnsi="Arial" w:cs="Arial"/>
          <w:sz w:val="22"/>
          <w:szCs w:val="22"/>
        </w:rPr>
      </w:pPr>
      <w:r w:rsidRPr="00660BA3">
        <w:rPr>
          <w:rFonts w:ascii="Arial" w:hAnsi="Arial" w:cs="Arial"/>
          <w:sz w:val="22"/>
          <w:szCs w:val="22"/>
        </w:rPr>
        <w:t>Operational systems such as PAS typically use third normal form (3NF), where information is divided across several related tables. This reduces data duplication and helps maintain accuracy and consistency during everyday transactions, such as patient admissions and appointment updates. However, this structure is less suitable for large-scale reporting because answering analytical questions may require data to be joined across many different tables.</w:t>
      </w:r>
    </w:p>
    <w:p w14:paraId="6815D6CA" w14:textId="52828941" w:rsidR="0025596F" w:rsidRPr="00660BA3" w:rsidRDefault="0025596F" w:rsidP="004F187F">
      <w:pPr>
        <w:spacing w:line="276" w:lineRule="auto"/>
        <w:jc w:val="both"/>
        <w:rPr>
          <w:rFonts w:ascii="Arial" w:hAnsi="Arial" w:cs="Arial"/>
          <w:sz w:val="22"/>
          <w:szCs w:val="22"/>
        </w:rPr>
      </w:pPr>
      <w:r w:rsidRPr="00660BA3">
        <w:rPr>
          <w:rFonts w:ascii="Arial" w:hAnsi="Arial" w:cs="Arial"/>
          <w:sz w:val="22"/>
          <w:szCs w:val="22"/>
        </w:rPr>
        <w:t xml:space="preserve">Data warehouses use a different approach known as dimensional modelling, commonly organised as a star schema. As shown in Figure 3, </w:t>
      </w:r>
      <w:r w:rsidRPr="00660BA3">
        <w:rPr>
          <w:rFonts w:ascii="Arial" w:hAnsi="Arial" w:cs="Arial"/>
          <w:b/>
          <w:bCs/>
          <w:sz w:val="22"/>
          <w:szCs w:val="22"/>
        </w:rPr>
        <w:t>FACT_PATIENT_ACTIVITY</w:t>
      </w:r>
      <w:r w:rsidRPr="00660BA3">
        <w:rPr>
          <w:rFonts w:ascii="Arial" w:hAnsi="Arial" w:cs="Arial"/>
          <w:sz w:val="22"/>
          <w:szCs w:val="22"/>
        </w:rPr>
        <w:t xml:space="preserve"> acts as the central fact table and stores measures such as length of stay, treatment cost, waiting </w:t>
      </w:r>
      <w:r w:rsidR="0064383A" w:rsidRPr="00660BA3">
        <w:rPr>
          <w:rFonts w:ascii="Arial" w:hAnsi="Arial" w:cs="Arial"/>
          <w:sz w:val="22"/>
          <w:szCs w:val="22"/>
        </w:rPr>
        <w:t>time,</w:t>
      </w:r>
      <w:r w:rsidRPr="00660BA3">
        <w:rPr>
          <w:rFonts w:ascii="Arial" w:hAnsi="Arial" w:cs="Arial"/>
          <w:sz w:val="22"/>
          <w:szCs w:val="22"/>
        </w:rPr>
        <w:t xml:space="preserve"> and readmissions. It connects to dimensions such as </w:t>
      </w:r>
      <w:r w:rsidRPr="00660BA3">
        <w:rPr>
          <w:rFonts w:ascii="Arial" w:hAnsi="Arial" w:cs="Arial"/>
          <w:b/>
          <w:bCs/>
          <w:sz w:val="22"/>
          <w:szCs w:val="22"/>
        </w:rPr>
        <w:t>DIM_PATIENT, DIM_STAFF, DIM_HOSPITAL</w:t>
      </w:r>
      <w:r w:rsidRPr="00660BA3">
        <w:rPr>
          <w:rFonts w:ascii="Arial" w:hAnsi="Arial" w:cs="Arial"/>
          <w:sz w:val="22"/>
          <w:szCs w:val="22"/>
        </w:rPr>
        <w:t xml:space="preserve"> and </w:t>
      </w:r>
      <w:r w:rsidRPr="00660BA3">
        <w:rPr>
          <w:rFonts w:ascii="Arial" w:hAnsi="Arial" w:cs="Arial"/>
          <w:b/>
          <w:bCs/>
          <w:sz w:val="22"/>
          <w:szCs w:val="22"/>
        </w:rPr>
        <w:t>DIM_TIME</w:t>
      </w:r>
      <w:r w:rsidRPr="00660BA3">
        <w:rPr>
          <w:rFonts w:ascii="Arial" w:hAnsi="Arial" w:cs="Arial"/>
          <w:sz w:val="22"/>
          <w:szCs w:val="22"/>
        </w:rPr>
        <w:t>, which provide the descriptive information needed to analyse patient activity from different perspectives [9].</w:t>
      </w:r>
    </w:p>
    <w:p w14:paraId="28DDFDAB" w14:textId="557002B0" w:rsidR="0025596F" w:rsidRPr="00660BA3" w:rsidRDefault="005E389B"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3360" behindDoc="0" locked="0" layoutInCell="1" allowOverlap="1" wp14:anchorId="35255E86" wp14:editId="1350FCAB">
            <wp:simplePos x="0" y="0"/>
            <wp:positionH relativeFrom="margin">
              <wp:align>left</wp:align>
            </wp:positionH>
            <wp:positionV relativeFrom="paragraph">
              <wp:posOffset>1024255</wp:posOffset>
            </wp:positionV>
            <wp:extent cx="5730240" cy="2912110"/>
            <wp:effectExtent l="0" t="0" r="3810" b="2540"/>
            <wp:wrapSquare wrapText="bothSides"/>
            <wp:docPr id="1629284153" name="Picture 1629284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84153" name="Picture 16292841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0240" cy="2912110"/>
                    </a:xfrm>
                    <a:prstGeom prst="rect">
                      <a:avLst/>
                    </a:prstGeom>
                  </pic:spPr>
                </pic:pic>
              </a:graphicData>
            </a:graphic>
            <wp14:sizeRelV relativeFrom="margin">
              <wp14:pctHeight>0</wp14:pctHeight>
            </wp14:sizeRelV>
          </wp:anchor>
        </w:drawing>
      </w:r>
      <w:r w:rsidR="0025596F" w:rsidRPr="00660BA3">
        <w:rPr>
          <w:rFonts w:ascii="Arial" w:hAnsi="Arial" w:cs="Arial"/>
          <w:sz w:val="22"/>
          <w:szCs w:val="22"/>
        </w:rPr>
        <w:t>For the IT Director, the main advantage is that this structure simplifies reporting and reduces query complexity. Analysts can access relevant information more easily without navigating numerous operational tables. This makes the warehouse more suitable for business intelligence and allows clinical, operational and finance teams to analyse performance more efficiently.</w:t>
      </w:r>
    </w:p>
    <w:p w14:paraId="76CBC299" w14:textId="6264F0A0" w:rsidR="00090A7A" w:rsidRPr="00660BA3" w:rsidRDefault="00090A7A" w:rsidP="004F187F">
      <w:pPr>
        <w:spacing w:line="276" w:lineRule="auto"/>
        <w:jc w:val="both"/>
        <w:rPr>
          <w:rFonts w:ascii="Arial" w:hAnsi="Arial" w:cs="Arial"/>
          <w:sz w:val="22"/>
          <w:szCs w:val="22"/>
        </w:rPr>
      </w:pPr>
    </w:p>
    <w:p w14:paraId="0164672D" w14:textId="77777777" w:rsidR="00584528" w:rsidRPr="005E389B" w:rsidRDefault="00584528" w:rsidP="004F187F">
      <w:pPr>
        <w:spacing w:line="276" w:lineRule="auto"/>
        <w:jc w:val="both"/>
        <w:rPr>
          <w:rFonts w:ascii="Arial" w:hAnsi="Arial" w:cs="Arial"/>
          <w:sz w:val="22"/>
          <w:szCs w:val="22"/>
        </w:rPr>
      </w:pPr>
      <w:r w:rsidRPr="00660BA3">
        <w:rPr>
          <w:rFonts w:ascii="Arial" w:hAnsi="Arial" w:cs="Arial"/>
          <w:b/>
          <w:bCs/>
          <w:sz w:val="22"/>
          <w:szCs w:val="22"/>
        </w:rPr>
        <w:t xml:space="preserve">Figure 3. </w:t>
      </w:r>
      <w:r w:rsidRPr="005E389B">
        <w:rPr>
          <w:rFonts w:ascii="Arial" w:hAnsi="Arial" w:cs="Arial"/>
          <w:sz w:val="22"/>
          <w:szCs w:val="22"/>
        </w:rPr>
        <w:t>Simplified NHS England star schema showing FACT_PATIENT_ACTIVITY and its related dimension tables.</w:t>
      </w:r>
    </w:p>
    <w:p w14:paraId="6DFBAED0" w14:textId="77777777" w:rsidR="00CD4A72" w:rsidRPr="00CE1427" w:rsidRDefault="00CD4A72" w:rsidP="00CE1427">
      <w:pPr>
        <w:pStyle w:val="Heading1"/>
        <w:rPr>
          <w:rFonts w:ascii="Arial" w:hAnsi="Arial" w:cs="Arial"/>
          <w:b/>
          <w:bCs/>
          <w:sz w:val="32"/>
          <w:szCs w:val="32"/>
        </w:rPr>
      </w:pPr>
      <w:bookmarkStart w:id="6" w:name="_Toc235988918"/>
      <w:r w:rsidRPr="00CE1427">
        <w:rPr>
          <w:rFonts w:ascii="Arial" w:hAnsi="Arial" w:cs="Arial"/>
          <w:b/>
          <w:bCs/>
          <w:sz w:val="32"/>
          <w:szCs w:val="32"/>
        </w:rPr>
        <w:lastRenderedPageBreak/>
        <w:t>Task 2: Star Schema Design and Implementation Plan</w:t>
      </w:r>
      <w:bookmarkEnd w:id="6"/>
    </w:p>
    <w:p w14:paraId="6B6E5E17" w14:textId="77777777" w:rsidR="00CD4A72" w:rsidRPr="00660BA3" w:rsidRDefault="00CD4A72" w:rsidP="004F187F">
      <w:pPr>
        <w:spacing w:line="276" w:lineRule="auto"/>
        <w:jc w:val="both"/>
        <w:rPr>
          <w:rFonts w:ascii="Arial" w:hAnsi="Arial" w:cs="Arial"/>
          <w:i/>
          <w:iCs/>
          <w:sz w:val="22"/>
          <w:szCs w:val="22"/>
        </w:rPr>
      </w:pPr>
      <w:r w:rsidRPr="00660BA3">
        <w:rPr>
          <w:rFonts w:ascii="Arial" w:hAnsi="Arial" w:cs="Arial"/>
          <w:b/>
          <w:bCs/>
          <w:i/>
          <w:iCs/>
          <w:sz w:val="22"/>
          <w:szCs w:val="22"/>
        </w:rPr>
        <w:t>Prepared for NHS England's technical and information governance teams, following Board approval of the data warehouse initiative.</w:t>
      </w:r>
    </w:p>
    <w:p w14:paraId="041C945E" w14:textId="77777777" w:rsidR="00CD4A72" w:rsidRPr="00CE1427" w:rsidRDefault="00CD4A72" w:rsidP="00CE1427">
      <w:pPr>
        <w:pStyle w:val="Heading2"/>
        <w:rPr>
          <w:rFonts w:ascii="Arial" w:hAnsi="Arial" w:cs="Arial"/>
          <w:b/>
          <w:bCs/>
          <w:sz w:val="28"/>
          <w:szCs w:val="28"/>
        </w:rPr>
      </w:pPr>
      <w:bookmarkStart w:id="7" w:name="_Toc235988919"/>
      <w:r w:rsidRPr="00CE1427">
        <w:rPr>
          <w:rFonts w:ascii="Arial" w:hAnsi="Arial" w:cs="Arial"/>
          <w:b/>
          <w:bCs/>
          <w:sz w:val="28"/>
          <w:szCs w:val="28"/>
        </w:rPr>
        <w:t>2.1 Source System Identification</w:t>
      </w:r>
      <w:bookmarkEnd w:id="7"/>
    </w:p>
    <w:p w14:paraId="6345A355" w14:textId="2980983E" w:rsidR="001E16FC" w:rsidRPr="00660BA3" w:rsidRDefault="001E16FC"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proposed data warehouse would combine data from NHS England's main operational systems. EPR and PAS would provide patient activity and demographic data, while clinical, workforce, financial, community and mental health systems would supply information on care, </w:t>
      </w:r>
      <w:r w:rsidR="0064383A" w:rsidRPr="00660BA3">
        <w:rPr>
          <w:rFonts w:ascii="Arial" w:hAnsi="Arial" w:cs="Arial"/>
          <w:i/>
          <w:iCs/>
          <w:sz w:val="22"/>
          <w:szCs w:val="22"/>
        </w:rPr>
        <w:t>staffing,</w:t>
      </w:r>
      <w:r w:rsidRPr="00660BA3">
        <w:rPr>
          <w:rFonts w:ascii="Arial" w:hAnsi="Arial" w:cs="Arial"/>
          <w:i/>
          <w:iCs/>
          <w:sz w:val="22"/>
          <w:szCs w:val="22"/>
        </w:rPr>
        <w:t xml:space="preserve"> and costs.</w:t>
      </w:r>
    </w:p>
    <w:p w14:paraId="0197E2B4" w14:textId="77777777" w:rsidR="001E16FC" w:rsidRDefault="001E16FC" w:rsidP="004F187F">
      <w:pPr>
        <w:spacing w:line="276" w:lineRule="auto"/>
        <w:jc w:val="both"/>
        <w:rPr>
          <w:rFonts w:ascii="Arial" w:hAnsi="Arial" w:cs="Arial"/>
          <w:i/>
          <w:iCs/>
          <w:sz w:val="22"/>
          <w:szCs w:val="22"/>
        </w:rPr>
      </w:pPr>
      <w:r w:rsidRPr="00660BA3">
        <w:rPr>
          <w:rFonts w:ascii="Arial" w:hAnsi="Arial" w:cs="Arial"/>
          <w:i/>
          <w:iCs/>
          <w:sz w:val="22"/>
          <w:szCs w:val="22"/>
        </w:rPr>
        <w:t>GP referrals and ICS commissioning data could also be included to provide a wider view of patient pathways. External sources, including ICD-10 and OPCS-4 coding standards, NHS performance data and demographic statistics, would support consistent and reliable analysis [10].</w:t>
      </w:r>
    </w:p>
    <w:p w14:paraId="324085BF" w14:textId="77777777" w:rsidR="002E008E" w:rsidRPr="00660BA3" w:rsidRDefault="002E008E" w:rsidP="004F187F">
      <w:pPr>
        <w:spacing w:line="276" w:lineRule="auto"/>
        <w:jc w:val="both"/>
        <w:rPr>
          <w:rFonts w:ascii="Arial" w:hAnsi="Arial" w:cs="Arial"/>
          <w:i/>
          <w:iCs/>
          <w:sz w:val="22"/>
          <w:szCs w:val="22"/>
        </w:rPr>
      </w:pPr>
    </w:p>
    <w:p w14:paraId="695DCCED" w14:textId="77777777" w:rsidR="00CD4A72" w:rsidRPr="00CE1427" w:rsidRDefault="00CD4A72" w:rsidP="00CE1427">
      <w:pPr>
        <w:pStyle w:val="Heading2"/>
        <w:rPr>
          <w:rFonts w:ascii="Arial" w:hAnsi="Arial" w:cs="Arial"/>
          <w:b/>
          <w:bCs/>
          <w:sz w:val="28"/>
          <w:szCs w:val="28"/>
        </w:rPr>
      </w:pPr>
      <w:bookmarkStart w:id="8" w:name="_Toc235988920"/>
      <w:r w:rsidRPr="00CE1427">
        <w:rPr>
          <w:rFonts w:ascii="Arial" w:hAnsi="Arial" w:cs="Arial"/>
          <w:b/>
          <w:bCs/>
          <w:sz w:val="28"/>
          <w:szCs w:val="28"/>
        </w:rPr>
        <w:t>2.2 Star Schema Design</w:t>
      </w:r>
      <w:bookmarkEnd w:id="8"/>
    </w:p>
    <w:p w14:paraId="74B7ABA4"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NHS England requires both detailed patient-level analysis and higher-level monthly performance reporting. For this reason, a </w:t>
      </w:r>
      <w:r w:rsidRPr="00660BA3">
        <w:rPr>
          <w:rFonts w:ascii="Arial" w:hAnsi="Arial" w:cs="Arial"/>
          <w:b/>
          <w:bCs/>
          <w:i/>
          <w:iCs/>
          <w:sz w:val="22"/>
          <w:szCs w:val="22"/>
        </w:rPr>
        <w:t>fact constellation</w:t>
      </w:r>
      <w:r w:rsidRPr="00660BA3">
        <w:rPr>
          <w:rFonts w:ascii="Arial" w:hAnsi="Arial" w:cs="Arial"/>
          <w:i/>
          <w:iCs/>
          <w:sz w:val="22"/>
          <w:szCs w:val="22"/>
        </w:rPr>
        <w:t>, made up of related star schemas that share conformed dimensions, is recommended. As shown in Figure 4, this approach allows different fact tables to support different reporting needs while maintaining consistent definitions across the warehouse.</w:t>
      </w:r>
    </w:p>
    <w:p w14:paraId="4540B986" w14:textId="1F21CEB1"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grain of each fact table must be clearly defined. </w:t>
      </w:r>
      <w:r w:rsidRPr="00660BA3">
        <w:rPr>
          <w:rFonts w:ascii="Arial" w:hAnsi="Arial" w:cs="Arial"/>
          <w:b/>
          <w:bCs/>
          <w:i/>
          <w:iCs/>
          <w:sz w:val="22"/>
          <w:szCs w:val="22"/>
        </w:rPr>
        <w:t>FACT_PATIENT_ACTIVITY</w:t>
      </w:r>
      <w:r w:rsidRPr="00660BA3">
        <w:rPr>
          <w:rFonts w:ascii="Arial" w:hAnsi="Arial" w:cs="Arial"/>
          <w:i/>
          <w:iCs/>
          <w:sz w:val="22"/>
          <w:szCs w:val="22"/>
        </w:rPr>
        <w:t xml:space="preserve"> would contain one row for each patient episode, providing detailed information about individual healthcare activity. In comparison, </w:t>
      </w:r>
      <w:r w:rsidRPr="00660BA3">
        <w:rPr>
          <w:rFonts w:ascii="Arial" w:hAnsi="Arial" w:cs="Arial"/>
          <w:b/>
          <w:bCs/>
          <w:i/>
          <w:iCs/>
          <w:sz w:val="22"/>
          <w:szCs w:val="22"/>
        </w:rPr>
        <w:t>FACT_MONTHLY_PERFORMANCE</w:t>
      </w:r>
      <w:r w:rsidRPr="00660BA3">
        <w:rPr>
          <w:rFonts w:ascii="Arial" w:hAnsi="Arial" w:cs="Arial"/>
          <w:i/>
          <w:iCs/>
          <w:sz w:val="22"/>
          <w:szCs w:val="22"/>
        </w:rPr>
        <w:t xml:space="preserve"> would contain one row for each hospital, service </w:t>
      </w:r>
      <w:r w:rsidR="0064383A" w:rsidRPr="00660BA3">
        <w:rPr>
          <w:rFonts w:ascii="Arial" w:hAnsi="Arial" w:cs="Arial"/>
          <w:i/>
          <w:iCs/>
          <w:sz w:val="22"/>
          <w:szCs w:val="22"/>
        </w:rPr>
        <w:t>type,</w:t>
      </w:r>
      <w:r w:rsidRPr="00660BA3">
        <w:rPr>
          <w:rFonts w:ascii="Arial" w:hAnsi="Arial" w:cs="Arial"/>
          <w:i/>
          <w:iCs/>
          <w:sz w:val="22"/>
          <w:szCs w:val="22"/>
        </w:rPr>
        <w:t xml:space="preserve"> and month, allowing performance to be monitored over time. Slowly changing dimensions would also be used where historical information needs to be preserved, such as when a staff member changes department.</w:t>
      </w:r>
    </w:p>
    <w:p w14:paraId="5F1A28C3" w14:textId="7BC86BCC"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main dimensions would include </w:t>
      </w:r>
      <w:r w:rsidRPr="00660BA3">
        <w:rPr>
          <w:rFonts w:ascii="Arial" w:hAnsi="Arial" w:cs="Arial"/>
          <w:b/>
          <w:bCs/>
          <w:i/>
          <w:iCs/>
          <w:sz w:val="22"/>
          <w:szCs w:val="22"/>
        </w:rPr>
        <w:t>DIM_PATIENT</w:t>
      </w:r>
      <w:r w:rsidRPr="00660BA3">
        <w:rPr>
          <w:rFonts w:ascii="Arial" w:hAnsi="Arial" w:cs="Arial"/>
          <w:i/>
          <w:iCs/>
          <w:sz w:val="22"/>
          <w:szCs w:val="22"/>
        </w:rPr>
        <w:t xml:space="preserve"> for patient information, </w:t>
      </w:r>
      <w:r w:rsidRPr="00660BA3">
        <w:rPr>
          <w:rFonts w:ascii="Arial" w:hAnsi="Arial" w:cs="Arial"/>
          <w:b/>
          <w:bCs/>
          <w:i/>
          <w:iCs/>
          <w:sz w:val="22"/>
          <w:szCs w:val="22"/>
        </w:rPr>
        <w:t>DIM_STAFF</w:t>
      </w:r>
      <w:r w:rsidRPr="00660BA3">
        <w:rPr>
          <w:rFonts w:ascii="Arial" w:hAnsi="Arial" w:cs="Arial"/>
          <w:i/>
          <w:iCs/>
          <w:sz w:val="22"/>
          <w:szCs w:val="22"/>
        </w:rPr>
        <w:t xml:space="preserve"> for workforce details, </w:t>
      </w:r>
      <w:r w:rsidRPr="00660BA3">
        <w:rPr>
          <w:rFonts w:ascii="Arial" w:hAnsi="Arial" w:cs="Arial"/>
          <w:b/>
          <w:bCs/>
          <w:i/>
          <w:iCs/>
          <w:sz w:val="22"/>
          <w:szCs w:val="22"/>
        </w:rPr>
        <w:t>DIM_HOSPITAL</w:t>
      </w:r>
      <w:r w:rsidRPr="00660BA3">
        <w:rPr>
          <w:rFonts w:ascii="Arial" w:hAnsi="Arial" w:cs="Arial"/>
          <w:i/>
          <w:iCs/>
          <w:sz w:val="22"/>
          <w:szCs w:val="22"/>
        </w:rPr>
        <w:t xml:space="preserve"> for Trust, hospital and regional information, and </w:t>
      </w:r>
      <w:r w:rsidRPr="00660BA3">
        <w:rPr>
          <w:rFonts w:ascii="Arial" w:hAnsi="Arial" w:cs="Arial"/>
          <w:b/>
          <w:bCs/>
          <w:i/>
          <w:iCs/>
          <w:sz w:val="22"/>
          <w:szCs w:val="22"/>
        </w:rPr>
        <w:t>DIM_SERVICE_TYPE</w:t>
      </w:r>
      <w:r w:rsidRPr="00660BA3">
        <w:rPr>
          <w:rFonts w:ascii="Arial" w:hAnsi="Arial" w:cs="Arial"/>
          <w:i/>
          <w:iCs/>
          <w:sz w:val="22"/>
          <w:szCs w:val="22"/>
        </w:rPr>
        <w:t xml:space="preserve"> for </w:t>
      </w:r>
      <w:r w:rsidR="00861E11" w:rsidRPr="00660BA3">
        <w:rPr>
          <w:rFonts w:ascii="Arial" w:hAnsi="Arial" w:cs="Arial"/>
          <w:i/>
          <w:iCs/>
          <w:sz w:val="22"/>
          <w:szCs w:val="22"/>
        </w:rPr>
        <w:t>various categories</w:t>
      </w:r>
      <w:r w:rsidRPr="00660BA3">
        <w:rPr>
          <w:rFonts w:ascii="Arial" w:hAnsi="Arial" w:cs="Arial"/>
          <w:i/>
          <w:iCs/>
          <w:sz w:val="22"/>
          <w:szCs w:val="22"/>
        </w:rPr>
        <w:t xml:space="preserve"> of healthcare services. </w:t>
      </w:r>
      <w:r w:rsidRPr="00660BA3">
        <w:rPr>
          <w:rFonts w:ascii="Arial" w:hAnsi="Arial" w:cs="Arial"/>
          <w:b/>
          <w:bCs/>
          <w:i/>
          <w:iCs/>
          <w:sz w:val="22"/>
          <w:szCs w:val="22"/>
        </w:rPr>
        <w:t>DIM_TIME</w:t>
      </w:r>
      <w:r w:rsidRPr="00660BA3">
        <w:rPr>
          <w:rFonts w:ascii="Arial" w:hAnsi="Arial" w:cs="Arial"/>
          <w:i/>
          <w:iCs/>
          <w:sz w:val="22"/>
          <w:szCs w:val="22"/>
        </w:rPr>
        <w:t xml:space="preserve"> would support analysis by date, month, </w:t>
      </w:r>
      <w:r w:rsidR="0064383A" w:rsidRPr="00660BA3">
        <w:rPr>
          <w:rFonts w:ascii="Arial" w:hAnsi="Arial" w:cs="Arial"/>
          <w:i/>
          <w:iCs/>
          <w:sz w:val="22"/>
          <w:szCs w:val="22"/>
        </w:rPr>
        <w:t>quarter,</w:t>
      </w:r>
      <w:r w:rsidRPr="00660BA3">
        <w:rPr>
          <w:rFonts w:ascii="Arial" w:hAnsi="Arial" w:cs="Arial"/>
          <w:i/>
          <w:iCs/>
          <w:sz w:val="22"/>
          <w:szCs w:val="22"/>
        </w:rPr>
        <w:t xml:space="preserve"> and </w:t>
      </w:r>
      <w:r w:rsidR="00861E11" w:rsidRPr="00660BA3">
        <w:rPr>
          <w:rFonts w:ascii="Arial" w:hAnsi="Arial" w:cs="Arial"/>
          <w:i/>
          <w:iCs/>
          <w:sz w:val="22"/>
          <w:szCs w:val="22"/>
        </w:rPr>
        <w:t>budget year</w:t>
      </w:r>
      <w:r w:rsidRPr="00660BA3">
        <w:rPr>
          <w:rFonts w:ascii="Arial" w:hAnsi="Arial" w:cs="Arial"/>
          <w:i/>
          <w:iCs/>
          <w:sz w:val="22"/>
          <w:szCs w:val="22"/>
        </w:rPr>
        <w:t>. Using these dimensions across multiple fact tables would help maintain consistent definitions throughout the warehouse.</w:t>
      </w:r>
    </w:p>
    <w:p w14:paraId="099AADF0" w14:textId="2102AE4A" w:rsidR="005A721B" w:rsidRPr="00660BA3" w:rsidRDefault="005A721B" w:rsidP="004F187F">
      <w:pPr>
        <w:spacing w:line="276" w:lineRule="auto"/>
        <w:jc w:val="both"/>
        <w:rPr>
          <w:rFonts w:ascii="Arial" w:hAnsi="Arial" w:cs="Arial"/>
          <w:i/>
          <w:iCs/>
          <w:sz w:val="22"/>
          <w:szCs w:val="22"/>
        </w:rPr>
      </w:pPr>
      <w:r w:rsidRPr="00660BA3">
        <w:rPr>
          <w:rFonts w:ascii="Arial" w:hAnsi="Arial" w:cs="Arial"/>
          <w:b/>
          <w:bCs/>
          <w:i/>
          <w:iCs/>
          <w:sz w:val="22"/>
          <w:szCs w:val="22"/>
        </w:rPr>
        <w:t>FACT_PATIENT_ACTIVITY</w:t>
      </w:r>
      <w:r w:rsidRPr="00660BA3">
        <w:rPr>
          <w:rFonts w:ascii="Arial" w:hAnsi="Arial" w:cs="Arial"/>
          <w:i/>
          <w:iCs/>
          <w:sz w:val="22"/>
          <w:szCs w:val="22"/>
        </w:rPr>
        <w:t xml:space="preserve"> would store measures such as length of stay, treatment cost, waiting </w:t>
      </w:r>
      <w:r w:rsidR="0064383A" w:rsidRPr="00660BA3">
        <w:rPr>
          <w:rFonts w:ascii="Arial" w:hAnsi="Arial" w:cs="Arial"/>
          <w:i/>
          <w:iCs/>
          <w:sz w:val="22"/>
          <w:szCs w:val="22"/>
        </w:rPr>
        <w:t>time,</w:t>
      </w:r>
      <w:r w:rsidRPr="00660BA3">
        <w:rPr>
          <w:rFonts w:ascii="Arial" w:hAnsi="Arial" w:cs="Arial"/>
          <w:i/>
          <w:iCs/>
          <w:sz w:val="22"/>
          <w:szCs w:val="22"/>
        </w:rPr>
        <w:t xml:space="preserve"> and readmissions. </w:t>
      </w:r>
      <w:r w:rsidRPr="00660BA3">
        <w:rPr>
          <w:rFonts w:ascii="Arial" w:hAnsi="Arial" w:cs="Arial"/>
          <w:b/>
          <w:bCs/>
          <w:i/>
          <w:iCs/>
          <w:sz w:val="22"/>
          <w:szCs w:val="22"/>
        </w:rPr>
        <w:t>FACT_MONTHLY_PERFORMANCE</w:t>
      </w:r>
      <w:r w:rsidRPr="00660BA3">
        <w:rPr>
          <w:rFonts w:ascii="Arial" w:hAnsi="Arial" w:cs="Arial"/>
          <w:i/>
          <w:iCs/>
          <w:sz w:val="22"/>
          <w:szCs w:val="22"/>
        </w:rPr>
        <w:t xml:space="preserve"> would provide aggregated measures such as total admissions, average waiting times, bed occupancy, readmission </w:t>
      </w:r>
      <w:r w:rsidR="0064383A" w:rsidRPr="00660BA3">
        <w:rPr>
          <w:rFonts w:ascii="Arial" w:hAnsi="Arial" w:cs="Arial"/>
          <w:i/>
          <w:iCs/>
          <w:sz w:val="22"/>
          <w:szCs w:val="22"/>
        </w:rPr>
        <w:t>rates,</w:t>
      </w:r>
      <w:r w:rsidRPr="00660BA3">
        <w:rPr>
          <w:rFonts w:ascii="Arial" w:hAnsi="Arial" w:cs="Arial"/>
          <w:i/>
          <w:iCs/>
          <w:sz w:val="22"/>
          <w:szCs w:val="22"/>
        </w:rPr>
        <w:t xml:space="preserve"> and total costs. Sharing conformed dimensions between these tables would ensure that detailed clinical reports and executive dashboards use the same underlying definitions and can be compared consistently.</w:t>
      </w:r>
    </w:p>
    <w:p w14:paraId="0E0F95A6" w14:textId="09D6158C"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design would also be flexible enough to support future expansion. For example, </w:t>
      </w:r>
      <w:r w:rsidRPr="00660BA3">
        <w:rPr>
          <w:rFonts w:ascii="Arial" w:hAnsi="Arial" w:cs="Arial"/>
          <w:b/>
          <w:bCs/>
          <w:i/>
          <w:iCs/>
          <w:sz w:val="22"/>
          <w:szCs w:val="22"/>
        </w:rPr>
        <w:t>FACT_WORKFORCE</w:t>
      </w:r>
      <w:r w:rsidRPr="00660BA3">
        <w:rPr>
          <w:rFonts w:ascii="Arial" w:hAnsi="Arial" w:cs="Arial"/>
          <w:i/>
          <w:iCs/>
          <w:sz w:val="22"/>
          <w:szCs w:val="22"/>
        </w:rPr>
        <w:t xml:space="preserve"> could be introduced to analyse staffing, </w:t>
      </w:r>
      <w:r w:rsidR="0064383A" w:rsidRPr="00660BA3">
        <w:rPr>
          <w:rFonts w:ascii="Arial" w:hAnsi="Arial" w:cs="Arial"/>
          <w:i/>
          <w:iCs/>
          <w:sz w:val="22"/>
          <w:szCs w:val="22"/>
        </w:rPr>
        <w:t>overtime,</w:t>
      </w:r>
      <w:r w:rsidRPr="00660BA3">
        <w:rPr>
          <w:rFonts w:ascii="Arial" w:hAnsi="Arial" w:cs="Arial"/>
          <w:i/>
          <w:iCs/>
          <w:sz w:val="22"/>
          <w:szCs w:val="22"/>
        </w:rPr>
        <w:t xml:space="preserve"> and sickness absence, while </w:t>
      </w:r>
      <w:r w:rsidRPr="00660BA3">
        <w:rPr>
          <w:rFonts w:ascii="Arial" w:hAnsi="Arial" w:cs="Arial"/>
          <w:b/>
          <w:bCs/>
          <w:i/>
          <w:iCs/>
          <w:sz w:val="22"/>
          <w:szCs w:val="22"/>
        </w:rPr>
        <w:t>FACT_FINANCE</w:t>
      </w:r>
      <w:r w:rsidRPr="00660BA3">
        <w:rPr>
          <w:rFonts w:ascii="Arial" w:hAnsi="Arial" w:cs="Arial"/>
          <w:i/>
          <w:iCs/>
          <w:sz w:val="22"/>
          <w:szCs w:val="22"/>
        </w:rPr>
        <w:t xml:space="preserve"> could support reporting on expenditure, tariff </w:t>
      </w:r>
      <w:r w:rsidR="0064383A" w:rsidRPr="00660BA3">
        <w:rPr>
          <w:rFonts w:ascii="Arial" w:hAnsi="Arial" w:cs="Arial"/>
          <w:i/>
          <w:iCs/>
          <w:sz w:val="22"/>
          <w:szCs w:val="22"/>
        </w:rPr>
        <w:t>income,</w:t>
      </w:r>
      <w:r w:rsidRPr="00660BA3">
        <w:rPr>
          <w:rFonts w:ascii="Arial" w:hAnsi="Arial" w:cs="Arial"/>
          <w:i/>
          <w:iCs/>
          <w:sz w:val="22"/>
          <w:szCs w:val="22"/>
        </w:rPr>
        <w:t xml:space="preserve"> and budget variance. These additions could reuse the existing dimensions without requiring the warehouse to be redesigned.</w:t>
      </w:r>
    </w:p>
    <w:p w14:paraId="06ECC365" w14:textId="77777777" w:rsidR="005A721B"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lastRenderedPageBreak/>
        <w:t>Finally, surrogate keys would be used as internal warehouse identifiers rather than relying directly on source-system identifiers. Patient information would also be protected through appropriate pseudonymisation and role-based access controls, supporting the data governance requirements discussed in Section 2.5 [11].</w:t>
      </w:r>
    </w:p>
    <w:p w14:paraId="6FBFC9BA" w14:textId="77777777" w:rsidR="002E008E" w:rsidRPr="00660BA3" w:rsidRDefault="002E008E" w:rsidP="004F187F">
      <w:pPr>
        <w:spacing w:line="276" w:lineRule="auto"/>
        <w:jc w:val="both"/>
        <w:rPr>
          <w:rFonts w:ascii="Arial" w:hAnsi="Arial" w:cs="Arial"/>
          <w:i/>
          <w:iCs/>
          <w:sz w:val="22"/>
          <w:szCs w:val="22"/>
        </w:rPr>
      </w:pPr>
    </w:p>
    <w:p w14:paraId="742A677F" w14:textId="025EA1B2" w:rsidR="00296851" w:rsidRPr="00660BA3" w:rsidRDefault="00A045DC"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5408" behindDoc="0" locked="0" layoutInCell="1" allowOverlap="1" wp14:anchorId="036DDCEB" wp14:editId="18518BF6">
            <wp:simplePos x="0" y="0"/>
            <wp:positionH relativeFrom="column">
              <wp:posOffset>0</wp:posOffset>
            </wp:positionH>
            <wp:positionV relativeFrom="paragraph">
              <wp:posOffset>-883</wp:posOffset>
            </wp:positionV>
            <wp:extent cx="5731510" cy="3488579"/>
            <wp:effectExtent l="0" t="0" r="2540" b="0"/>
            <wp:wrapSquare wrapText="bothSides"/>
            <wp:docPr id="1877035992" name="Picture 1877035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35992" name="Picture 18770359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88579"/>
                    </a:xfrm>
                    <a:prstGeom prst="rect">
                      <a:avLst/>
                    </a:prstGeom>
                  </pic:spPr>
                </pic:pic>
              </a:graphicData>
            </a:graphic>
          </wp:anchor>
        </w:drawing>
      </w:r>
    </w:p>
    <w:p w14:paraId="2AA54DE7" w14:textId="77777777" w:rsidR="00657C1B" w:rsidRPr="001A171A" w:rsidRDefault="00657C1B" w:rsidP="004F187F">
      <w:pPr>
        <w:spacing w:line="276" w:lineRule="auto"/>
        <w:jc w:val="both"/>
        <w:rPr>
          <w:rFonts w:ascii="Arial" w:hAnsi="Arial" w:cs="Arial"/>
          <w:sz w:val="22"/>
          <w:szCs w:val="22"/>
        </w:rPr>
      </w:pPr>
      <w:r w:rsidRPr="00660BA3">
        <w:rPr>
          <w:rFonts w:ascii="Arial" w:hAnsi="Arial" w:cs="Arial"/>
          <w:b/>
          <w:bCs/>
          <w:sz w:val="22"/>
          <w:szCs w:val="22"/>
        </w:rPr>
        <w:t xml:space="preserve">Figure 4. </w:t>
      </w:r>
      <w:r w:rsidRPr="001A171A">
        <w:rPr>
          <w:rFonts w:ascii="Arial" w:hAnsi="Arial" w:cs="Arial"/>
          <w:sz w:val="22"/>
          <w:szCs w:val="22"/>
        </w:rPr>
        <w:t>NHS England fact constellation showing shared dimensions between patient activity and monthly performance fact tables.</w:t>
      </w:r>
    </w:p>
    <w:p w14:paraId="174694E4" w14:textId="77777777" w:rsidR="008E0885" w:rsidRPr="00660BA3" w:rsidRDefault="008E0885" w:rsidP="004F187F">
      <w:pPr>
        <w:spacing w:line="276" w:lineRule="auto"/>
        <w:jc w:val="both"/>
        <w:rPr>
          <w:rFonts w:ascii="Arial" w:hAnsi="Arial" w:cs="Arial"/>
          <w:sz w:val="22"/>
          <w:szCs w:val="22"/>
        </w:rPr>
      </w:pPr>
    </w:p>
    <w:p w14:paraId="6B29E0FA" w14:textId="77777777" w:rsidR="00F96646" w:rsidRPr="005D17A9" w:rsidRDefault="00F96646" w:rsidP="005D17A9">
      <w:pPr>
        <w:pStyle w:val="Heading2"/>
        <w:rPr>
          <w:rFonts w:ascii="Arial" w:hAnsi="Arial" w:cs="Arial"/>
          <w:b/>
          <w:bCs/>
          <w:sz w:val="28"/>
          <w:szCs w:val="28"/>
        </w:rPr>
      </w:pPr>
      <w:bookmarkStart w:id="9" w:name="_Toc235988921"/>
      <w:r w:rsidRPr="005D17A9">
        <w:rPr>
          <w:rFonts w:ascii="Arial" w:hAnsi="Arial" w:cs="Arial"/>
          <w:b/>
          <w:bCs/>
          <w:sz w:val="28"/>
          <w:szCs w:val="28"/>
        </w:rPr>
        <w:t>2.3 Data Marts and Schema</w:t>
      </w:r>
      <w:bookmarkEnd w:id="9"/>
    </w:p>
    <w:p w14:paraId="40A8D453" w14:textId="77777777" w:rsidR="00F96646" w:rsidRPr="00660BA3" w:rsidRDefault="00F96646" w:rsidP="004F187F">
      <w:pPr>
        <w:spacing w:line="276" w:lineRule="auto"/>
        <w:jc w:val="both"/>
        <w:rPr>
          <w:rFonts w:ascii="Arial" w:hAnsi="Arial" w:cs="Arial"/>
          <w:sz w:val="22"/>
          <w:szCs w:val="22"/>
        </w:rPr>
      </w:pPr>
      <w:r w:rsidRPr="00660BA3">
        <w:rPr>
          <w:rFonts w:ascii="Arial" w:hAnsi="Arial" w:cs="Arial"/>
          <w:sz w:val="22"/>
          <w:szCs w:val="22"/>
        </w:rPr>
        <w:t>Three initial data marts are recommended, each designed around a specific area of management responsibility. The marts would use subject-specific star schemas based on the conformed dimensions shown in Figure 4. Although they share the same underlying warehouse data, each mart would expose the facts and measures most relevant to its intended users.</w:t>
      </w:r>
    </w:p>
    <w:p w14:paraId="27E65795" w14:textId="7614C2CC" w:rsidR="00F96646" w:rsidRPr="00660BA3" w:rsidRDefault="00F96646" w:rsidP="004F187F">
      <w:pPr>
        <w:spacing w:line="276" w:lineRule="auto"/>
        <w:jc w:val="both"/>
        <w:rPr>
          <w:rFonts w:ascii="Arial" w:hAnsi="Arial" w:cs="Arial"/>
          <w:b/>
          <w:bCs/>
          <w:sz w:val="22"/>
          <w:szCs w:val="22"/>
        </w:rPr>
      </w:pPr>
      <w:r w:rsidRPr="00660BA3">
        <w:rPr>
          <w:rFonts w:ascii="Arial" w:hAnsi="Arial" w:cs="Arial"/>
          <w:b/>
          <w:bCs/>
          <w:sz w:val="22"/>
          <w:szCs w:val="22"/>
        </w:rPr>
        <w:t xml:space="preserve">Finance data mart: </w:t>
      </w:r>
      <w:r w:rsidRPr="00660BA3">
        <w:rPr>
          <w:rFonts w:ascii="Arial" w:hAnsi="Arial" w:cs="Arial"/>
          <w:sz w:val="22"/>
          <w:szCs w:val="22"/>
        </w:rPr>
        <w:t xml:space="preserve">The finance mart would draw on FACT_MONTHLY_PERFORMANCE, particularly its cost measures, together with a proposed FACT_FINANCE table. These facts would be linked to shared dimensions such as DIM_HOSPITAL and DIM_TIME. The mart could provide measures including cost per treatment, tariff income, budget </w:t>
      </w:r>
      <w:r w:rsidR="0064383A" w:rsidRPr="00660BA3">
        <w:rPr>
          <w:rFonts w:ascii="Arial" w:hAnsi="Arial" w:cs="Arial"/>
          <w:sz w:val="22"/>
          <w:szCs w:val="22"/>
        </w:rPr>
        <w:t>variance,</w:t>
      </w:r>
      <w:r w:rsidRPr="00660BA3">
        <w:rPr>
          <w:rFonts w:ascii="Arial" w:hAnsi="Arial" w:cs="Arial"/>
          <w:sz w:val="22"/>
          <w:szCs w:val="22"/>
        </w:rPr>
        <w:t xml:space="preserve"> and workforce expenditure, giving the Finance Director a consistent view of financial performance and supporting the case study requirement to monitor adherence to budgets.</w:t>
      </w:r>
    </w:p>
    <w:p w14:paraId="6A33F705" w14:textId="09A8D56A" w:rsidR="008E6A76" w:rsidRDefault="00F96646" w:rsidP="004F187F">
      <w:pPr>
        <w:spacing w:line="276" w:lineRule="auto"/>
        <w:jc w:val="both"/>
        <w:rPr>
          <w:rFonts w:ascii="Arial" w:hAnsi="Arial" w:cs="Arial"/>
          <w:sz w:val="22"/>
          <w:szCs w:val="22"/>
        </w:rPr>
      </w:pPr>
      <w:r w:rsidRPr="00660BA3">
        <w:rPr>
          <w:rFonts w:ascii="Arial" w:hAnsi="Arial" w:cs="Arial"/>
          <w:b/>
          <w:bCs/>
          <w:sz w:val="22"/>
          <w:szCs w:val="22"/>
        </w:rPr>
        <w:t xml:space="preserve">Operations data mart: </w:t>
      </w:r>
      <w:r w:rsidRPr="00660BA3">
        <w:rPr>
          <w:rFonts w:ascii="Arial" w:hAnsi="Arial" w:cs="Arial"/>
          <w:sz w:val="22"/>
          <w:szCs w:val="22"/>
        </w:rPr>
        <w:t xml:space="preserve">The operations mart would primarily use FACT_PATIENT_ACTIVITY and FACT_MONTHLY_PERFORMANCE, linked to dimensions including DIM_HOSPITAL, DIM_SERVICE_TYPE and DIM_TIME. It would support measures such as bed occupancy, </w:t>
      </w:r>
      <w:r w:rsidRPr="00660BA3">
        <w:rPr>
          <w:rFonts w:ascii="Arial" w:hAnsi="Arial" w:cs="Arial"/>
          <w:sz w:val="22"/>
          <w:szCs w:val="22"/>
        </w:rPr>
        <w:lastRenderedPageBreak/>
        <w:t xml:space="preserve">referral-to-treatment (RTT) waiting times, ward </w:t>
      </w:r>
      <w:r w:rsidR="0064383A" w:rsidRPr="00660BA3">
        <w:rPr>
          <w:rFonts w:ascii="Arial" w:hAnsi="Arial" w:cs="Arial"/>
          <w:sz w:val="22"/>
          <w:szCs w:val="22"/>
        </w:rPr>
        <w:t>occupancy,</w:t>
      </w:r>
      <w:r w:rsidRPr="00660BA3">
        <w:rPr>
          <w:rFonts w:ascii="Arial" w:hAnsi="Arial" w:cs="Arial"/>
          <w:sz w:val="22"/>
          <w:szCs w:val="22"/>
        </w:rPr>
        <w:t xml:space="preserve"> and elective backlog volumes by region. Bringing these measures together would help operational teams identify patient-flow bottlenecks, changes in demand and areas where available capacity may not be sufficient.</w:t>
      </w:r>
    </w:p>
    <w:p w14:paraId="646397CD" w14:textId="77777777" w:rsidR="000A5281" w:rsidRDefault="00F96646" w:rsidP="004F187F">
      <w:pPr>
        <w:spacing w:line="276" w:lineRule="auto"/>
        <w:jc w:val="both"/>
        <w:rPr>
          <w:rFonts w:ascii="Arial" w:hAnsi="Arial" w:cs="Arial"/>
          <w:sz w:val="22"/>
          <w:szCs w:val="22"/>
        </w:rPr>
      </w:pPr>
      <w:r w:rsidRPr="00660BA3">
        <w:rPr>
          <w:rFonts w:ascii="Arial" w:hAnsi="Arial" w:cs="Arial"/>
          <w:b/>
          <w:bCs/>
          <w:sz w:val="22"/>
          <w:szCs w:val="22"/>
        </w:rPr>
        <w:t xml:space="preserve">Clinical quality data </w:t>
      </w:r>
      <w:r w:rsidR="008E6A76" w:rsidRPr="00660BA3">
        <w:rPr>
          <w:rFonts w:ascii="Arial" w:hAnsi="Arial" w:cs="Arial"/>
          <w:b/>
          <w:bCs/>
          <w:sz w:val="22"/>
          <w:szCs w:val="22"/>
        </w:rPr>
        <w:t>mart:</w:t>
      </w:r>
      <w:r w:rsidR="008E6A76" w:rsidRPr="00660BA3">
        <w:rPr>
          <w:rFonts w:ascii="Arial" w:hAnsi="Arial" w:cs="Arial"/>
          <w:sz w:val="22"/>
          <w:szCs w:val="22"/>
        </w:rPr>
        <w:t xml:space="preserve"> </w:t>
      </w:r>
    </w:p>
    <w:p w14:paraId="7AF3414E" w14:textId="5E44B5A2" w:rsidR="00F96646" w:rsidRPr="000A5281" w:rsidRDefault="008E6A76" w:rsidP="004F187F">
      <w:pPr>
        <w:spacing w:line="276" w:lineRule="auto"/>
        <w:jc w:val="both"/>
        <w:rPr>
          <w:rFonts w:ascii="Arial" w:hAnsi="Arial" w:cs="Arial"/>
          <w:sz w:val="22"/>
          <w:szCs w:val="22"/>
        </w:rPr>
      </w:pPr>
      <w:r w:rsidRPr="00660BA3">
        <w:rPr>
          <w:rFonts w:ascii="Arial" w:hAnsi="Arial" w:cs="Arial"/>
          <w:sz w:val="22"/>
          <w:szCs w:val="22"/>
        </w:rPr>
        <w:t>The</w:t>
      </w:r>
      <w:r w:rsidR="00F96646" w:rsidRPr="00660BA3">
        <w:rPr>
          <w:rFonts w:ascii="Arial" w:hAnsi="Arial" w:cs="Arial"/>
          <w:sz w:val="22"/>
          <w:szCs w:val="22"/>
        </w:rPr>
        <w:t xml:space="preserve"> clinical quality mart would draw </w:t>
      </w:r>
      <w:r w:rsidR="0064383A" w:rsidRPr="00660BA3">
        <w:rPr>
          <w:rFonts w:ascii="Arial" w:hAnsi="Arial" w:cs="Arial"/>
          <w:sz w:val="22"/>
          <w:szCs w:val="22"/>
        </w:rPr>
        <w:t>from</w:t>
      </w:r>
      <w:r w:rsidR="00F96646" w:rsidRPr="00660BA3">
        <w:rPr>
          <w:rFonts w:ascii="Arial" w:hAnsi="Arial" w:cs="Arial"/>
          <w:sz w:val="22"/>
          <w:szCs w:val="22"/>
        </w:rPr>
        <w:t xml:space="preserve"> FACT_PATIENT_ACTIVITY, supported by dimensions such as DIM_PATIENT, DIM_DIAGNOSIS, DIM_PROCEDURE and DIM_STAFF. It could provide measures covering readmissions, mortality indicators, patient safety incidents and outcomes by diagnosis or procedure. This would give the Medical Director and clinical governance teams a consistent basis for monitoring quality, identifying </w:t>
      </w:r>
      <w:r w:rsidR="0064383A" w:rsidRPr="00660BA3">
        <w:rPr>
          <w:rFonts w:ascii="Arial" w:hAnsi="Arial" w:cs="Arial"/>
          <w:sz w:val="22"/>
          <w:szCs w:val="22"/>
        </w:rPr>
        <w:t>patterns,</w:t>
      </w:r>
      <w:r w:rsidR="00F96646" w:rsidRPr="00660BA3">
        <w:rPr>
          <w:rFonts w:ascii="Arial" w:hAnsi="Arial" w:cs="Arial"/>
          <w:sz w:val="22"/>
          <w:szCs w:val="22"/>
        </w:rPr>
        <w:t xml:space="preserve"> and investigating variation in patient outcomes.</w:t>
      </w:r>
    </w:p>
    <w:p w14:paraId="611D4B83" w14:textId="4AA9D557" w:rsidR="00F96646" w:rsidRPr="00660BA3" w:rsidRDefault="00F96646" w:rsidP="004F187F">
      <w:pPr>
        <w:spacing w:line="276" w:lineRule="auto"/>
        <w:jc w:val="both"/>
        <w:rPr>
          <w:rFonts w:ascii="Arial" w:hAnsi="Arial" w:cs="Arial"/>
          <w:sz w:val="22"/>
          <w:szCs w:val="22"/>
        </w:rPr>
      </w:pPr>
      <w:r w:rsidRPr="00660BA3">
        <w:rPr>
          <w:rFonts w:ascii="Arial" w:hAnsi="Arial" w:cs="Arial"/>
          <w:sz w:val="22"/>
          <w:szCs w:val="22"/>
        </w:rPr>
        <w:t xml:space="preserve">Where practical, these marts could be implemented as database views or materialised structures over the shared warehouse fact and dimension tables, rather than as independently maintained copies of the same data. This approach would reduce unnecessary duplication and help ensure that finance, </w:t>
      </w:r>
      <w:r w:rsidR="0064383A" w:rsidRPr="00660BA3">
        <w:rPr>
          <w:rFonts w:ascii="Arial" w:hAnsi="Arial" w:cs="Arial"/>
          <w:sz w:val="22"/>
          <w:szCs w:val="22"/>
        </w:rPr>
        <w:t>operations,</w:t>
      </w:r>
      <w:r w:rsidRPr="00660BA3">
        <w:rPr>
          <w:rFonts w:ascii="Arial" w:hAnsi="Arial" w:cs="Arial"/>
          <w:sz w:val="22"/>
          <w:szCs w:val="22"/>
        </w:rPr>
        <w:t xml:space="preserve"> and clinical teams continue to work from common definitions and a consistent evidence base, while still receiving information organised around their </w:t>
      </w:r>
      <w:r w:rsidR="008E6A76" w:rsidRPr="00660BA3">
        <w:rPr>
          <w:rFonts w:ascii="Arial" w:hAnsi="Arial" w:cs="Arial"/>
          <w:sz w:val="22"/>
          <w:szCs w:val="22"/>
        </w:rPr>
        <w:t>decision-making</w:t>
      </w:r>
      <w:r w:rsidRPr="00660BA3">
        <w:rPr>
          <w:rFonts w:ascii="Arial" w:hAnsi="Arial" w:cs="Arial"/>
          <w:sz w:val="22"/>
          <w:szCs w:val="22"/>
        </w:rPr>
        <w:t xml:space="preserve"> needs [12].</w:t>
      </w:r>
    </w:p>
    <w:p w14:paraId="1B91E7EE" w14:textId="0E5E1EBE" w:rsidR="0028770A" w:rsidRDefault="00F96646" w:rsidP="004F187F">
      <w:pPr>
        <w:spacing w:line="276" w:lineRule="auto"/>
        <w:jc w:val="both"/>
        <w:rPr>
          <w:rFonts w:ascii="Arial" w:hAnsi="Arial" w:cs="Arial"/>
          <w:sz w:val="22"/>
          <w:szCs w:val="22"/>
        </w:rPr>
      </w:pPr>
      <w:r w:rsidRPr="00660BA3">
        <w:rPr>
          <w:rFonts w:ascii="Arial" w:hAnsi="Arial" w:cs="Arial"/>
          <w:sz w:val="22"/>
          <w:szCs w:val="22"/>
        </w:rPr>
        <w:t>The architecture would also allow additional subject areas to be introduced without redesigning the existing model</w:t>
      </w:r>
      <w:r w:rsidR="00D73AC0">
        <w:rPr>
          <w:rFonts w:ascii="Arial" w:hAnsi="Arial" w:cs="Arial"/>
          <w:sz w:val="22"/>
          <w:szCs w:val="22"/>
        </w:rPr>
        <w:t xml:space="preserve">. </w:t>
      </w:r>
      <w:r w:rsidRPr="00660BA3">
        <w:rPr>
          <w:rFonts w:ascii="Arial" w:hAnsi="Arial" w:cs="Arial"/>
          <w:sz w:val="22"/>
          <w:szCs w:val="22"/>
        </w:rPr>
        <w:t xml:space="preserve">For example, a future workforce data mart could connect a FACT_WORKFORCE table to existing conformed dimensions such as DIM_STAFF, DIM_HOSPITAL and DIM_TIME. Measures such as agency usage, overtime, </w:t>
      </w:r>
      <w:r w:rsidR="0064383A" w:rsidRPr="00660BA3">
        <w:rPr>
          <w:rFonts w:ascii="Arial" w:hAnsi="Arial" w:cs="Arial"/>
          <w:sz w:val="22"/>
          <w:szCs w:val="22"/>
        </w:rPr>
        <w:t>vacancies,</w:t>
      </w:r>
      <w:r w:rsidRPr="00660BA3">
        <w:rPr>
          <w:rFonts w:ascii="Arial" w:hAnsi="Arial" w:cs="Arial"/>
          <w:sz w:val="22"/>
          <w:szCs w:val="22"/>
        </w:rPr>
        <w:t xml:space="preserve"> and sickness absence could then be added while preserving consistency with the finance, </w:t>
      </w:r>
      <w:r w:rsidR="0064383A" w:rsidRPr="00660BA3">
        <w:rPr>
          <w:rFonts w:ascii="Arial" w:hAnsi="Arial" w:cs="Arial"/>
          <w:sz w:val="22"/>
          <w:szCs w:val="22"/>
        </w:rPr>
        <w:t>operations,</w:t>
      </w:r>
      <w:r w:rsidRPr="00660BA3">
        <w:rPr>
          <w:rFonts w:ascii="Arial" w:hAnsi="Arial" w:cs="Arial"/>
          <w:sz w:val="22"/>
          <w:szCs w:val="22"/>
        </w:rPr>
        <w:t xml:space="preserve"> and clinical quality marts already in place.</w:t>
      </w:r>
    </w:p>
    <w:p w14:paraId="546DE4D1" w14:textId="77777777" w:rsidR="002E008E" w:rsidRPr="00660BA3" w:rsidRDefault="002E008E" w:rsidP="004F187F">
      <w:pPr>
        <w:spacing w:line="276" w:lineRule="auto"/>
        <w:jc w:val="both"/>
        <w:rPr>
          <w:rFonts w:ascii="Arial" w:hAnsi="Arial" w:cs="Arial"/>
          <w:sz w:val="22"/>
          <w:szCs w:val="22"/>
        </w:rPr>
      </w:pPr>
    </w:p>
    <w:p w14:paraId="42B4C989" w14:textId="77777777" w:rsidR="008A105C" w:rsidRPr="008E6A76" w:rsidRDefault="008A105C" w:rsidP="008E6A76">
      <w:pPr>
        <w:pStyle w:val="Heading2"/>
        <w:rPr>
          <w:rFonts w:ascii="Arial" w:hAnsi="Arial" w:cs="Arial"/>
          <w:b/>
          <w:bCs/>
          <w:sz w:val="28"/>
          <w:szCs w:val="28"/>
        </w:rPr>
      </w:pPr>
      <w:bookmarkStart w:id="10" w:name="_Toc235988922"/>
      <w:r w:rsidRPr="008E6A76">
        <w:rPr>
          <w:rFonts w:ascii="Arial" w:hAnsi="Arial" w:cs="Arial"/>
          <w:b/>
          <w:bCs/>
          <w:sz w:val="28"/>
          <w:szCs w:val="28"/>
        </w:rPr>
        <w:t>2.4 ETL Plan</w:t>
      </w:r>
      <w:bookmarkEnd w:id="10"/>
    </w:p>
    <w:p w14:paraId="2CA46EB4" w14:textId="68CD64C2" w:rsidR="008A105C" w:rsidRDefault="008A105C" w:rsidP="004F187F">
      <w:pPr>
        <w:spacing w:line="276" w:lineRule="auto"/>
        <w:jc w:val="both"/>
        <w:rPr>
          <w:rFonts w:ascii="Arial" w:hAnsi="Arial" w:cs="Arial"/>
          <w:sz w:val="22"/>
          <w:szCs w:val="22"/>
        </w:rPr>
      </w:pPr>
      <w:r w:rsidRPr="008E6A76">
        <w:rPr>
          <w:rFonts w:ascii="Arial" w:hAnsi="Arial" w:cs="Arial"/>
          <w:sz w:val="22"/>
          <w:szCs w:val="22"/>
        </w:rPr>
        <w:t xml:space="preserve">The Extract-Transform-Load (ETL) process is responsible for moving data from NHS England's different operational systems into the data warehouse. It ensures that information from EPR, PAS, workforce, clinical and financial systems is cleaned, </w:t>
      </w:r>
      <w:r w:rsidR="0064383A" w:rsidRPr="008E6A76">
        <w:rPr>
          <w:rFonts w:ascii="Arial" w:hAnsi="Arial" w:cs="Arial"/>
          <w:sz w:val="22"/>
          <w:szCs w:val="22"/>
        </w:rPr>
        <w:t>standardised,</w:t>
      </w:r>
      <w:r w:rsidRPr="008E6A76">
        <w:rPr>
          <w:rFonts w:ascii="Arial" w:hAnsi="Arial" w:cs="Arial"/>
          <w:sz w:val="22"/>
          <w:szCs w:val="22"/>
        </w:rPr>
        <w:t xml:space="preserve"> and organised before being used for reporting and analysis. The main source-to-target mappings are shown below.</w:t>
      </w:r>
    </w:p>
    <w:p w14:paraId="10986F5A" w14:textId="77777777" w:rsidR="002E008E" w:rsidRDefault="002E008E" w:rsidP="004F187F">
      <w:pPr>
        <w:spacing w:line="276" w:lineRule="auto"/>
        <w:jc w:val="both"/>
        <w:rPr>
          <w:rFonts w:ascii="Arial" w:hAnsi="Arial" w:cs="Arial"/>
          <w:sz w:val="22"/>
          <w:szCs w:val="22"/>
        </w:rPr>
      </w:pPr>
    </w:p>
    <w:p w14:paraId="3AA95187" w14:textId="77777777" w:rsidR="002E008E" w:rsidRDefault="002E008E" w:rsidP="004F187F">
      <w:pPr>
        <w:spacing w:line="276" w:lineRule="auto"/>
        <w:jc w:val="both"/>
        <w:rPr>
          <w:rFonts w:ascii="Arial" w:hAnsi="Arial" w:cs="Arial"/>
          <w:sz w:val="22"/>
          <w:szCs w:val="22"/>
        </w:rPr>
      </w:pPr>
    </w:p>
    <w:p w14:paraId="5A92D32F" w14:textId="77777777" w:rsidR="002E008E" w:rsidRDefault="002E008E" w:rsidP="004F187F">
      <w:pPr>
        <w:spacing w:line="276" w:lineRule="auto"/>
        <w:jc w:val="both"/>
        <w:rPr>
          <w:rFonts w:ascii="Arial" w:hAnsi="Arial" w:cs="Arial"/>
          <w:sz w:val="22"/>
          <w:szCs w:val="22"/>
        </w:rPr>
      </w:pPr>
    </w:p>
    <w:p w14:paraId="54B248CB" w14:textId="77777777" w:rsidR="002E008E" w:rsidRDefault="002E008E" w:rsidP="004F187F">
      <w:pPr>
        <w:spacing w:line="276" w:lineRule="auto"/>
        <w:jc w:val="both"/>
        <w:rPr>
          <w:rFonts w:ascii="Arial" w:hAnsi="Arial" w:cs="Arial"/>
          <w:sz w:val="22"/>
          <w:szCs w:val="22"/>
        </w:rPr>
      </w:pPr>
    </w:p>
    <w:p w14:paraId="3CA38C05" w14:textId="77777777" w:rsidR="002E008E" w:rsidRDefault="002E008E" w:rsidP="004F187F">
      <w:pPr>
        <w:spacing w:line="276" w:lineRule="auto"/>
        <w:jc w:val="both"/>
        <w:rPr>
          <w:rFonts w:ascii="Arial" w:hAnsi="Arial" w:cs="Arial"/>
          <w:sz w:val="22"/>
          <w:szCs w:val="22"/>
        </w:rPr>
      </w:pPr>
    </w:p>
    <w:p w14:paraId="40BCF4C9" w14:textId="77777777" w:rsidR="002E008E" w:rsidRDefault="002E008E" w:rsidP="004F187F">
      <w:pPr>
        <w:spacing w:line="276" w:lineRule="auto"/>
        <w:jc w:val="both"/>
        <w:rPr>
          <w:rFonts w:ascii="Arial" w:hAnsi="Arial" w:cs="Arial"/>
          <w:sz w:val="22"/>
          <w:szCs w:val="22"/>
        </w:rPr>
      </w:pPr>
    </w:p>
    <w:p w14:paraId="3836B6D5" w14:textId="77777777" w:rsidR="002E008E" w:rsidRDefault="002E008E" w:rsidP="004F187F">
      <w:pPr>
        <w:spacing w:line="276" w:lineRule="auto"/>
        <w:jc w:val="both"/>
        <w:rPr>
          <w:rFonts w:ascii="Arial" w:hAnsi="Arial" w:cs="Arial"/>
          <w:sz w:val="22"/>
          <w:szCs w:val="22"/>
        </w:rPr>
      </w:pPr>
    </w:p>
    <w:p w14:paraId="6E96A7C9" w14:textId="77777777" w:rsidR="002E008E" w:rsidRDefault="002E008E" w:rsidP="004F187F">
      <w:pPr>
        <w:spacing w:line="276" w:lineRule="auto"/>
        <w:jc w:val="both"/>
        <w:rPr>
          <w:rFonts w:ascii="Arial" w:hAnsi="Arial" w:cs="Arial"/>
          <w:sz w:val="22"/>
          <w:szCs w:val="22"/>
        </w:rPr>
      </w:pPr>
    </w:p>
    <w:p w14:paraId="027891E0" w14:textId="77777777" w:rsidR="002E008E" w:rsidRPr="008E6A76" w:rsidRDefault="002E008E" w:rsidP="004F187F">
      <w:pPr>
        <w:spacing w:line="276" w:lineRule="auto"/>
        <w:jc w:val="both"/>
        <w:rPr>
          <w:rFonts w:ascii="Arial" w:hAnsi="Arial" w:cs="Arial"/>
          <w:sz w:val="22"/>
          <w:szCs w:val="22"/>
        </w:rPr>
      </w:pPr>
    </w:p>
    <w:tbl>
      <w:tblPr>
        <w:tblStyle w:val="GridTable6ColourfulAccent1"/>
        <w:tblW w:w="10632" w:type="dxa"/>
        <w:tblInd w:w="-806" w:type="dxa"/>
        <w:tblLook w:val="04A0" w:firstRow="1" w:lastRow="0" w:firstColumn="1" w:lastColumn="0" w:noHBand="0" w:noVBand="1"/>
      </w:tblPr>
      <w:tblGrid>
        <w:gridCol w:w="3828"/>
        <w:gridCol w:w="2824"/>
        <w:gridCol w:w="3980"/>
      </w:tblGrid>
      <w:tr w:rsidR="008A105C" w:rsidRPr="00660BA3" w14:paraId="452FB3E9" w14:textId="77777777" w:rsidTr="00A67146">
        <w:trPr>
          <w:cnfStyle w:val="100000000000" w:firstRow="1" w:lastRow="0" w:firstColumn="0" w:lastColumn="0" w:oddVBand="0" w:evenVBand="0" w:oddHBand="0" w:evenHBand="0" w:firstRowFirstColumn="0" w:firstRowLastColumn="0" w:lastRowFirstColumn="0" w:lastRowLastColumn="0"/>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3B37B261" w14:textId="77777777" w:rsidR="008A105C" w:rsidRPr="00660BA3" w:rsidRDefault="008A105C" w:rsidP="00384A5D">
            <w:pPr>
              <w:spacing w:after="160" w:line="276" w:lineRule="auto"/>
              <w:jc w:val="center"/>
              <w:rPr>
                <w:rFonts w:ascii="Arial" w:hAnsi="Arial" w:cs="Arial"/>
                <w:sz w:val="22"/>
                <w:szCs w:val="22"/>
              </w:rPr>
            </w:pPr>
            <w:r w:rsidRPr="00660BA3">
              <w:rPr>
                <w:rFonts w:ascii="Arial" w:hAnsi="Arial" w:cs="Arial"/>
                <w:sz w:val="22"/>
                <w:szCs w:val="22"/>
              </w:rPr>
              <w:lastRenderedPageBreak/>
              <w:t>Target Table</w:t>
            </w:r>
          </w:p>
        </w:tc>
        <w:tc>
          <w:tcPr>
            <w:tcW w:w="2824" w:type="dxa"/>
            <w:hideMark/>
          </w:tcPr>
          <w:p w14:paraId="62C2F58C" w14:textId="77777777" w:rsidR="008A105C" w:rsidRPr="00660BA3" w:rsidRDefault="008A105C" w:rsidP="00384A5D">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BA3">
              <w:rPr>
                <w:rFonts w:ascii="Arial" w:hAnsi="Arial" w:cs="Arial"/>
                <w:sz w:val="22"/>
                <w:szCs w:val="22"/>
              </w:rPr>
              <w:t>Primary Source(s)</w:t>
            </w:r>
          </w:p>
        </w:tc>
        <w:tc>
          <w:tcPr>
            <w:tcW w:w="3980" w:type="dxa"/>
            <w:hideMark/>
          </w:tcPr>
          <w:p w14:paraId="6C52F28B" w14:textId="77777777" w:rsidR="008A105C" w:rsidRPr="00660BA3" w:rsidRDefault="008A105C" w:rsidP="00384A5D">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BA3">
              <w:rPr>
                <w:rFonts w:ascii="Arial" w:hAnsi="Arial" w:cs="Arial"/>
                <w:sz w:val="22"/>
                <w:szCs w:val="22"/>
              </w:rPr>
              <w:t>Key Transformations</w:t>
            </w:r>
          </w:p>
        </w:tc>
      </w:tr>
      <w:tr w:rsidR="008A105C" w:rsidRPr="00660BA3" w14:paraId="12BC2EE8" w14:textId="77777777" w:rsidTr="00A67146">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3828" w:type="dxa"/>
            <w:hideMark/>
          </w:tcPr>
          <w:p w14:paraId="5215BD65"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DIM_PATIENT</w:t>
            </w:r>
          </w:p>
        </w:tc>
        <w:tc>
          <w:tcPr>
            <w:tcW w:w="2824" w:type="dxa"/>
            <w:hideMark/>
          </w:tcPr>
          <w:p w14:paraId="270FBE09" w14:textId="77777777" w:rsidR="008A105C" w:rsidRPr="006E009F" w:rsidRDefault="008A105C" w:rsidP="004F187F">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PAS / EPR</w:t>
            </w:r>
          </w:p>
        </w:tc>
        <w:tc>
          <w:tcPr>
            <w:tcW w:w="3980" w:type="dxa"/>
            <w:hideMark/>
          </w:tcPr>
          <w:p w14:paraId="21FA19CA"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Remove duplicates; standardise postcodes; pseudonymise patient identifiers</w:t>
            </w:r>
          </w:p>
        </w:tc>
      </w:tr>
      <w:tr w:rsidR="008A105C" w:rsidRPr="00660BA3" w14:paraId="4A02251C" w14:textId="77777777" w:rsidTr="00A67146">
        <w:trPr>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5860298F"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DIM_STAFF</w:t>
            </w:r>
          </w:p>
        </w:tc>
        <w:tc>
          <w:tcPr>
            <w:tcW w:w="2824" w:type="dxa"/>
            <w:hideMark/>
          </w:tcPr>
          <w:p w14:paraId="7C274463" w14:textId="77777777" w:rsidR="008A105C" w:rsidRPr="006E009F" w:rsidRDefault="008A105C" w:rsidP="004F187F">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Workforce system</w:t>
            </w:r>
          </w:p>
        </w:tc>
        <w:tc>
          <w:tcPr>
            <w:tcW w:w="3980" w:type="dxa"/>
            <w:hideMark/>
          </w:tcPr>
          <w:p w14:paraId="09778A52"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Standardise staff roles and grades; manage department changes</w:t>
            </w:r>
          </w:p>
        </w:tc>
      </w:tr>
      <w:tr w:rsidR="008A105C" w:rsidRPr="00660BA3" w14:paraId="5625CFFE" w14:textId="77777777" w:rsidTr="00A67146">
        <w:trPr>
          <w:cnfStyle w:val="000000100000" w:firstRow="0" w:lastRow="0" w:firstColumn="0" w:lastColumn="0" w:oddVBand="0" w:evenVBand="0" w:oddHBand="1" w:evenHBand="0" w:firstRowFirstColumn="0" w:firstRowLastColumn="0" w:lastRowFirstColumn="0" w:lastRowLastColumn="0"/>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4F567B49"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DIM_HOSPITAL</w:t>
            </w:r>
          </w:p>
        </w:tc>
        <w:tc>
          <w:tcPr>
            <w:tcW w:w="2824" w:type="dxa"/>
            <w:hideMark/>
          </w:tcPr>
          <w:p w14:paraId="43C490BC" w14:textId="77777777" w:rsidR="008A105C" w:rsidRPr="006E009F" w:rsidRDefault="008A105C" w:rsidP="004F187F">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PAS reference tables</w:t>
            </w:r>
          </w:p>
        </w:tc>
        <w:tc>
          <w:tcPr>
            <w:tcW w:w="3980" w:type="dxa"/>
            <w:hideMark/>
          </w:tcPr>
          <w:p w14:paraId="66F167BE" w14:textId="2392434F"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 xml:space="preserve">Standardise Trust, </w:t>
            </w:r>
            <w:r w:rsidR="0064383A" w:rsidRPr="006E009F">
              <w:rPr>
                <w:rFonts w:ascii="Arial" w:hAnsi="Arial" w:cs="Arial"/>
                <w:sz w:val="22"/>
                <w:szCs w:val="22"/>
              </w:rPr>
              <w:t>hospital,</w:t>
            </w:r>
            <w:r w:rsidRPr="006E009F">
              <w:rPr>
                <w:rFonts w:ascii="Arial" w:hAnsi="Arial" w:cs="Arial"/>
                <w:sz w:val="22"/>
                <w:szCs w:val="22"/>
              </w:rPr>
              <w:t xml:space="preserve"> and site names</w:t>
            </w:r>
          </w:p>
        </w:tc>
      </w:tr>
      <w:tr w:rsidR="008A105C" w:rsidRPr="00660BA3" w14:paraId="4AB3D26C" w14:textId="77777777" w:rsidTr="00A67146">
        <w:trPr>
          <w:trHeight w:val="555"/>
        </w:trPr>
        <w:tc>
          <w:tcPr>
            <w:cnfStyle w:val="001000000000" w:firstRow="0" w:lastRow="0" w:firstColumn="1" w:lastColumn="0" w:oddVBand="0" w:evenVBand="0" w:oddHBand="0" w:evenHBand="0" w:firstRowFirstColumn="0" w:firstRowLastColumn="0" w:lastRowFirstColumn="0" w:lastRowLastColumn="0"/>
            <w:tcW w:w="3828" w:type="dxa"/>
            <w:hideMark/>
          </w:tcPr>
          <w:p w14:paraId="03A939AA"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DIM_SERVICE_TYPE</w:t>
            </w:r>
          </w:p>
        </w:tc>
        <w:tc>
          <w:tcPr>
            <w:tcW w:w="2824" w:type="dxa"/>
            <w:hideMark/>
          </w:tcPr>
          <w:p w14:paraId="0E15E1F0" w14:textId="77777777" w:rsidR="008A105C" w:rsidRPr="006E009F" w:rsidRDefault="008A105C" w:rsidP="004F187F">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EPR / clinical systems</w:t>
            </w:r>
          </w:p>
        </w:tc>
        <w:tc>
          <w:tcPr>
            <w:tcW w:w="3980" w:type="dxa"/>
            <w:hideMark/>
          </w:tcPr>
          <w:p w14:paraId="788969FC"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Map local service codes to a common classification</w:t>
            </w:r>
          </w:p>
        </w:tc>
      </w:tr>
      <w:tr w:rsidR="008A105C" w:rsidRPr="00660BA3" w14:paraId="43EC2FB1" w14:textId="77777777" w:rsidTr="00A67146">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3828" w:type="dxa"/>
            <w:hideMark/>
          </w:tcPr>
          <w:p w14:paraId="6F9C4609"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FACT_PATIENT_ACTIVITY</w:t>
            </w:r>
          </w:p>
        </w:tc>
        <w:tc>
          <w:tcPr>
            <w:tcW w:w="2824" w:type="dxa"/>
            <w:hideMark/>
          </w:tcPr>
          <w:p w14:paraId="5937A813"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EPR, PAS, clinical systems</w:t>
            </w:r>
          </w:p>
        </w:tc>
        <w:tc>
          <w:tcPr>
            <w:tcW w:w="3980" w:type="dxa"/>
            <w:hideMark/>
          </w:tcPr>
          <w:p w14:paraId="4737D4D1"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Validate ICD-10 and OPCS-4 codes; calculate length of stay; identify duplicate admissions</w:t>
            </w:r>
          </w:p>
        </w:tc>
      </w:tr>
      <w:tr w:rsidR="008A105C" w:rsidRPr="00660BA3" w14:paraId="4F3E5258" w14:textId="77777777" w:rsidTr="00A67146">
        <w:trPr>
          <w:trHeight w:val="770"/>
        </w:trPr>
        <w:tc>
          <w:tcPr>
            <w:cnfStyle w:val="001000000000" w:firstRow="0" w:lastRow="0" w:firstColumn="1" w:lastColumn="0" w:oddVBand="0" w:evenVBand="0" w:oddHBand="0" w:evenHBand="0" w:firstRowFirstColumn="0" w:firstRowLastColumn="0" w:lastRowFirstColumn="0" w:lastRowLastColumn="0"/>
            <w:tcW w:w="3828" w:type="dxa"/>
            <w:hideMark/>
          </w:tcPr>
          <w:p w14:paraId="56EE6401"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FACT_MONTHLY_PERFORMANCE</w:t>
            </w:r>
          </w:p>
        </w:tc>
        <w:tc>
          <w:tcPr>
            <w:tcW w:w="2824" w:type="dxa"/>
            <w:hideMark/>
          </w:tcPr>
          <w:p w14:paraId="127F57E0"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Patient activity and finance data</w:t>
            </w:r>
          </w:p>
        </w:tc>
        <w:tc>
          <w:tcPr>
            <w:tcW w:w="3980" w:type="dxa"/>
            <w:hideMark/>
          </w:tcPr>
          <w:p w14:paraId="3A5AFA3A" w14:textId="0E5BBE52"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 xml:space="preserve">Aggregate by month, </w:t>
            </w:r>
            <w:r w:rsidR="0064383A" w:rsidRPr="006E009F">
              <w:rPr>
                <w:rFonts w:ascii="Arial" w:hAnsi="Arial" w:cs="Arial"/>
                <w:sz w:val="22"/>
                <w:szCs w:val="22"/>
              </w:rPr>
              <w:t>hospital,</w:t>
            </w:r>
            <w:r w:rsidRPr="006E009F">
              <w:rPr>
                <w:rFonts w:ascii="Arial" w:hAnsi="Arial" w:cs="Arial"/>
                <w:sz w:val="22"/>
                <w:szCs w:val="22"/>
              </w:rPr>
              <w:t xml:space="preserve"> and service; calculate performance measures and reconcile cost data</w:t>
            </w:r>
          </w:p>
        </w:tc>
      </w:tr>
    </w:tbl>
    <w:p w14:paraId="60ECF5AF" w14:textId="77777777" w:rsidR="006E009F" w:rsidRDefault="006E009F" w:rsidP="004F187F">
      <w:pPr>
        <w:spacing w:line="276" w:lineRule="auto"/>
        <w:jc w:val="both"/>
        <w:rPr>
          <w:rFonts w:ascii="Arial" w:hAnsi="Arial" w:cs="Arial"/>
          <w:sz w:val="22"/>
          <w:szCs w:val="22"/>
        </w:rPr>
      </w:pPr>
    </w:p>
    <w:p w14:paraId="24E9DA8E" w14:textId="7432EE4D" w:rsidR="008A105C" w:rsidRPr="002E008E" w:rsidRDefault="008A105C" w:rsidP="004F187F">
      <w:pPr>
        <w:spacing w:line="276" w:lineRule="auto"/>
        <w:jc w:val="both"/>
        <w:rPr>
          <w:rFonts w:ascii="Arial" w:hAnsi="Arial" w:cs="Arial"/>
          <w:sz w:val="22"/>
          <w:szCs w:val="22"/>
        </w:rPr>
      </w:pPr>
      <w:r w:rsidRPr="002E008E">
        <w:rPr>
          <w:rFonts w:ascii="Arial" w:hAnsi="Arial" w:cs="Arial"/>
          <w:sz w:val="22"/>
          <w:szCs w:val="22"/>
        </w:rPr>
        <w:t>During the extract stage, new and updated records would be collected from the relevant source systems. ETL would normally run overnight or at scheduled intervals using read-only source data, helping to minimise any impact on systems used for day-to-day patient care.</w:t>
      </w:r>
    </w:p>
    <w:p w14:paraId="3A72323B" w14:textId="77777777" w:rsidR="008A105C" w:rsidRPr="002E008E" w:rsidRDefault="008A105C" w:rsidP="004F187F">
      <w:pPr>
        <w:spacing w:line="276" w:lineRule="auto"/>
        <w:jc w:val="both"/>
        <w:rPr>
          <w:rFonts w:ascii="Arial" w:hAnsi="Arial" w:cs="Arial"/>
          <w:sz w:val="22"/>
          <w:szCs w:val="22"/>
        </w:rPr>
      </w:pPr>
      <w:r w:rsidRPr="002E008E">
        <w:rPr>
          <w:rFonts w:ascii="Arial" w:hAnsi="Arial" w:cs="Arial"/>
          <w:sz w:val="22"/>
          <w:szCs w:val="22"/>
        </w:rPr>
        <w:t>The extracted data would then enter a temporary staging area, where transformation and data quality checks would take place. This could include removing duplicate records, validating clinical codes, standardising formats and matching local values to agreed NHS classifications. Patient identifiers would also be pseudonymised where required to support information governance requirements.</w:t>
      </w:r>
    </w:p>
    <w:p w14:paraId="6FED5ACB" w14:textId="514468FB" w:rsidR="002E008E" w:rsidRDefault="008A105C" w:rsidP="002E008E">
      <w:pPr>
        <w:spacing w:line="276" w:lineRule="auto"/>
        <w:jc w:val="both"/>
        <w:rPr>
          <w:rFonts w:ascii="Arial" w:hAnsi="Arial" w:cs="Arial"/>
          <w:sz w:val="22"/>
          <w:szCs w:val="22"/>
        </w:rPr>
      </w:pPr>
      <w:r w:rsidRPr="002E008E">
        <w:rPr>
          <w:rFonts w:ascii="Arial" w:hAnsi="Arial" w:cs="Arial"/>
          <w:sz w:val="22"/>
          <w:szCs w:val="22"/>
        </w:rPr>
        <w:t xml:space="preserve">Finally, validated data would be loaded into the appropriate fact and dimension tables. Records that fail important validation checks would not simply be deleted. Instead, they would be recorded in a data quality exception log so that technical or data governance teams could investigate and correct the issue. This approach would help ensure that information entering the warehouse is accurate, </w:t>
      </w:r>
      <w:r w:rsidR="0064383A" w:rsidRPr="002E008E">
        <w:rPr>
          <w:rFonts w:ascii="Arial" w:hAnsi="Arial" w:cs="Arial"/>
          <w:sz w:val="22"/>
          <w:szCs w:val="22"/>
        </w:rPr>
        <w:t>consistent,</w:t>
      </w:r>
      <w:r w:rsidRPr="002E008E">
        <w:rPr>
          <w:rFonts w:ascii="Arial" w:hAnsi="Arial" w:cs="Arial"/>
          <w:sz w:val="22"/>
          <w:szCs w:val="22"/>
        </w:rPr>
        <w:t xml:space="preserve"> and suitable for reliable reporting.</w:t>
      </w:r>
    </w:p>
    <w:p w14:paraId="1E47AB97" w14:textId="77777777" w:rsidR="002E008E" w:rsidRPr="002E008E" w:rsidRDefault="002E008E" w:rsidP="002E008E">
      <w:pPr>
        <w:spacing w:line="276" w:lineRule="auto"/>
        <w:jc w:val="both"/>
        <w:rPr>
          <w:rFonts w:ascii="Arial" w:hAnsi="Arial" w:cs="Arial"/>
          <w:sz w:val="22"/>
          <w:szCs w:val="22"/>
        </w:rPr>
      </w:pPr>
    </w:p>
    <w:p w14:paraId="0722CAA8" w14:textId="77777777" w:rsidR="00E440F6" w:rsidRPr="002E008E" w:rsidRDefault="00E440F6" w:rsidP="002E008E">
      <w:pPr>
        <w:pStyle w:val="Heading2"/>
        <w:rPr>
          <w:rFonts w:ascii="Arial" w:hAnsi="Arial" w:cs="Arial"/>
          <w:b/>
          <w:bCs/>
          <w:sz w:val="28"/>
          <w:szCs w:val="28"/>
        </w:rPr>
      </w:pPr>
      <w:bookmarkStart w:id="11" w:name="_Toc235988923"/>
      <w:r w:rsidRPr="002E008E">
        <w:rPr>
          <w:rFonts w:ascii="Arial" w:hAnsi="Arial" w:cs="Arial"/>
          <w:b/>
          <w:bCs/>
          <w:sz w:val="28"/>
          <w:szCs w:val="28"/>
        </w:rPr>
        <w:t>2.5 Data Quality and Governance</w:t>
      </w:r>
      <w:bookmarkEnd w:id="11"/>
    </w:p>
    <w:p w14:paraId="719EB8A8"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Strong data quality and governance are essential because the NHS England data warehouse would contain large volumes of sensitive healthcare information. Accuracy and completeness should be maintained through validation rules during the ETL process. For example, NHS numbers can be checked for validity, while diagnosis and procedure codes can be validated against recognised standards such as ICD-10. Missing, duplicate or incorrect records should be identified and recorded in a data quality exception log for investigation.</w:t>
      </w:r>
    </w:p>
    <w:p w14:paraId="711EED8E" w14:textId="11013559"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lastRenderedPageBreak/>
        <w:t xml:space="preserve">Consistency is also important when information comes from different NHS systems and organisations. Conformed dimensions and agreed national reference data should therefore be used to ensure that hospitals, services, </w:t>
      </w:r>
      <w:r w:rsidR="0064383A" w:rsidRPr="002E008E">
        <w:rPr>
          <w:rFonts w:ascii="Arial" w:hAnsi="Arial" w:cs="Arial"/>
          <w:sz w:val="22"/>
          <w:szCs w:val="22"/>
        </w:rPr>
        <w:t>patients,</w:t>
      </w:r>
      <w:r w:rsidRPr="002E008E">
        <w:rPr>
          <w:rFonts w:ascii="Arial" w:hAnsi="Arial" w:cs="Arial"/>
          <w:sz w:val="22"/>
          <w:szCs w:val="22"/>
        </w:rPr>
        <w:t xml:space="preserve"> and reporting periods are defined consistently across the warehouse.</w:t>
      </w:r>
    </w:p>
    <w:p w14:paraId="4A8C4969"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Patient information must be managed in accordance with UK GDPR and the Data Protection Act 2018. Appropriate measures, including pseudonymisation and secure handling of identifiable information, should be applied to reduce privacy risks [13]. Access to sensitive data should also be monitored and controlled.</w:t>
      </w:r>
    </w:p>
    <w:p w14:paraId="02E91F7C"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Finally, role-based access control should ensure that users can only access information required for their responsibilities. For example, finance staff may need treatment cost and budget information but should not have access to identifiable clinical records unless there is a legitimate and authorised requirement [14]. Together, these controls would help NHS England maintain reliable data while protecting patient confidentiality.</w:t>
      </w:r>
    </w:p>
    <w:p w14:paraId="709B49D1" w14:textId="77777777" w:rsidR="009D58F1" w:rsidRPr="00660BA3" w:rsidRDefault="009D58F1" w:rsidP="004F187F">
      <w:pPr>
        <w:spacing w:line="276" w:lineRule="auto"/>
        <w:jc w:val="both"/>
        <w:rPr>
          <w:rFonts w:ascii="Arial" w:hAnsi="Arial" w:cs="Arial"/>
          <w:sz w:val="22"/>
          <w:szCs w:val="22"/>
        </w:rPr>
      </w:pPr>
    </w:p>
    <w:p w14:paraId="0C342DD9" w14:textId="77777777" w:rsidR="009D58F1" w:rsidRPr="002E008E" w:rsidRDefault="009D58F1" w:rsidP="002E008E">
      <w:pPr>
        <w:pStyle w:val="Heading1"/>
        <w:rPr>
          <w:rFonts w:ascii="Arial" w:hAnsi="Arial" w:cs="Arial"/>
          <w:b/>
          <w:bCs/>
          <w:sz w:val="28"/>
          <w:szCs w:val="28"/>
        </w:rPr>
      </w:pPr>
      <w:bookmarkStart w:id="12" w:name="_Toc235988924"/>
      <w:r w:rsidRPr="002E008E">
        <w:rPr>
          <w:rFonts w:ascii="Arial" w:hAnsi="Arial" w:cs="Arial"/>
          <w:b/>
          <w:bCs/>
          <w:sz w:val="28"/>
          <w:szCs w:val="28"/>
        </w:rPr>
        <w:t>Conclusion</w:t>
      </w:r>
      <w:bookmarkEnd w:id="12"/>
    </w:p>
    <w:p w14:paraId="48CF979A" w14:textId="263D71DD" w:rsidR="009D58F1" w:rsidRPr="002E008E" w:rsidRDefault="009D58F1" w:rsidP="004F187F">
      <w:pPr>
        <w:spacing w:line="276" w:lineRule="auto"/>
        <w:jc w:val="both"/>
        <w:rPr>
          <w:rFonts w:ascii="Arial" w:hAnsi="Arial" w:cs="Arial"/>
          <w:sz w:val="22"/>
          <w:szCs w:val="22"/>
        </w:rPr>
      </w:pPr>
      <w:r w:rsidRPr="002E008E">
        <w:rPr>
          <w:rFonts w:ascii="Arial" w:hAnsi="Arial" w:cs="Arial"/>
          <w:sz w:val="22"/>
          <w:szCs w:val="22"/>
        </w:rPr>
        <w:t>In my view, introducing a data warehouse would be a valuable step for NHS England. The current operational systems are essential for managing day-to-day healthcare activities, but they are not designed to provide the wider historical view needed for strategic decision</w:t>
      </w:r>
      <w:r w:rsidR="002E008E">
        <w:rPr>
          <w:rFonts w:ascii="Arial" w:hAnsi="Arial" w:cs="Arial"/>
          <w:sz w:val="22"/>
          <w:szCs w:val="22"/>
        </w:rPr>
        <w:t xml:space="preserve">, </w:t>
      </w:r>
      <w:r w:rsidRPr="002E008E">
        <w:rPr>
          <w:rFonts w:ascii="Arial" w:hAnsi="Arial" w:cs="Arial"/>
          <w:sz w:val="22"/>
          <w:szCs w:val="22"/>
        </w:rPr>
        <w:t>making.</w:t>
      </w:r>
    </w:p>
    <w:p w14:paraId="5EF7CA82" w14:textId="0C2E2932" w:rsidR="009D58F1" w:rsidRPr="002E008E" w:rsidRDefault="009D58F1" w:rsidP="004F187F">
      <w:pPr>
        <w:spacing w:line="276" w:lineRule="auto"/>
        <w:jc w:val="both"/>
        <w:rPr>
          <w:rFonts w:ascii="Arial" w:hAnsi="Arial" w:cs="Arial"/>
          <w:sz w:val="22"/>
          <w:szCs w:val="22"/>
        </w:rPr>
      </w:pPr>
      <w:r w:rsidRPr="002E008E">
        <w:rPr>
          <w:rFonts w:ascii="Arial" w:hAnsi="Arial" w:cs="Arial"/>
          <w:sz w:val="22"/>
          <w:szCs w:val="22"/>
        </w:rPr>
        <w:t xml:space="preserve">I believe the proposed data warehouse, supported by a structured ETL process, shared dimensions and focused data marts, would give NHS England's leadership more consistent and reliable information when making decisions about capacity, </w:t>
      </w:r>
      <w:r w:rsidR="0064383A" w:rsidRPr="002E008E">
        <w:rPr>
          <w:rFonts w:ascii="Arial" w:hAnsi="Arial" w:cs="Arial"/>
          <w:sz w:val="22"/>
          <w:szCs w:val="22"/>
        </w:rPr>
        <w:t>costs,</w:t>
      </w:r>
      <w:r w:rsidRPr="002E008E">
        <w:rPr>
          <w:rFonts w:ascii="Arial" w:hAnsi="Arial" w:cs="Arial"/>
          <w:sz w:val="22"/>
          <w:szCs w:val="22"/>
        </w:rPr>
        <w:t xml:space="preserve"> and quality of care. It would also provide a flexible foundation that could be expanded as NHS England's data and reporting needs develop in the future.</w:t>
      </w:r>
    </w:p>
    <w:p w14:paraId="3A26ACC2" w14:textId="77777777" w:rsidR="00130C8F" w:rsidRPr="00660BA3" w:rsidRDefault="00130C8F" w:rsidP="004F187F">
      <w:pPr>
        <w:spacing w:line="276" w:lineRule="auto"/>
        <w:jc w:val="both"/>
        <w:rPr>
          <w:rFonts w:ascii="Arial" w:hAnsi="Arial" w:cs="Arial"/>
          <w:sz w:val="22"/>
          <w:szCs w:val="22"/>
        </w:rPr>
      </w:pPr>
    </w:p>
    <w:p w14:paraId="3B0844DC" w14:textId="77777777" w:rsidR="00130C8F" w:rsidRPr="00660BA3" w:rsidRDefault="00130C8F" w:rsidP="004F187F">
      <w:pPr>
        <w:spacing w:line="276" w:lineRule="auto"/>
        <w:jc w:val="both"/>
        <w:rPr>
          <w:rFonts w:ascii="Arial" w:hAnsi="Arial" w:cs="Arial"/>
          <w:sz w:val="22"/>
          <w:szCs w:val="22"/>
        </w:rPr>
      </w:pPr>
    </w:p>
    <w:p w14:paraId="744A80C1" w14:textId="77777777" w:rsidR="00130C8F" w:rsidRPr="00660BA3" w:rsidRDefault="00130C8F" w:rsidP="004F187F">
      <w:pPr>
        <w:spacing w:line="276" w:lineRule="auto"/>
        <w:jc w:val="both"/>
        <w:rPr>
          <w:rFonts w:ascii="Arial" w:hAnsi="Arial" w:cs="Arial"/>
          <w:sz w:val="22"/>
          <w:szCs w:val="22"/>
        </w:rPr>
      </w:pPr>
    </w:p>
    <w:p w14:paraId="26F12F22" w14:textId="77777777" w:rsidR="002E008E" w:rsidRDefault="002E008E" w:rsidP="002E008E"/>
    <w:p w14:paraId="25EE4935" w14:textId="77777777" w:rsidR="002E008E" w:rsidRDefault="002E008E" w:rsidP="002E008E"/>
    <w:p w14:paraId="31B4064A" w14:textId="77777777" w:rsidR="002E008E" w:rsidRDefault="002E008E" w:rsidP="002E008E"/>
    <w:p w14:paraId="6883B96A" w14:textId="77777777" w:rsidR="002E008E" w:rsidRDefault="002E008E" w:rsidP="002E008E"/>
    <w:p w14:paraId="0EE6AFD6" w14:textId="77777777" w:rsidR="002E008E" w:rsidRDefault="002E008E" w:rsidP="002E008E"/>
    <w:p w14:paraId="31230273" w14:textId="77777777" w:rsidR="002E008E" w:rsidRDefault="002E008E" w:rsidP="002E008E"/>
    <w:p w14:paraId="56ED34A8" w14:textId="77777777" w:rsidR="002E008E" w:rsidRPr="002E008E" w:rsidRDefault="002E008E" w:rsidP="002E008E"/>
    <w:p w14:paraId="0F742B76" w14:textId="77777777" w:rsidR="00C8457C" w:rsidRDefault="00C8457C" w:rsidP="002E008E">
      <w:pPr>
        <w:pStyle w:val="Heading1"/>
        <w:rPr>
          <w:rFonts w:ascii="Arial" w:hAnsi="Arial" w:cs="Arial"/>
          <w:b/>
          <w:bCs/>
          <w:sz w:val="32"/>
          <w:szCs w:val="32"/>
        </w:rPr>
      </w:pPr>
      <w:bookmarkStart w:id="13" w:name="_Toc235988925"/>
      <w:r w:rsidRPr="002E008E">
        <w:rPr>
          <w:rFonts w:ascii="Arial" w:hAnsi="Arial" w:cs="Arial"/>
          <w:b/>
          <w:bCs/>
          <w:sz w:val="32"/>
          <w:szCs w:val="32"/>
        </w:rPr>
        <w:lastRenderedPageBreak/>
        <w:t>References</w:t>
      </w:r>
      <w:bookmarkEnd w:id="13"/>
    </w:p>
    <w:p w14:paraId="1ED98C78" w14:textId="77777777" w:rsidR="006E009F" w:rsidRPr="006E009F" w:rsidRDefault="006E009F" w:rsidP="006E009F"/>
    <w:p w14:paraId="76B4077C"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 W. H. Inmon, </w:t>
      </w:r>
      <w:r w:rsidRPr="002E008E">
        <w:rPr>
          <w:rFonts w:ascii="Arial" w:hAnsi="Arial" w:cs="Arial"/>
          <w:i/>
          <w:iCs/>
          <w:sz w:val="22"/>
          <w:szCs w:val="22"/>
        </w:rPr>
        <w:t>Building the Data Warehouse</w:t>
      </w:r>
      <w:r w:rsidRPr="002E008E">
        <w:rPr>
          <w:rFonts w:ascii="Arial" w:hAnsi="Arial" w:cs="Arial"/>
          <w:sz w:val="22"/>
          <w:szCs w:val="22"/>
        </w:rPr>
        <w:t>, 4th ed. Indianapolis, IN, USA: Wiley, 2005.</w:t>
      </w:r>
    </w:p>
    <w:p w14:paraId="73901408"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[2] R. Kimball and M. Ross, </w:t>
      </w:r>
      <w:r w:rsidRPr="002E008E">
        <w:rPr>
          <w:rFonts w:ascii="Arial" w:hAnsi="Arial" w:cs="Arial"/>
          <w:i/>
          <w:iCs/>
          <w:sz w:val="22"/>
          <w:szCs w:val="22"/>
        </w:rPr>
        <w:t>The Data Warehouse Toolkit: The Definitive Guide to Dimensional Modeling</w:t>
      </w:r>
      <w:r w:rsidRPr="002E008E">
        <w:rPr>
          <w:rFonts w:ascii="Arial" w:hAnsi="Arial" w:cs="Arial"/>
          <w:sz w:val="22"/>
          <w:szCs w:val="22"/>
        </w:rPr>
        <w:t>, 3rd ed. Indianapolis, IN, USA: Wiley, 2013.</w:t>
      </w:r>
    </w:p>
    <w:p w14:paraId="795D7E00"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[3] T. Knezevic Ivanovski, S. Honap, R. Matic, S. Markovic, and L. Peyrin-Biroulet, “Building a healthcare data warehouse: Considerations, opportunities, and challenges,” </w:t>
      </w:r>
      <w:r w:rsidRPr="002E008E">
        <w:rPr>
          <w:rFonts w:ascii="Arial" w:hAnsi="Arial" w:cs="Arial"/>
          <w:i/>
          <w:iCs/>
          <w:sz w:val="22"/>
          <w:szCs w:val="22"/>
        </w:rPr>
        <w:t>Frontiers in Digital Health</w:t>
      </w:r>
      <w:r w:rsidRPr="002E008E">
        <w:rPr>
          <w:rFonts w:ascii="Arial" w:hAnsi="Arial" w:cs="Arial"/>
          <w:sz w:val="22"/>
          <w:szCs w:val="22"/>
        </w:rPr>
        <w:t>, vol. 7, Art. no. 1691142, Dec. 2025, doi: 10.3389/fdgth.2025.1691142.</w:t>
      </w:r>
    </w:p>
    <w:p w14:paraId="12B7B306"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[4] S. Lyu, S. Craig, G. O’Reilly, and D. Taniar, “The development and use of data warehousing in clinical settings: A scoping review,” </w:t>
      </w:r>
      <w:r w:rsidRPr="002E008E">
        <w:rPr>
          <w:rFonts w:ascii="Arial" w:hAnsi="Arial" w:cs="Arial"/>
          <w:i/>
          <w:iCs/>
          <w:sz w:val="22"/>
          <w:szCs w:val="22"/>
        </w:rPr>
        <w:t>Frontiers in Digital Health</w:t>
      </w:r>
      <w:r w:rsidRPr="002E008E">
        <w:rPr>
          <w:rFonts w:ascii="Arial" w:hAnsi="Arial" w:cs="Arial"/>
          <w:sz w:val="22"/>
          <w:szCs w:val="22"/>
        </w:rPr>
        <w:t>, vol. 7, Art. no. 1599514, Jun. 2025, doi: 10.3389/fdgth.2025.1599514.</w:t>
      </w:r>
    </w:p>
    <w:p w14:paraId="1B415B34" w14:textId="77777777" w:rsidR="002C42FC" w:rsidRDefault="00C8457C" w:rsidP="004F187F">
      <w:pPr>
        <w:spacing w:line="276" w:lineRule="auto"/>
        <w:jc w:val="both"/>
        <w:rPr>
          <w:rFonts w:ascii="Arial" w:hAnsi="Arial" w:cs="Arial"/>
          <w:sz w:val="22"/>
          <w:szCs w:val="22"/>
        </w:rPr>
      </w:pPr>
      <w:r w:rsidRPr="002E008E">
        <w:rPr>
          <w:rFonts w:ascii="Arial" w:hAnsi="Arial" w:cs="Arial"/>
          <w:sz w:val="22"/>
          <w:szCs w:val="22"/>
        </w:rPr>
        <w:t>[5] NHS England, “Digital, data and technology transformation,” NHS England Board Paper, Mar. 2025. [Online].</w:t>
      </w:r>
    </w:p>
    <w:p w14:paraId="2C5BABBF" w14:textId="76439F40"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Available:</w:t>
      </w:r>
      <w:hyperlink r:id="rId12" w:history="1">
        <w:r w:rsidR="00354A36" w:rsidRPr="00F02FE7">
          <w:rPr>
            <w:rStyle w:val="Hyperlink"/>
            <w:rFonts w:ascii="Arial" w:hAnsi="Arial" w:cs="Arial"/>
            <w:sz w:val="22"/>
            <w:szCs w:val="22"/>
          </w:rPr>
          <w:t>https://www.england.nhs.uk/wp-content/uploads/2025/03/agenda-item-8-data-digital-and-technology-transformation.pdf</w:t>
        </w:r>
      </w:hyperlink>
    </w:p>
    <w:p w14:paraId="659E1A4E" w14:textId="77777777" w:rsidR="002D2600"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[6] NHS England, “Referral to treatment (RTT) waiting times,” 2024. [Online]. </w:t>
      </w:r>
    </w:p>
    <w:p w14:paraId="53D88B90" w14:textId="27A7A628"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Available: </w:t>
      </w:r>
      <w:hyperlink r:id="rId13" w:history="1">
        <w:r w:rsidRPr="002E008E">
          <w:rPr>
            <w:rStyle w:val="Hyperlink"/>
            <w:rFonts w:ascii="Arial" w:hAnsi="Arial" w:cs="Arial"/>
            <w:sz w:val="22"/>
            <w:szCs w:val="22"/>
          </w:rPr>
          <w:t>https://www.england.nhs.uk/statistics/statistical-work-areas/rtt-waiting-times/</w:t>
        </w:r>
      </w:hyperlink>
    </w:p>
    <w:p w14:paraId="356EF099"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[7] L. J. Basile, N. Carbonara, R. Pellegrino, and U. Panniello, “Business intelligence in the healthcare industry: The utilization of a data-driven approach to support clinical decision making,” </w:t>
      </w:r>
      <w:r w:rsidRPr="002E008E">
        <w:rPr>
          <w:rFonts w:ascii="Arial" w:hAnsi="Arial" w:cs="Arial"/>
          <w:i/>
          <w:iCs/>
          <w:sz w:val="22"/>
          <w:szCs w:val="22"/>
        </w:rPr>
        <w:t>Technovation</w:t>
      </w:r>
      <w:r w:rsidRPr="002E008E">
        <w:rPr>
          <w:rFonts w:ascii="Arial" w:hAnsi="Arial" w:cs="Arial"/>
          <w:sz w:val="22"/>
          <w:szCs w:val="22"/>
        </w:rPr>
        <w:t>, vol. 120, Art. no. 102482, 2023.</w:t>
      </w:r>
    </w:p>
    <w:p w14:paraId="7C10FCE3"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[8] F. C. Kitsios and N. Kapetaneas, “Digital transformation in healthcare 4.0: Critical factors for business intelligence systems,” </w:t>
      </w:r>
      <w:r w:rsidRPr="002E008E">
        <w:rPr>
          <w:rFonts w:ascii="Arial" w:hAnsi="Arial" w:cs="Arial"/>
          <w:i/>
          <w:iCs/>
          <w:sz w:val="22"/>
          <w:szCs w:val="22"/>
        </w:rPr>
        <w:t>Information</w:t>
      </w:r>
      <w:r w:rsidRPr="002E008E">
        <w:rPr>
          <w:rFonts w:ascii="Arial" w:hAnsi="Arial" w:cs="Arial"/>
          <w:sz w:val="22"/>
          <w:szCs w:val="22"/>
        </w:rPr>
        <w:t>, vol. 13, no. 5, Art. no. 247, 2022, doi: 10.3390/info13050247.</w:t>
      </w:r>
    </w:p>
    <w:p w14:paraId="32C29277"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[9] I. Arab, “Enterprise data modelling methodologies: A comparative analysis of Inmon, Kimball, and Data Vault,” </w:t>
      </w:r>
      <w:r w:rsidRPr="002E008E">
        <w:rPr>
          <w:rFonts w:ascii="Arial" w:hAnsi="Arial" w:cs="Arial"/>
          <w:i/>
          <w:iCs/>
          <w:sz w:val="22"/>
          <w:szCs w:val="22"/>
        </w:rPr>
        <w:t>arXiv preprint arXiv:2606.29355</w:t>
      </w:r>
      <w:r w:rsidRPr="002E008E">
        <w:rPr>
          <w:rFonts w:ascii="Arial" w:hAnsi="Arial" w:cs="Arial"/>
          <w:sz w:val="22"/>
          <w:szCs w:val="22"/>
        </w:rPr>
        <w:t>, Jun. 2026.</w:t>
      </w:r>
    </w:p>
    <w:p w14:paraId="258C2E04" w14:textId="77777777" w:rsidR="002C42FC" w:rsidRDefault="00C8457C" w:rsidP="004F187F">
      <w:pPr>
        <w:spacing w:line="276" w:lineRule="auto"/>
        <w:jc w:val="both"/>
        <w:rPr>
          <w:rFonts w:ascii="Arial" w:hAnsi="Arial" w:cs="Arial"/>
          <w:sz w:val="22"/>
          <w:szCs w:val="22"/>
        </w:rPr>
      </w:pPr>
      <w:r w:rsidRPr="002E008E">
        <w:rPr>
          <w:rFonts w:ascii="Arial" w:hAnsi="Arial" w:cs="Arial"/>
          <w:sz w:val="22"/>
          <w:szCs w:val="22"/>
        </w:rPr>
        <w:t>[10] Department of Health and Social Care, “Putting data, digital and tech at the heart of transforming the NHS,” GOV.UK, 2023.</w:t>
      </w:r>
    </w:p>
    <w:p w14:paraId="6D79BEC3" w14:textId="01C2B451"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[Online]. Available:</w:t>
      </w:r>
      <w:hyperlink r:id="rId14" w:history="1">
        <w:r w:rsidR="002D2600" w:rsidRPr="00F02FE7">
          <w:rPr>
            <w:rStyle w:val="Hyperlink"/>
            <w:rFonts w:ascii="Arial" w:hAnsi="Arial" w:cs="Arial"/>
            <w:sz w:val="22"/>
            <w:szCs w:val="22"/>
          </w:rPr>
          <w:t>https://www.gov.uk/government/publications/putting-data-digital-and-tech-at-the-heart-of-transforming-the-nhs</w:t>
        </w:r>
      </w:hyperlink>
    </w:p>
    <w:p w14:paraId="72982F61" w14:textId="3DF2A70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[11] National Data Guardian, “National Data Guardian 2023–2024 report,” GOV.UK, Nov. 2024. [Online].</w:t>
      </w:r>
      <w:r w:rsidR="0073087C">
        <w:rPr>
          <w:rFonts w:ascii="Arial" w:hAnsi="Arial" w:cs="Arial"/>
          <w:sz w:val="22"/>
          <w:szCs w:val="22"/>
        </w:rPr>
        <w:t xml:space="preserve"> </w:t>
      </w:r>
      <w:r w:rsidRPr="002E008E">
        <w:rPr>
          <w:rFonts w:ascii="Arial" w:hAnsi="Arial" w:cs="Arial"/>
          <w:sz w:val="22"/>
          <w:szCs w:val="22"/>
        </w:rPr>
        <w:t>Available:</w:t>
      </w:r>
      <w:hyperlink r:id="rId15" w:history="1">
        <w:r w:rsidR="002D2600" w:rsidRPr="00F02FE7">
          <w:rPr>
            <w:rStyle w:val="Hyperlink"/>
            <w:rFonts w:ascii="Arial" w:hAnsi="Arial" w:cs="Arial"/>
            <w:sz w:val="22"/>
            <w:szCs w:val="22"/>
          </w:rPr>
          <w:t>https://www.gov.uk/government/publications/national-data-guardian-2023-2024-report/national-data-guardian-2023-2024-report</w:t>
        </w:r>
      </w:hyperlink>
    </w:p>
    <w:p w14:paraId="535E95D9"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[12] T. G. dos Santos Martins and F. de Souza Rangel, “Data warehouse and medical research,” </w:t>
      </w:r>
      <w:r w:rsidRPr="002E008E">
        <w:rPr>
          <w:rFonts w:ascii="Arial" w:hAnsi="Arial" w:cs="Arial"/>
          <w:i/>
          <w:iCs/>
          <w:sz w:val="22"/>
          <w:szCs w:val="22"/>
        </w:rPr>
        <w:t>einstein (São Paulo)</w:t>
      </w:r>
      <w:r w:rsidRPr="002E008E">
        <w:rPr>
          <w:rFonts w:ascii="Arial" w:hAnsi="Arial" w:cs="Arial"/>
          <w:sz w:val="22"/>
          <w:szCs w:val="22"/>
        </w:rPr>
        <w:t>, 2022, doi: 10.31744/einstein_journal/2022ED6324.</w:t>
      </w:r>
    </w:p>
    <w:p w14:paraId="21282C6E" w14:textId="77777777" w:rsidR="007034D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[13] United Kingdom, </w:t>
      </w:r>
      <w:r w:rsidRPr="002E008E">
        <w:rPr>
          <w:rFonts w:ascii="Arial" w:hAnsi="Arial" w:cs="Arial"/>
          <w:i/>
          <w:iCs/>
          <w:sz w:val="22"/>
          <w:szCs w:val="22"/>
        </w:rPr>
        <w:t>Data Protection Act 2018</w:t>
      </w:r>
      <w:r w:rsidRPr="002E008E">
        <w:rPr>
          <w:rFonts w:ascii="Arial" w:hAnsi="Arial" w:cs="Arial"/>
          <w:sz w:val="22"/>
          <w:szCs w:val="22"/>
        </w:rPr>
        <w:t>, c. 12, 2018. [Online</w:t>
      </w:r>
      <w:r w:rsidR="0073087C" w:rsidRPr="002E008E">
        <w:rPr>
          <w:rFonts w:ascii="Arial" w:hAnsi="Arial" w:cs="Arial"/>
          <w:sz w:val="22"/>
          <w:szCs w:val="22"/>
        </w:rPr>
        <w:t xml:space="preserve">]. </w:t>
      </w:r>
    </w:p>
    <w:p w14:paraId="6EA7782D" w14:textId="6970A2F3" w:rsidR="00C8457C" w:rsidRPr="002E008E" w:rsidRDefault="0073087C" w:rsidP="004F187F">
      <w:pPr>
        <w:spacing w:line="276" w:lineRule="auto"/>
        <w:jc w:val="both"/>
        <w:rPr>
          <w:rFonts w:ascii="Arial" w:hAnsi="Arial" w:cs="Arial"/>
          <w:sz w:val="22"/>
          <w:szCs w:val="22"/>
        </w:rPr>
      </w:pPr>
      <w:r w:rsidRPr="002E008E">
        <w:rPr>
          <w:rFonts w:ascii="Arial" w:hAnsi="Arial" w:cs="Arial"/>
          <w:sz w:val="22"/>
          <w:szCs w:val="22"/>
        </w:rPr>
        <w:t>Available</w:t>
      </w:r>
      <w:r w:rsidR="00C8457C" w:rsidRPr="002E008E">
        <w:rPr>
          <w:rFonts w:ascii="Arial" w:hAnsi="Arial" w:cs="Arial"/>
          <w:sz w:val="22"/>
          <w:szCs w:val="22"/>
        </w:rPr>
        <w:t xml:space="preserve">: </w:t>
      </w:r>
      <w:hyperlink r:id="rId16" w:history="1">
        <w:r w:rsidR="00C8457C" w:rsidRPr="002E008E">
          <w:rPr>
            <w:rStyle w:val="Hyperlink"/>
            <w:rFonts w:ascii="Arial" w:hAnsi="Arial" w:cs="Arial"/>
            <w:sz w:val="22"/>
            <w:szCs w:val="22"/>
          </w:rPr>
          <w:t>https://www.legislation.gov.uk/ukpga/2018/12/contents</w:t>
        </w:r>
      </w:hyperlink>
    </w:p>
    <w:p w14:paraId="29BA4817"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lastRenderedPageBreak/>
        <w:t xml:space="preserve">[14] NHS England, “Information governance and data protection,” 2024. [Online]. Available: </w:t>
      </w:r>
      <w:hyperlink r:id="rId17" w:history="1">
        <w:r w:rsidRPr="002E008E">
          <w:rPr>
            <w:rStyle w:val="Hyperlink"/>
            <w:rFonts w:ascii="Arial" w:hAnsi="Arial" w:cs="Arial"/>
            <w:sz w:val="22"/>
            <w:szCs w:val="22"/>
          </w:rPr>
          <w:t>https://www.england.nhs.uk/long-read/information-governance-and-data-protection/</w:t>
        </w:r>
      </w:hyperlink>
    </w:p>
    <w:p w14:paraId="09C5FA75" w14:textId="77777777" w:rsidR="00A045DC" w:rsidRPr="002E008E" w:rsidRDefault="00A045DC" w:rsidP="004F187F">
      <w:pPr>
        <w:spacing w:line="276" w:lineRule="auto"/>
        <w:jc w:val="both"/>
        <w:rPr>
          <w:rFonts w:ascii="Arial" w:hAnsi="Arial" w:cs="Arial"/>
          <w:sz w:val="22"/>
          <w:szCs w:val="22"/>
        </w:rPr>
      </w:pPr>
    </w:p>
    <w:sectPr w:rsidR="00A045DC" w:rsidRPr="002E008E" w:rsidSect="00E665E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1A900" w14:textId="77777777" w:rsidR="00DB05FC" w:rsidRDefault="00DB05FC" w:rsidP="002E008E">
      <w:pPr>
        <w:spacing w:after="0" w:line="240" w:lineRule="auto"/>
      </w:pPr>
      <w:r>
        <w:separator/>
      </w:r>
    </w:p>
  </w:endnote>
  <w:endnote w:type="continuationSeparator" w:id="0">
    <w:p w14:paraId="4F85FCD3" w14:textId="77777777" w:rsidR="00DB05FC" w:rsidRDefault="00DB05FC" w:rsidP="002E0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366299880"/>
      <w:docPartObj>
        <w:docPartGallery w:val="Page Numbers (Bottom of Page)"/>
        <w:docPartUnique/>
      </w:docPartObj>
    </w:sdtPr>
    <w:sdtEndPr/>
    <w:sdtContent>
      <w:p w14:paraId="109677DC" w14:textId="26CBD777" w:rsidR="00520164" w:rsidRDefault="00520164">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r>
          <w:rPr>
            <w:rFonts w:asciiTheme="majorHAnsi" w:eastAsiaTheme="majorEastAsia" w:hAnsiTheme="majorHAnsi" w:cstheme="majorBidi"/>
            <w:sz w:val="28"/>
            <w:szCs w:val="28"/>
          </w:rPr>
          <w:t xml:space="preserve"> ~</w:t>
        </w:r>
      </w:p>
    </w:sdtContent>
  </w:sdt>
  <w:p w14:paraId="56B865A0" w14:textId="77777777" w:rsidR="002E008E" w:rsidRDefault="002E0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911E1" w14:textId="77777777" w:rsidR="00DB05FC" w:rsidRDefault="00DB05FC" w:rsidP="002E008E">
      <w:pPr>
        <w:spacing w:after="0" w:line="240" w:lineRule="auto"/>
      </w:pPr>
      <w:r>
        <w:separator/>
      </w:r>
    </w:p>
  </w:footnote>
  <w:footnote w:type="continuationSeparator" w:id="0">
    <w:p w14:paraId="2B5345A4" w14:textId="77777777" w:rsidR="00DB05FC" w:rsidRDefault="00DB05FC" w:rsidP="002E00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ECF"/>
    <w:rsid w:val="0003677D"/>
    <w:rsid w:val="00090A7A"/>
    <w:rsid w:val="000A5281"/>
    <w:rsid w:val="000B4B32"/>
    <w:rsid w:val="000F07E2"/>
    <w:rsid w:val="00112670"/>
    <w:rsid w:val="00130C8F"/>
    <w:rsid w:val="00147121"/>
    <w:rsid w:val="00153508"/>
    <w:rsid w:val="001A171A"/>
    <w:rsid w:val="001D4D00"/>
    <w:rsid w:val="001E16FC"/>
    <w:rsid w:val="00213BDC"/>
    <w:rsid w:val="0022042B"/>
    <w:rsid w:val="00232C09"/>
    <w:rsid w:val="00235BCE"/>
    <w:rsid w:val="0024029C"/>
    <w:rsid w:val="0025596F"/>
    <w:rsid w:val="002673F9"/>
    <w:rsid w:val="0028770A"/>
    <w:rsid w:val="002909A3"/>
    <w:rsid w:val="00296851"/>
    <w:rsid w:val="002A7FB2"/>
    <w:rsid w:val="002C23ED"/>
    <w:rsid w:val="002C42FC"/>
    <w:rsid w:val="002D0264"/>
    <w:rsid w:val="002D2600"/>
    <w:rsid w:val="002D582C"/>
    <w:rsid w:val="002E008E"/>
    <w:rsid w:val="002E6C01"/>
    <w:rsid w:val="002F2CE7"/>
    <w:rsid w:val="002F43B3"/>
    <w:rsid w:val="0030191F"/>
    <w:rsid w:val="00304B5D"/>
    <w:rsid w:val="00315A1B"/>
    <w:rsid w:val="00350E5D"/>
    <w:rsid w:val="00354A36"/>
    <w:rsid w:val="0037173A"/>
    <w:rsid w:val="00374C98"/>
    <w:rsid w:val="00384A5D"/>
    <w:rsid w:val="0039637A"/>
    <w:rsid w:val="003A69CC"/>
    <w:rsid w:val="00452722"/>
    <w:rsid w:val="0047036C"/>
    <w:rsid w:val="004810A2"/>
    <w:rsid w:val="004A0190"/>
    <w:rsid w:val="004F187F"/>
    <w:rsid w:val="00520164"/>
    <w:rsid w:val="0054088A"/>
    <w:rsid w:val="00584528"/>
    <w:rsid w:val="005A721B"/>
    <w:rsid w:val="005D17A9"/>
    <w:rsid w:val="005D70F7"/>
    <w:rsid w:val="005E389B"/>
    <w:rsid w:val="00641F81"/>
    <w:rsid w:val="0064383A"/>
    <w:rsid w:val="00657C1B"/>
    <w:rsid w:val="00660BA3"/>
    <w:rsid w:val="00696F52"/>
    <w:rsid w:val="006A511A"/>
    <w:rsid w:val="006E009F"/>
    <w:rsid w:val="007034DE"/>
    <w:rsid w:val="00727F98"/>
    <w:rsid w:val="0073087C"/>
    <w:rsid w:val="007918BA"/>
    <w:rsid w:val="008000D0"/>
    <w:rsid w:val="00861E11"/>
    <w:rsid w:val="00865FBF"/>
    <w:rsid w:val="008A105C"/>
    <w:rsid w:val="008A42BD"/>
    <w:rsid w:val="008D23C7"/>
    <w:rsid w:val="008E0885"/>
    <w:rsid w:val="008E0C7F"/>
    <w:rsid w:val="008E6A76"/>
    <w:rsid w:val="009146BF"/>
    <w:rsid w:val="00917114"/>
    <w:rsid w:val="00923C4B"/>
    <w:rsid w:val="00936321"/>
    <w:rsid w:val="0097189F"/>
    <w:rsid w:val="009A5ECF"/>
    <w:rsid w:val="009D58F1"/>
    <w:rsid w:val="009E3283"/>
    <w:rsid w:val="00A045DC"/>
    <w:rsid w:val="00A67146"/>
    <w:rsid w:val="00A90B42"/>
    <w:rsid w:val="00AF3641"/>
    <w:rsid w:val="00B037D2"/>
    <w:rsid w:val="00B42DD3"/>
    <w:rsid w:val="00B51F71"/>
    <w:rsid w:val="00B60EEC"/>
    <w:rsid w:val="00B91CFE"/>
    <w:rsid w:val="00B95B01"/>
    <w:rsid w:val="00BA12A8"/>
    <w:rsid w:val="00BD7213"/>
    <w:rsid w:val="00BE7F8F"/>
    <w:rsid w:val="00C004F3"/>
    <w:rsid w:val="00C25773"/>
    <w:rsid w:val="00C35A91"/>
    <w:rsid w:val="00C5493D"/>
    <w:rsid w:val="00C8457C"/>
    <w:rsid w:val="00CC1A17"/>
    <w:rsid w:val="00CC60E7"/>
    <w:rsid w:val="00CD4A72"/>
    <w:rsid w:val="00CE1427"/>
    <w:rsid w:val="00CE3335"/>
    <w:rsid w:val="00D07E26"/>
    <w:rsid w:val="00D16A1F"/>
    <w:rsid w:val="00D73AC0"/>
    <w:rsid w:val="00D90BE5"/>
    <w:rsid w:val="00DB05FC"/>
    <w:rsid w:val="00DB6ABB"/>
    <w:rsid w:val="00DD00EB"/>
    <w:rsid w:val="00DD08DA"/>
    <w:rsid w:val="00DE47EF"/>
    <w:rsid w:val="00E221D5"/>
    <w:rsid w:val="00E440F6"/>
    <w:rsid w:val="00E665E7"/>
    <w:rsid w:val="00E94AAB"/>
    <w:rsid w:val="00E9527B"/>
    <w:rsid w:val="00EB147A"/>
    <w:rsid w:val="00EC07B1"/>
    <w:rsid w:val="00ED51FA"/>
    <w:rsid w:val="00F34397"/>
    <w:rsid w:val="00F4787F"/>
    <w:rsid w:val="00F93F1F"/>
    <w:rsid w:val="00F96646"/>
    <w:rsid w:val="00FA0A9A"/>
    <w:rsid w:val="00FE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69D54"/>
  <w15:chartTrackingRefBased/>
  <w15:docId w15:val="{8E120518-74AD-4A25-84AB-3655003F7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ECF"/>
    <w:rPr>
      <w:rFonts w:eastAsiaTheme="majorEastAsia" w:cstheme="majorBidi"/>
      <w:color w:val="272727" w:themeColor="text1" w:themeTint="D8"/>
    </w:rPr>
  </w:style>
  <w:style w:type="paragraph" w:styleId="Title">
    <w:name w:val="Title"/>
    <w:basedOn w:val="Normal"/>
    <w:next w:val="Normal"/>
    <w:link w:val="TitleChar"/>
    <w:uiPriority w:val="10"/>
    <w:qFormat/>
    <w:rsid w:val="009A5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ECF"/>
    <w:pPr>
      <w:spacing w:before="160"/>
      <w:jc w:val="center"/>
    </w:pPr>
    <w:rPr>
      <w:i/>
      <w:iCs/>
      <w:color w:val="404040" w:themeColor="text1" w:themeTint="BF"/>
    </w:rPr>
  </w:style>
  <w:style w:type="character" w:customStyle="1" w:styleId="QuoteChar">
    <w:name w:val="Quote Char"/>
    <w:basedOn w:val="DefaultParagraphFont"/>
    <w:link w:val="Quote"/>
    <w:uiPriority w:val="29"/>
    <w:rsid w:val="009A5ECF"/>
    <w:rPr>
      <w:i/>
      <w:iCs/>
      <w:color w:val="404040" w:themeColor="text1" w:themeTint="BF"/>
    </w:rPr>
  </w:style>
  <w:style w:type="paragraph" w:styleId="ListParagraph">
    <w:name w:val="List Paragraph"/>
    <w:basedOn w:val="Normal"/>
    <w:uiPriority w:val="34"/>
    <w:qFormat/>
    <w:rsid w:val="009A5ECF"/>
    <w:pPr>
      <w:ind w:left="720"/>
      <w:contextualSpacing/>
    </w:pPr>
  </w:style>
  <w:style w:type="character" w:styleId="IntenseEmphasis">
    <w:name w:val="Intense Emphasis"/>
    <w:basedOn w:val="DefaultParagraphFont"/>
    <w:uiPriority w:val="21"/>
    <w:qFormat/>
    <w:rsid w:val="009A5ECF"/>
    <w:rPr>
      <w:i/>
      <w:iCs/>
      <w:color w:val="0F4761" w:themeColor="accent1" w:themeShade="BF"/>
    </w:rPr>
  </w:style>
  <w:style w:type="paragraph" w:styleId="IntenseQuote">
    <w:name w:val="Intense Quote"/>
    <w:basedOn w:val="Normal"/>
    <w:next w:val="Normal"/>
    <w:link w:val="IntenseQuoteChar"/>
    <w:uiPriority w:val="30"/>
    <w:qFormat/>
    <w:rsid w:val="009A5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ECF"/>
    <w:rPr>
      <w:i/>
      <w:iCs/>
      <w:color w:val="0F4761" w:themeColor="accent1" w:themeShade="BF"/>
    </w:rPr>
  </w:style>
  <w:style w:type="character" w:styleId="IntenseReference">
    <w:name w:val="Intense Reference"/>
    <w:basedOn w:val="DefaultParagraphFont"/>
    <w:uiPriority w:val="32"/>
    <w:qFormat/>
    <w:rsid w:val="009A5ECF"/>
    <w:rPr>
      <w:b/>
      <w:bCs/>
      <w:smallCaps/>
      <w:color w:val="0F4761" w:themeColor="accent1" w:themeShade="BF"/>
      <w:spacing w:val="5"/>
    </w:rPr>
  </w:style>
  <w:style w:type="paragraph" w:styleId="NoSpacing">
    <w:name w:val="No Spacing"/>
    <w:link w:val="NoSpacingChar"/>
    <w:uiPriority w:val="1"/>
    <w:qFormat/>
    <w:rsid w:val="00E665E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65E7"/>
    <w:rPr>
      <w:rFonts w:eastAsiaTheme="minorEastAsia"/>
      <w:kern w:val="0"/>
      <w:sz w:val="22"/>
      <w:szCs w:val="22"/>
      <w:lang w:eastAsia="en-GB"/>
      <w14:ligatures w14:val="none"/>
    </w:rPr>
  </w:style>
  <w:style w:type="table" w:styleId="GridTable4-Accent1">
    <w:name w:val="Grid Table 4 Accent 1"/>
    <w:basedOn w:val="TableNormal"/>
    <w:uiPriority w:val="49"/>
    <w:rsid w:val="00865FB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A42BD"/>
    <w:rPr>
      <w:color w:val="467886" w:themeColor="hyperlink"/>
      <w:u w:val="single"/>
    </w:rPr>
  </w:style>
  <w:style w:type="character" w:styleId="UnresolvedMention">
    <w:name w:val="Unresolved Mention"/>
    <w:basedOn w:val="DefaultParagraphFont"/>
    <w:uiPriority w:val="99"/>
    <w:semiHidden/>
    <w:unhideWhenUsed/>
    <w:rsid w:val="008A42BD"/>
    <w:rPr>
      <w:color w:val="605E5C"/>
      <w:shd w:val="clear" w:color="auto" w:fill="E1DFDD"/>
    </w:rPr>
  </w:style>
  <w:style w:type="paragraph" w:styleId="Header">
    <w:name w:val="header"/>
    <w:basedOn w:val="Normal"/>
    <w:link w:val="HeaderChar"/>
    <w:uiPriority w:val="99"/>
    <w:unhideWhenUsed/>
    <w:rsid w:val="002E0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08E"/>
  </w:style>
  <w:style w:type="paragraph" w:styleId="Footer">
    <w:name w:val="footer"/>
    <w:basedOn w:val="Normal"/>
    <w:link w:val="FooterChar"/>
    <w:uiPriority w:val="99"/>
    <w:unhideWhenUsed/>
    <w:rsid w:val="002E0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08E"/>
  </w:style>
  <w:style w:type="paragraph" w:styleId="TOCHeading">
    <w:name w:val="TOC Heading"/>
    <w:basedOn w:val="Heading1"/>
    <w:next w:val="Normal"/>
    <w:uiPriority w:val="39"/>
    <w:unhideWhenUsed/>
    <w:qFormat/>
    <w:rsid w:val="00F3439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34397"/>
    <w:pPr>
      <w:spacing w:after="100"/>
    </w:pPr>
  </w:style>
  <w:style w:type="paragraph" w:styleId="TOC2">
    <w:name w:val="toc 2"/>
    <w:basedOn w:val="Normal"/>
    <w:next w:val="Normal"/>
    <w:autoRedefine/>
    <w:uiPriority w:val="39"/>
    <w:unhideWhenUsed/>
    <w:rsid w:val="00F34397"/>
    <w:pPr>
      <w:spacing w:after="100"/>
      <w:ind w:left="240"/>
    </w:pPr>
  </w:style>
  <w:style w:type="table" w:styleId="GridTable6ColourfulAccent3">
    <w:name w:val="Grid Table 6 Colorful Accent 3"/>
    <w:basedOn w:val="TableNormal"/>
    <w:uiPriority w:val="51"/>
    <w:rsid w:val="00315A1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urfulAccent1">
    <w:name w:val="Grid Table 6 Colorful Accent 1"/>
    <w:basedOn w:val="TableNormal"/>
    <w:uiPriority w:val="51"/>
    <w:rsid w:val="00A67146"/>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2C42F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statistics/statistical-work-areas/rtt-waiting-tim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wp-content/uploads/2025/03/agenda-item-8-data-digital-and-technology-transformation.pdf" TargetMode="External"/><Relationship Id="rId17" Type="http://schemas.openxmlformats.org/officeDocument/2006/relationships/hyperlink" Target="https://www.england.nhs.uk/long-read/information-governance-and-data-protection/" TargetMode="External"/><Relationship Id="rId2" Type="http://schemas.openxmlformats.org/officeDocument/2006/relationships/customXml" Target="../customXml/item2.xml"/><Relationship Id="rId16" Type="http://schemas.openxmlformats.org/officeDocument/2006/relationships/hyperlink" Target="https://www.legislation.gov.uk/ukpga/2018/12/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publications/national-data-guardian-2023-2024-report/national-data-guardian-2023-2024-repor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putting-data-digital-and-tech-at-the-heart-of-transform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DD5D2C-FB86-48ED-8DA9-70540B654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13</Pages>
  <Words>3533</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for NHS England</dc:title>
  <dc:subject>A Strategic Architecture and Implementation Plan for Enhancing National Healthcare Performance with Data Analytics</dc:subject>
  <dc:creator>Ionela Alina Marcu (2321713)</dc:creator>
  <cp:keywords/>
  <dc:description/>
  <cp:lastModifiedBy>Ionela Alina Marcu (2321713)</cp:lastModifiedBy>
  <cp:revision>111</cp:revision>
  <dcterms:created xsi:type="dcterms:W3CDTF">2026-07-21T12:02:00Z</dcterms:created>
  <dcterms:modified xsi:type="dcterms:W3CDTF">2026-07-26T19:18:00Z</dcterms:modified>
</cp:coreProperties>
</file>