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56E54" w14:textId="1AA46873" w:rsidR="00264B66" w:rsidRDefault="00264B66" w:rsidP="00264B66">
      <w:pPr>
        <w:widowControl/>
        <w:ind w:leftChars="-650" w:rightChars="-496" w:right="-1190" w:hangingChars="650" w:hanging="1560"/>
        <w:rPr>
          <w:rFonts w:ascii="Times New Roman" w:hAnsi="Times New Roman" w:cs="Times New Roman"/>
          <w:szCs w:val="24"/>
        </w:rPr>
      </w:pPr>
    </w:p>
    <w:p w14:paraId="3047D500" w14:textId="4EC336F1" w:rsidR="00264B66" w:rsidRDefault="00264B66" w:rsidP="00264B66">
      <w:pPr>
        <w:widowControl/>
        <w:ind w:leftChars="-650" w:rightChars="-496" w:right="-1190" w:hangingChars="650" w:hanging="1560"/>
        <w:rPr>
          <w:rFonts w:ascii="Times New Roman" w:hAnsi="Times New Roman" w:cs="Times New Roman" w:hint="eastAsia"/>
          <w:szCs w:val="24"/>
        </w:rPr>
      </w:pPr>
      <w:r w:rsidRPr="00264B66">
        <w:rPr>
          <w:rFonts w:ascii="Times New Roman" w:hAnsi="Times New Roman" w:cs="Times New Roman"/>
          <w:szCs w:val="24"/>
        </w:rPr>
        <w:drawing>
          <wp:inline distT="0" distB="0" distL="0" distR="0" wp14:anchorId="321FA281" wp14:editId="6C0BDEAC">
            <wp:extent cx="7016750" cy="4834990"/>
            <wp:effectExtent l="0" t="0" r="0" b="381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031594" cy="4845218"/>
                    </a:xfrm>
                    <a:prstGeom prst="rect">
                      <a:avLst/>
                    </a:prstGeom>
                  </pic:spPr>
                </pic:pic>
              </a:graphicData>
            </a:graphic>
          </wp:inline>
        </w:drawing>
      </w:r>
    </w:p>
    <w:p w14:paraId="7A1424D8" w14:textId="71D66F99" w:rsidR="00264B66" w:rsidRDefault="00264B66">
      <w:pPr>
        <w:widowControl/>
        <w:rPr>
          <w:rFonts w:ascii="Times New Roman" w:hAnsi="Times New Roman" w:cs="Times New Roman"/>
          <w:szCs w:val="24"/>
        </w:rPr>
      </w:pPr>
      <w:r>
        <w:rPr>
          <w:rFonts w:ascii="Times New Roman" w:hAnsi="Times New Roman" w:cs="Times New Roman"/>
          <w:szCs w:val="24"/>
        </w:rPr>
        <w:br w:type="page"/>
      </w:r>
    </w:p>
    <w:p w14:paraId="4A84279C" w14:textId="77777777" w:rsidR="00264B66" w:rsidRDefault="00264B66">
      <w:pPr>
        <w:widowControl/>
        <w:rPr>
          <w:rFonts w:ascii="Times New Roman" w:hAnsi="Times New Roman" w:cs="Times New Roman"/>
          <w:szCs w:val="24"/>
        </w:rPr>
      </w:pPr>
    </w:p>
    <w:p w14:paraId="68EA8616" w14:textId="4F1A4568" w:rsidR="007707AB" w:rsidRPr="00B942F8" w:rsidRDefault="00BE3F8D" w:rsidP="00183FF8">
      <w:pPr>
        <w:snapToGrid w:val="0"/>
        <w:spacing w:before="100" w:beforeAutospacing="1" w:after="100" w:afterAutospacing="1" w:line="360" w:lineRule="auto"/>
        <w:jc w:val="center"/>
        <w:rPr>
          <w:rFonts w:ascii="Times New Roman" w:hAnsi="Times New Roman" w:cs="Times New Roman"/>
          <w:szCs w:val="24"/>
        </w:rPr>
      </w:pPr>
      <w:r w:rsidRPr="00B942F8">
        <w:rPr>
          <w:rFonts w:ascii="Times New Roman" w:hAnsi="Times New Roman" w:cs="Times New Roman"/>
          <w:szCs w:val="24"/>
        </w:rPr>
        <w:t>University of Wales Trinity Saint David</w:t>
      </w:r>
    </w:p>
    <w:p w14:paraId="4DDDAB5D" w14:textId="4E5CEF7A" w:rsidR="00BE3F8D" w:rsidRPr="00B942F8" w:rsidRDefault="00BE3F8D" w:rsidP="00183FF8">
      <w:pPr>
        <w:snapToGrid w:val="0"/>
        <w:spacing w:before="100" w:beforeAutospacing="1" w:after="100" w:afterAutospacing="1" w:line="360" w:lineRule="auto"/>
        <w:jc w:val="center"/>
        <w:rPr>
          <w:rFonts w:ascii="Times New Roman" w:hAnsi="Times New Roman" w:cs="Times New Roman"/>
          <w:szCs w:val="24"/>
        </w:rPr>
      </w:pPr>
      <w:r w:rsidRPr="00B942F8">
        <w:rPr>
          <w:rFonts w:ascii="Times New Roman" w:hAnsi="Times New Roman" w:cs="Times New Roman"/>
          <w:szCs w:val="24"/>
        </w:rPr>
        <w:t xml:space="preserve">DBA </w:t>
      </w:r>
      <w:proofErr w:type="spellStart"/>
      <w:r w:rsidRPr="00B942F8">
        <w:rPr>
          <w:rFonts w:ascii="Times New Roman" w:hAnsi="Times New Roman" w:cs="Times New Roman"/>
          <w:szCs w:val="24"/>
        </w:rPr>
        <w:t>Programme</w:t>
      </w:r>
      <w:proofErr w:type="spellEnd"/>
    </w:p>
    <w:p w14:paraId="5E5C07F7" w14:textId="0BAA771C"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p>
    <w:p w14:paraId="25A821A0" w14:textId="564CCD49"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 xml:space="preserve">Module: </w:t>
      </w:r>
      <w:r w:rsidRPr="00B942F8">
        <w:rPr>
          <w:rFonts w:ascii="Times New Roman" w:hAnsi="Times New Roman" w:cs="Times New Roman"/>
          <w:szCs w:val="24"/>
        </w:rPr>
        <w:tab/>
      </w:r>
      <w:r w:rsidRPr="00B942F8">
        <w:rPr>
          <w:rFonts w:ascii="Times New Roman" w:hAnsi="Times New Roman" w:cs="Times New Roman"/>
          <w:szCs w:val="24"/>
        </w:rPr>
        <w:tab/>
        <w:t>Strategic Change and Organizations (HKBM7016)</w:t>
      </w:r>
    </w:p>
    <w:p w14:paraId="149226C6" w14:textId="51F5A5D4"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Professor:</w:t>
      </w:r>
      <w:r w:rsidRPr="00B942F8">
        <w:rPr>
          <w:rFonts w:ascii="Times New Roman" w:hAnsi="Times New Roman" w:cs="Times New Roman"/>
          <w:szCs w:val="24"/>
        </w:rPr>
        <w:tab/>
        <w:t>Professor Peter Fong</w:t>
      </w:r>
    </w:p>
    <w:p w14:paraId="57E790D4" w14:textId="77777777"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p>
    <w:p w14:paraId="2BE9EF20" w14:textId="16FEA24E" w:rsidR="00BE3F8D"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Title of Management Report:</w:t>
      </w:r>
    </w:p>
    <w:p w14:paraId="5B551240" w14:textId="57E5691F"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 xml:space="preserve">A </w:t>
      </w:r>
      <w:r w:rsidR="00183FF8">
        <w:rPr>
          <w:rFonts w:ascii="Times New Roman" w:hAnsi="Times New Roman" w:cs="Times New Roman"/>
          <w:szCs w:val="24"/>
        </w:rPr>
        <w:t xml:space="preserve">Business </w:t>
      </w:r>
      <w:r w:rsidRPr="00B942F8">
        <w:rPr>
          <w:rFonts w:ascii="Times New Roman" w:hAnsi="Times New Roman" w:cs="Times New Roman"/>
          <w:szCs w:val="24"/>
        </w:rPr>
        <w:t>Report</w:t>
      </w:r>
      <w:r w:rsidR="00183FF8">
        <w:rPr>
          <w:rFonts w:ascii="Times New Roman" w:hAnsi="Times New Roman" w:cs="Times New Roman"/>
          <w:szCs w:val="24"/>
        </w:rPr>
        <w:t xml:space="preserve"> on Strategic Analysis and Strategic Options on Market Expansion of the Cambridge Associates, LLC to Hong Kong</w:t>
      </w:r>
    </w:p>
    <w:p w14:paraId="3AF65CD2" w14:textId="1853C6E6"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p>
    <w:p w14:paraId="61021A87" w14:textId="033C2F94"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Student:</w:t>
      </w:r>
      <w:r w:rsidRPr="00B942F8">
        <w:rPr>
          <w:rFonts w:ascii="Times New Roman" w:hAnsi="Times New Roman" w:cs="Times New Roman"/>
          <w:szCs w:val="24"/>
        </w:rPr>
        <w:tab/>
      </w:r>
      <w:r w:rsidRPr="00B942F8">
        <w:rPr>
          <w:rFonts w:ascii="Times New Roman" w:hAnsi="Times New Roman" w:cs="Times New Roman"/>
          <w:szCs w:val="24"/>
        </w:rPr>
        <w:tab/>
        <w:t>Lam Chong Hang (2031103)</w:t>
      </w:r>
    </w:p>
    <w:p w14:paraId="271B4386" w14:textId="5BFA387B"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p>
    <w:p w14:paraId="2955A77E" w14:textId="5F818001" w:rsidR="00BE3F8D" w:rsidRPr="00B942F8" w:rsidRDefault="00BE3F8D" w:rsidP="00183FF8">
      <w:pPr>
        <w:snapToGrid w:val="0"/>
        <w:spacing w:before="100" w:beforeAutospacing="1" w:after="100" w:afterAutospacing="1" w:line="360" w:lineRule="auto"/>
        <w:rPr>
          <w:rFonts w:ascii="Times New Roman" w:hAnsi="Times New Roman" w:cs="Times New Roman"/>
          <w:szCs w:val="24"/>
        </w:rPr>
      </w:pPr>
      <w:r w:rsidRPr="00B942F8">
        <w:rPr>
          <w:rFonts w:ascii="Times New Roman" w:hAnsi="Times New Roman" w:cs="Times New Roman"/>
          <w:szCs w:val="24"/>
        </w:rPr>
        <w:t>Date:</w:t>
      </w:r>
      <w:r w:rsidRPr="00B942F8">
        <w:rPr>
          <w:rFonts w:ascii="Times New Roman" w:hAnsi="Times New Roman" w:cs="Times New Roman"/>
          <w:szCs w:val="24"/>
        </w:rPr>
        <w:tab/>
      </w:r>
      <w:r w:rsidRPr="00B942F8">
        <w:rPr>
          <w:rFonts w:ascii="Times New Roman" w:hAnsi="Times New Roman" w:cs="Times New Roman"/>
          <w:szCs w:val="24"/>
        </w:rPr>
        <w:tab/>
        <w:t>18 April 2022</w:t>
      </w:r>
    </w:p>
    <w:p w14:paraId="0CDC29DF" w14:textId="753F0429" w:rsidR="00BE3F8D" w:rsidRPr="00B942F8" w:rsidRDefault="00BE3F8D">
      <w:pPr>
        <w:rPr>
          <w:rFonts w:ascii="Times New Roman" w:hAnsi="Times New Roman" w:cs="Times New Roman"/>
          <w:szCs w:val="24"/>
        </w:rPr>
      </w:pPr>
    </w:p>
    <w:p w14:paraId="0D8F82EC" w14:textId="77777777" w:rsidR="00BE3F8D" w:rsidRPr="00B942F8" w:rsidRDefault="00BE3F8D">
      <w:pPr>
        <w:rPr>
          <w:rFonts w:ascii="Times New Roman" w:hAnsi="Times New Roman" w:cs="Times New Roman"/>
          <w:szCs w:val="24"/>
        </w:rPr>
      </w:pPr>
    </w:p>
    <w:p w14:paraId="2F735E7B" w14:textId="2C320F74" w:rsidR="00C1646A" w:rsidRDefault="00C1646A">
      <w:pPr>
        <w:widowControl/>
        <w:rPr>
          <w:rFonts w:ascii="Times New Roman" w:hAnsi="Times New Roman" w:cs="Times New Roman"/>
          <w:szCs w:val="24"/>
        </w:rPr>
      </w:pPr>
      <w:r>
        <w:rPr>
          <w:rFonts w:ascii="Times New Roman" w:hAnsi="Times New Roman" w:cs="Times New Roman"/>
          <w:szCs w:val="24"/>
        </w:rPr>
        <w:br w:type="page"/>
      </w:r>
    </w:p>
    <w:p w14:paraId="44D7F72B" w14:textId="1FB6CFD4" w:rsidR="00C1646A" w:rsidRDefault="00C1646A" w:rsidP="003B0490">
      <w:pPr>
        <w:widowControl/>
        <w:jc w:val="center"/>
        <w:rPr>
          <w:rFonts w:ascii="Times New Roman" w:hAnsi="Times New Roman" w:cs="Times New Roman"/>
          <w:b/>
          <w:bCs/>
          <w:szCs w:val="24"/>
        </w:rPr>
      </w:pPr>
    </w:p>
    <w:tbl>
      <w:tblPr>
        <w:tblW w:w="8968" w:type="dxa"/>
        <w:tblInd w:w="-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8" w:type="dxa"/>
          <w:right w:w="28" w:type="dxa"/>
        </w:tblCellMar>
        <w:tblLook w:val="04A0" w:firstRow="1" w:lastRow="0" w:firstColumn="1" w:lastColumn="0" w:noHBand="0" w:noVBand="1"/>
      </w:tblPr>
      <w:tblGrid>
        <w:gridCol w:w="764"/>
        <w:gridCol w:w="358"/>
        <w:gridCol w:w="6886"/>
        <w:gridCol w:w="960"/>
      </w:tblGrid>
      <w:tr w:rsidR="003B0490" w:rsidRPr="003B0490" w14:paraId="159A2A10" w14:textId="77777777" w:rsidTr="003B0490">
        <w:trPr>
          <w:trHeight w:val="312"/>
        </w:trPr>
        <w:tc>
          <w:tcPr>
            <w:tcW w:w="8008" w:type="dxa"/>
            <w:gridSpan w:val="3"/>
            <w:shd w:val="clear" w:color="auto" w:fill="auto"/>
            <w:noWrap/>
            <w:vAlign w:val="center"/>
            <w:hideMark/>
          </w:tcPr>
          <w:p w14:paraId="354C803F" w14:textId="647DFAE8" w:rsidR="003B0490" w:rsidRPr="003B0490" w:rsidRDefault="003B0490" w:rsidP="003B0490">
            <w:pPr>
              <w:widowControl/>
              <w:jc w:val="center"/>
              <w:rPr>
                <w:rFonts w:ascii="Times New Roman" w:eastAsia="新細明體" w:hAnsi="Times New Roman" w:cs="Times New Roman"/>
                <w:color w:val="000000"/>
                <w:kern w:val="0"/>
                <w:szCs w:val="24"/>
              </w:rPr>
            </w:pPr>
            <w:r>
              <w:rPr>
                <w:rFonts w:ascii="Times New Roman" w:hAnsi="Times New Roman" w:cs="Times New Roman"/>
                <w:b/>
                <w:bCs/>
                <w:szCs w:val="24"/>
              </w:rPr>
              <w:t>Table of Content</w:t>
            </w:r>
          </w:p>
        </w:tc>
        <w:tc>
          <w:tcPr>
            <w:tcW w:w="960" w:type="dxa"/>
            <w:shd w:val="clear" w:color="auto" w:fill="auto"/>
            <w:noWrap/>
            <w:vAlign w:val="center"/>
            <w:hideMark/>
          </w:tcPr>
          <w:p w14:paraId="52E0D00B" w14:textId="41C640E3" w:rsidR="003B0490" w:rsidRPr="003B0490" w:rsidRDefault="003B0490" w:rsidP="00861E7F">
            <w:pPr>
              <w:widowControl/>
              <w:jc w:val="center"/>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Page</w:t>
            </w:r>
            <w:r w:rsidR="00861E7F">
              <w:rPr>
                <w:rFonts w:ascii="Times New Roman" w:eastAsia="新細明體" w:hAnsi="Times New Roman" w:cs="Times New Roman"/>
                <w:color w:val="000000"/>
                <w:kern w:val="0"/>
                <w:szCs w:val="24"/>
              </w:rPr>
              <w:t>s</w:t>
            </w:r>
          </w:p>
        </w:tc>
      </w:tr>
      <w:tr w:rsidR="003B0490" w:rsidRPr="003B0490" w14:paraId="364661C0" w14:textId="77777777" w:rsidTr="003B0490">
        <w:trPr>
          <w:trHeight w:val="312"/>
        </w:trPr>
        <w:tc>
          <w:tcPr>
            <w:tcW w:w="8008" w:type="dxa"/>
            <w:gridSpan w:val="3"/>
            <w:shd w:val="clear" w:color="auto" w:fill="auto"/>
            <w:noWrap/>
            <w:vAlign w:val="center"/>
            <w:hideMark/>
          </w:tcPr>
          <w:p w14:paraId="564C6926"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1. Introduction</w:t>
            </w:r>
          </w:p>
        </w:tc>
        <w:tc>
          <w:tcPr>
            <w:tcW w:w="960" w:type="dxa"/>
            <w:shd w:val="clear" w:color="auto" w:fill="auto"/>
            <w:noWrap/>
            <w:vAlign w:val="center"/>
            <w:hideMark/>
          </w:tcPr>
          <w:p w14:paraId="4C6ABFA1" w14:textId="1424E026" w:rsidR="003B0490" w:rsidRPr="003B0490" w:rsidRDefault="00861E7F"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4</w:t>
            </w:r>
          </w:p>
        </w:tc>
      </w:tr>
      <w:tr w:rsidR="003B0490" w:rsidRPr="003B0490" w14:paraId="7D492A33" w14:textId="77777777" w:rsidTr="003B0490">
        <w:trPr>
          <w:trHeight w:val="312"/>
        </w:trPr>
        <w:tc>
          <w:tcPr>
            <w:tcW w:w="8008" w:type="dxa"/>
            <w:gridSpan w:val="3"/>
            <w:shd w:val="clear" w:color="auto" w:fill="auto"/>
            <w:noWrap/>
            <w:vAlign w:val="center"/>
            <w:hideMark/>
          </w:tcPr>
          <w:p w14:paraId="4520C98F"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2. Background of Cambridge Associates, LLC</w:t>
            </w:r>
          </w:p>
        </w:tc>
        <w:tc>
          <w:tcPr>
            <w:tcW w:w="960" w:type="dxa"/>
            <w:shd w:val="clear" w:color="auto" w:fill="auto"/>
            <w:noWrap/>
            <w:vAlign w:val="center"/>
            <w:hideMark/>
          </w:tcPr>
          <w:p w14:paraId="15E13F61" w14:textId="5E2B3DF5" w:rsidR="003B0490" w:rsidRPr="003B0490" w:rsidRDefault="00861E7F"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5</w:t>
            </w:r>
            <w:r>
              <w:rPr>
                <w:rFonts w:ascii="Times New Roman" w:eastAsia="新細明體" w:hAnsi="Times New Roman" w:cs="Times New Roman"/>
                <w:color w:val="000000"/>
                <w:kern w:val="0"/>
                <w:szCs w:val="24"/>
              </w:rPr>
              <w:t>-7</w:t>
            </w:r>
          </w:p>
        </w:tc>
      </w:tr>
      <w:tr w:rsidR="003B0490" w:rsidRPr="003B0490" w14:paraId="4BAF4F69" w14:textId="77777777" w:rsidTr="003B0490">
        <w:trPr>
          <w:trHeight w:val="312"/>
        </w:trPr>
        <w:tc>
          <w:tcPr>
            <w:tcW w:w="764" w:type="dxa"/>
            <w:shd w:val="clear" w:color="auto" w:fill="auto"/>
            <w:noWrap/>
            <w:vAlign w:val="center"/>
            <w:hideMark/>
          </w:tcPr>
          <w:p w14:paraId="7AE4EF0B"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3BB37767"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2.1 Outsourced Chief Investment Officer (Discretionary Management)</w:t>
            </w:r>
          </w:p>
        </w:tc>
        <w:tc>
          <w:tcPr>
            <w:tcW w:w="960" w:type="dxa"/>
            <w:shd w:val="clear" w:color="auto" w:fill="auto"/>
            <w:noWrap/>
            <w:vAlign w:val="center"/>
            <w:hideMark/>
          </w:tcPr>
          <w:p w14:paraId="6EF86E60" w14:textId="41B92414"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35F2DE8" w14:textId="77777777" w:rsidTr="003B0490">
        <w:trPr>
          <w:trHeight w:val="312"/>
        </w:trPr>
        <w:tc>
          <w:tcPr>
            <w:tcW w:w="764" w:type="dxa"/>
            <w:shd w:val="clear" w:color="auto" w:fill="auto"/>
            <w:noWrap/>
            <w:vAlign w:val="center"/>
            <w:hideMark/>
          </w:tcPr>
          <w:p w14:paraId="1F8656C6"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7FBBA56B"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2.2 Advisory Services</w:t>
            </w:r>
          </w:p>
        </w:tc>
        <w:tc>
          <w:tcPr>
            <w:tcW w:w="960" w:type="dxa"/>
            <w:shd w:val="clear" w:color="auto" w:fill="auto"/>
            <w:noWrap/>
            <w:vAlign w:val="center"/>
            <w:hideMark/>
          </w:tcPr>
          <w:p w14:paraId="5CC6029D" w14:textId="76A9F4D2"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45F0F4C" w14:textId="77777777" w:rsidTr="003B0490">
        <w:trPr>
          <w:trHeight w:val="312"/>
        </w:trPr>
        <w:tc>
          <w:tcPr>
            <w:tcW w:w="764" w:type="dxa"/>
            <w:shd w:val="clear" w:color="auto" w:fill="auto"/>
            <w:noWrap/>
            <w:vAlign w:val="center"/>
            <w:hideMark/>
          </w:tcPr>
          <w:p w14:paraId="6570F432"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395516FA"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2.3 Asset Class Mandates</w:t>
            </w:r>
          </w:p>
        </w:tc>
        <w:tc>
          <w:tcPr>
            <w:tcW w:w="960" w:type="dxa"/>
            <w:shd w:val="clear" w:color="auto" w:fill="auto"/>
            <w:noWrap/>
            <w:vAlign w:val="center"/>
            <w:hideMark/>
          </w:tcPr>
          <w:p w14:paraId="105F557B" w14:textId="71220928"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3961440" w14:textId="77777777" w:rsidTr="003B0490">
        <w:trPr>
          <w:trHeight w:val="312"/>
        </w:trPr>
        <w:tc>
          <w:tcPr>
            <w:tcW w:w="8008" w:type="dxa"/>
            <w:gridSpan w:val="3"/>
            <w:shd w:val="clear" w:color="auto" w:fill="auto"/>
            <w:noWrap/>
            <w:vAlign w:val="center"/>
            <w:hideMark/>
          </w:tcPr>
          <w:p w14:paraId="3DDAB89E"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 Internal Audit</w:t>
            </w:r>
          </w:p>
        </w:tc>
        <w:tc>
          <w:tcPr>
            <w:tcW w:w="960" w:type="dxa"/>
            <w:shd w:val="clear" w:color="auto" w:fill="auto"/>
            <w:noWrap/>
            <w:vAlign w:val="center"/>
            <w:hideMark/>
          </w:tcPr>
          <w:p w14:paraId="0AE94F5B" w14:textId="69DA79C0" w:rsidR="003B0490" w:rsidRPr="003B0490" w:rsidRDefault="00861E7F"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8</w:t>
            </w:r>
            <w:r>
              <w:rPr>
                <w:rFonts w:ascii="Times New Roman" w:eastAsia="新細明體" w:hAnsi="Times New Roman" w:cs="Times New Roman"/>
                <w:color w:val="000000"/>
                <w:kern w:val="0"/>
                <w:szCs w:val="24"/>
              </w:rPr>
              <w:t>-19</w:t>
            </w:r>
          </w:p>
        </w:tc>
      </w:tr>
      <w:tr w:rsidR="003B0490" w:rsidRPr="003B0490" w14:paraId="1D208464" w14:textId="77777777" w:rsidTr="003B0490">
        <w:trPr>
          <w:trHeight w:val="312"/>
        </w:trPr>
        <w:tc>
          <w:tcPr>
            <w:tcW w:w="764" w:type="dxa"/>
            <w:shd w:val="clear" w:color="auto" w:fill="auto"/>
            <w:noWrap/>
            <w:vAlign w:val="center"/>
            <w:hideMark/>
          </w:tcPr>
          <w:p w14:paraId="1F93ABF3"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7F3854C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3.1 Leadership Management</w:t>
            </w:r>
          </w:p>
        </w:tc>
        <w:tc>
          <w:tcPr>
            <w:tcW w:w="960" w:type="dxa"/>
            <w:shd w:val="clear" w:color="auto" w:fill="auto"/>
            <w:noWrap/>
            <w:vAlign w:val="center"/>
            <w:hideMark/>
          </w:tcPr>
          <w:p w14:paraId="2F1A4046" w14:textId="7D7DBC26"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0198900C" w14:textId="77777777" w:rsidTr="003B0490">
        <w:trPr>
          <w:trHeight w:val="312"/>
        </w:trPr>
        <w:tc>
          <w:tcPr>
            <w:tcW w:w="764" w:type="dxa"/>
            <w:shd w:val="clear" w:color="auto" w:fill="auto"/>
            <w:noWrap/>
            <w:vAlign w:val="center"/>
            <w:hideMark/>
          </w:tcPr>
          <w:p w14:paraId="0383A455"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C44069A"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3.2 Corporate Values</w:t>
            </w:r>
          </w:p>
        </w:tc>
        <w:tc>
          <w:tcPr>
            <w:tcW w:w="960" w:type="dxa"/>
            <w:shd w:val="clear" w:color="auto" w:fill="auto"/>
            <w:noWrap/>
            <w:vAlign w:val="center"/>
            <w:hideMark/>
          </w:tcPr>
          <w:p w14:paraId="08BE24DB" w14:textId="5BA7F23E"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76EB5FB" w14:textId="77777777" w:rsidTr="003B0490">
        <w:trPr>
          <w:trHeight w:val="312"/>
        </w:trPr>
        <w:tc>
          <w:tcPr>
            <w:tcW w:w="764" w:type="dxa"/>
            <w:shd w:val="clear" w:color="auto" w:fill="auto"/>
            <w:noWrap/>
            <w:vAlign w:val="center"/>
            <w:hideMark/>
          </w:tcPr>
          <w:p w14:paraId="54DACF76"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955B70F"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3.3 Marketing</w:t>
            </w:r>
          </w:p>
        </w:tc>
        <w:tc>
          <w:tcPr>
            <w:tcW w:w="960" w:type="dxa"/>
            <w:shd w:val="clear" w:color="auto" w:fill="auto"/>
            <w:noWrap/>
            <w:vAlign w:val="center"/>
            <w:hideMark/>
          </w:tcPr>
          <w:p w14:paraId="185CB3E9" w14:textId="3F97455A"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C0064A8" w14:textId="77777777" w:rsidTr="003B0490">
        <w:trPr>
          <w:trHeight w:val="312"/>
        </w:trPr>
        <w:tc>
          <w:tcPr>
            <w:tcW w:w="764" w:type="dxa"/>
            <w:shd w:val="clear" w:color="auto" w:fill="auto"/>
            <w:noWrap/>
            <w:vAlign w:val="center"/>
            <w:hideMark/>
          </w:tcPr>
          <w:p w14:paraId="2D482AD6"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44A0269D"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4EF62AD4"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3.3.1 Marketing and servicing strategies for organizations</w:t>
            </w:r>
          </w:p>
        </w:tc>
        <w:tc>
          <w:tcPr>
            <w:tcW w:w="960" w:type="dxa"/>
            <w:shd w:val="clear" w:color="auto" w:fill="auto"/>
            <w:noWrap/>
            <w:vAlign w:val="center"/>
            <w:hideMark/>
          </w:tcPr>
          <w:p w14:paraId="54D5E008"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474AABEF" w14:textId="77777777" w:rsidTr="003B0490">
        <w:trPr>
          <w:trHeight w:val="312"/>
        </w:trPr>
        <w:tc>
          <w:tcPr>
            <w:tcW w:w="764" w:type="dxa"/>
            <w:shd w:val="clear" w:color="auto" w:fill="auto"/>
            <w:noWrap/>
            <w:vAlign w:val="center"/>
            <w:hideMark/>
          </w:tcPr>
          <w:p w14:paraId="26223B07"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0A3F45A7"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385FBD6F"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          3.3.1a Online Governance Quiz</w:t>
            </w:r>
          </w:p>
        </w:tc>
        <w:tc>
          <w:tcPr>
            <w:tcW w:w="960" w:type="dxa"/>
            <w:shd w:val="clear" w:color="auto" w:fill="auto"/>
            <w:noWrap/>
            <w:vAlign w:val="center"/>
            <w:hideMark/>
          </w:tcPr>
          <w:p w14:paraId="4BF313C8"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0C7A583" w14:textId="77777777" w:rsidTr="003B0490">
        <w:trPr>
          <w:trHeight w:val="312"/>
        </w:trPr>
        <w:tc>
          <w:tcPr>
            <w:tcW w:w="764" w:type="dxa"/>
            <w:shd w:val="clear" w:color="auto" w:fill="auto"/>
            <w:noWrap/>
            <w:vAlign w:val="center"/>
            <w:hideMark/>
          </w:tcPr>
          <w:p w14:paraId="16B2C638"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636B1660"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1E465E62"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          3.3.1b CA Institute</w:t>
            </w:r>
          </w:p>
        </w:tc>
        <w:tc>
          <w:tcPr>
            <w:tcW w:w="960" w:type="dxa"/>
            <w:shd w:val="clear" w:color="auto" w:fill="auto"/>
            <w:noWrap/>
            <w:vAlign w:val="center"/>
            <w:hideMark/>
          </w:tcPr>
          <w:p w14:paraId="0C9F9299"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D76FEE4" w14:textId="77777777" w:rsidTr="003B0490">
        <w:trPr>
          <w:trHeight w:val="312"/>
        </w:trPr>
        <w:tc>
          <w:tcPr>
            <w:tcW w:w="764" w:type="dxa"/>
            <w:shd w:val="clear" w:color="auto" w:fill="auto"/>
            <w:noWrap/>
            <w:vAlign w:val="center"/>
            <w:hideMark/>
          </w:tcPr>
          <w:p w14:paraId="662579B0"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46BA52BE"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75051BE3"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3.3.2 Marketing and servicing strategies for individual private clients</w:t>
            </w:r>
          </w:p>
        </w:tc>
        <w:tc>
          <w:tcPr>
            <w:tcW w:w="960" w:type="dxa"/>
            <w:shd w:val="clear" w:color="auto" w:fill="auto"/>
            <w:noWrap/>
            <w:vAlign w:val="center"/>
            <w:hideMark/>
          </w:tcPr>
          <w:p w14:paraId="600BBDA3"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35E3971" w14:textId="77777777" w:rsidTr="003B0490">
        <w:trPr>
          <w:trHeight w:val="312"/>
        </w:trPr>
        <w:tc>
          <w:tcPr>
            <w:tcW w:w="764" w:type="dxa"/>
            <w:shd w:val="clear" w:color="auto" w:fill="auto"/>
            <w:noWrap/>
            <w:vAlign w:val="center"/>
            <w:hideMark/>
          </w:tcPr>
          <w:p w14:paraId="191D4127"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12594438"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059AE406"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3.3.3 Market commentaries, research reports, podcasts and events</w:t>
            </w:r>
          </w:p>
        </w:tc>
        <w:tc>
          <w:tcPr>
            <w:tcW w:w="960" w:type="dxa"/>
            <w:shd w:val="clear" w:color="auto" w:fill="auto"/>
            <w:noWrap/>
            <w:vAlign w:val="center"/>
            <w:hideMark/>
          </w:tcPr>
          <w:p w14:paraId="222A7F31"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452C1BD" w14:textId="77777777" w:rsidTr="003B0490">
        <w:trPr>
          <w:trHeight w:val="312"/>
        </w:trPr>
        <w:tc>
          <w:tcPr>
            <w:tcW w:w="764" w:type="dxa"/>
            <w:shd w:val="clear" w:color="auto" w:fill="auto"/>
            <w:noWrap/>
            <w:vAlign w:val="center"/>
            <w:hideMark/>
          </w:tcPr>
          <w:p w14:paraId="60CE7832"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6BE5EF54"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6F1B4932"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          3.3.3a Quarterly Benchmarks Reports</w:t>
            </w:r>
          </w:p>
        </w:tc>
        <w:tc>
          <w:tcPr>
            <w:tcW w:w="960" w:type="dxa"/>
            <w:shd w:val="clear" w:color="auto" w:fill="auto"/>
            <w:noWrap/>
            <w:vAlign w:val="center"/>
            <w:hideMark/>
          </w:tcPr>
          <w:p w14:paraId="04D401B9"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43B77BEF" w14:textId="77777777" w:rsidTr="003B0490">
        <w:trPr>
          <w:trHeight w:val="312"/>
        </w:trPr>
        <w:tc>
          <w:tcPr>
            <w:tcW w:w="764" w:type="dxa"/>
            <w:shd w:val="clear" w:color="auto" w:fill="auto"/>
            <w:noWrap/>
            <w:vAlign w:val="center"/>
            <w:hideMark/>
          </w:tcPr>
          <w:p w14:paraId="05DF5DF5"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652441DD"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3AFFAE87"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          3.3.3b “Unseen Upside” Podcast</w:t>
            </w:r>
          </w:p>
        </w:tc>
        <w:tc>
          <w:tcPr>
            <w:tcW w:w="960" w:type="dxa"/>
            <w:shd w:val="clear" w:color="auto" w:fill="auto"/>
            <w:noWrap/>
            <w:vAlign w:val="center"/>
            <w:hideMark/>
          </w:tcPr>
          <w:p w14:paraId="7DD73274"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023B19C0" w14:textId="77777777" w:rsidTr="003B0490">
        <w:trPr>
          <w:trHeight w:val="312"/>
        </w:trPr>
        <w:tc>
          <w:tcPr>
            <w:tcW w:w="764" w:type="dxa"/>
            <w:shd w:val="clear" w:color="auto" w:fill="auto"/>
            <w:noWrap/>
            <w:vAlign w:val="center"/>
            <w:hideMark/>
          </w:tcPr>
          <w:p w14:paraId="711A59F6"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1AFA1FEA"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08A71D11"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          3.3.3c Events</w:t>
            </w:r>
          </w:p>
        </w:tc>
        <w:tc>
          <w:tcPr>
            <w:tcW w:w="960" w:type="dxa"/>
            <w:shd w:val="clear" w:color="auto" w:fill="auto"/>
            <w:noWrap/>
            <w:vAlign w:val="center"/>
            <w:hideMark/>
          </w:tcPr>
          <w:p w14:paraId="0E12CC7A"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50694DD" w14:textId="77777777" w:rsidTr="003B0490">
        <w:trPr>
          <w:trHeight w:val="312"/>
        </w:trPr>
        <w:tc>
          <w:tcPr>
            <w:tcW w:w="764" w:type="dxa"/>
            <w:shd w:val="clear" w:color="auto" w:fill="auto"/>
            <w:noWrap/>
            <w:vAlign w:val="center"/>
            <w:hideMark/>
          </w:tcPr>
          <w:p w14:paraId="30577B6C"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27269935"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0ED04ED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3.4 Finance and Accounting</w:t>
            </w:r>
          </w:p>
        </w:tc>
        <w:tc>
          <w:tcPr>
            <w:tcW w:w="960" w:type="dxa"/>
            <w:shd w:val="clear" w:color="auto" w:fill="auto"/>
            <w:noWrap/>
            <w:vAlign w:val="center"/>
            <w:hideMark/>
          </w:tcPr>
          <w:p w14:paraId="686E2822"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29A1B23" w14:textId="77777777" w:rsidTr="003B0490">
        <w:trPr>
          <w:trHeight w:val="312"/>
        </w:trPr>
        <w:tc>
          <w:tcPr>
            <w:tcW w:w="764" w:type="dxa"/>
            <w:shd w:val="clear" w:color="auto" w:fill="auto"/>
            <w:noWrap/>
            <w:vAlign w:val="center"/>
            <w:hideMark/>
          </w:tcPr>
          <w:p w14:paraId="4889CD6F"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699AEB6C"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77466EB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3.5 Resource-Based View</w:t>
            </w:r>
          </w:p>
        </w:tc>
        <w:tc>
          <w:tcPr>
            <w:tcW w:w="960" w:type="dxa"/>
            <w:shd w:val="clear" w:color="auto" w:fill="auto"/>
            <w:noWrap/>
            <w:vAlign w:val="center"/>
            <w:hideMark/>
          </w:tcPr>
          <w:p w14:paraId="64134710"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CBBD58C" w14:textId="77777777" w:rsidTr="003B0490">
        <w:trPr>
          <w:trHeight w:val="312"/>
        </w:trPr>
        <w:tc>
          <w:tcPr>
            <w:tcW w:w="8008" w:type="dxa"/>
            <w:gridSpan w:val="3"/>
            <w:shd w:val="clear" w:color="auto" w:fill="auto"/>
            <w:noWrap/>
            <w:vAlign w:val="center"/>
            <w:hideMark/>
          </w:tcPr>
          <w:p w14:paraId="7D0FDDE2"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 External Audit</w:t>
            </w:r>
          </w:p>
        </w:tc>
        <w:tc>
          <w:tcPr>
            <w:tcW w:w="960" w:type="dxa"/>
            <w:shd w:val="clear" w:color="auto" w:fill="auto"/>
            <w:noWrap/>
            <w:vAlign w:val="center"/>
            <w:hideMark/>
          </w:tcPr>
          <w:p w14:paraId="64C034F0" w14:textId="0FDBD8DE" w:rsidR="003B0490" w:rsidRPr="003B0490" w:rsidRDefault="001C32F5"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2</w:t>
            </w:r>
            <w:r>
              <w:rPr>
                <w:rFonts w:ascii="Times New Roman" w:eastAsia="新細明體" w:hAnsi="Times New Roman" w:cs="Times New Roman"/>
                <w:color w:val="000000"/>
                <w:kern w:val="0"/>
                <w:szCs w:val="24"/>
              </w:rPr>
              <w:t>0-24</w:t>
            </w:r>
          </w:p>
        </w:tc>
      </w:tr>
      <w:tr w:rsidR="003B0490" w:rsidRPr="003B0490" w14:paraId="4476088F" w14:textId="77777777" w:rsidTr="003B0490">
        <w:trPr>
          <w:trHeight w:val="312"/>
        </w:trPr>
        <w:tc>
          <w:tcPr>
            <w:tcW w:w="764" w:type="dxa"/>
            <w:shd w:val="clear" w:color="auto" w:fill="auto"/>
            <w:noWrap/>
            <w:vAlign w:val="center"/>
            <w:hideMark/>
          </w:tcPr>
          <w:p w14:paraId="0CFC2717"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40745EEB"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4.1 Political</w:t>
            </w:r>
          </w:p>
        </w:tc>
        <w:tc>
          <w:tcPr>
            <w:tcW w:w="960" w:type="dxa"/>
            <w:shd w:val="clear" w:color="auto" w:fill="auto"/>
            <w:noWrap/>
            <w:vAlign w:val="center"/>
            <w:hideMark/>
          </w:tcPr>
          <w:p w14:paraId="4B6A34BD"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16C4F9F5" w14:textId="77777777" w:rsidTr="003B0490">
        <w:trPr>
          <w:trHeight w:val="312"/>
        </w:trPr>
        <w:tc>
          <w:tcPr>
            <w:tcW w:w="764" w:type="dxa"/>
            <w:shd w:val="clear" w:color="auto" w:fill="auto"/>
            <w:noWrap/>
            <w:vAlign w:val="center"/>
            <w:hideMark/>
          </w:tcPr>
          <w:p w14:paraId="7F331DE0"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70E28F6"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4.2 Economic</w:t>
            </w:r>
          </w:p>
        </w:tc>
        <w:tc>
          <w:tcPr>
            <w:tcW w:w="960" w:type="dxa"/>
            <w:shd w:val="clear" w:color="auto" w:fill="auto"/>
            <w:noWrap/>
            <w:vAlign w:val="center"/>
            <w:hideMark/>
          </w:tcPr>
          <w:p w14:paraId="254658AF"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08A64144" w14:textId="77777777" w:rsidTr="003B0490">
        <w:trPr>
          <w:trHeight w:val="312"/>
        </w:trPr>
        <w:tc>
          <w:tcPr>
            <w:tcW w:w="764" w:type="dxa"/>
            <w:shd w:val="clear" w:color="auto" w:fill="auto"/>
            <w:noWrap/>
            <w:vAlign w:val="center"/>
            <w:hideMark/>
          </w:tcPr>
          <w:p w14:paraId="1DB5F151"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7F76493"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4.3 Social</w:t>
            </w:r>
          </w:p>
        </w:tc>
        <w:tc>
          <w:tcPr>
            <w:tcW w:w="960" w:type="dxa"/>
            <w:shd w:val="clear" w:color="auto" w:fill="auto"/>
            <w:noWrap/>
            <w:vAlign w:val="center"/>
            <w:hideMark/>
          </w:tcPr>
          <w:p w14:paraId="18DA456E"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2E53B32" w14:textId="77777777" w:rsidTr="003B0490">
        <w:trPr>
          <w:trHeight w:val="312"/>
        </w:trPr>
        <w:tc>
          <w:tcPr>
            <w:tcW w:w="764" w:type="dxa"/>
            <w:shd w:val="clear" w:color="auto" w:fill="auto"/>
            <w:noWrap/>
            <w:vAlign w:val="center"/>
            <w:hideMark/>
          </w:tcPr>
          <w:p w14:paraId="6D2278EF"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5E86619B"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4.4 Technological</w:t>
            </w:r>
          </w:p>
        </w:tc>
        <w:tc>
          <w:tcPr>
            <w:tcW w:w="960" w:type="dxa"/>
            <w:shd w:val="clear" w:color="auto" w:fill="auto"/>
            <w:noWrap/>
            <w:vAlign w:val="center"/>
            <w:hideMark/>
          </w:tcPr>
          <w:p w14:paraId="645B7004"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7E5AAA4" w14:textId="77777777" w:rsidTr="003B0490">
        <w:trPr>
          <w:trHeight w:val="312"/>
        </w:trPr>
        <w:tc>
          <w:tcPr>
            <w:tcW w:w="764" w:type="dxa"/>
            <w:shd w:val="clear" w:color="auto" w:fill="auto"/>
            <w:noWrap/>
            <w:vAlign w:val="center"/>
            <w:hideMark/>
          </w:tcPr>
          <w:p w14:paraId="4F1CBCAA"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1C7E94E2"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4.5 Environmental</w:t>
            </w:r>
          </w:p>
        </w:tc>
        <w:tc>
          <w:tcPr>
            <w:tcW w:w="960" w:type="dxa"/>
            <w:shd w:val="clear" w:color="auto" w:fill="auto"/>
            <w:noWrap/>
            <w:vAlign w:val="center"/>
            <w:hideMark/>
          </w:tcPr>
          <w:p w14:paraId="3F2274BF"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BC29819" w14:textId="77777777" w:rsidTr="003B0490">
        <w:trPr>
          <w:trHeight w:val="312"/>
        </w:trPr>
        <w:tc>
          <w:tcPr>
            <w:tcW w:w="764" w:type="dxa"/>
            <w:shd w:val="clear" w:color="auto" w:fill="auto"/>
            <w:noWrap/>
            <w:vAlign w:val="center"/>
            <w:hideMark/>
          </w:tcPr>
          <w:p w14:paraId="30D01498"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39B2DBD8"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4.6 Legal</w:t>
            </w:r>
          </w:p>
        </w:tc>
        <w:tc>
          <w:tcPr>
            <w:tcW w:w="960" w:type="dxa"/>
            <w:shd w:val="clear" w:color="auto" w:fill="auto"/>
            <w:noWrap/>
            <w:vAlign w:val="center"/>
            <w:hideMark/>
          </w:tcPr>
          <w:p w14:paraId="1DA8B208"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E43C245" w14:textId="77777777" w:rsidTr="003B0490">
        <w:trPr>
          <w:trHeight w:val="312"/>
        </w:trPr>
        <w:tc>
          <w:tcPr>
            <w:tcW w:w="8008" w:type="dxa"/>
            <w:gridSpan w:val="3"/>
            <w:shd w:val="clear" w:color="auto" w:fill="auto"/>
            <w:noWrap/>
            <w:vAlign w:val="center"/>
            <w:hideMark/>
          </w:tcPr>
          <w:p w14:paraId="2351E3F4"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 SWOT Analysis of Cambridge Associates (Hong Kong) Private Limited</w:t>
            </w:r>
          </w:p>
        </w:tc>
        <w:tc>
          <w:tcPr>
            <w:tcW w:w="960" w:type="dxa"/>
            <w:shd w:val="clear" w:color="auto" w:fill="auto"/>
            <w:noWrap/>
            <w:vAlign w:val="center"/>
            <w:hideMark/>
          </w:tcPr>
          <w:p w14:paraId="17A2DEA3" w14:textId="6383AD05" w:rsidR="003B0490" w:rsidRPr="003B0490" w:rsidRDefault="001C32F5"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2</w:t>
            </w:r>
            <w:r>
              <w:rPr>
                <w:rFonts w:ascii="Times New Roman" w:eastAsia="新細明體" w:hAnsi="Times New Roman" w:cs="Times New Roman"/>
                <w:color w:val="000000"/>
                <w:kern w:val="0"/>
                <w:szCs w:val="24"/>
              </w:rPr>
              <w:t>5-29</w:t>
            </w:r>
          </w:p>
        </w:tc>
      </w:tr>
      <w:tr w:rsidR="003B0490" w:rsidRPr="003B0490" w14:paraId="1A29196F" w14:textId="77777777" w:rsidTr="003B0490">
        <w:trPr>
          <w:trHeight w:val="312"/>
        </w:trPr>
        <w:tc>
          <w:tcPr>
            <w:tcW w:w="764" w:type="dxa"/>
            <w:shd w:val="clear" w:color="auto" w:fill="auto"/>
            <w:noWrap/>
            <w:vAlign w:val="center"/>
            <w:hideMark/>
          </w:tcPr>
          <w:p w14:paraId="6880AD9A"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2B90D34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5.1 Strengths</w:t>
            </w:r>
          </w:p>
        </w:tc>
        <w:tc>
          <w:tcPr>
            <w:tcW w:w="960" w:type="dxa"/>
            <w:shd w:val="clear" w:color="auto" w:fill="auto"/>
            <w:noWrap/>
            <w:vAlign w:val="center"/>
            <w:hideMark/>
          </w:tcPr>
          <w:p w14:paraId="6E06E917"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6E2510E" w14:textId="77777777" w:rsidTr="003B0490">
        <w:trPr>
          <w:trHeight w:val="312"/>
        </w:trPr>
        <w:tc>
          <w:tcPr>
            <w:tcW w:w="764" w:type="dxa"/>
            <w:shd w:val="clear" w:color="auto" w:fill="auto"/>
            <w:noWrap/>
            <w:vAlign w:val="center"/>
            <w:hideMark/>
          </w:tcPr>
          <w:p w14:paraId="35C17764"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5A0DF66B"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64B33E76"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5.1.1 Worldwide presence with long history</w:t>
            </w:r>
          </w:p>
        </w:tc>
        <w:tc>
          <w:tcPr>
            <w:tcW w:w="960" w:type="dxa"/>
            <w:shd w:val="clear" w:color="auto" w:fill="auto"/>
            <w:noWrap/>
            <w:vAlign w:val="center"/>
            <w:hideMark/>
          </w:tcPr>
          <w:p w14:paraId="4B701BAB"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2C662B8" w14:textId="77777777" w:rsidTr="003B0490">
        <w:trPr>
          <w:trHeight w:val="312"/>
        </w:trPr>
        <w:tc>
          <w:tcPr>
            <w:tcW w:w="764" w:type="dxa"/>
            <w:shd w:val="clear" w:color="auto" w:fill="auto"/>
            <w:noWrap/>
            <w:vAlign w:val="center"/>
            <w:hideMark/>
          </w:tcPr>
          <w:p w14:paraId="534C4912"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309C2037"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708CAE4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5.1.2 Wide range of solutions</w:t>
            </w:r>
          </w:p>
        </w:tc>
        <w:tc>
          <w:tcPr>
            <w:tcW w:w="960" w:type="dxa"/>
            <w:shd w:val="clear" w:color="auto" w:fill="auto"/>
            <w:noWrap/>
            <w:vAlign w:val="center"/>
            <w:hideMark/>
          </w:tcPr>
          <w:p w14:paraId="6007B562"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18D4894F" w14:textId="77777777" w:rsidTr="003B0490">
        <w:trPr>
          <w:trHeight w:val="312"/>
        </w:trPr>
        <w:tc>
          <w:tcPr>
            <w:tcW w:w="764" w:type="dxa"/>
            <w:shd w:val="clear" w:color="auto" w:fill="auto"/>
            <w:noWrap/>
            <w:vAlign w:val="center"/>
            <w:hideMark/>
          </w:tcPr>
          <w:p w14:paraId="2FC5F8D3"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58E7712C"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41ED7981"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5.1.3 Strong Asia leadership team</w:t>
            </w:r>
          </w:p>
        </w:tc>
        <w:tc>
          <w:tcPr>
            <w:tcW w:w="960" w:type="dxa"/>
            <w:shd w:val="clear" w:color="auto" w:fill="auto"/>
            <w:noWrap/>
            <w:vAlign w:val="center"/>
            <w:hideMark/>
          </w:tcPr>
          <w:p w14:paraId="4E5B1F81"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77ED8FE2" w14:textId="77777777" w:rsidTr="003B0490">
        <w:trPr>
          <w:trHeight w:val="312"/>
        </w:trPr>
        <w:tc>
          <w:tcPr>
            <w:tcW w:w="764" w:type="dxa"/>
            <w:shd w:val="clear" w:color="auto" w:fill="auto"/>
            <w:noWrap/>
            <w:vAlign w:val="center"/>
            <w:hideMark/>
          </w:tcPr>
          <w:p w14:paraId="2CA44F54"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368402C3"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5.2 Weaknesses</w:t>
            </w:r>
          </w:p>
        </w:tc>
        <w:tc>
          <w:tcPr>
            <w:tcW w:w="960" w:type="dxa"/>
            <w:shd w:val="clear" w:color="auto" w:fill="auto"/>
            <w:noWrap/>
            <w:vAlign w:val="center"/>
            <w:hideMark/>
          </w:tcPr>
          <w:p w14:paraId="016AC3FE"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C084CCA" w14:textId="77777777" w:rsidTr="003B0490">
        <w:trPr>
          <w:trHeight w:val="312"/>
        </w:trPr>
        <w:tc>
          <w:tcPr>
            <w:tcW w:w="764" w:type="dxa"/>
            <w:shd w:val="clear" w:color="auto" w:fill="auto"/>
            <w:noWrap/>
            <w:vAlign w:val="center"/>
            <w:hideMark/>
          </w:tcPr>
          <w:p w14:paraId="6FB5BC2C"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2A00DF18"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7E7B5FFA"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5.2.1 Concentration on limited number of customers</w:t>
            </w:r>
          </w:p>
        </w:tc>
        <w:tc>
          <w:tcPr>
            <w:tcW w:w="960" w:type="dxa"/>
            <w:shd w:val="clear" w:color="auto" w:fill="auto"/>
            <w:noWrap/>
            <w:vAlign w:val="center"/>
            <w:hideMark/>
          </w:tcPr>
          <w:p w14:paraId="5E1DE5DE"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2101EF19" w14:textId="77777777" w:rsidTr="003B0490">
        <w:trPr>
          <w:trHeight w:val="312"/>
        </w:trPr>
        <w:tc>
          <w:tcPr>
            <w:tcW w:w="764" w:type="dxa"/>
            <w:shd w:val="clear" w:color="auto" w:fill="auto"/>
            <w:noWrap/>
            <w:vAlign w:val="center"/>
            <w:hideMark/>
          </w:tcPr>
          <w:p w14:paraId="2576C4BD"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58665AF4"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69BC29B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5.2.2 Investment restrictions for US firms</w:t>
            </w:r>
          </w:p>
        </w:tc>
        <w:tc>
          <w:tcPr>
            <w:tcW w:w="960" w:type="dxa"/>
            <w:shd w:val="clear" w:color="auto" w:fill="auto"/>
            <w:noWrap/>
            <w:vAlign w:val="center"/>
            <w:hideMark/>
          </w:tcPr>
          <w:p w14:paraId="729A3576"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462E3C00" w14:textId="77777777" w:rsidTr="003B0490">
        <w:trPr>
          <w:trHeight w:val="312"/>
        </w:trPr>
        <w:tc>
          <w:tcPr>
            <w:tcW w:w="764" w:type="dxa"/>
            <w:shd w:val="clear" w:color="auto" w:fill="auto"/>
            <w:noWrap/>
            <w:vAlign w:val="center"/>
            <w:hideMark/>
          </w:tcPr>
          <w:p w14:paraId="623E560A"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0C77B42C"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5.3 Opportunities</w:t>
            </w:r>
          </w:p>
        </w:tc>
        <w:tc>
          <w:tcPr>
            <w:tcW w:w="960" w:type="dxa"/>
            <w:shd w:val="clear" w:color="auto" w:fill="auto"/>
            <w:noWrap/>
            <w:vAlign w:val="center"/>
            <w:hideMark/>
          </w:tcPr>
          <w:p w14:paraId="6747BD18"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0DFE7AAA" w14:textId="77777777" w:rsidTr="003B0490">
        <w:trPr>
          <w:trHeight w:val="312"/>
        </w:trPr>
        <w:tc>
          <w:tcPr>
            <w:tcW w:w="764" w:type="dxa"/>
            <w:shd w:val="clear" w:color="auto" w:fill="auto"/>
            <w:noWrap/>
            <w:vAlign w:val="center"/>
            <w:hideMark/>
          </w:tcPr>
          <w:p w14:paraId="76C0B69F"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5A2ADDCF"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398C2557"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5.3.1 HK a leader international financial </w:t>
            </w:r>
            <w:proofErr w:type="spellStart"/>
            <w:r w:rsidRPr="003B0490">
              <w:rPr>
                <w:rFonts w:ascii="Times New Roman" w:eastAsia="新細明體" w:hAnsi="Times New Roman" w:cs="Times New Roman"/>
                <w:color w:val="000000"/>
                <w:kern w:val="0"/>
                <w:szCs w:val="24"/>
              </w:rPr>
              <w:t>centre</w:t>
            </w:r>
            <w:proofErr w:type="spellEnd"/>
          </w:p>
        </w:tc>
        <w:tc>
          <w:tcPr>
            <w:tcW w:w="960" w:type="dxa"/>
            <w:shd w:val="clear" w:color="auto" w:fill="auto"/>
            <w:noWrap/>
            <w:vAlign w:val="center"/>
            <w:hideMark/>
          </w:tcPr>
          <w:p w14:paraId="50815DF6"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1DCA4E2" w14:textId="77777777" w:rsidTr="003B0490">
        <w:trPr>
          <w:trHeight w:val="312"/>
        </w:trPr>
        <w:tc>
          <w:tcPr>
            <w:tcW w:w="764" w:type="dxa"/>
            <w:shd w:val="clear" w:color="auto" w:fill="auto"/>
            <w:noWrap/>
            <w:vAlign w:val="center"/>
            <w:hideMark/>
          </w:tcPr>
          <w:p w14:paraId="76B48C7E"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077EBB95"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23EEF5B5"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5.3.2 Growing wealth management prospects in China</w:t>
            </w:r>
          </w:p>
        </w:tc>
        <w:tc>
          <w:tcPr>
            <w:tcW w:w="960" w:type="dxa"/>
            <w:shd w:val="clear" w:color="auto" w:fill="auto"/>
            <w:noWrap/>
            <w:vAlign w:val="center"/>
            <w:hideMark/>
          </w:tcPr>
          <w:p w14:paraId="2154EB89"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34150BAE" w14:textId="77777777" w:rsidTr="003B0490">
        <w:trPr>
          <w:trHeight w:val="312"/>
        </w:trPr>
        <w:tc>
          <w:tcPr>
            <w:tcW w:w="764" w:type="dxa"/>
            <w:shd w:val="clear" w:color="auto" w:fill="auto"/>
            <w:noWrap/>
            <w:vAlign w:val="center"/>
            <w:hideMark/>
          </w:tcPr>
          <w:p w14:paraId="18AE6232"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74F9E7CF"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5.4 Threats</w:t>
            </w:r>
          </w:p>
        </w:tc>
        <w:tc>
          <w:tcPr>
            <w:tcW w:w="960" w:type="dxa"/>
            <w:shd w:val="clear" w:color="auto" w:fill="auto"/>
            <w:noWrap/>
            <w:vAlign w:val="center"/>
            <w:hideMark/>
          </w:tcPr>
          <w:p w14:paraId="323EF3A0"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E17FEC2" w14:textId="77777777" w:rsidTr="003B0490">
        <w:trPr>
          <w:trHeight w:val="312"/>
        </w:trPr>
        <w:tc>
          <w:tcPr>
            <w:tcW w:w="764" w:type="dxa"/>
            <w:shd w:val="clear" w:color="auto" w:fill="auto"/>
            <w:noWrap/>
            <w:vAlign w:val="center"/>
            <w:hideMark/>
          </w:tcPr>
          <w:p w14:paraId="266DE1C9" w14:textId="77777777" w:rsidR="003B0490" w:rsidRPr="003B0490" w:rsidRDefault="003B0490" w:rsidP="003B0490">
            <w:pPr>
              <w:widowControl/>
              <w:rPr>
                <w:rFonts w:ascii="Times New Roman" w:eastAsia="Times New Roman" w:hAnsi="Times New Roman" w:cs="Times New Roman"/>
                <w:kern w:val="0"/>
                <w:sz w:val="20"/>
                <w:szCs w:val="20"/>
              </w:rPr>
            </w:pPr>
          </w:p>
        </w:tc>
        <w:tc>
          <w:tcPr>
            <w:tcW w:w="358" w:type="dxa"/>
            <w:shd w:val="clear" w:color="auto" w:fill="auto"/>
            <w:noWrap/>
            <w:vAlign w:val="center"/>
            <w:hideMark/>
          </w:tcPr>
          <w:p w14:paraId="607BB21C" w14:textId="77777777" w:rsidR="003B0490" w:rsidRPr="003B0490" w:rsidRDefault="003B0490" w:rsidP="003B0490">
            <w:pPr>
              <w:widowControl/>
              <w:rPr>
                <w:rFonts w:ascii="Times New Roman" w:eastAsia="Times New Roman" w:hAnsi="Times New Roman" w:cs="Times New Roman"/>
                <w:kern w:val="0"/>
                <w:sz w:val="20"/>
                <w:szCs w:val="20"/>
              </w:rPr>
            </w:pPr>
          </w:p>
        </w:tc>
        <w:tc>
          <w:tcPr>
            <w:tcW w:w="6886" w:type="dxa"/>
            <w:shd w:val="clear" w:color="auto" w:fill="auto"/>
            <w:noWrap/>
            <w:vAlign w:val="center"/>
            <w:hideMark/>
          </w:tcPr>
          <w:p w14:paraId="046CD110"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5.4.1 Economic rivalry between China and US</w:t>
            </w:r>
          </w:p>
        </w:tc>
        <w:tc>
          <w:tcPr>
            <w:tcW w:w="960" w:type="dxa"/>
            <w:shd w:val="clear" w:color="auto" w:fill="auto"/>
            <w:noWrap/>
            <w:vAlign w:val="center"/>
            <w:hideMark/>
          </w:tcPr>
          <w:p w14:paraId="5D9D1413"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CEBE2E0" w14:textId="77777777" w:rsidTr="003B0490">
        <w:trPr>
          <w:trHeight w:val="312"/>
        </w:trPr>
        <w:tc>
          <w:tcPr>
            <w:tcW w:w="8008" w:type="dxa"/>
            <w:gridSpan w:val="3"/>
            <w:shd w:val="clear" w:color="auto" w:fill="auto"/>
            <w:noWrap/>
            <w:vAlign w:val="center"/>
            <w:hideMark/>
          </w:tcPr>
          <w:p w14:paraId="29953ADC"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6. Recommendations and Conclusion</w:t>
            </w:r>
          </w:p>
        </w:tc>
        <w:tc>
          <w:tcPr>
            <w:tcW w:w="960" w:type="dxa"/>
            <w:shd w:val="clear" w:color="auto" w:fill="auto"/>
            <w:noWrap/>
            <w:vAlign w:val="center"/>
            <w:hideMark/>
          </w:tcPr>
          <w:p w14:paraId="5CFFD06E" w14:textId="59841F06" w:rsidR="003B0490" w:rsidRPr="003B0490" w:rsidRDefault="001C32F5" w:rsidP="00861E7F">
            <w:pPr>
              <w:widowControl/>
              <w:jc w:val="center"/>
              <w:rPr>
                <w:rFonts w:ascii="Times New Roman" w:eastAsia="新細明體" w:hAnsi="Times New Roman" w:cs="Times New Roman"/>
                <w:color w:val="000000"/>
                <w:kern w:val="0"/>
                <w:szCs w:val="24"/>
              </w:rPr>
            </w:pPr>
            <w:r>
              <w:rPr>
                <w:rFonts w:ascii="Times New Roman" w:eastAsia="新細明體" w:hAnsi="Times New Roman" w:cs="Times New Roman" w:hint="eastAsia"/>
                <w:color w:val="000000"/>
                <w:kern w:val="0"/>
                <w:szCs w:val="24"/>
              </w:rPr>
              <w:t>3</w:t>
            </w:r>
            <w:r>
              <w:rPr>
                <w:rFonts w:ascii="Times New Roman" w:eastAsia="新細明體" w:hAnsi="Times New Roman" w:cs="Times New Roman"/>
                <w:color w:val="000000"/>
                <w:kern w:val="0"/>
                <w:szCs w:val="24"/>
              </w:rPr>
              <w:t>0-32</w:t>
            </w:r>
          </w:p>
        </w:tc>
      </w:tr>
      <w:tr w:rsidR="003B0490" w:rsidRPr="003B0490" w14:paraId="3BFF96AC" w14:textId="77777777" w:rsidTr="003B0490">
        <w:trPr>
          <w:trHeight w:val="312"/>
        </w:trPr>
        <w:tc>
          <w:tcPr>
            <w:tcW w:w="764" w:type="dxa"/>
            <w:shd w:val="clear" w:color="auto" w:fill="auto"/>
            <w:noWrap/>
            <w:vAlign w:val="center"/>
            <w:hideMark/>
          </w:tcPr>
          <w:p w14:paraId="606BA030"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1BED3219"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6.1 SO situation: Maxi-Maxi strategy</w:t>
            </w:r>
          </w:p>
        </w:tc>
        <w:tc>
          <w:tcPr>
            <w:tcW w:w="960" w:type="dxa"/>
            <w:shd w:val="clear" w:color="auto" w:fill="auto"/>
            <w:noWrap/>
            <w:vAlign w:val="center"/>
            <w:hideMark/>
          </w:tcPr>
          <w:p w14:paraId="75A7A8B1"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969403C" w14:textId="77777777" w:rsidTr="003B0490">
        <w:trPr>
          <w:trHeight w:val="312"/>
        </w:trPr>
        <w:tc>
          <w:tcPr>
            <w:tcW w:w="764" w:type="dxa"/>
            <w:shd w:val="clear" w:color="auto" w:fill="auto"/>
            <w:noWrap/>
            <w:vAlign w:val="center"/>
            <w:hideMark/>
          </w:tcPr>
          <w:p w14:paraId="57440E70"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8EAC33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6.2 ST situation: Maxi-Mini strategy</w:t>
            </w:r>
          </w:p>
        </w:tc>
        <w:tc>
          <w:tcPr>
            <w:tcW w:w="960" w:type="dxa"/>
            <w:shd w:val="clear" w:color="auto" w:fill="auto"/>
            <w:noWrap/>
            <w:vAlign w:val="center"/>
            <w:hideMark/>
          </w:tcPr>
          <w:p w14:paraId="1150F239"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53671384" w14:textId="77777777" w:rsidTr="003B0490">
        <w:trPr>
          <w:trHeight w:val="312"/>
        </w:trPr>
        <w:tc>
          <w:tcPr>
            <w:tcW w:w="764" w:type="dxa"/>
            <w:shd w:val="clear" w:color="auto" w:fill="auto"/>
            <w:noWrap/>
            <w:vAlign w:val="center"/>
            <w:hideMark/>
          </w:tcPr>
          <w:p w14:paraId="05D21B3D"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686B93AD"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 xml:space="preserve">6.3 WO situation: Mini-Maxi strategy </w:t>
            </w:r>
          </w:p>
        </w:tc>
        <w:tc>
          <w:tcPr>
            <w:tcW w:w="960" w:type="dxa"/>
            <w:shd w:val="clear" w:color="auto" w:fill="auto"/>
            <w:noWrap/>
            <w:vAlign w:val="center"/>
            <w:hideMark/>
          </w:tcPr>
          <w:p w14:paraId="020D4D9C"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3B0490" w:rsidRPr="003B0490" w14:paraId="6758D384" w14:textId="77777777" w:rsidTr="003B0490">
        <w:trPr>
          <w:trHeight w:val="312"/>
        </w:trPr>
        <w:tc>
          <w:tcPr>
            <w:tcW w:w="764" w:type="dxa"/>
            <w:shd w:val="clear" w:color="auto" w:fill="auto"/>
            <w:noWrap/>
            <w:vAlign w:val="center"/>
            <w:hideMark/>
          </w:tcPr>
          <w:p w14:paraId="3464917D" w14:textId="77777777" w:rsidR="003B0490" w:rsidRPr="003B0490" w:rsidRDefault="003B0490" w:rsidP="003B0490">
            <w:pPr>
              <w:widowControl/>
              <w:rPr>
                <w:rFonts w:ascii="Times New Roman" w:eastAsia="Times New Roman" w:hAnsi="Times New Roman" w:cs="Times New Roman"/>
                <w:kern w:val="0"/>
                <w:sz w:val="20"/>
                <w:szCs w:val="20"/>
              </w:rPr>
            </w:pPr>
          </w:p>
        </w:tc>
        <w:tc>
          <w:tcPr>
            <w:tcW w:w="7244" w:type="dxa"/>
            <w:gridSpan w:val="2"/>
            <w:shd w:val="clear" w:color="auto" w:fill="auto"/>
            <w:noWrap/>
            <w:vAlign w:val="center"/>
            <w:hideMark/>
          </w:tcPr>
          <w:p w14:paraId="112E2D6C" w14:textId="77777777" w:rsidR="003B0490" w:rsidRPr="003B0490" w:rsidRDefault="003B0490"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6.4 WT situation: Mini-Mini strategy</w:t>
            </w:r>
          </w:p>
        </w:tc>
        <w:tc>
          <w:tcPr>
            <w:tcW w:w="960" w:type="dxa"/>
            <w:shd w:val="clear" w:color="auto" w:fill="auto"/>
            <w:noWrap/>
            <w:vAlign w:val="center"/>
            <w:hideMark/>
          </w:tcPr>
          <w:p w14:paraId="339146E0" w14:textId="77777777" w:rsidR="003B0490" w:rsidRPr="003B0490" w:rsidRDefault="003B0490" w:rsidP="00861E7F">
            <w:pPr>
              <w:widowControl/>
              <w:jc w:val="center"/>
              <w:rPr>
                <w:rFonts w:ascii="Times New Roman" w:eastAsia="新細明體" w:hAnsi="Times New Roman" w:cs="Times New Roman"/>
                <w:color w:val="000000"/>
                <w:kern w:val="0"/>
                <w:szCs w:val="24"/>
              </w:rPr>
            </w:pPr>
          </w:p>
        </w:tc>
      </w:tr>
      <w:tr w:rsidR="00861E7F" w:rsidRPr="003B0490" w14:paraId="31E2D58F" w14:textId="77777777" w:rsidTr="00DD155E">
        <w:trPr>
          <w:trHeight w:val="312"/>
        </w:trPr>
        <w:tc>
          <w:tcPr>
            <w:tcW w:w="8008" w:type="dxa"/>
            <w:gridSpan w:val="3"/>
            <w:shd w:val="clear" w:color="auto" w:fill="auto"/>
            <w:noWrap/>
            <w:vAlign w:val="center"/>
            <w:hideMark/>
          </w:tcPr>
          <w:p w14:paraId="7916445D" w14:textId="68E1A2F9" w:rsidR="00861E7F" w:rsidRPr="003B0490" w:rsidRDefault="00861E7F" w:rsidP="003B0490">
            <w:pPr>
              <w:widowControl/>
              <w:rPr>
                <w:rFonts w:ascii="Times New Roman" w:eastAsia="新細明體" w:hAnsi="Times New Roman" w:cs="Times New Roman"/>
                <w:color w:val="000000"/>
                <w:kern w:val="0"/>
                <w:szCs w:val="24"/>
              </w:rPr>
            </w:pPr>
            <w:r w:rsidRPr="003B0490">
              <w:rPr>
                <w:rFonts w:ascii="Times New Roman" w:eastAsia="新細明體" w:hAnsi="Times New Roman" w:cs="Times New Roman"/>
                <w:color w:val="000000"/>
                <w:kern w:val="0"/>
                <w:szCs w:val="24"/>
              </w:rPr>
              <w:t>7. References</w:t>
            </w:r>
          </w:p>
        </w:tc>
        <w:tc>
          <w:tcPr>
            <w:tcW w:w="960" w:type="dxa"/>
            <w:shd w:val="clear" w:color="auto" w:fill="auto"/>
            <w:noWrap/>
            <w:vAlign w:val="center"/>
            <w:hideMark/>
          </w:tcPr>
          <w:p w14:paraId="6649A243" w14:textId="1A78C5D7" w:rsidR="00861E7F" w:rsidRPr="003B0490" w:rsidRDefault="001C32F5" w:rsidP="00861E7F">
            <w:pPr>
              <w:widowControl/>
              <w:jc w:val="center"/>
              <w:rPr>
                <w:rFonts w:ascii="Times New Roman" w:hAnsi="Times New Roman" w:cs="Times New Roman" w:hint="eastAsia"/>
                <w:kern w:val="0"/>
                <w:sz w:val="20"/>
                <w:szCs w:val="20"/>
              </w:rPr>
            </w:pPr>
            <w:r w:rsidRPr="00F15483">
              <w:rPr>
                <w:rFonts w:ascii="Times New Roman" w:hAnsi="Times New Roman" w:cs="Times New Roman" w:hint="eastAsia"/>
                <w:kern w:val="0"/>
                <w:szCs w:val="24"/>
              </w:rPr>
              <w:t>3</w:t>
            </w:r>
            <w:r w:rsidRPr="00F15483">
              <w:rPr>
                <w:rFonts w:ascii="Times New Roman" w:hAnsi="Times New Roman" w:cs="Times New Roman"/>
                <w:kern w:val="0"/>
                <w:szCs w:val="24"/>
              </w:rPr>
              <w:t>5-38</w:t>
            </w:r>
          </w:p>
        </w:tc>
      </w:tr>
    </w:tbl>
    <w:p w14:paraId="0E6A89E6" w14:textId="77777777" w:rsidR="00C1646A" w:rsidRDefault="00C1646A">
      <w:pPr>
        <w:widowControl/>
        <w:rPr>
          <w:rFonts w:ascii="Times New Roman" w:hAnsi="Times New Roman" w:cs="Times New Roman"/>
          <w:b/>
          <w:bCs/>
          <w:szCs w:val="24"/>
        </w:rPr>
      </w:pPr>
    </w:p>
    <w:p w14:paraId="6A733B65" w14:textId="77777777" w:rsidR="00C1646A" w:rsidRDefault="00C1646A">
      <w:pPr>
        <w:widowControl/>
        <w:rPr>
          <w:rFonts w:ascii="Times New Roman" w:hAnsi="Times New Roman" w:cs="Times New Roman"/>
          <w:b/>
          <w:bCs/>
          <w:szCs w:val="24"/>
        </w:rPr>
      </w:pPr>
      <w:r>
        <w:rPr>
          <w:rFonts w:ascii="Times New Roman" w:hAnsi="Times New Roman" w:cs="Times New Roman"/>
          <w:b/>
          <w:bCs/>
          <w:szCs w:val="24"/>
        </w:rPr>
        <w:br w:type="page"/>
      </w:r>
    </w:p>
    <w:p w14:paraId="484297EF" w14:textId="2E71433D" w:rsidR="003D5DED" w:rsidRPr="00F239A1" w:rsidRDefault="003D5DED" w:rsidP="00F239A1">
      <w:pPr>
        <w:pStyle w:val="a3"/>
        <w:numPr>
          <w:ilvl w:val="0"/>
          <w:numId w:val="29"/>
        </w:numPr>
        <w:snapToGrid w:val="0"/>
        <w:spacing w:before="100" w:beforeAutospacing="1" w:after="100" w:afterAutospacing="1" w:line="360" w:lineRule="auto"/>
        <w:ind w:leftChars="0"/>
        <w:jc w:val="center"/>
        <w:rPr>
          <w:rFonts w:ascii="Times New Roman" w:hAnsi="Times New Roman" w:cs="Times New Roman"/>
          <w:b/>
          <w:bCs/>
          <w:szCs w:val="24"/>
        </w:rPr>
      </w:pPr>
      <w:r w:rsidRPr="00F239A1">
        <w:rPr>
          <w:rFonts w:ascii="Times New Roman" w:hAnsi="Times New Roman" w:cs="Times New Roman"/>
          <w:b/>
          <w:bCs/>
          <w:szCs w:val="24"/>
        </w:rPr>
        <w:lastRenderedPageBreak/>
        <w:t>Introduction</w:t>
      </w:r>
    </w:p>
    <w:p w14:paraId="446915B4" w14:textId="00B21E1C" w:rsidR="003D5DED" w:rsidRPr="00F92E75" w:rsidRDefault="003D5DED" w:rsidP="00F92E75">
      <w:pPr>
        <w:snapToGrid w:val="0"/>
        <w:spacing w:before="100" w:beforeAutospacing="1" w:after="100" w:afterAutospacing="1" w:line="360" w:lineRule="auto"/>
        <w:rPr>
          <w:rFonts w:ascii="Times New Roman" w:hAnsi="Times New Roman" w:cs="Times New Roman"/>
          <w:b/>
          <w:bCs/>
          <w:szCs w:val="24"/>
        </w:rPr>
      </w:pPr>
    </w:p>
    <w:p w14:paraId="012C21C0" w14:textId="77777777" w:rsidR="00A010DF" w:rsidRPr="00F92E75" w:rsidRDefault="003279D3"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Cambridge Associates, LLC is an American based global investment firm with business focuses on </w:t>
      </w:r>
      <w:r w:rsidRPr="00F92E75">
        <w:rPr>
          <w:rFonts w:ascii="Times New Roman" w:hAnsi="Times New Roman" w:cs="Times New Roman"/>
          <w:szCs w:val="24"/>
        </w:rPr>
        <w:t>management of pension plans, endowments &amp; foundations, and investment portfolios of high-net-worth private clients.</w:t>
      </w:r>
      <w:r w:rsidR="00A010DF" w:rsidRPr="00F92E75">
        <w:rPr>
          <w:rFonts w:ascii="Times New Roman" w:hAnsi="Times New Roman" w:cs="Times New Roman"/>
          <w:szCs w:val="24"/>
        </w:rPr>
        <w:t xml:space="preserve"> </w:t>
      </w:r>
      <w:r w:rsidR="00A010DF" w:rsidRPr="00F92E75">
        <w:rPr>
          <w:rFonts w:ascii="Times New Roman" w:hAnsi="Times New Roman" w:cs="Times New Roman"/>
          <w:szCs w:val="24"/>
        </w:rPr>
        <w:t>Currently Cambridge Associates has offices in the United States, London, Munich, Beijing, Singapore and Sydney. 1,300 employees are working for the company with the asset under management of USD30 billion.</w:t>
      </w:r>
    </w:p>
    <w:p w14:paraId="5394986D" w14:textId="77777777" w:rsidR="00A010DF" w:rsidRPr="00F92E75" w:rsidRDefault="003279D3"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Cambridge Associates </w:t>
      </w:r>
      <w:r w:rsidRPr="00F92E75">
        <w:rPr>
          <w:rFonts w:ascii="Times New Roman" w:hAnsi="Times New Roman" w:cs="Times New Roman"/>
          <w:szCs w:val="24"/>
        </w:rPr>
        <w:t>just opened a new office in Hong Kong in March 2022</w:t>
      </w:r>
      <w:r w:rsidR="00A010DF" w:rsidRPr="00F92E75">
        <w:rPr>
          <w:rFonts w:ascii="Times New Roman" w:hAnsi="Times New Roman" w:cs="Times New Roman"/>
          <w:szCs w:val="24"/>
        </w:rPr>
        <w:t xml:space="preserve"> in order to reach wealthy clients in the Greater Bay Area</w:t>
      </w:r>
      <w:r w:rsidRPr="00F92E75">
        <w:rPr>
          <w:rFonts w:ascii="Times New Roman" w:hAnsi="Times New Roman" w:cs="Times New Roman"/>
          <w:szCs w:val="24"/>
        </w:rPr>
        <w:t>.</w:t>
      </w:r>
    </w:p>
    <w:p w14:paraId="37FE18E6" w14:textId="26864DB4" w:rsidR="00A010DF" w:rsidRPr="00F92E75" w:rsidRDefault="003279D3"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This report will study the </w:t>
      </w:r>
      <w:r w:rsidR="00A010DF" w:rsidRPr="00F92E75">
        <w:rPr>
          <w:rFonts w:ascii="Times New Roman" w:hAnsi="Times New Roman" w:cs="Times New Roman"/>
          <w:szCs w:val="24"/>
        </w:rPr>
        <w:t>business development strategies of the company by firstly studying the strategic internal and external audits to evaluate the key issues facing the organization. The challenges that the company may encounter and recommendations to overcome are also discussed.</w:t>
      </w:r>
    </w:p>
    <w:p w14:paraId="095FC6B0" w14:textId="77777777" w:rsidR="00A010DF" w:rsidRPr="00F92E75" w:rsidRDefault="00A010DF" w:rsidP="00F92E75">
      <w:pPr>
        <w:snapToGrid w:val="0"/>
        <w:spacing w:before="100" w:beforeAutospacing="1" w:after="100" w:afterAutospacing="1" w:line="360" w:lineRule="auto"/>
        <w:rPr>
          <w:rFonts w:ascii="Times New Roman" w:hAnsi="Times New Roman" w:cs="Times New Roman"/>
          <w:szCs w:val="24"/>
        </w:rPr>
      </w:pPr>
    </w:p>
    <w:p w14:paraId="5A31F277" w14:textId="77777777" w:rsidR="003D5DED" w:rsidRPr="00F92E75" w:rsidRDefault="003D5DED" w:rsidP="00F92E75">
      <w:pPr>
        <w:snapToGrid w:val="0"/>
        <w:spacing w:before="100" w:beforeAutospacing="1" w:after="100" w:afterAutospacing="1" w:line="360" w:lineRule="auto"/>
        <w:rPr>
          <w:rFonts w:ascii="Times New Roman" w:hAnsi="Times New Roman" w:cs="Times New Roman"/>
          <w:b/>
          <w:bCs/>
          <w:szCs w:val="24"/>
        </w:rPr>
      </w:pPr>
    </w:p>
    <w:p w14:paraId="41412286" w14:textId="4352C859" w:rsidR="00A010DF" w:rsidRPr="00F92E75" w:rsidRDefault="00A010DF" w:rsidP="00F92E75">
      <w:pPr>
        <w:widowControl/>
        <w:snapToGrid w:val="0"/>
        <w:spacing w:before="100" w:beforeAutospacing="1" w:after="100" w:afterAutospacing="1" w:line="360" w:lineRule="auto"/>
        <w:rPr>
          <w:rFonts w:ascii="Times New Roman" w:hAnsi="Times New Roman" w:cs="Times New Roman"/>
          <w:b/>
          <w:bCs/>
          <w:szCs w:val="24"/>
        </w:rPr>
      </w:pPr>
    </w:p>
    <w:p w14:paraId="080D6548" w14:textId="77777777" w:rsidR="00F239A1" w:rsidRDefault="00F239A1">
      <w:pPr>
        <w:widowControl/>
        <w:rPr>
          <w:rFonts w:ascii="Times New Roman" w:hAnsi="Times New Roman" w:cs="Times New Roman"/>
          <w:b/>
          <w:bCs/>
          <w:szCs w:val="24"/>
        </w:rPr>
      </w:pPr>
      <w:r>
        <w:rPr>
          <w:rFonts w:ascii="Times New Roman" w:hAnsi="Times New Roman" w:cs="Times New Roman"/>
          <w:b/>
          <w:bCs/>
          <w:szCs w:val="24"/>
        </w:rPr>
        <w:br w:type="page"/>
      </w:r>
    </w:p>
    <w:p w14:paraId="2FC42F45" w14:textId="32253355" w:rsidR="00B523B7" w:rsidRPr="00F92E75" w:rsidRDefault="00F239A1" w:rsidP="00F92E75">
      <w:pPr>
        <w:snapToGrid w:val="0"/>
        <w:spacing w:before="100" w:beforeAutospacing="1" w:after="100" w:afterAutospacing="1" w:line="360" w:lineRule="auto"/>
        <w:jc w:val="center"/>
        <w:rPr>
          <w:rFonts w:ascii="Times New Roman" w:hAnsi="Times New Roman" w:cs="Times New Roman"/>
          <w:b/>
          <w:bCs/>
          <w:szCs w:val="24"/>
        </w:rPr>
      </w:pPr>
      <w:r>
        <w:rPr>
          <w:rFonts w:ascii="Times New Roman" w:hAnsi="Times New Roman" w:cs="Times New Roman"/>
          <w:b/>
          <w:bCs/>
          <w:szCs w:val="24"/>
        </w:rPr>
        <w:lastRenderedPageBreak/>
        <w:t xml:space="preserve">2. Background of </w:t>
      </w:r>
      <w:r w:rsidR="0034051C" w:rsidRPr="00F92E75">
        <w:rPr>
          <w:rFonts w:ascii="Times New Roman" w:hAnsi="Times New Roman" w:cs="Times New Roman"/>
          <w:b/>
          <w:bCs/>
          <w:szCs w:val="24"/>
        </w:rPr>
        <w:t>Cambridge Associates, LLC</w:t>
      </w:r>
    </w:p>
    <w:p w14:paraId="14544896" w14:textId="51A5BB80" w:rsidR="00E004D9" w:rsidRPr="00F92E75" w:rsidRDefault="00E004D9" w:rsidP="00F92E75">
      <w:pPr>
        <w:snapToGrid w:val="0"/>
        <w:spacing w:before="100" w:beforeAutospacing="1" w:after="100" w:afterAutospacing="1" w:line="360" w:lineRule="auto"/>
        <w:rPr>
          <w:rFonts w:ascii="Times New Roman" w:hAnsi="Times New Roman" w:cs="Times New Roman"/>
          <w:szCs w:val="24"/>
        </w:rPr>
      </w:pPr>
    </w:p>
    <w:p w14:paraId="738E4EC4" w14:textId="2B30A028" w:rsidR="00BA266F" w:rsidRPr="00F92E75" w:rsidRDefault="00BA266F"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Cambridge Associates, LLC (“CA”), </w:t>
      </w:r>
      <w:r w:rsidRPr="00F92E75">
        <w:rPr>
          <w:rFonts w:ascii="Times New Roman" w:hAnsi="Times New Roman" w:cs="Times New Roman"/>
          <w:szCs w:val="24"/>
          <w:shd w:val="clear" w:color="auto" w:fill="FFFFFF"/>
        </w:rPr>
        <w:t xml:space="preserve">established in 1973 by </w:t>
      </w:r>
      <w:r w:rsidRPr="00F92E75">
        <w:rPr>
          <w:rFonts w:ascii="Times New Roman" w:hAnsi="Times New Roman" w:cs="Times New Roman"/>
          <w:szCs w:val="24"/>
        </w:rPr>
        <w:t xml:space="preserve">Jim Bailey and Hunter Lewis, is a USA based multinational </w:t>
      </w:r>
      <w:r w:rsidRPr="00F92E75">
        <w:rPr>
          <w:rFonts w:ascii="Times New Roman" w:hAnsi="Times New Roman" w:cs="Times New Roman"/>
          <w:szCs w:val="24"/>
          <w:shd w:val="clear" w:color="auto" w:fill="FFFFFF"/>
        </w:rPr>
        <w:t>investment firm</w:t>
      </w:r>
      <w:r w:rsidRPr="00F92E75">
        <w:rPr>
          <w:rFonts w:ascii="Times New Roman" w:hAnsi="Times New Roman" w:cs="Times New Roman"/>
          <w:szCs w:val="24"/>
        </w:rPr>
        <w:t>. Now CA has headquartered in Boston, Massachusetts, and five offices in key markets in North America, namely Arlington, Dallas, Menlo Park, New York and San Francisco. In the Europe, CA has offices in London and Munich. In Asia, offices were established in Beijing, Singapore and Sydney. The company announced in March 2021 that they are going to expand the exposures in Asia especially the Greater Bay Area by opening a new office in Hong Kong which started to operate on 29 March 2022.</w:t>
      </w:r>
    </w:p>
    <w:p w14:paraId="0777F0F2" w14:textId="004B0EC9" w:rsidR="00B523B7" w:rsidRPr="00F92E75" w:rsidRDefault="00BA266F" w:rsidP="00F92E75">
      <w:pPr>
        <w:snapToGrid w:val="0"/>
        <w:spacing w:before="100" w:beforeAutospacing="1" w:after="100" w:afterAutospacing="1" w:line="360" w:lineRule="auto"/>
        <w:rPr>
          <w:rFonts w:ascii="Times New Roman" w:hAnsi="Times New Roman" w:cs="Times New Roman"/>
          <w:szCs w:val="24"/>
          <w:shd w:val="clear" w:color="auto" w:fill="FFFFFF"/>
        </w:rPr>
      </w:pPr>
      <w:r w:rsidRPr="00F92E75">
        <w:rPr>
          <w:rFonts w:ascii="Times New Roman" w:hAnsi="Times New Roman" w:cs="Times New Roman"/>
          <w:szCs w:val="24"/>
        </w:rPr>
        <w:t xml:space="preserve">Clients of </w:t>
      </w:r>
      <w:r w:rsidR="00E004D9" w:rsidRPr="00F92E75">
        <w:rPr>
          <w:rFonts w:ascii="Times New Roman" w:hAnsi="Times New Roman" w:cs="Times New Roman"/>
          <w:szCs w:val="24"/>
        </w:rPr>
        <w:t xml:space="preserve">CA </w:t>
      </w:r>
      <w:r w:rsidRPr="00F92E75">
        <w:rPr>
          <w:rFonts w:ascii="Times New Roman" w:hAnsi="Times New Roman" w:cs="Times New Roman"/>
          <w:szCs w:val="24"/>
        </w:rPr>
        <w:t xml:space="preserve">are mainly </w:t>
      </w:r>
      <w:r w:rsidR="00B523B7" w:rsidRPr="00F92E75">
        <w:rPr>
          <w:rFonts w:ascii="Times New Roman" w:hAnsi="Times New Roman" w:cs="Times New Roman"/>
          <w:szCs w:val="24"/>
          <w:shd w:val="clear" w:color="auto" w:fill="FFFFFF"/>
        </w:rPr>
        <w:t>endowments</w:t>
      </w:r>
      <w:r w:rsidRPr="00F92E75">
        <w:rPr>
          <w:rFonts w:ascii="Times New Roman" w:hAnsi="Times New Roman" w:cs="Times New Roman"/>
          <w:szCs w:val="24"/>
          <w:shd w:val="clear" w:color="auto" w:fill="FFFFFF"/>
        </w:rPr>
        <w:t xml:space="preserve"> &amp; </w:t>
      </w:r>
      <w:r w:rsidR="00B523B7" w:rsidRPr="00F92E75">
        <w:rPr>
          <w:rFonts w:ascii="Times New Roman" w:hAnsi="Times New Roman" w:cs="Times New Roman"/>
          <w:szCs w:val="24"/>
          <w:shd w:val="clear" w:color="auto" w:fill="FFFFFF"/>
        </w:rPr>
        <w:t>foundations, pension plans, and high net worth private clients</w:t>
      </w:r>
      <w:r w:rsidRPr="00F92E75">
        <w:rPr>
          <w:rFonts w:ascii="Times New Roman" w:hAnsi="Times New Roman" w:cs="Times New Roman"/>
          <w:szCs w:val="24"/>
          <w:shd w:val="clear" w:color="auto" w:fill="FFFFFF"/>
        </w:rPr>
        <w:t xml:space="preserve">. </w:t>
      </w:r>
      <w:r w:rsidR="0034051C" w:rsidRPr="00F92E75">
        <w:rPr>
          <w:rFonts w:ascii="Times New Roman" w:hAnsi="Times New Roman" w:cs="Times New Roman"/>
          <w:szCs w:val="24"/>
          <w:shd w:val="clear" w:color="auto" w:fill="FFFFFF"/>
        </w:rPr>
        <w:t xml:space="preserve">CA </w:t>
      </w:r>
      <w:r w:rsidR="00B523B7" w:rsidRPr="00F92E75">
        <w:rPr>
          <w:rFonts w:ascii="Times New Roman" w:hAnsi="Times New Roman" w:cs="Times New Roman"/>
          <w:szCs w:val="24"/>
          <w:shd w:val="clear" w:color="auto" w:fill="FFFFFF"/>
        </w:rPr>
        <w:t>deliver</w:t>
      </w:r>
      <w:r w:rsidR="0034051C" w:rsidRPr="00F92E75">
        <w:rPr>
          <w:rFonts w:ascii="Times New Roman" w:hAnsi="Times New Roman" w:cs="Times New Roman"/>
          <w:szCs w:val="24"/>
          <w:shd w:val="clear" w:color="auto" w:fill="FFFFFF"/>
        </w:rPr>
        <w:t>s</w:t>
      </w:r>
      <w:r w:rsidR="00B523B7" w:rsidRPr="00F92E75">
        <w:rPr>
          <w:rFonts w:ascii="Times New Roman" w:hAnsi="Times New Roman" w:cs="Times New Roman"/>
          <w:szCs w:val="24"/>
          <w:shd w:val="clear" w:color="auto" w:fill="FFFFFF"/>
        </w:rPr>
        <w:t xml:space="preserve"> a range of portfolio management services, including outsourced</w:t>
      </w:r>
      <w:r w:rsidR="00DF0F0A" w:rsidRPr="00F92E75">
        <w:rPr>
          <w:rFonts w:ascii="Times New Roman" w:hAnsi="Times New Roman" w:cs="Times New Roman"/>
          <w:szCs w:val="24"/>
          <w:shd w:val="clear" w:color="auto" w:fill="FFFFFF"/>
        </w:rPr>
        <w:t xml:space="preserve"> Chief Investment Officer (</w:t>
      </w:r>
      <w:r w:rsidR="00E66B43" w:rsidRPr="00F92E75">
        <w:rPr>
          <w:rFonts w:ascii="Times New Roman" w:hAnsi="Times New Roman" w:cs="Times New Roman"/>
          <w:szCs w:val="24"/>
        </w:rPr>
        <w:t>Discretionary Management), Advisory Services and</w:t>
      </w:r>
      <w:r w:rsidR="00B523B7" w:rsidRPr="00F92E75">
        <w:rPr>
          <w:rFonts w:ascii="Times New Roman" w:hAnsi="Times New Roman" w:cs="Times New Roman"/>
          <w:szCs w:val="24"/>
          <w:shd w:val="clear" w:color="auto" w:fill="FFFFFF"/>
        </w:rPr>
        <w:t xml:space="preserve"> asset class mandates.</w:t>
      </w:r>
    </w:p>
    <w:p w14:paraId="723192AC" w14:textId="77777777" w:rsidR="00AA4D85" w:rsidRDefault="00AA4D85" w:rsidP="00F92E75">
      <w:pPr>
        <w:snapToGrid w:val="0"/>
        <w:spacing w:before="100" w:beforeAutospacing="1" w:after="100" w:afterAutospacing="1" w:line="360" w:lineRule="auto"/>
        <w:rPr>
          <w:rFonts w:ascii="Times New Roman" w:hAnsi="Times New Roman" w:cs="Times New Roman"/>
          <w:szCs w:val="24"/>
          <w:shd w:val="clear" w:color="auto" w:fill="FFFFFF"/>
        </w:rPr>
      </w:pPr>
    </w:p>
    <w:p w14:paraId="6CF7EA58" w14:textId="3763293B" w:rsidR="00E66B43" w:rsidRPr="00AA4D85" w:rsidRDefault="00AA4D85"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shd w:val="clear" w:color="auto" w:fill="FFFFFF"/>
        </w:rPr>
        <w:t xml:space="preserve">2.1 </w:t>
      </w:r>
      <w:r w:rsidR="00E66B43" w:rsidRPr="00AA4D85">
        <w:rPr>
          <w:rFonts w:ascii="Times New Roman" w:hAnsi="Times New Roman" w:cs="Times New Roman"/>
          <w:szCs w:val="24"/>
          <w:shd w:val="clear" w:color="auto" w:fill="FFFFFF"/>
        </w:rPr>
        <w:t>Outsourced</w:t>
      </w:r>
      <w:r w:rsidR="00DF0F0A" w:rsidRPr="00AA4D85">
        <w:rPr>
          <w:rFonts w:ascii="Times New Roman" w:hAnsi="Times New Roman" w:cs="Times New Roman"/>
          <w:szCs w:val="24"/>
          <w:shd w:val="clear" w:color="auto" w:fill="FFFFFF"/>
        </w:rPr>
        <w:t xml:space="preserve"> Chief Investment O</w:t>
      </w:r>
      <w:r w:rsidR="00DF0F0A" w:rsidRPr="00AA4D85">
        <w:rPr>
          <w:rFonts w:ascii="Times New Roman" w:hAnsi="Times New Roman" w:cs="Times New Roman"/>
          <w:szCs w:val="24"/>
        </w:rPr>
        <w:t>fficer (</w:t>
      </w:r>
      <w:r w:rsidR="00E66B43" w:rsidRPr="00AA4D85">
        <w:rPr>
          <w:rFonts w:ascii="Times New Roman" w:hAnsi="Times New Roman" w:cs="Times New Roman"/>
          <w:szCs w:val="24"/>
        </w:rPr>
        <w:t>Discretionary Management)</w:t>
      </w:r>
    </w:p>
    <w:p w14:paraId="67A5A1C7" w14:textId="46ED6FF7" w:rsidR="00681DC4" w:rsidRPr="00F92E75" w:rsidRDefault="001730CF"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Ali and Kelley (2020) </w:t>
      </w:r>
      <w:proofErr w:type="gramStart"/>
      <w:r w:rsidRPr="00F92E75">
        <w:rPr>
          <w:rFonts w:ascii="Times New Roman" w:hAnsi="Times New Roman" w:cs="Times New Roman"/>
          <w:szCs w:val="24"/>
        </w:rPr>
        <w:t>explains</w:t>
      </w:r>
      <w:proofErr w:type="gramEnd"/>
      <w:r w:rsidRPr="00F92E75">
        <w:rPr>
          <w:rFonts w:ascii="Times New Roman" w:hAnsi="Times New Roman" w:cs="Times New Roman"/>
          <w:szCs w:val="24"/>
        </w:rPr>
        <w:t xml:space="preserve"> that </w:t>
      </w:r>
      <w:r w:rsidR="00681DC4" w:rsidRPr="00F92E75">
        <w:rPr>
          <w:rFonts w:ascii="Times New Roman" w:hAnsi="Times New Roman" w:cs="Times New Roman"/>
          <w:szCs w:val="24"/>
        </w:rPr>
        <w:t xml:space="preserve">an Outsourced Chief Investment Officer (“OCIO”) is an advisory organization with delegated authority in investment functions. The types of services that clients seek to delegate vary, depending on the business model of OCIO provider. </w:t>
      </w:r>
    </w:p>
    <w:p w14:paraId="7EB4B182" w14:textId="367B6FC2" w:rsidR="00E66B43" w:rsidRPr="00F92E75" w:rsidRDefault="00A178BA"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Ali and Lash (2021) states that increasing number of employee benefit plan sponsors</w:t>
      </w:r>
      <w:r w:rsidR="00652271" w:rsidRPr="00F92E75">
        <w:rPr>
          <w:rFonts w:ascii="Times New Roman" w:hAnsi="Times New Roman" w:cs="Times New Roman"/>
          <w:szCs w:val="24"/>
        </w:rPr>
        <w:t xml:space="preserve">, including defined benefit, defined contribution and health and welfare plans, hire OCIO aiming to improve investment performance and access fiduciary relief. They further explain that some most common reasons for the trend are (1) plan sponsors lack resources, (2) better </w:t>
      </w:r>
      <w:r w:rsidR="00FF3579" w:rsidRPr="00F92E75">
        <w:rPr>
          <w:rFonts w:ascii="Times New Roman" w:hAnsi="Times New Roman" w:cs="Times New Roman"/>
          <w:szCs w:val="24"/>
        </w:rPr>
        <w:t xml:space="preserve">and enhanced </w:t>
      </w:r>
      <w:r w:rsidR="00652271" w:rsidRPr="00F92E75">
        <w:rPr>
          <w:rFonts w:ascii="Times New Roman" w:hAnsi="Times New Roman" w:cs="Times New Roman"/>
          <w:szCs w:val="24"/>
        </w:rPr>
        <w:t>risk management, (3) additional fiduciary oversight, (4) more efficient investment decisions implementation, and (5) potential cost savings</w:t>
      </w:r>
      <w:r w:rsidR="00FF3579" w:rsidRPr="00F92E75">
        <w:rPr>
          <w:rFonts w:ascii="Times New Roman" w:hAnsi="Times New Roman" w:cs="Times New Roman"/>
          <w:szCs w:val="24"/>
        </w:rPr>
        <w:t>.</w:t>
      </w:r>
    </w:p>
    <w:p w14:paraId="6E0197AC" w14:textId="37617499" w:rsidR="00D21EFD" w:rsidRPr="00F92E75" w:rsidRDefault="00D21EFD" w:rsidP="00F92E75">
      <w:pPr>
        <w:pStyle w:val="Web"/>
        <w:snapToGrid w:val="0"/>
        <w:spacing w:line="360" w:lineRule="auto"/>
      </w:pPr>
      <w:r w:rsidRPr="00F92E75">
        <w:lastRenderedPageBreak/>
        <w:t>M</w:t>
      </w:r>
      <w:r w:rsidR="00877EF7" w:rsidRPr="00F92E75">
        <w:t>any OCIOs implement</w:t>
      </w:r>
      <w:r w:rsidRPr="00F92E75">
        <w:t>ing</w:t>
      </w:r>
      <w:r w:rsidR="00877EF7" w:rsidRPr="00F92E75">
        <w:t xml:space="preserve"> portfolios in multi-client pooling products</w:t>
      </w:r>
      <w:r w:rsidRPr="00F92E75">
        <w:t xml:space="preserve"> will limit </w:t>
      </w:r>
      <w:r w:rsidR="00877EF7" w:rsidRPr="00F92E75">
        <w:t xml:space="preserve">their </w:t>
      </w:r>
      <w:r w:rsidRPr="00F92E75">
        <w:t xml:space="preserve">clients’ </w:t>
      </w:r>
      <w:r w:rsidR="00877EF7" w:rsidRPr="00F92E75">
        <w:t>customiz</w:t>
      </w:r>
      <w:r w:rsidRPr="00F92E75">
        <w:t xml:space="preserve">ation </w:t>
      </w:r>
      <w:r w:rsidR="00877EF7" w:rsidRPr="00F92E75">
        <w:t xml:space="preserve">and clients </w:t>
      </w:r>
      <w:r w:rsidRPr="00F92E75">
        <w:t xml:space="preserve">are required to </w:t>
      </w:r>
      <w:r w:rsidR="00877EF7" w:rsidRPr="00F92E75">
        <w:t xml:space="preserve">liquidate their holdings </w:t>
      </w:r>
      <w:r w:rsidRPr="00F92E75">
        <w:t>when t</w:t>
      </w:r>
      <w:r w:rsidR="00877EF7" w:rsidRPr="00F92E75">
        <w:t xml:space="preserve">hey </w:t>
      </w:r>
      <w:r w:rsidRPr="00F92E75">
        <w:t xml:space="preserve">need to </w:t>
      </w:r>
      <w:r w:rsidR="00877EF7" w:rsidRPr="00F92E75">
        <w:t>change investment partners.</w:t>
      </w:r>
      <w:r w:rsidRPr="00F92E75">
        <w:t xml:space="preserve"> CA works in another approach by using separate managed accounts. Under this structure, clients own their investments and the relationships with the investment managers, it helps them maintain more control over the investment portfolio for the long term. (Cambridge Associates</w:t>
      </w:r>
      <w:r w:rsidR="00F7498A" w:rsidRPr="00F92E75">
        <w:t>, no date a</w:t>
      </w:r>
      <w:r w:rsidRPr="00F92E75">
        <w:t>)</w:t>
      </w:r>
    </w:p>
    <w:p w14:paraId="7822BE9E" w14:textId="0F9439F8" w:rsidR="001514D6" w:rsidRPr="00F92E75" w:rsidRDefault="001514D6" w:rsidP="00F92E75">
      <w:pPr>
        <w:pStyle w:val="body-paragraph"/>
        <w:snapToGrid w:val="0"/>
        <w:spacing w:line="360" w:lineRule="auto"/>
        <w:jc w:val="both"/>
        <w:textAlignment w:val="baseline"/>
      </w:pPr>
      <w:r w:rsidRPr="00F92E75">
        <w:t xml:space="preserve">CA was the largest OCIO manager in a survey conducted </w:t>
      </w:r>
      <w:r w:rsidR="00345B13" w:rsidRPr="00F92E75">
        <w:t xml:space="preserve">by the Pensions &amp; Investments </w:t>
      </w:r>
      <w:r w:rsidRPr="00F92E75">
        <w:t>in 2020 with $351 billion assets under management (Williamson, 2021).</w:t>
      </w:r>
    </w:p>
    <w:p w14:paraId="3505B7A6" w14:textId="77777777" w:rsidR="00AA4D85" w:rsidRDefault="00AA4D85" w:rsidP="00F92E75">
      <w:pPr>
        <w:snapToGrid w:val="0"/>
        <w:spacing w:before="100" w:beforeAutospacing="1" w:after="100" w:afterAutospacing="1" w:line="360" w:lineRule="auto"/>
        <w:rPr>
          <w:rFonts w:ascii="Times New Roman" w:hAnsi="Times New Roman" w:cs="Times New Roman"/>
          <w:szCs w:val="24"/>
        </w:rPr>
      </w:pPr>
    </w:p>
    <w:p w14:paraId="37B34F33" w14:textId="6465EB6E" w:rsidR="00877EF7" w:rsidRPr="00AA4D85" w:rsidRDefault="00AA4D85"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2.2 </w:t>
      </w:r>
      <w:r w:rsidR="00221E47" w:rsidRPr="00AA4D85">
        <w:rPr>
          <w:rFonts w:ascii="Times New Roman" w:hAnsi="Times New Roman" w:cs="Times New Roman"/>
          <w:szCs w:val="24"/>
        </w:rPr>
        <w:t>Advisory Services</w:t>
      </w:r>
    </w:p>
    <w:p w14:paraId="1D3821FA" w14:textId="6CB47092" w:rsidR="00C765A4" w:rsidRPr="00F92E75" w:rsidRDefault="003A0788" w:rsidP="00F92E75">
      <w:pPr>
        <w:snapToGrid w:val="0"/>
        <w:spacing w:before="100" w:beforeAutospacing="1" w:after="100" w:afterAutospacing="1" w:line="360" w:lineRule="auto"/>
        <w:rPr>
          <w:rFonts w:ascii="Times New Roman" w:hAnsi="Times New Roman" w:cs="Times New Roman"/>
          <w:szCs w:val="24"/>
          <w:shd w:val="clear" w:color="auto" w:fill="FFFFFF"/>
        </w:rPr>
      </w:pPr>
      <w:r w:rsidRPr="00F92E75">
        <w:rPr>
          <w:rFonts w:ascii="Times New Roman" w:hAnsi="Times New Roman" w:cs="Times New Roman"/>
          <w:szCs w:val="24"/>
          <w:shd w:val="clear" w:color="auto" w:fill="FFFFFF"/>
        </w:rPr>
        <w:t xml:space="preserve">CA provides investment advice and resources to clients to help achieve their financial goals, their advisory solutions can be for total portfolio or selected asset classes, markets or strategies. Based on the degree of involvement of clients in the investment decisions, CA can customize the advisory portfolio management </w:t>
      </w:r>
      <w:r w:rsidR="00C765A4" w:rsidRPr="00F92E75">
        <w:rPr>
          <w:rFonts w:ascii="Times New Roman" w:hAnsi="Times New Roman" w:cs="Times New Roman"/>
          <w:szCs w:val="24"/>
          <w:shd w:val="clear" w:color="auto" w:fill="FFFFFF"/>
        </w:rPr>
        <w:t>services to them. Their supports in advisory services include knowledge, research capabilities and investment platform. CA can provide daily portfolio oversight and directive recommendations on asset allocation, portfolio structure and manager selection</w:t>
      </w:r>
      <w:r w:rsidR="00F7498A" w:rsidRPr="00F92E75">
        <w:rPr>
          <w:rFonts w:ascii="Times New Roman" w:hAnsi="Times New Roman" w:cs="Times New Roman"/>
          <w:szCs w:val="24"/>
          <w:shd w:val="clear" w:color="auto" w:fill="FFFFFF"/>
        </w:rPr>
        <w:t xml:space="preserve"> (</w:t>
      </w:r>
      <w:r w:rsidR="00F7498A" w:rsidRPr="00F92E75">
        <w:rPr>
          <w:rFonts w:ascii="Times New Roman" w:hAnsi="Times New Roman" w:cs="Times New Roman"/>
          <w:szCs w:val="24"/>
        </w:rPr>
        <w:t>Cambridge Associates, no date b).</w:t>
      </w:r>
    </w:p>
    <w:p w14:paraId="0BAA8870" w14:textId="7A658EBB" w:rsidR="003A423C" w:rsidRPr="00F92E75" w:rsidRDefault="003A423C" w:rsidP="00F92E75">
      <w:pPr>
        <w:pStyle w:val="Web"/>
        <w:snapToGrid w:val="0"/>
        <w:spacing w:line="360" w:lineRule="auto"/>
      </w:pPr>
      <w:r w:rsidRPr="00F92E75">
        <w:t xml:space="preserve">For </w:t>
      </w:r>
      <w:r w:rsidR="00C765A4" w:rsidRPr="00F92E75">
        <w:t>insti</w:t>
      </w:r>
      <w:r w:rsidRPr="00F92E75">
        <w:t>tution</w:t>
      </w:r>
      <w:r w:rsidR="00C765A4" w:rsidRPr="00F92E75">
        <w:t xml:space="preserve">al </w:t>
      </w:r>
      <w:r w:rsidR="006E7672" w:rsidRPr="00F92E75">
        <w:t xml:space="preserve">clients and also </w:t>
      </w:r>
      <w:r w:rsidRPr="00F92E75">
        <w:t xml:space="preserve">family offices </w:t>
      </w:r>
      <w:r w:rsidR="006E7672" w:rsidRPr="00F92E75">
        <w:t xml:space="preserve">clients </w:t>
      </w:r>
      <w:r w:rsidRPr="00F92E75">
        <w:t xml:space="preserve">with well-staffed investment office, </w:t>
      </w:r>
      <w:r w:rsidR="006E7672" w:rsidRPr="00F92E75">
        <w:t xml:space="preserve">CA has customized </w:t>
      </w:r>
      <w:r w:rsidRPr="00F92E75">
        <w:t xml:space="preserve">approach to </w:t>
      </w:r>
      <w:r w:rsidR="006E7672" w:rsidRPr="00F92E75">
        <w:t xml:space="preserve">further enhance the resources of clients, just like the extended arm of their internal investment team. CA will </w:t>
      </w:r>
      <w:r w:rsidRPr="00F92E75">
        <w:t>provide access to skills, network</w:t>
      </w:r>
      <w:r w:rsidR="006E7672" w:rsidRPr="00F92E75">
        <w:t>s</w:t>
      </w:r>
      <w:r w:rsidRPr="00F92E75">
        <w:t>, or sounding board</w:t>
      </w:r>
      <w:r w:rsidR="006E7672" w:rsidRPr="00F92E75">
        <w:t xml:space="preserve"> that the clients need </w:t>
      </w:r>
      <w:r w:rsidR="00F7498A" w:rsidRPr="00F92E75">
        <w:rPr>
          <w:shd w:val="clear" w:color="auto" w:fill="FFFFFF"/>
        </w:rPr>
        <w:t>(</w:t>
      </w:r>
      <w:r w:rsidR="00F7498A" w:rsidRPr="00F92E75">
        <w:t>Cambridge Associates, no date b)</w:t>
      </w:r>
      <w:r w:rsidRPr="00F92E75">
        <w:t>.</w:t>
      </w:r>
    </w:p>
    <w:p w14:paraId="7752FA27" w14:textId="71D3E390" w:rsidR="001514D6" w:rsidRPr="00F92E75" w:rsidRDefault="001514D6" w:rsidP="00F92E75">
      <w:pPr>
        <w:pStyle w:val="body-paragraph"/>
        <w:snapToGrid w:val="0"/>
        <w:spacing w:line="360" w:lineRule="auto"/>
        <w:jc w:val="both"/>
        <w:textAlignment w:val="baseline"/>
      </w:pPr>
      <w:r w:rsidRPr="00F92E75">
        <w:t xml:space="preserve">Cambridge was the seventh largest manager of worldwide institutional assets under advisement with $2.27 trillion in </w:t>
      </w:r>
      <w:r w:rsidR="00345B13" w:rsidRPr="00F92E75">
        <w:t xml:space="preserve">a </w:t>
      </w:r>
      <w:r w:rsidRPr="00F92E75">
        <w:t>survey</w:t>
      </w:r>
      <w:r w:rsidR="00345B13" w:rsidRPr="00F92E75">
        <w:t xml:space="preserve"> conducted by the Pensions &amp; Investments in 2020 (Williamson, 2021)</w:t>
      </w:r>
      <w:r w:rsidRPr="00F92E75">
        <w:t>.</w:t>
      </w:r>
    </w:p>
    <w:p w14:paraId="323989BD" w14:textId="574BBEFD" w:rsidR="00AA4D85" w:rsidRDefault="00AA4D85" w:rsidP="00F92E75">
      <w:pPr>
        <w:snapToGrid w:val="0"/>
        <w:spacing w:before="100" w:beforeAutospacing="1" w:after="100" w:afterAutospacing="1" w:line="360" w:lineRule="auto"/>
        <w:rPr>
          <w:rFonts w:ascii="Times New Roman" w:hAnsi="Times New Roman" w:cs="Times New Roman"/>
          <w:szCs w:val="24"/>
        </w:rPr>
      </w:pPr>
    </w:p>
    <w:p w14:paraId="0FEADCB6" w14:textId="77777777" w:rsidR="00861E7F" w:rsidRDefault="00861E7F" w:rsidP="00F92E75">
      <w:pPr>
        <w:snapToGrid w:val="0"/>
        <w:spacing w:before="100" w:beforeAutospacing="1" w:after="100" w:afterAutospacing="1" w:line="360" w:lineRule="auto"/>
        <w:rPr>
          <w:rFonts w:ascii="Times New Roman" w:hAnsi="Times New Roman" w:cs="Times New Roman" w:hint="eastAsia"/>
          <w:szCs w:val="24"/>
        </w:rPr>
      </w:pPr>
    </w:p>
    <w:p w14:paraId="12273AFA" w14:textId="455A3F41" w:rsidR="003A423C" w:rsidRPr="00AA4D85" w:rsidRDefault="00AA4D85"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lastRenderedPageBreak/>
        <w:t xml:space="preserve">2.3 </w:t>
      </w:r>
      <w:r w:rsidR="003A423C" w:rsidRPr="00AA4D85">
        <w:rPr>
          <w:rFonts w:ascii="Times New Roman" w:hAnsi="Times New Roman" w:cs="Times New Roman"/>
          <w:szCs w:val="24"/>
        </w:rPr>
        <w:t>Asset Class Mandates</w:t>
      </w:r>
    </w:p>
    <w:p w14:paraId="3F4EB444" w14:textId="0F7F1FBB" w:rsidR="0078070E" w:rsidRPr="00F92E75" w:rsidRDefault="0078070E" w:rsidP="00F92E75">
      <w:pPr>
        <w:pStyle w:val="Web"/>
        <w:snapToGrid w:val="0"/>
        <w:spacing w:line="360" w:lineRule="auto"/>
      </w:pPr>
      <w:r w:rsidRPr="00F92E75">
        <w:t xml:space="preserve">Another service </w:t>
      </w:r>
      <w:r w:rsidR="007269C4" w:rsidRPr="00F92E75">
        <w:t xml:space="preserve">of </w:t>
      </w:r>
      <w:r w:rsidRPr="00F92E75">
        <w:t xml:space="preserve">CA is to leverage on their investment expertise and networks to </w:t>
      </w:r>
      <w:r w:rsidR="003566F0" w:rsidRPr="00F92E75">
        <w:t xml:space="preserve">support </w:t>
      </w:r>
      <w:r w:rsidRPr="00F92E75">
        <w:t>clients to manage their alternative assets portfolios or niche strategies.</w:t>
      </w:r>
    </w:p>
    <w:p w14:paraId="55BCB6E8" w14:textId="6DC16BF5" w:rsidR="00D40315" w:rsidRPr="00F92E75" w:rsidRDefault="007269C4" w:rsidP="00F92E75">
      <w:pPr>
        <w:pStyle w:val="Web"/>
        <w:snapToGrid w:val="0"/>
        <w:spacing w:line="360" w:lineRule="auto"/>
      </w:pPr>
      <w:r w:rsidRPr="00F92E75">
        <w:t xml:space="preserve">Alternative assets </w:t>
      </w:r>
      <w:r w:rsidR="00D40315" w:rsidRPr="00F92E75">
        <w:t>cover a wide range of investment</w:t>
      </w:r>
      <w:r w:rsidR="00316999" w:rsidRPr="00F92E75">
        <w:t xml:space="preserve"> vehicle</w:t>
      </w:r>
      <w:r w:rsidR="00D40315" w:rsidRPr="00F92E75">
        <w:t xml:space="preserve">s </w:t>
      </w:r>
      <w:r w:rsidR="00292265" w:rsidRPr="00F92E75">
        <w:t xml:space="preserve">which </w:t>
      </w:r>
      <w:r w:rsidR="00D40315" w:rsidRPr="00F92E75">
        <w:t>shar</w:t>
      </w:r>
      <w:r w:rsidR="00292265" w:rsidRPr="00F92E75">
        <w:t>e</w:t>
      </w:r>
      <w:r w:rsidR="00D40315" w:rsidRPr="00F92E75">
        <w:t xml:space="preserve"> some </w:t>
      </w:r>
      <w:r w:rsidR="00316999" w:rsidRPr="00F92E75">
        <w:t>common</w:t>
      </w:r>
      <w:r w:rsidR="00D40315" w:rsidRPr="00F92E75">
        <w:t xml:space="preserve"> characteristics. </w:t>
      </w:r>
      <w:proofErr w:type="spellStart"/>
      <w:r w:rsidR="00316999" w:rsidRPr="00F92E75">
        <w:rPr>
          <w:shd w:val="clear" w:color="auto" w:fill="FFFFFF"/>
        </w:rPr>
        <w:t>Chladek</w:t>
      </w:r>
      <w:proofErr w:type="spellEnd"/>
      <w:r w:rsidR="00316999" w:rsidRPr="00F92E75">
        <w:rPr>
          <w:shd w:val="clear" w:color="auto" w:fill="FFFFFF"/>
        </w:rPr>
        <w:t xml:space="preserve"> (2020) explains that t</w:t>
      </w:r>
      <w:r w:rsidR="00D40315" w:rsidRPr="00F92E75">
        <w:t>hey are less regulated, less liquid</w:t>
      </w:r>
      <w:r w:rsidR="00A150A3" w:rsidRPr="00F92E75">
        <w:t>,</w:t>
      </w:r>
      <w:r w:rsidR="00D40315" w:rsidRPr="00F92E75">
        <w:t xml:space="preserve"> meaning that they are not easy to sell or convert into cash, and they have low correlation to traditional asset classes like equities and bonds, it means that they may </w:t>
      </w:r>
      <w:r w:rsidR="00292265" w:rsidRPr="00F92E75">
        <w:t xml:space="preserve">have </w:t>
      </w:r>
      <w:r w:rsidR="00D40315" w:rsidRPr="00F92E75">
        <w:t xml:space="preserve">different </w:t>
      </w:r>
      <w:r w:rsidR="00292265" w:rsidRPr="00F92E75">
        <w:t xml:space="preserve">moves </w:t>
      </w:r>
      <w:r w:rsidR="00D40315" w:rsidRPr="00F92E75">
        <w:t>as other traditional assets when market conditions change.</w:t>
      </w:r>
      <w:r w:rsidR="00BE7578" w:rsidRPr="00F92E75">
        <w:t xml:space="preserve"> </w:t>
      </w:r>
    </w:p>
    <w:p w14:paraId="77F1422D" w14:textId="69DD1DD6" w:rsidR="00C150E6" w:rsidRPr="00F92E75" w:rsidRDefault="00A150A3" w:rsidP="00F92E75">
      <w:pPr>
        <w:pStyle w:val="Web"/>
        <w:snapToGrid w:val="0"/>
        <w:spacing w:line="360" w:lineRule="auto"/>
      </w:pPr>
      <w:r w:rsidRPr="00F92E75">
        <w:rPr>
          <w:rFonts w:eastAsiaTheme="minorEastAsia"/>
        </w:rPr>
        <w:t xml:space="preserve">Some popular examples of </w:t>
      </w:r>
      <w:r w:rsidR="00BE7578" w:rsidRPr="00F92E75">
        <w:rPr>
          <w:rFonts w:eastAsiaTheme="minorEastAsia"/>
        </w:rPr>
        <w:t xml:space="preserve">alternative assets include </w:t>
      </w:r>
      <w:r w:rsidRPr="00F92E75">
        <w:rPr>
          <w:rFonts w:eastAsiaTheme="minorEastAsia"/>
        </w:rPr>
        <w:t>pr</w:t>
      </w:r>
      <w:r w:rsidR="00BE7578" w:rsidRPr="00F92E75">
        <w:t xml:space="preserve">ivate </w:t>
      </w:r>
      <w:r w:rsidRPr="00F92E75">
        <w:t>e</w:t>
      </w:r>
      <w:r w:rsidR="00BE7578" w:rsidRPr="00F92E75">
        <w:t>quity</w:t>
      </w:r>
      <w:r w:rsidRPr="00F92E75">
        <w:t>, p</w:t>
      </w:r>
      <w:r w:rsidR="00BE7578" w:rsidRPr="00F92E75">
        <w:t xml:space="preserve">rivate </w:t>
      </w:r>
      <w:r w:rsidRPr="00F92E75">
        <w:t>d</w:t>
      </w:r>
      <w:r w:rsidR="00BE7578" w:rsidRPr="00F92E75">
        <w:t>ebt</w:t>
      </w:r>
      <w:r w:rsidRPr="00F92E75">
        <w:t>, h</w:t>
      </w:r>
      <w:r w:rsidR="00BE7578" w:rsidRPr="00F92E75">
        <w:t xml:space="preserve">edge </w:t>
      </w:r>
      <w:r w:rsidRPr="00F92E75">
        <w:t>f</w:t>
      </w:r>
      <w:r w:rsidR="00BE7578" w:rsidRPr="00F92E75">
        <w:t>unds</w:t>
      </w:r>
      <w:r w:rsidRPr="00F92E75">
        <w:t>, r</w:t>
      </w:r>
      <w:r w:rsidR="00BE7578" w:rsidRPr="00F92E75">
        <w:t xml:space="preserve">eal </w:t>
      </w:r>
      <w:r w:rsidRPr="00F92E75">
        <w:t>e</w:t>
      </w:r>
      <w:r w:rsidR="00BE7578" w:rsidRPr="00F92E75">
        <w:t>state</w:t>
      </w:r>
      <w:r w:rsidRPr="00F92E75">
        <w:t>, c</w:t>
      </w:r>
      <w:r w:rsidR="00BE7578" w:rsidRPr="00F92E75">
        <w:t>ommodities</w:t>
      </w:r>
      <w:r w:rsidRPr="00F92E75">
        <w:t>, c</w:t>
      </w:r>
      <w:r w:rsidR="00BE7578" w:rsidRPr="00F92E75">
        <w:t>ollectibles</w:t>
      </w:r>
      <w:r w:rsidRPr="00F92E75">
        <w:t>, structured products, convertible bonds, preferred stocks and cryptocurrencies (</w:t>
      </w:r>
      <w:proofErr w:type="spellStart"/>
      <w:r w:rsidRPr="00F92E75">
        <w:rPr>
          <w:shd w:val="clear" w:color="auto" w:fill="FFFFFF"/>
        </w:rPr>
        <w:t>Chladek</w:t>
      </w:r>
      <w:proofErr w:type="spellEnd"/>
      <w:r w:rsidRPr="00F92E75">
        <w:rPr>
          <w:shd w:val="clear" w:color="auto" w:fill="FFFFFF"/>
        </w:rPr>
        <w:t xml:space="preserve"> 2020; </w:t>
      </w:r>
      <w:r w:rsidR="00C150E6" w:rsidRPr="00F92E75">
        <w:rPr>
          <w:shd w:val="clear" w:color="auto" w:fill="FFFFFF"/>
        </w:rPr>
        <w:t>Shell 2022</w:t>
      </w:r>
      <w:r w:rsidRPr="00F92E75">
        <w:rPr>
          <w:shd w:val="clear" w:color="auto" w:fill="FFFFFF"/>
        </w:rPr>
        <w:t>)</w:t>
      </w:r>
      <w:r w:rsidR="00C150E6" w:rsidRPr="00F92E75">
        <w:rPr>
          <w:shd w:val="clear" w:color="auto" w:fill="FFFFFF"/>
        </w:rPr>
        <w:t xml:space="preserve"> </w:t>
      </w:r>
      <w:r w:rsidRPr="00F92E75">
        <w:t>Examples of structured products include credit default swaps (CDS) and collateralized debt obligations (CDO).</w:t>
      </w:r>
      <w:r w:rsidR="00C150E6" w:rsidRPr="00F92E75">
        <w:t xml:space="preserve"> However, new alternative assets will be created under technological development. </w:t>
      </w:r>
      <w:proofErr w:type="spellStart"/>
      <w:r w:rsidR="003006EA" w:rsidRPr="00F92E75">
        <w:t>Catmull</w:t>
      </w:r>
      <w:proofErr w:type="spellEnd"/>
      <w:r w:rsidR="003006EA" w:rsidRPr="00F92E75">
        <w:t xml:space="preserve"> (2022) argues that </w:t>
      </w:r>
      <w:r w:rsidR="00C150E6" w:rsidRPr="00F92E75">
        <w:rPr>
          <w:rStyle w:val="hgkelc"/>
        </w:rPr>
        <w:t>NFT</w:t>
      </w:r>
      <w:r w:rsidR="003006EA" w:rsidRPr="00F92E75">
        <w:rPr>
          <w:rStyle w:val="hgkelc"/>
        </w:rPr>
        <w:t xml:space="preserve"> (N</w:t>
      </w:r>
      <w:r w:rsidR="00C150E6" w:rsidRPr="00F92E75">
        <w:rPr>
          <w:rStyle w:val="hgkelc"/>
        </w:rPr>
        <w:t>on-fungible token</w:t>
      </w:r>
      <w:r w:rsidR="003006EA" w:rsidRPr="00F92E75">
        <w:rPr>
          <w:rStyle w:val="hgkelc"/>
          <w:b/>
          <w:bCs/>
        </w:rPr>
        <w:t>)</w:t>
      </w:r>
      <w:r w:rsidR="003006EA" w:rsidRPr="00F92E75">
        <w:rPr>
          <w:rStyle w:val="hgkelc"/>
        </w:rPr>
        <w:t xml:space="preserve"> will have more explosive chance at success in the future and therefore it should be considered now.</w:t>
      </w:r>
      <w:r w:rsidR="003E654D" w:rsidRPr="00F92E75">
        <w:rPr>
          <w:rStyle w:val="hgkelc"/>
        </w:rPr>
        <w:t xml:space="preserve"> CA </w:t>
      </w:r>
      <w:r w:rsidR="000A339D" w:rsidRPr="00F92E75">
        <w:rPr>
          <w:rStyle w:val="hgkelc"/>
        </w:rPr>
        <w:t>claims</w:t>
      </w:r>
      <w:r w:rsidR="003E654D" w:rsidRPr="00F92E75">
        <w:rPr>
          <w:rStyle w:val="hgkelc"/>
        </w:rPr>
        <w:t xml:space="preserve"> that they are expertise in different asset classes, namely private equity, venture capital, secondaries &amp; co-investments, real assets, credit investments, hedge funds and public equities</w:t>
      </w:r>
      <w:r w:rsidR="003E654D" w:rsidRPr="00F92E75">
        <w:t>.</w:t>
      </w:r>
    </w:p>
    <w:p w14:paraId="3A72B1F2" w14:textId="77777777" w:rsidR="00372624" w:rsidRPr="00F92E75" w:rsidRDefault="00372624" w:rsidP="00F92E75">
      <w:pPr>
        <w:snapToGrid w:val="0"/>
        <w:spacing w:before="100" w:beforeAutospacing="1" w:after="100" w:afterAutospacing="1" w:line="360" w:lineRule="auto"/>
        <w:rPr>
          <w:rFonts w:ascii="Times New Roman" w:hAnsi="Times New Roman" w:cs="Times New Roman"/>
          <w:szCs w:val="24"/>
        </w:rPr>
      </w:pPr>
    </w:p>
    <w:p w14:paraId="6C49145C" w14:textId="77777777" w:rsidR="00F239A1" w:rsidRDefault="00F239A1">
      <w:pPr>
        <w:widowControl/>
        <w:rPr>
          <w:rFonts w:ascii="Times New Roman" w:hAnsi="Times New Roman" w:cs="Times New Roman"/>
          <w:b/>
          <w:bCs/>
          <w:szCs w:val="24"/>
        </w:rPr>
      </w:pPr>
      <w:r>
        <w:rPr>
          <w:rFonts w:ascii="Times New Roman" w:hAnsi="Times New Roman" w:cs="Times New Roman"/>
          <w:b/>
          <w:bCs/>
          <w:szCs w:val="24"/>
        </w:rPr>
        <w:br w:type="page"/>
      </w:r>
    </w:p>
    <w:p w14:paraId="7E4A53EE" w14:textId="3FDF33C5" w:rsidR="00153829" w:rsidRPr="00F92E75" w:rsidRDefault="00F239A1" w:rsidP="00F92E75">
      <w:pPr>
        <w:snapToGrid w:val="0"/>
        <w:spacing w:before="100" w:beforeAutospacing="1" w:after="100" w:afterAutospacing="1" w:line="360" w:lineRule="auto"/>
        <w:jc w:val="center"/>
        <w:rPr>
          <w:rFonts w:ascii="Times New Roman" w:hAnsi="Times New Roman" w:cs="Times New Roman"/>
          <w:b/>
          <w:bCs/>
          <w:szCs w:val="24"/>
        </w:rPr>
      </w:pPr>
      <w:r>
        <w:rPr>
          <w:rFonts w:ascii="Times New Roman" w:hAnsi="Times New Roman" w:cs="Times New Roman"/>
          <w:b/>
          <w:bCs/>
          <w:szCs w:val="24"/>
        </w:rPr>
        <w:lastRenderedPageBreak/>
        <w:t xml:space="preserve">3. </w:t>
      </w:r>
      <w:r w:rsidR="00153829" w:rsidRPr="00F92E75">
        <w:rPr>
          <w:rFonts w:ascii="Times New Roman" w:hAnsi="Times New Roman" w:cs="Times New Roman"/>
          <w:b/>
          <w:bCs/>
          <w:szCs w:val="24"/>
        </w:rPr>
        <w:t>Internal Audit</w:t>
      </w:r>
    </w:p>
    <w:p w14:paraId="6B5C44C1" w14:textId="77777777" w:rsidR="006B0581" w:rsidRDefault="006B0581" w:rsidP="00F92E75">
      <w:pPr>
        <w:snapToGrid w:val="0"/>
        <w:spacing w:before="100" w:beforeAutospacing="1" w:after="100" w:afterAutospacing="1" w:line="360" w:lineRule="auto"/>
        <w:rPr>
          <w:rStyle w:val="markedcontent"/>
          <w:rFonts w:ascii="Times New Roman" w:hAnsi="Times New Roman" w:cs="Times New Roman"/>
          <w:szCs w:val="24"/>
        </w:rPr>
      </w:pPr>
    </w:p>
    <w:p w14:paraId="00240706" w14:textId="5704B9E4" w:rsidR="00153829" w:rsidRPr="00F92E75" w:rsidRDefault="00153829" w:rsidP="00F92E75">
      <w:pPr>
        <w:snapToGrid w:val="0"/>
        <w:spacing w:before="100" w:beforeAutospacing="1" w:after="100" w:afterAutospacing="1" w:line="360" w:lineRule="auto"/>
        <w:rPr>
          <w:rStyle w:val="markedcontent"/>
          <w:rFonts w:ascii="Times New Roman" w:hAnsi="Times New Roman" w:cs="Times New Roman"/>
          <w:szCs w:val="24"/>
        </w:rPr>
      </w:pPr>
      <w:r w:rsidRPr="00F92E75">
        <w:rPr>
          <w:rStyle w:val="markedcontent"/>
          <w:rFonts w:ascii="Times New Roman" w:hAnsi="Times New Roman" w:cs="Times New Roman"/>
          <w:szCs w:val="24"/>
        </w:rPr>
        <w:t>Even the market leader in any industry cannot outperform competitors in all areas, therefore all companies have to understand the strengths and weaknesses in their functional units so as to maintain competitiveness or excel their performance. Through the process of performing internal audit, not only a company’s strengths and weaknesses can be identified, but also the distinctive competencies which are critical in building the competitive advantages of a company.</w:t>
      </w:r>
    </w:p>
    <w:p w14:paraId="61413E36" w14:textId="77777777" w:rsidR="00153829" w:rsidRPr="00F92E75" w:rsidRDefault="00153829" w:rsidP="00F92E75">
      <w:pPr>
        <w:snapToGrid w:val="0"/>
        <w:spacing w:before="100" w:beforeAutospacing="1" w:after="100" w:afterAutospacing="1" w:line="360" w:lineRule="auto"/>
        <w:rPr>
          <w:rStyle w:val="markedcontent"/>
          <w:rFonts w:ascii="Times New Roman" w:hAnsi="Times New Roman" w:cs="Times New Roman"/>
          <w:szCs w:val="24"/>
        </w:rPr>
      </w:pPr>
      <w:r w:rsidRPr="00F92E75">
        <w:rPr>
          <w:rStyle w:val="markedcontent"/>
          <w:rFonts w:ascii="Times New Roman" w:hAnsi="Times New Roman" w:cs="Times New Roman"/>
          <w:szCs w:val="24"/>
        </w:rPr>
        <w:t xml:space="preserve">In the internal audit process in strategic planning, the information about different functional units has to be collected and </w:t>
      </w:r>
      <w:proofErr w:type="spellStart"/>
      <w:r w:rsidRPr="00F92E75">
        <w:rPr>
          <w:rStyle w:val="markedcontent"/>
          <w:rFonts w:ascii="Times New Roman" w:hAnsi="Times New Roman" w:cs="Times New Roman"/>
          <w:szCs w:val="24"/>
        </w:rPr>
        <w:t>analysed</w:t>
      </w:r>
      <w:proofErr w:type="spellEnd"/>
      <w:r w:rsidRPr="00F92E75">
        <w:rPr>
          <w:rStyle w:val="markedcontent"/>
          <w:rFonts w:ascii="Times New Roman" w:hAnsi="Times New Roman" w:cs="Times New Roman"/>
          <w:szCs w:val="24"/>
        </w:rPr>
        <w:t>. I</w:t>
      </w:r>
      <w:r w:rsidRPr="00F92E75">
        <w:rPr>
          <w:rFonts w:ascii="Times New Roman" w:hAnsi="Times New Roman" w:cs="Times New Roman"/>
          <w:szCs w:val="24"/>
        </w:rPr>
        <w:t xml:space="preserve">nvestment portfolio management and advisory services </w:t>
      </w:r>
      <w:r w:rsidRPr="00F92E75">
        <w:rPr>
          <w:rStyle w:val="markedcontent"/>
          <w:rFonts w:ascii="Times New Roman" w:hAnsi="Times New Roman" w:cs="Times New Roman"/>
          <w:szCs w:val="24"/>
        </w:rPr>
        <w:t>companies like CA have their unique organizational structure, they emphasize the quality of advice to clients, so in addition to the functional units Leadership Management, Marketing, and Human Resources, the internal audit will also cover the Research functional unit.</w:t>
      </w:r>
    </w:p>
    <w:p w14:paraId="4B1024A2" w14:textId="77777777" w:rsidR="00AA4D85" w:rsidRDefault="00AA4D85" w:rsidP="00F92E75">
      <w:pPr>
        <w:snapToGrid w:val="0"/>
        <w:spacing w:before="100" w:beforeAutospacing="1" w:after="100" w:afterAutospacing="1" w:line="360" w:lineRule="auto"/>
        <w:rPr>
          <w:rStyle w:val="markedcontent"/>
          <w:rFonts w:ascii="Times New Roman" w:hAnsi="Times New Roman" w:cs="Times New Roman"/>
          <w:szCs w:val="24"/>
        </w:rPr>
      </w:pPr>
    </w:p>
    <w:p w14:paraId="5BCEB986" w14:textId="2F181CA8" w:rsidR="00153829" w:rsidRPr="00AA4D85" w:rsidRDefault="00F239A1" w:rsidP="00F92E75">
      <w:pPr>
        <w:snapToGrid w:val="0"/>
        <w:spacing w:before="100" w:beforeAutospacing="1" w:after="100" w:afterAutospacing="1" w:line="360" w:lineRule="auto"/>
        <w:rPr>
          <w:rStyle w:val="markedcontent"/>
          <w:rFonts w:ascii="Times New Roman" w:hAnsi="Times New Roman" w:cs="Times New Roman"/>
          <w:szCs w:val="24"/>
        </w:rPr>
      </w:pPr>
      <w:r w:rsidRPr="00AA4D85">
        <w:rPr>
          <w:rStyle w:val="markedcontent"/>
          <w:rFonts w:ascii="Times New Roman" w:hAnsi="Times New Roman" w:cs="Times New Roman"/>
          <w:szCs w:val="24"/>
        </w:rPr>
        <w:t xml:space="preserve">3.1 </w:t>
      </w:r>
      <w:r w:rsidR="00153829" w:rsidRPr="00AA4D85">
        <w:rPr>
          <w:rStyle w:val="markedcontent"/>
          <w:rFonts w:ascii="Times New Roman" w:hAnsi="Times New Roman" w:cs="Times New Roman"/>
          <w:szCs w:val="24"/>
        </w:rPr>
        <w:t>Leadership Management</w:t>
      </w:r>
    </w:p>
    <w:p w14:paraId="24B03953" w14:textId="77777777" w:rsidR="00153829" w:rsidRPr="00F92E75" w:rsidRDefault="00153829" w:rsidP="00F92E75">
      <w:pPr>
        <w:widowControl/>
        <w:snapToGrid w:val="0"/>
        <w:spacing w:before="100" w:beforeAutospacing="1" w:after="100" w:afterAutospacing="1" w:line="360" w:lineRule="auto"/>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 xml:space="preserve">The current Chief Executive Officer (“CEO”) of CA is Mr. David </w:t>
      </w:r>
      <w:proofErr w:type="spellStart"/>
      <w:r w:rsidRPr="00F92E75">
        <w:rPr>
          <w:rFonts w:ascii="Times New Roman" w:eastAsia="Times New Roman" w:hAnsi="Times New Roman" w:cs="Times New Roman"/>
          <w:kern w:val="0"/>
          <w:szCs w:val="24"/>
        </w:rPr>
        <w:t>Druley</w:t>
      </w:r>
      <w:proofErr w:type="spellEnd"/>
      <w:r w:rsidRPr="00F92E75">
        <w:rPr>
          <w:rFonts w:ascii="Times New Roman" w:eastAsia="Times New Roman" w:hAnsi="Times New Roman" w:cs="Times New Roman"/>
          <w:kern w:val="0"/>
          <w:szCs w:val="24"/>
        </w:rPr>
        <w:t xml:space="preserve"> who was selected as the successor of ex-CEO on 1 July 2016. Before this role, he served the same company for 13 years since 2003 (Sareen-</w:t>
      </w:r>
      <w:proofErr w:type="spellStart"/>
      <w:r w:rsidRPr="00F92E75">
        <w:rPr>
          <w:rFonts w:ascii="Times New Roman" w:eastAsia="Times New Roman" w:hAnsi="Times New Roman" w:cs="Times New Roman"/>
          <w:kern w:val="0"/>
          <w:szCs w:val="24"/>
        </w:rPr>
        <w:t>Tak</w:t>
      </w:r>
      <w:proofErr w:type="spellEnd"/>
      <w:r w:rsidRPr="00F92E75">
        <w:rPr>
          <w:rFonts w:ascii="Times New Roman" w:eastAsia="Times New Roman" w:hAnsi="Times New Roman" w:cs="Times New Roman"/>
          <w:kern w:val="0"/>
          <w:szCs w:val="24"/>
        </w:rPr>
        <w:t xml:space="preserve">, 2016). So up to now he has been serving and leading CA for almost 19 years. With such a long tenure, Mr. </w:t>
      </w:r>
      <w:proofErr w:type="spellStart"/>
      <w:r w:rsidRPr="00F92E75">
        <w:rPr>
          <w:rFonts w:ascii="Times New Roman" w:eastAsia="Times New Roman" w:hAnsi="Times New Roman" w:cs="Times New Roman"/>
          <w:kern w:val="0"/>
          <w:szCs w:val="24"/>
        </w:rPr>
        <w:t>Druley</w:t>
      </w:r>
      <w:proofErr w:type="spellEnd"/>
      <w:r w:rsidRPr="00F92E75">
        <w:rPr>
          <w:rFonts w:ascii="Times New Roman" w:eastAsia="Times New Roman" w:hAnsi="Times New Roman" w:cs="Times New Roman"/>
          <w:kern w:val="0"/>
          <w:szCs w:val="24"/>
        </w:rPr>
        <w:t xml:space="preserve"> should know very well about the company’s operations and future development plans.</w:t>
      </w:r>
    </w:p>
    <w:p w14:paraId="1793F15B" w14:textId="77777777" w:rsidR="00153829" w:rsidRPr="00F92E75" w:rsidRDefault="00153829" w:rsidP="00F92E75">
      <w:pPr>
        <w:widowControl/>
        <w:snapToGrid w:val="0"/>
        <w:spacing w:before="100" w:beforeAutospacing="1" w:after="100" w:afterAutospacing="1" w:line="360" w:lineRule="auto"/>
        <w:rPr>
          <w:rFonts w:ascii="Times New Roman" w:hAnsi="Times New Roman" w:cs="Times New Roman"/>
          <w:kern w:val="0"/>
          <w:szCs w:val="24"/>
        </w:rPr>
      </w:pPr>
      <w:r w:rsidRPr="00F92E75">
        <w:rPr>
          <w:rFonts w:ascii="Times New Roman" w:hAnsi="Times New Roman" w:cs="Times New Roman"/>
          <w:szCs w:val="24"/>
          <w:shd w:val="clear" w:color="auto" w:fill="FFFFFF"/>
        </w:rPr>
        <w:t>(</w:t>
      </w:r>
      <w:r w:rsidRPr="00F92E75">
        <w:rPr>
          <w:rFonts w:ascii="Times New Roman" w:hAnsi="Times New Roman" w:cs="Times New Roman"/>
          <w:szCs w:val="24"/>
        </w:rPr>
        <w:t>Cambridge Associates, no date c) elaborates that t</w:t>
      </w:r>
      <w:r w:rsidRPr="00F92E75">
        <w:rPr>
          <w:rFonts w:ascii="Times New Roman" w:hAnsi="Times New Roman" w:cs="Times New Roman"/>
          <w:kern w:val="0"/>
          <w:szCs w:val="24"/>
        </w:rPr>
        <w:t xml:space="preserve">here are Executive Leadership and Senior Leadership Teams supporting the CEO in managing the company. Including Mr. </w:t>
      </w:r>
      <w:proofErr w:type="spellStart"/>
      <w:r w:rsidRPr="00F92E75">
        <w:rPr>
          <w:rFonts w:ascii="Times New Roman" w:hAnsi="Times New Roman" w:cs="Times New Roman"/>
          <w:kern w:val="0"/>
          <w:szCs w:val="24"/>
        </w:rPr>
        <w:t>Druley</w:t>
      </w:r>
      <w:proofErr w:type="spellEnd"/>
      <w:r w:rsidRPr="00F92E75">
        <w:rPr>
          <w:rFonts w:ascii="Times New Roman" w:hAnsi="Times New Roman" w:cs="Times New Roman"/>
          <w:kern w:val="0"/>
          <w:szCs w:val="24"/>
        </w:rPr>
        <w:t>, there are 16 members in the Executive Leadership team, and there are 28 members in the Senior Leadership team. The teams are formed mainly in accordance with the business scopes and geographical distributions.</w:t>
      </w:r>
    </w:p>
    <w:p w14:paraId="43E12368" w14:textId="7374BAF4" w:rsidR="00AA4D85" w:rsidRDefault="00AA4D85" w:rsidP="00F92E75">
      <w:pPr>
        <w:snapToGrid w:val="0"/>
        <w:spacing w:before="100" w:beforeAutospacing="1" w:after="100" w:afterAutospacing="1" w:line="360" w:lineRule="auto"/>
        <w:rPr>
          <w:rFonts w:ascii="Times New Roman" w:hAnsi="Times New Roman" w:cs="Times New Roman"/>
          <w:szCs w:val="24"/>
        </w:rPr>
      </w:pPr>
    </w:p>
    <w:p w14:paraId="60350CF6" w14:textId="77777777" w:rsidR="00861E7F" w:rsidRDefault="00861E7F" w:rsidP="00F92E75">
      <w:pPr>
        <w:snapToGrid w:val="0"/>
        <w:spacing w:before="100" w:beforeAutospacing="1" w:after="100" w:afterAutospacing="1" w:line="360" w:lineRule="auto"/>
        <w:rPr>
          <w:rFonts w:ascii="Times New Roman" w:hAnsi="Times New Roman" w:cs="Times New Roman" w:hint="eastAsia"/>
          <w:szCs w:val="24"/>
        </w:rPr>
      </w:pPr>
    </w:p>
    <w:p w14:paraId="219EFF7C" w14:textId="362EFE5E" w:rsidR="00153829" w:rsidRPr="00AA4D85" w:rsidRDefault="00F239A1" w:rsidP="00F92E75">
      <w:pPr>
        <w:snapToGrid w:val="0"/>
        <w:spacing w:before="100" w:beforeAutospacing="1" w:after="100" w:afterAutospacing="1" w:line="360" w:lineRule="auto"/>
        <w:rPr>
          <w:rFonts w:ascii="Times New Roman" w:hAnsi="Times New Roman" w:cs="Times New Roman"/>
          <w:szCs w:val="24"/>
        </w:rPr>
      </w:pPr>
      <w:r w:rsidRPr="00AA4D85">
        <w:rPr>
          <w:rFonts w:ascii="Times New Roman" w:hAnsi="Times New Roman" w:cs="Times New Roman"/>
          <w:szCs w:val="24"/>
        </w:rPr>
        <w:t xml:space="preserve">3.2 </w:t>
      </w:r>
      <w:r w:rsidR="00153829" w:rsidRPr="00AA4D85">
        <w:rPr>
          <w:rFonts w:ascii="Times New Roman" w:hAnsi="Times New Roman" w:cs="Times New Roman"/>
          <w:szCs w:val="24"/>
        </w:rPr>
        <w:t>Corporate Values</w:t>
      </w:r>
    </w:p>
    <w:p w14:paraId="2660A1A9"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has six core values, they are “Client First”, “Own It”, “Be Bold”, “Collaboration Wins”, “Seek Truth” and “Kindness Matters” </w:t>
      </w:r>
      <w:r w:rsidRPr="00F92E75">
        <w:rPr>
          <w:rFonts w:ascii="Times New Roman" w:hAnsi="Times New Roman" w:cs="Times New Roman"/>
          <w:szCs w:val="24"/>
          <w:shd w:val="clear" w:color="auto" w:fill="FFFFFF"/>
        </w:rPr>
        <w:t>(</w:t>
      </w:r>
      <w:r w:rsidRPr="00F92E75">
        <w:rPr>
          <w:rFonts w:ascii="Times New Roman" w:hAnsi="Times New Roman" w:cs="Times New Roman"/>
          <w:szCs w:val="24"/>
        </w:rPr>
        <w:t>Cambridge Associates, no date d). “Client First” means the company always at in the best interests of their clients. “Own It” means the company holds accountable to the clients and each other. “Be Bold” means the company learns and innovates every day. “Collaboration Wins” means the company brings diverse perspective to best serve the clients and the company. “Seek Truth” means to learn and listen from each other. “Kindness Matters” means the company cares for and encourage each other, and appreciates the contributions from all.</w:t>
      </w:r>
    </w:p>
    <w:p w14:paraId="3697BCEC" w14:textId="77777777" w:rsidR="00153829" w:rsidRPr="00F92E75" w:rsidRDefault="00153829" w:rsidP="00F92E75">
      <w:pPr>
        <w:widowControl/>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has been putting efforts to demonstrate their corporate values. CA was recognized in the Human Right Campaign Foundation’s (“HRC’s”) Corporate Equality Index (“CEI”) again for the second straight year and the award “Best Places </w:t>
      </w:r>
      <w:proofErr w:type="gramStart"/>
      <w:r w:rsidRPr="00F92E75">
        <w:rPr>
          <w:rFonts w:ascii="Times New Roman" w:hAnsi="Times New Roman" w:cs="Times New Roman"/>
          <w:szCs w:val="24"/>
        </w:rPr>
        <w:t>To</w:t>
      </w:r>
      <w:proofErr w:type="gramEnd"/>
      <w:r w:rsidRPr="00F92E75">
        <w:rPr>
          <w:rFonts w:ascii="Times New Roman" w:hAnsi="Times New Roman" w:cs="Times New Roman"/>
          <w:szCs w:val="24"/>
        </w:rPr>
        <w:t xml:space="preserve"> Work for LGBTQ +Equality” was received (Cambridge Associates, 2022a). LGBTQ stands for “l</w:t>
      </w:r>
      <w:r w:rsidRPr="00F92E75">
        <w:rPr>
          <w:rStyle w:val="hgkelc"/>
          <w:rFonts w:ascii="Times New Roman" w:hAnsi="Times New Roman" w:cs="Times New Roman"/>
          <w:szCs w:val="24"/>
        </w:rPr>
        <w:t xml:space="preserve">esbian, gay, bisexual, transgender, and questioning”. </w:t>
      </w:r>
      <w:r w:rsidRPr="00F92E75">
        <w:rPr>
          <w:rFonts w:ascii="Times New Roman" w:hAnsi="Times New Roman" w:cs="Times New Roman"/>
          <w:szCs w:val="24"/>
        </w:rPr>
        <w:t>In order to get the award, CA has to fulfill the requirements on non-discrimination policies across business entities; equitable benefits for LGBTQ+ workers and their families; supporting an inclusive culture; and corporate social responsibility. In addition, CA shared their first annual Diversity, Equity, and Inclusion Report in March 2022 (Cambridge Associates, 2022b). Cambridge Associates (2022c) states the key milestones in DEI of CA in the last two years. Establishing a global DEI Council, creating training resources to educate and empower community, hiring global head of diversity, equity and inclusion, helping advancing investments in under-represented managers and advocating for equity and justice in the community.</w:t>
      </w:r>
    </w:p>
    <w:p w14:paraId="763786B8" w14:textId="77777777" w:rsidR="00153829" w:rsidRPr="00F92E75" w:rsidRDefault="00153829" w:rsidP="00F92E75">
      <w:pPr>
        <w:widowControl/>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All these works and contributions indicate CA is dedicated to achieve corporate values.</w:t>
      </w:r>
    </w:p>
    <w:p w14:paraId="72C2CC92" w14:textId="6E3F2FFA" w:rsidR="00AA4D85" w:rsidRDefault="00AA4D85" w:rsidP="00F92E75">
      <w:pPr>
        <w:widowControl/>
        <w:snapToGrid w:val="0"/>
        <w:spacing w:before="100" w:beforeAutospacing="1" w:after="100" w:afterAutospacing="1" w:line="360" w:lineRule="auto"/>
        <w:rPr>
          <w:rFonts w:ascii="Times New Roman" w:hAnsi="Times New Roman" w:cs="Times New Roman"/>
          <w:szCs w:val="24"/>
        </w:rPr>
      </w:pPr>
    </w:p>
    <w:p w14:paraId="09207845" w14:textId="3DB298A7" w:rsidR="00861E7F" w:rsidRDefault="00861E7F" w:rsidP="00F92E75">
      <w:pPr>
        <w:widowControl/>
        <w:snapToGrid w:val="0"/>
        <w:spacing w:before="100" w:beforeAutospacing="1" w:after="100" w:afterAutospacing="1" w:line="360" w:lineRule="auto"/>
        <w:rPr>
          <w:rFonts w:ascii="Times New Roman" w:hAnsi="Times New Roman" w:cs="Times New Roman"/>
          <w:szCs w:val="24"/>
        </w:rPr>
      </w:pPr>
    </w:p>
    <w:p w14:paraId="0797113E" w14:textId="77777777" w:rsidR="00861E7F" w:rsidRDefault="00861E7F" w:rsidP="00F92E75">
      <w:pPr>
        <w:widowControl/>
        <w:snapToGrid w:val="0"/>
        <w:spacing w:before="100" w:beforeAutospacing="1" w:after="100" w:afterAutospacing="1" w:line="360" w:lineRule="auto"/>
        <w:rPr>
          <w:rFonts w:ascii="Times New Roman" w:hAnsi="Times New Roman" w:cs="Times New Roman" w:hint="eastAsia"/>
          <w:szCs w:val="24"/>
        </w:rPr>
      </w:pPr>
    </w:p>
    <w:p w14:paraId="4B382AA4" w14:textId="573A4DAD" w:rsidR="00153829" w:rsidRPr="00AA4D85" w:rsidRDefault="00F239A1" w:rsidP="00F92E75">
      <w:pPr>
        <w:widowControl/>
        <w:snapToGrid w:val="0"/>
        <w:spacing w:before="100" w:beforeAutospacing="1" w:after="100" w:afterAutospacing="1" w:line="360" w:lineRule="auto"/>
        <w:rPr>
          <w:rFonts w:ascii="Times New Roman" w:hAnsi="Times New Roman" w:cs="Times New Roman"/>
          <w:szCs w:val="24"/>
        </w:rPr>
      </w:pPr>
      <w:r w:rsidRPr="00AA4D85">
        <w:rPr>
          <w:rFonts w:ascii="Times New Roman" w:hAnsi="Times New Roman" w:cs="Times New Roman"/>
          <w:szCs w:val="24"/>
        </w:rPr>
        <w:t xml:space="preserve">3.3 </w:t>
      </w:r>
      <w:r w:rsidR="00153829" w:rsidRPr="00AA4D85">
        <w:rPr>
          <w:rFonts w:ascii="Times New Roman" w:hAnsi="Times New Roman" w:cs="Times New Roman"/>
          <w:szCs w:val="24"/>
        </w:rPr>
        <w:t>Marketing</w:t>
      </w:r>
    </w:p>
    <w:p w14:paraId="44C8C1B3"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Table 1 is the allocation of clients of CA and their respective regulatory asset under management (“AUM”) at the end of March 2022 (Investment Adviser Public Disclosure, 2022a).</w:t>
      </w:r>
    </w:p>
    <w:p w14:paraId="64BBCDFC" w14:textId="411E358E" w:rsidR="00153829" w:rsidRDefault="00FC4394" w:rsidP="00FC4394">
      <w:pPr>
        <w:tabs>
          <w:tab w:val="left" w:pos="1660"/>
        </w:tabs>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ab/>
      </w:r>
    </w:p>
    <w:tbl>
      <w:tblPr>
        <w:tblW w:w="9323" w:type="dxa"/>
        <w:jc w:val="center"/>
        <w:tblCellMar>
          <w:left w:w="28" w:type="dxa"/>
          <w:right w:w="28" w:type="dxa"/>
        </w:tblCellMar>
        <w:tblLook w:val="04A0" w:firstRow="1" w:lastRow="0" w:firstColumn="1" w:lastColumn="0" w:noHBand="0" w:noVBand="1"/>
      </w:tblPr>
      <w:tblGrid>
        <w:gridCol w:w="5240"/>
        <w:gridCol w:w="1418"/>
        <w:gridCol w:w="2665"/>
      </w:tblGrid>
      <w:tr w:rsidR="00153829" w:rsidRPr="00F92E75" w14:paraId="532AB43C" w14:textId="77777777" w:rsidTr="00BE0FF9">
        <w:trPr>
          <w:trHeight w:val="324"/>
          <w:jc w:val="center"/>
        </w:trPr>
        <w:tc>
          <w:tcPr>
            <w:tcW w:w="52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DA3436"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Types of Clients</w:t>
            </w:r>
          </w:p>
        </w:tc>
        <w:tc>
          <w:tcPr>
            <w:tcW w:w="1418" w:type="dxa"/>
            <w:tcBorders>
              <w:top w:val="single" w:sz="4" w:space="0" w:color="auto"/>
              <w:left w:val="nil"/>
              <w:bottom w:val="single" w:sz="4" w:space="0" w:color="auto"/>
              <w:right w:val="single" w:sz="4" w:space="0" w:color="auto"/>
            </w:tcBorders>
            <w:shd w:val="clear" w:color="auto" w:fill="auto"/>
            <w:vAlign w:val="center"/>
            <w:hideMark/>
          </w:tcPr>
          <w:p w14:paraId="3511B22A"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Number of Clients</w:t>
            </w:r>
          </w:p>
        </w:tc>
        <w:tc>
          <w:tcPr>
            <w:tcW w:w="2665" w:type="dxa"/>
            <w:tcBorders>
              <w:top w:val="single" w:sz="4" w:space="0" w:color="auto"/>
              <w:left w:val="nil"/>
              <w:bottom w:val="single" w:sz="4" w:space="0" w:color="auto"/>
              <w:right w:val="single" w:sz="4" w:space="0" w:color="auto"/>
            </w:tcBorders>
            <w:shd w:val="clear" w:color="auto" w:fill="auto"/>
            <w:vAlign w:val="center"/>
            <w:hideMark/>
          </w:tcPr>
          <w:p w14:paraId="02ECD818"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Asset Under Management</w:t>
            </w:r>
          </w:p>
        </w:tc>
      </w:tr>
      <w:tr w:rsidR="00153829" w:rsidRPr="00F92E75" w14:paraId="450C645B" w14:textId="77777777" w:rsidTr="00BE0FF9">
        <w:trPr>
          <w:trHeight w:val="3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28513F63"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High net worth individuals</w:t>
            </w:r>
          </w:p>
        </w:tc>
        <w:tc>
          <w:tcPr>
            <w:tcW w:w="1418" w:type="dxa"/>
            <w:tcBorders>
              <w:top w:val="nil"/>
              <w:left w:val="nil"/>
              <w:bottom w:val="single" w:sz="4" w:space="0" w:color="auto"/>
              <w:right w:val="single" w:sz="4" w:space="0" w:color="auto"/>
            </w:tcBorders>
            <w:shd w:val="clear" w:color="auto" w:fill="auto"/>
            <w:vAlign w:val="center"/>
            <w:hideMark/>
          </w:tcPr>
          <w:p w14:paraId="4FF97E6C"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188</w:t>
            </w:r>
          </w:p>
        </w:tc>
        <w:tc>
          <w:tcPr>
            <w:tcW w:w="2665" w:type="dxa"/>
            <w:tcBorders>
              <w:top w:val="nil"/>
              <w:left w:val="nil"/>
              <w:bottom w:val="single" w:sz="4" w:space="0" w:color="auto"/>
              <w:right w:val="single" w:sz="4" w:space="0" w:color="auto"/>
            </w:tcBorders>
            <w:shd w:val="clear" w:color="auto" w:fill="auto"/>
            <w:vAlign w:val="center"/>
            <w:hideMark/>
          </w:tcPr>
          <w:p w14:paraId="3173DDB0"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US$55,934,843,834 </w:t>
            </w:r>
          </w:p>
        </w:tc>
      </w:tr>
      <w:tr w:rsidR="00153829" w:rsidRPr="00F92E75" w14:paraId="69739459" w14:textId="77777777" w:rsidTr="00BE0FF9">
        <w:trPr>
          <w:trHeight w:val="6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0772D27A"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Pooled investment vehicles (other than investment companies and business development companies)</w:t>
            </w:r>
          </w:p>
        </w:tc>
        <w:tc>
          <w:tcPr>
            <w:tcW w:w="1418" w:type="dxa"/>
            <w:tcBorders>
              <w:top w:val="nil"/>
              <w:left w:val="nil"/>
              <w:bottom w:val="single" w:sz="4" w:space="0" w:color="auto"/>
              <w:right w:val="single" w:sz="4" w:space="0" w:color="auto"/>
            </w:tcBorders>
            <w:shd w:val="clear" w:color="auto" w:fill="auto"/>
            <w:vAlign w:val="center"/>
            <w:hideMark/>
          </w:tcPr>
          <w:p w14:paraId="5B013682"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15</w:t>
            </w:r>
          </w:p>
        </w:tc>
        <w:tc>
          <w:tcPr>
            <w:tcW w:w="2665" w:type="dxa"/>
            <w:tcBorders>
              <w:top w:val="nil"/>
              <w:left w:val="nil"/>
              <w:bottom w:val="single" w:sz="4" w:space="0" w:color="auto"/>
              <w:right w:val="single" w:sz="4" w:space="0" w:color="auto"/>
            </w:tcBorders>
            <w:shd w:val="clear" w:color="auto" w:fill="auto"/>
            <w:vAlign w:val="center"/>
            <w:hideMark/>
          </w:tcPr>
          <w:p w14:paraId="58950F2A"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US$380,439,860 </w:t>
            </w:r>
          </w:p>
        </w:tc>
      </w:tr>
      <w:tr w:rsidR="00153829" w:rsidRPr="00F92E75" w14:paraId="561B79A8" w14:textId="77777777" w:rsidTr="00BE0FF9">
        <w:trPr>
          <w:trHeight w:val="6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120F0F39"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Pension and profit-sharing plans (but not the plan participants or government pension plans)</w:t>
            </w:r>
          </w:p>
        </w:tc>
        <w:tc>
          <w:tcPr>
            <w:tcW w:w="1418" w:type="dxa"/>
            <w:tcBorders>
              <w:top w:val="nil"/>
              <w:left w:val="nil"/>
              <w:bottom w:val="single" w:sz="4" w:space="0" w:color="auto"/>
              <w:right w:val="single" w:sz="4" w:space="0" w:color="auto"/>
            </w:tcBorders>
            <w:shd w:val="clear" w:color="auto" w:fill="auto"/>
            <w:vAlign w:val="center"/>
            <w:hideMark/>
          </w:tcPr>
          <w:p w14:paraId="66C7BEF8"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31</w:t>
            </w:r>
          </w:p>
        </w:tc>
        <w:tc>
          <w:tcPr>
            <w:tcW w:w="2665" w:type="dxa"/>
            <w:tcBorders>
              <w:top w:val="nil"/>
              <w:left w:val="nil"/>
              <w:bottom w:val="single" w:sz="4" w:space="0" w:color="auto"/>
              <w:right w:val="single" w:sz="4" w:space="0" w:color="auto"/>
            </w:tcBorders>
            <w:shd w:val="clear" w:color="auto" w:fill="auto"/>
            <w:vAlign w:val="center"/>
            <w:hideMark/>
          </w:tcPr>
          <w:p w14:paraId="17F611F4"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US$49,028,727,556 </w:t>
            </w:r>
          </w:p>
        </w:tc>
      </w:tr>
      <w:tr w:rsidR="00153829" w:rsidRPr="00F92E75" w14:paraId="6DA18220" w14:textId="77777777" w:rsidTr="00BE0FF9">
        <w:trPr>
          <w:trHeight w:val="3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77170ED3"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Charitable organizations</w:t>
            </w:r>
          </w:p>
        </w:tc>
        <w:tc>
          <w:tcPr>
            <w:tcW w:w="1418" w:type="dxa"/>
            <w:tcBorders>
              <w:top w:val="nil"/>
              <w:left w:val="nil"/>
              <w:bottom w:val="single" w:sz="4" w:space="0" w:color="auto"/>
              <w:right w:val="single" w:sz="4" w:space="0" w:color="auto"/>
            </w:tcBorders>
            <w:shd w:val="clear" w:color="auto" w:fill="auto"/>
            <w:vAlign w:val="center"/>
            <w:hideMark/>
          </w:tcPr>
          <w:p w14:paraId="4AA0AAF7"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313</w:t>
            </w:r>
          </w:p>
        </w:tc>
        <w:tc>
          <w:tcPr>
            <w:tcW w:w="2665" w:type="dxa"/>
            <w:tcBorders>
              <w:top w:val="nil"/>
              <w:left w:val="nil"/>
              <w:bottom w:val="single" w:sz="4" w:space="0" w:color="auto"/>
              <w:right w:val="single" w:sz="4" w:space="0" w:color="auto"/>
            </w:tcBorders>
            <w:shd w:val="clear" w:color="auto" w:fill="auto"/>
            <w:vAlign w:val="center"/>
            <w:hideMark/>
          </w:tcPr>
          <w:p w14:paraId="10CB9861"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US$166,404,278,440 </w:t>
            </w:r>
          </w:p>
        </w:tc>
      </w:tr>
      <w:tr w:rsidR="00153829" w:rsidRPr="00F92E75" w14:paraId="42373A0B" w14:textId="77777777" w:rsidTr="00BE0FF9">
        <w:trPr>
          <w:trHeight w:val="3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6809EB00"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Corporations or other businesses not listed above</w:t>
            </w:r>
          </w:p>
        </w:tc>
        <w:tc>
          <w:tcPr>
            <w:tcW w:w="1418" w:type="dxa"/>
            <w:tcBorders>
              <w:top w:val="nil"/>
              <w:left w:val="nil"/>
              <w:bottom w:val="single" w:sz="4" w:space="0" w:color="auto"/>
              <w:right w:val="single" w:sz="4" w:space="0" w:color="auto"/>
            </w:tcBorders>
            <w:shd w:val="clear" w:color="auto" w:fill="auto"/>
            <w:vAlign w:val="center"/>
            <w:hideMark/>
          </w:tcPr>
          <w:p w14:paraId="5F89560F"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5</w:t>
            </w:r>
          </w:p>
        </w:tc>
        <w:tc>
          <w:tcPr>
            <w:tcW w:w="2665" w:type="dxa"/>
            <w:tcBorders>
              <w:top w:val="nil"/>
              <w:left w:val="nil"/>
              <w:bottom w:val="single" w:sz="4" w:space="0" w:color="auto"/>
              <w:right w:val="single" w:sz="4" w:space="0" w:color="auto"/>
            </w:tcBorders>
            <w:shd w:val="clear" w:color="auto" w:fill="auto"/>
            <w:vAlign w:val="center"/>
            <w:hideMark/>
          </w:tcPr>
          <w:p w14:paraId="32B76F57"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US$8,646,791,363 </w:t>
            </w:r>
          </w:p>
        </w:tc>
      </w:tr>
      <w:tr w:rsidR="00153829" w:rsidRPr="00F92E75" w14:paraId="5BB8017B" w14:textId="77777777" w:rsidTr="00BE0FF9">
        <w:trPr>
          <w:trHeight w:val="324"/>
          <w:jc w:val="center"/>
        </w:trPr>
        <w:tc>
          <w:tcPr>
            <w:tcW w:w="5240" w:type="dxa"/>
            <w:tcBorders>
              <w:top w:val="nil"/>
              <w:left w:val="single" w:sz="4" w:space="0" w:color="auto"/>
              <w:bottom w:val="single" w:sz="4" w:space="0" w:color="auto"/>
              <w:right w:val="single" w:sz="4" w:space="0" w:color="auto"/>
            </w:tcBorders>
            <w:shd w:val="clear" w:color="auto" w:fill="auto"/>
            <w:vAlign w:val="center"/>
            <w:hideMark/>
          </w:tcPr>
          <w:p w14:paraId="5BBA7EE0"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Other</w:t>
            </w:r>
          </w:p>
        </w:tc>
        <w:tc>
          <w:tcPr>
            <w:tcW w:w="1418" w:type="dxa"/>
            <w:tcBorders>
              <w:top w:val="nil"/>
              <w:left w:val="nil"/>
              <w:bottom w:val="single" w:sz="4" w:space="0" w:color="auto"/>
              <w:right w:val="single" w:sz="4" w:space="0" w:color="auto"/>
            </w:tcBorders>
            <w:shd w:val="clear" w:color="auto" w:fill="auto"/>
            <w:vAlign w:val="center"/>
            <w:hideMark/>
          </w:tcPr>
          <w:p w14:paraId="1CA25123"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16</w:t>
            </w:r>
          </w:p>
        </w:tc>
        <w:tc>
          <w:tcPr>
            <w:tcW w:w="2665" w:type="dxa"/>
            <w:tcBorders>
              <w:top w:val="nil"/>
              <w:left w:val="nil"/>
              <w:bottom w:val="single" w:sz="4" w:space="0" w:color="auto"/>
              <w:right w:val="single" w:sz="4" w:space="0" w:color="auto"/>
            </w:tcBorders>
            <w:shd w:val="clear" w:color="auto" w:fill="auto"/>
            <w:vAlign w:val="center"/>
            <w:hideMark/>
          </w:tcPr>
          <w:p w14:paraId="1A0F6590"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US$12,521,431,811 </w:t>
            </w:r>
          </w:p>
        </w:tc>
      </w:tr>
      <w:tr w:rsidR="00153829" w:rsidRPr="00F92E75" w14:paraId="75C1486A" w14:textId="77777777" w:rsidTr="00BE0FF9">
        <w:trPr>
          <w:trHeight w:val="324"/>
          <w:jc w:val="center"/>
        </w:trPr>
        <w:tc>
          <w:tcPr>
            <w:tcW w:w="5240" w:type="dxa"/>
            <w:tcBorders>
              <w:top w:val="nil"/>
              <w:left w:val="single" w:sz="4" w:space="0" w:color="auto"/>
              <w:bottom w:val="single" w:sz="4" w:space="0" w:color="auto"/>
              <w:right w:val="single" w:sz="4" w:space="0" w:color="auto"/>
            </w:tcBorders>
            <w:shd w:val="clear" w:color="auto" w:fill="auto"/>
            <w:noWrap/>
            <w:vAlign w:val="center"/>
            <w:hideMark/>
          </w:tcPr>
          <w:p w14:paraId="3D1DA00E"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Total</w:t>
            </w:r>
          </w:p>
        </w:tc>
        <w:tc>
          <w:tcPr>
            <w:tcW w:w="1418" w:type="dxa"/>
            <w:tcBorders>
              <w:top w:val="nil"/>
              <w:left w:val="nil"/>
              <w:bottom w:val="single" w:sz="4" w:space="0" w:color="auto"/>
              <w:right w:val="single" w:sz="4" w:space="0" w:color="auto"/>
            </w:tcBorders>
            <w:shd w:val="clear" w:color="auto" w:fill="auto"/>
            <w:noWrap/>
            <w:vAlign w:val="center"/>
            <w:hideMark/>
          </w:tcPr>
          <w:p w14:paraId="349200CB"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568</w:t>
            </w:r>
          </w:p>
        </w:tc>
        <w:tc>
          <w:tcPr>
            <w:tcW w:w="2665" w:type="dxa"/>
            <w:tcBorders>
              <w:top w:val="nil"/>
              <w:left w:val="nil"/>
              <w:bottom w:val="single" w:sz="4" w:space="0" w:color="auto"/>
              <w:right w:val="single" w:sz="4" w:space="0" w:color="auto"/>
            </w:tcBorders>
            <w:shd w:val="clear" w:color="auto" w:fill="auto"/>
            <w:noWrap/>
            <w:vAlign w:val="center"/>
            <w:hideMark/>
          </w:tcPr>
          <w:p w14:paraId="60353F11" w14:textId="77777777" w:rsidR="00153829" w:rsidRPr="00F92E75" w:rsidRDefault="00153829" w:rsidP="00F92E75">
            <w:pPr>
              <w:widowControl/>
              <w:snapToGrid w:val="0"/>
              <w:spacing w:before="100" w:beforeAutospacing="1" w:after="100" w:afterAutospacing="1" w:line="360" w:lineRule="auto"/>
              <w:jc w:val="right"/>
              <w:rPr>
                <w:rFonts w:ascii="Times New Roman" w:eastAsia="新細明體" w:hAnsi="Times New Roman" w:cs="Times New Roman"/>
                <w:kern w:val="0"/>
                <w:szCs w:val="24"/>
              </w:rPr>
            </w:pPr>
            <w:r w:rsidRPr="00F92E75">
              <w:rPr>
                <w:rFonts w:ascii="Times New Roman" w:eastAsia="新細明體" w:hAnsi="Times New Roman" w:cs="Times New Roman"/>
                <w:kern w:val="0"/>
                <w:szCs w:val="24"/>
              </w:rPr>
              <w:t xml:space="preserve">US$292,916,512,864 </w:t>
            </w:r>
          </w:p>
        </w:tc>
      </w:tr>
    </w:tbl>
    <w:p w14:paraId="1303F12A" w14:textId="77777777" w:rsidR="00153829" w:rsidRPr="00F92E75" w:rsidRDefault="00153829" w:rsidP="00F92E75">
      <w:pPr>
        <w:snapToGrid w:val="0"/>
        <w:spacing w:before="100" w:beforeAutospacing="1" w:after="100" w:afterAutospacing="1" w:line="360" w:lineRule="auto"/>
        <w:ind w:leftChars="-118" w:left="711" w:hangingChars="414" w:hanging="994"/>
        <w:rPr>
          <w:rFonts w:ascii="Times New Roman" w:hAnsi="Times New Roman" w:cs="Times New Roman"/>
          <w:szCs w:val="24"/>
        </w:rPr>
      </w:pPr>
      <w:r w:rsidRPr="00F92E75">
        <w:rPr>
          <w:rFonts w:ascii="Times New Roman" w:hAnsi="Times New Roman" w:cs="Times New Roman"/>
          <w:szCs w:val="24"/>
        </w:rPr>
        <w:t>Table 1: Types of clients of CA and their respective regulatory asset under management</w:t>
      </w:r>
    </w:p>
    <w:p w14:paraId="1947860B" w14:textId="77777777" w:rsidR="00153829" w:rsidRPr="00F92E75" w:rsidRDefault="00153829" w:rsidP="00F92E75">
      <w:pPr>
        <w:snapToGrid w:val="0"/>
        <w:spacing w:before="100" w:beforeAutospacing="1" w:after="100" w:afterAutospacing="1" w:line="360" w:lineRule="auto"/>
        <w:ind w:leftChars="236" w:left="566" w:firstLine="1"/>
        <w:rPr>
          <w:rFonts w:ascii="Times New Roman" w:hAnsi="Times New Roman" w:cs="Times New Roman"/>
          <w:szCs w:val="24"/>
        </w:rPr>
      </w:pPr>
      <w:r w:rsidRPr="00F92E75">
        <w:rPr>
          <w:rFonts w:ascii="Times New Roman" w:hAnsi="Times New Roman" w:cs="Times New Roman"/>
          <w:szCs w:val="24"/>
        </w:rPr>
        <w:t>(Investment Adviser Public Disclosure, 2022).</w:t>
      </w:r>
    </w:p>
    <w:p w14:paraId="31879FCB" w14:textId="040AD45E" w:rsidR="00153829"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The largest segment of CA’s clients is charitable organizations which is 55.1% of all clients of CA with 56.8% of total AUM, the second largest segment is high net worth individuals who makes 33.1% total number of clients of CA with 19.1% of total AUM. Although only 5.5% of CA’s clients are pensions and profit-sharing plans, they contribute 16.7% of total AUM. The three major types of clients of CA already take up 93.7% of total number of clients and 92.6% of total AUM. </w:t>
      </w:r>
      <w:proofErr w:type="gramStart"/>
      <w:r w:rsidRPr="00F92E75">
        <w:rPr>
          <w:rFonts w:ascii="Times New Roman" w:hAnsi="Times New Roman" w:cs="Times New Roman"/>
          <w:szCs w:val="24"/>
        </w:rPr>
        <w:t>Therefore</w:t>
      </w:r>
      <w:proofErr w:type="gramEnd"/>
      <w:r w:rsidRPr="00F92E75">
        <w:rPr>
          <w:rFonts w:ascii="Times New Roman" w:hAnsi="Times New Roman" w:cs="Times New Roman"/>
          <w:szCs w:val="24"/>
        </w:rPr>
        <w:t xml:space="preserve"> marketing strategies should be focused on these three main types of clients. However, CA has only several hundred clients and mass marketing strategies may not be suitable for CA. </w:t>
      </w:r>
    </w:p>
    <w:p w14:paraId="2E81DBA3" w14:textId="77777777" w:rsidR="00861E7F" w:rsidRPr="00F92E75" w:rsidRDefault="00861E7F" w:rsidP="00F92E75">
      <w:pPr>
        <w:snapToGrid w:val="0"/>
        <w:spacing w:before="100" w:beforeAutospacing="1" w:after="100" w:afterAutospacing="1" w:line="360" w:lineRule="auto"/>
        <w:rPr>
          <w:rFonts w:ascii="Times New Roman" w:hAnsi="Times New Roman" w:cs="Times New Roman"/>
          <w:szCs w:val="24"/>
        </w:rPr>
      </w:pPr>
    </w:p>
    <w:p w14:paraId="3B0A06DD" w14:textId="1F233705" w:rsidR="00153829" w:rsidRPr="00F92E75" w:rsidRDefault="00F239A1" w:rsidP="00F92E75">
      <w:pPr>
        <w:snapToGrid w:val="0"/>
        <w:spacing w:before="100" w:beforeAutospacing="1" w:after="100" w:afterAutospacing="1" w:line="360" w:lineRule="auto"/>
        <w:rPr>
          <w:rFonts w:ascii="Times New Roman" w:hAnsi="Times New Roman" w:cs="Times New Roman"/>
          <w:szCs w:val="24"/>
        </w:rPr>
      </w:pPr>
      <w:r w:rsidRPr="00F239A1">
        <w:rPr>
          <w:rFonts w:ascii="Times New Roman" w:hAnsi="Times New Roman" w:cs="Times New Roman"/>
          <w:szCs w:val="24"/>
        </w:rPr>
        <w:t xml:space="preserve">3.3.1 </w:t>
      </w:r>
      <w:r w:rsidR="00153829" w:rsidRPr="00F239A1">
        <w:rPr>
          <w:rFonts w:ascii="Times New Roman" w:hAnsi="Times New Roman" w:cs="Times New Roman"/>
          <w:szCs w:val="24"/>
        </w:rPr>
        <w:t>Marketing and servicing strategies for organizations</w:t>
      </w:r>
    </w:p>
    <w:p w14:paraId="0AB61724"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kern w:val="0"/>
          <w:szCs w:val="24"/>
        </w:rPr>
      </w:pPr>
      <w:r w:rsidRPr="00F92E75">
        <w:rPr>
          <w:rFonts w:ascii="Times New Roman" w:hAnsi="Times New Roman" w:cs="Times New Roman"/>
          <w:szCs w:val="24"/>
        </w:rPr>
        <w:t xml:space="preserve">On the other hand, CA emphasizes history and data as their core advantages in helping clients achieve investment performance. Cambridge Associates (no date e) quotes that the company has </w:t>
      </w:r>
      <w:r w:rsidRPr="00F92E75">
        <w:rPr>
          <w:rFonts w:ascii="Times New Roman" w:eastAsia="Times New Roman" w:hAnsi="Times New Roman" w:cs="Times New Roman"/>
          <w:kern w:val="0"/>
          <w:szCs w:val="24"/>
        </w:rPr>
        <w:t xml:space="preserve">49 years as an independent and global investment firm, 95% average client retention annual rate for five years ending 31 December 2021 and more than 550 endowment and foundation clients. CA emphasizes their understanding of challenges that non-profit organizations face in their investment and they can customize investment portfolios for the clients so as to meet their </w:t>
      </w:r>
      <w:proofErr w:type="gramStart"/>
      <w:r w:rsidRPr="00F92E75">
        <w:rPr>
          <w:rFonts w:ascii="Times New Roman" w:eastAsia="Times New Roman" w:hAnsi="Times New Roman" w:cs="Times New Roman"/>
          <w:kern w:val="0"/>
          <w:szCs w:val="24"/>
        </w:rPr>
        <w:t>long term</w:t>
      </w:r>
      <w:proofErr w:type="gramEnd"/>
      <w:r w:rsidRPr="00F92E75">
        <w:rPr>
          <w:rFonts w:ascii="Times New Roman" w:eastAsia="Times New Roman" w:hAnsi="Times New Roman" w:cs="Times New Roman"/>
          <w:kern w:val="0"/>
          <w:szCs w:val="24"/>
        </w:rPr>
        <w:t xml:space="preserve"> investment objectives, risk tolerances, liquidity needs and other considerations. </w:t>
      </w:r>
      <w:r w:rsidRPr="00F92E75">
        <w:rPr>
          <w:rFonts w:ascii="Times New Roman" w:hAnsi="Times New Roman" w:cs="Times New Roman"/>
          <w:kern w:val="0"/>
          <w:szCs w:val="24"/>
        </w:rPr>
        <w:t xml:space="preserve">The numbers and tailor-made investment approaches are strong supports to clients and potential clients on CA’s future performance. </w:t>
      </w:r>
    </w:p>
    <w:p w14:paraId="06A2852A" w14:textId="49CDF431" w:rsidR="00153829" w:rsidRPr="00201E81" w:rsidRDefault="00201E81" w:rsidP="00201E81">
      <w:pPr>
        <w:snapToGrid w:val="0"/>
        <w:spacing w:before="100" w:beforeAutospacing="1" w:after="100" w:afterAutospacing="1" w:line="360" w:lineRule="auto"/>
        <w:rPr>
          <w:rFonts w:ascii="Times New Roman" w:hAnsi="Times New Roman" w:cs="Times New Roman"/>
          <w:kern w:val="0"/>
          <w:szCs w:val="24"/>
        </w:rPr>
      </w:pPr>
      <w:r>
        <w:rPr>
          <w:rFonts w:ascii="Times New Roman" w:hAnsi="Times New Roman" w:cs="Times New Roman"/>
          <w:kern w:val="0"/>
          <w:szCs w:val="24"/>
        </w:rPr>
        <w:t xml:space="preserve">3.3.1a </w:t>
      </w:r>
      <w:r w:rsidR="00153829" w:rsidRPr="00201E81">
        <w:rPr>
          <w:rFonts w:ascii="Times New Roman" w:hAnsi="Times New Roman" w:cs="Times New Roman"/>
          <w:kern w:val="0"/>
          <w:szCs w:val="24"/>
        </w:rPr>
        <w:t>Online Governance Quiz</w:t>
      </w:r>
    </w:p>
    <w:p w14:paraId="23DB61DE"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kern w:val="0"/>
          <w:szCs w:val="24"/>
        </w:rPr>
      </w:pPr>
      <w:r w:rsidRPr="00F92E75">
        <w:rPr>
          <w:rFonts w:ascii="Times New Roman" w:hAnsi="Times New Roman" w:cs="Times New Roman"/>
          <w:kern w:val="0"/>
          <w:szCs w:val="24"/>
        </w:rPr>
        <w:t>CA provides an online governance quiz for potential clients to obtain a preliminary assessment and suggestion on the investment management model (</w:t>
      </w:r>
      <w:r w:rsidRPr="00F92E75">
        <w:rPr>
          <w:rFonts w:ascii="Times New Roman" w:hAnsi="Times New Roman" w:cs="Times New Roman"/>
          <w:szCs w:val="24"/>
        </w:rPr>
        <w:t>Cambridge Associates, no date f)</w:t>
      </w:r>
      <w:r w:rsidRPr="00F92E75">
        <w:rPr>
          <w:rFonts w:ascii="Times New Roman" w:hAnsi="Times New Roman" w:cs="Times New Roman"/>
          <w:kern w:val="0"/>
          <w:szCs w:val="24"/>
        </w:rPr>
        <w:t xml:space="preserve">, which is simple and professional, CA then can follow up with any interested parties. The quiz </w:t>
      </w:r>
      <w:proofErr w:type="gramStart"/>
      <w:r w:rsidRPr="00F92E75">
        <w:rPr>
          <w:rFonts w:ascii="Times New Roman" w:hAnsi="Times New Roman" w:cs="Times New Roman"/>
          <w:kern w:val="0"/>
          <w:szCs w:val="24"/>
        </w:rPr>
        <w:t>assess</w:t>
      </w:r>
      <w:proofErr w:type="gramEnd"/>
      <w:r w:rsidRPr="00F92E75">
        <w:rPr>
          <w:rFonts w:ascii="Times New Roman" w:hAnsi="Times New Roman" w:cs="Times New Roman"/>
          <w:kern w:val="0"/>
          <w:szCs w:val="24"/>
        </w:rPr>
        <w:t xml:space="preserve"> the portfolio, the investment committee and the investment management team of the potential clients. There are ten questions in the quiz as follows.</w:t>
      </w:r>
    </w:p>
    <w:p w14:paraId="324651AC" w14:textId="77777777" w:rsidR="00153829" w:rsidRPr="00F92E75" w:rsidRDefault="00153829" w:rsidP="00F92E75">
      <w:pPr>
        <w:pStyle w:val="a3"/>
        <w:numPr>
          <w:ilvl w:val="0"/>
          <w:numId w:val="12"/>
        </w:numPr>
        <w:snapToGrid w:val="0"/>
        <w:spacing w:before="100" w:beforeAutospacing="1" w:after="100" w:afterAutospacing="1" w:line="360" w:lineRule="auto"/>
        <w:ind w:leftChars="0"/>
        <w:rPr>
          <w:rFonts w:ascii="Times New Roman" w:hAnsi="Times New Roman" w:cs="Times New Roman"/>
          <w:kern w:val="0"/>
          <w:szCs w:val="24"/>
        </w:rPr>
      </w:pPr>
      <w:r w:rsidRPr="00F92E75">
        <w:rPr>
          <w:rFonts w:ascii="Times New Roman" w:hAnsi="Times New Roman" w:cs="Times New Roman"/>
          <w:szCs w:val="24"/>
        </w:rPr>
        <w:t>What’s the asset size of your endowment portfolio?</w:t>
      </w:r>
    </w:p>
    <w:p w14:paraId="4EB80D06" w14:textId="77777777" w:rsidR="00153829" w:rsidRPr="00F92E75" w:rsidRDefault="00153829" w:rsidP="00F92E75">
      <w:pPr>
        <w:pStyle w:val="a3"/>
        <w:widowControl/>
        <w:numPr>
          <w:ilvl w:val="0"/>
          <w:numId w:val="13"/>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Under $100 million</w:t>
      </w:r>
    </w:p>
    <w:p w14:paraId="05D87B58" w14:textId="77777777" w:rsidR="00153829" w:rsidRPr="00F92E75" w:rsidRDefault="00153829" w:rsidP="00F92E75">
      <w:pPr>
        <w:pStyle w:val="a3"/>
        <w:widowControl/>
        <w:numPr>
          <w:ilvl w:val="0"/>
          <w:numId w:val="13"/>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$100 million - $250 million</w:t>
      </w:r>
    </w:p>
    <w:p w14:paraId="5D00A27A" w14:textId="77777777" w:rsidR="00153829" w:rsidRPr="00F92E75" w:rsidRDefault="00153829" w:rsidP="00F92E75">
      <w:pPr>
        <w:pStyle w:val="a3"/>
        <w:widowControl/>
        <w:numPr>
          <w:ilvl w:val="0"/>
          <w:numId w:val="13"/>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Over $250 million - $1 billion</w:t>
      </w:r>
    </w:p>
    <w:p w14:paraId="7C661568" w14:textId="77777777" w:rsidR="00153829" w:rsidRPr="00F92E75" w:rsidRDefault="00153829" w:rsidP="00F92E75">
      <w:pPr>
        <w:pStyle w:val="a3"/>
        <w:widowControl/>
        <w:numPr>
          <w:ilvl w:val="0"/>
          <w:numId w:val="13"/>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Over $1 billion</w:t>
      </w:r>
    </w:p>
    <w:p w14:paraId="735036FB"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How much of your public equity portfolio is actively managed?</w:t>
      </w:r>
    </w:p>
    <w:p w14:paraId="675A334B" w14:textId="77777777" w:rsidR="00153829" w:rsidRPr="00F92E75" w:rsidRDefault="00153829" w:rsidP="00F92E75">
      <w:pPr>
        <w:pStyle w:val="a3"/>
        <w:widowControl/>
        <w:numPr>
          <w:ilvl w:val="0"/>
          <w:numId w:val="14"/>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Less than 10%</w:t>
      </w:r>
    </w:p>
    <w:p w14:paraId="0A6EA4AF" w14:textId="77777777" w:rsidR="00153829" w:rsidRPr="00F92E75" w:rsidRDefault="00153829" w:rsidP="00F92E75">
      <w:pPr>
        <w:pStyle w:val="a3"/>
        <w:widowControl/>
        <w:numPr>
          <w:ilvl w:val="0"/>
          <w:numId w:val="14"/>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10% - 50%</w:t>
      </w:r>
    </w:p>
    <w:p w14:paraId="51B07848" w14:textId="77777777" w:rsidR="00153829" w:rsidRPr="00F92E75" w:rsidRDefault="00153829" w:rsidP="00F92E75">
      <w:pPr>
        <w:pStyle w:val="a3"/>
        <w:widowControl/>
        <w:numPr>
          <w:ilvl w:val="0"/>
          <w:numId w:val="14"/>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Greater than 50%</w:t>
      </w:r>
    </w:p>
    <w:p w14:paraId="7A035086"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lastRenderedPageBreak/>
        <w:t xml:space="preserve">How much of your portfolio is invested in alternative assets (e.g., private investments and hedge </w:t>
      </w:r>
      <w:proofErr w:type="gramStart"/>
      <w:r w:rsidRPr="00F92E75">
        <w:rPr>
          <w:rFonts w:ascii="Times New Roman" w:eastAsia="Times New Roman" w:hAnsi="Times New Roman" w:cs="Times New Roman"/>
          <w:kern w:val="0"/>
          <w:szCs w:val="24"/>
        </w:rPr>
        <w:t>funds.</w:t>
      </w:r>
      <w:proofErr w:type="gramEnd"/>
      <w:r w:rsidRPr="00F92E75">
        <w:rPr>
          <w:rFonts w:ascii="Times New Roman" w:eastAsia="Times New Roman" w:hAnsi="Times New Roman" w:cs="Times New Roman"/>
          <w:kern w:val="0"/>
          <w:szCs w:val="24"/>
        </w:rPr>
        <w:t xml:space="preserve"> Please use alternative asset target rather than current NAV.)?</w:t>
      </w:r>
    </w:p>
    <w:p w14:paraId="6C3513DF" w14:textId="77777777" w:rsidR="00153829" w:rsidRPr="00F92E75" w:rsidRDefault="00153829" w:rsidP="00F92E75">
      <w:pPr>
        <w:pStyle w:val="a3"/>
        <w:widowControl/>
        <w:numPr>
          <w:ilvl w:val="0"/>
          <w:numId w:val="15"/>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Less than 10%</w:t>
      </w:r>
    </w:p>
    <w:p w14:paraId="4B484121" w14:textId="77777777" w:rsidR="00153829" w:rsidRPr="00F92E75" w:rsidRDefault="00153829" w:rsidP="00F92E75">
      <w:pPr>
        <w:pStyle w:val="a3"/>
        <w:widowControl/>
        <w:numPr>
          <w:ilvl w:val="0"/>
          <w:numId w:val="15"/>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10% - 40%</w:t>
      </w:r>
    </w:p>
    <w:p w14:paraId="2DF77737" w14:textId="77777777" w:rsidR="00153829" w:rsidRPr="00F92E75" w:rsidRDefault="00153829" w:rsidP="00F92E75">
      <w:pPr>
        <w:pStyle w:val="a3"/>
        <w:widowControl/>
        <w:numPr>
          <w:ilvl w:val="0"/>
          <w:numId w:val="15"/>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 xml:space="preserve">Greater than 40% </w:t>
      </w:r>
    </w:p>
    <w:p w14:paraId="09A545DC"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spacing w:val="-2"/>
          <w:kern w:val="0"/>
          <w:szCs w:val="24"/>
        </w:rPr>
        <w:t>How many members of your investment committee have institutional investment expertise?</w:t>
      </w:r>
    </w:p>
    <w:p w14:paraId="2475CA56" w14:textId="77777777" w:rsidR="00153829" w:rsidRPr="00F92E75" w:rsidRDefault="00153829" w:rsidP="00F92E75">
      <w:pPr>
        <w:pStyle w:val="a3"/>
        <w:widowControl/>
        <w:numPr>
          <w:ilvl w:val="0"/>
          <w:numId w:val="16"/>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Few</w:t>
      </w:r>
    </w:p>
    <w:p w14:paraId="55E00EAC" w14:textId="77777777" w:rsidR="00153829" w:rsidRPr="00F92E75" w:rsidRDefault="00153829" w:rsidP="00F92E75">
      <w:pPr>
        <w:pStyle w:val="a3"/>
        <w:widowControl/>
        <w:numPr>
          <w:ilvl w:val="0"/>
          <w:numId w:val="16"/>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Some</w:t>
      </w:r>
    </w:p>
    <w:p w14:paraId="0F9FB6A0" w14:textId="77777777" w:rsidR="00153829" w:rsidRPr="00F92E75" w:rsidRDefault="00153829" w:rsidP="00F92E75">
      <w:pPr>
        <w:pStyle w:val="a3"/>
        <w:widowControl/>
        <w:numPr>
          <w:ilvl w:val="0"/>
          <w:numId w:val="16"/>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Most</w:t>
      </w:r>
    </w:p>
    <w:p w14:paraId="7D2DDF4E"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spacing w:val="-2"/>
          <w:kern w:val="0"/>
          <w:szCs w:val="24"/>
        </w:rPr>
        <w:t>Describe the attendance profile of your committee meetings</w:t>
      </w:r>
    </w:p>
    <w:p w14:paraId="63DCA29A" w14:textId="77777777" w:rsidR="00153829" w:rsidRPr="00F92E75" w:rsidRDefault="00153829" w:rsidP="00F92E75">
      <w:pPr>
        <w:pStyle w:val="a3"/>
        <w:widowControl/>
        <w:numPr>
          <w:ilvl w:val="0"/>
          <w:numId w:val="17"/>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Low (It is difficult to assemble the group; members often miss meetings)</w:t>
      </w:r>
    </w:p>
    <w:p w14:paraId="2256E41C" w14:textId="77777777" w:rsidR="00153829" w:rsidRPr="00F92E75" w:rsidRDefault="00153829" w:rsidP="00F92E75">
      <w:pPr>
        <w:pStyle w:val="a3"/>
        <w:widowControl/>
        <w:numPr>
          <w:ilvl w:val="0"/>
          <w:numId w:val="17"/>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Medium (It is challenging to assemble the group but we achieve a quorum)</w:t>
      </w:r>
    </w:p>
    <w:p w14:paraId="7A79CACE" w14:textId="77777777" w:rsidR="00153829" w:rsidRPr="00F92E75" w:rsidRDefault="00153829" w:rsidP="00F92E75">
      <w:pPr>
        <w:pStyle w:val="a3"/>
        <w:widowControl/>
        <w:numPr>
          <w:ilvl w:val="0"/>
          <w:numId w:val="17"/>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High (Most committee members attend most meetings)</w:t>
      </w:r>
    </w:p>
    <w:p w14:paraId="2D66295D"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 xml:space="preserve">Is additional committee work required outside of normal quarterly meetings in order to make decisions? </w:t>
      </w:r>
    </w:p>
    <w:p w14:paraId="434D973F" w14:textId="77777777" w:rsidR="00153829" w:rsidRPr="00F92E75" w:rsidRDefault="00153829" w:rsidP="00F92E75">
      <w:pPr>
        <w:pStyle w:val="a3"/>
        <w:widowControl/>
        <w:numPr>
          <w:ilvl w:val="0"/>
          <w:numId w:val="18"/>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Frequently</w:t>
      </w:r>
    </w:p>
    <w:p w14:paraId="12B02A26" w14:textId="77777777" w:rsidR="00153829" w:rsidRPr="00F92E75" w:rsidRDefault="00153829" w:rsidP="00F92E75">
      <w:pPr>
        <w:pStyle w:val="a3"/>
        <w:widowControl/>
        <w:numPr>
          <w:ilvl w:val="0"/>
          <w:numId w:val="18"/>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Sometimes</w:t>
      </w:r>
    </w:p>
    <w:p w14:paraId="0B4DBA9E" w14:textId="77777777" w:rsidR="00153829" w:rsidRPr="00F92E75" w:rsidRDefault="00153829" w:rsidP="00F92E75">
      <w:pPr>
        <w:pStyle w:val="a3"/>
        <w:widowControl/>
        <w:numPr>
          <w:ilvl w:val="0"/>
          <w:numId w:val="18"/>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Never</w:t>
      </w:r>
    </w:p>
    <w:p w14:paraId="3FFCE576"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spacing w:val="-2"/>
          <w:kern w:val="0"/>
          <w:szCs w:val="24"/>
        </w:rPr>
        <w:t>How would you rate the efficiency of your decision-making process?</w:t>
      </w:r>
    </w:p>
    <w:p w14:paraId="63FBC432" w14:textId="77777777" w:rsidR="00153829" w:rsidRPr="00F92E75" w:rsidRDefault="00153829" w:rsidP="00F92E75">
      <w:pPr>
        <w:pStyle w:val="a3"/>
        <w:widowControl/>
        <w:numPr>
          <w:ilvl w:val="0"/>
          <w:numId w:val="19"/>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Medium (Eventually arrive at decisions; some members feel unsatisfied with result)</w:t>
      </w:r>
    </w:p>
    <w:p w14:paraId="4CA29452" w14:textId="77777777" w:rsidR="00153829" w:rsidRPr="00F92E75" w:rsidRDefault="00153829" w:rsidP="00F92E75">
      <w:pPr>
        <w:pStyle w:val="a3"/>
        <w:widowControl/>
        <w:numPr>
          <w:ilvl w:val="0"/>
          <w:numId w:val="19"/>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High (Easily arrive at decisions; productive discussions ensure all members feel heard)</w:t>
      </w:r>
    </w:p>
    <w:p w14:paraId="1420E5AF" w14:textId="77777777" w:rsidR="00153829" w:rsidRPr="00F92E75" w:rsidRDefault="00153829" w:rsidP="00F92E75">
      <w:pPr>
        <w:pStyle w:val="a3"/>
        <w:widowControl/>
        <w:numPr>
          <w:ilvl w:val="0"/>
          <w:numId w:val="19"/>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Low (Difficult to arrive at a decision; some members have disproportionate voices)</w:t>
      </w:r>
    </w:p>
    <w:p w14:paraId="4D182086"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spacing w:val="-2"/>
          <w:kern w:val="0"/>
          <w:szCs w:val="24"/>
        </w:rPr>
        <w:lastRenderedPageBreak/>
        <w:t>How do you and your Investment Committee envision spending your time and expertise?</w:t>
      </w:r>
    </w:p>
    <w:p w14:paraId="31A48621" w14:textId="77777777" w:rsidR="00153829" w:rsidRPr="00F92E75" w:rsidRDefault="00153829" w:rsidP="00F92E75">
      <w:pPr>
        <w:pStyle w:val="a3"/>
        <w:widowControl/>
        <w:numPr>
          <w:ilvl w:val="0"/>
          <w:numId w:val="20"/>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Focus on Managers (Meet with managers, make all hiring/firing decisions, and set investment policy)</w:t>
      </w:r>
    </w:p>
    <w:p w14:paraId="0FBA647A" w14:textId="77777777" w:rsidR="00153829" w:rsidRPr="00F92E75" w:rsidRDefault="00153829" w:rsidP="00F92E75">
      <w:pPr>
        <w:pStyle w:val="a3"/>
        <w:widowControl/>
        <w:numPr>
          <w:ilvl w:val="0"/>
          <w:numId w:val="20"/>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Hybrid (Meet select managers, maintain decision-making on manager hiring/firing, and set investment policy)</w:t>
      </w:r>
    </w:p>
    <w:p w14:paraId="7CAD508B" w14:textId="77777777" w:rsidR="00153829" w:rsidRPr="00F92E75" w:rsidRDefault="00153829" w:rsidP="00F92E75">
      <w:pPr>
        <w:pStyle w:val="a3"/>
        <w:widowControl/>
        <w:numPr>
          <w:ilvl w:val="0"/>
          <w:numId w:val="20"/>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Focus on Oversight (Set investment policy, oversee management and results, delegate day-to-day investment decisions)</w:t>
      </w:r>
    </w:p>
    <w:p w14:paraId="1FF7D57E"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How much time do staff members* spend on investment operations? (*Those not dedicated to investments, who work to complete subscriptions, redemptions, investment accounting, etc.)</w:t>
      </w:r>
    </w:p>
    <w:p w14:paraId="01C5F2F5" w14:textId="77777777" w:rsidR="00153829" w:rsidRPr="00F92E75" w:rsidRDefault="00153829" w:rsidP="00F92E75">
      <w:pPr>
        <w:pStyle w:val="a3"/>
        <w:widowControl/>
        <w:numPr>
          <w:ilvl w:val="0"/>
          <w:numId w:val="21"/>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Requires significant time (10+ hours per week)</w:t>
      </w:r>
    </w:p>
    <w:p w14:paraId="22064C9D" w14:textId="77777777" w:rsidR="00153829" w:rsidRPr="00F92E75" w:rsidRDefault="00153829" w:rsidP="00F92E75">
      <w:pPr>
        <w:pStyle w:val="a3"/>
        <w:widowControl/>
        <w:numPr>
          <w:ilvl w:val="0"/>
          <w:numId w:val="21"/>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Requires some time (5-9 hours per week)</w:t>
      </w:r>
    </w:p>
    <w:p w14:paraId="66B5F1EF" w14:textId="77777777" w:rsidR="00153829" w:rsidRPr="00F92E75" w:rsidRDefault="00153829" w:rsidP="00F92E75">
      <w:pPr>
        <w:pStyle w:val="a3"/>
        <w:widowControl/>
        <w:numPr>
          <w:ilvl w:val="0"/>
          <w:numId w:val="21"/>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 xml:space="preserve">Requires little time (less than 5 hours per week) </w:t>
      </w:r>
    </w:p>
    <w:p w14:paraId="6D0F58EE" w14:textId="77777777" w:rsidR="00153829" w:rsidRPr="00F92E75" w:rsidRDefault="00153829" w:rsidP="00F92E75">
      <w:pPr>
        <w:pStyle w:val="a3"/>
        <w:widowControl/>
        <w:numPr>
          <w:ilvl w:val="0"/>
          <w:numId w:val="1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How many of your institutional staff members are dedicated primarily to investments?</w:t>
      </w:r>
    </w:p>
    <w:p w14:paraId="00D38D03" w14:textId="77777777" w:rsidR="00153829" w:rsidRPr="00F92E75" w:rsidRDefault="00153829" w:rsidP="00F92E75">
      <w:pPr>
        <w:pStyle w:val="a3"/>
        <w:widowControl/>
        <w:numPr>
          <w:ilvl w:val="0"/>
          <w:numId w:val="2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0</w:t>
      </w:r>
    </w:p>
    <w:p w14:paraId="4ED56AF4" w14:textId="77777777" w:rsidR="00153829" w:rsidRPr="00F92E75" w:rsidRDefault="00153829" w:rsidP="00F92E75">
      <w:pPr>
        <w:pStyle w:val="a3"/>
        <w:widowControl/>
        <w:numPr>
          <w:ilvl w:val="0"/>
          <w:numId w:val="2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1-2</w:t>
      </w:r>
    </w:p>
    <w:p w14:paraId="6C74FBB0" w14:textId="77777777" w:rsidR="00153829" w:rsidRPr="00F92E75" w:rsidRDefault="00153829" w:rsidP="00F92E75">
      <w:pPr>
        <w:pStyle w:val="a3"/>
        <w:widowControl/>
        <w:numPr>
          <w:ilvl w:val="0"/>
          <w:numId w:val="22"/>
        </w:numPr>
        <w:snapToGrid w:val="0"/>
        <w:spacing w:before="100" w:beforeAutospacing="1" w:after="100" w:afterAutospacing="1" w:line="360" w:lineRule="auto"/>
        <w:ind w:leftChars="0"/>
        <w:rPr>
          <w:rFonts w:ascii="Times New Roman" w:eastAsia="Times New Roman" w:hAnsi="Times New Roman" w:cs="Times New Roman"/>
          <w:kern w:val="0"/>
          <w:szCs w:val="24"/>
        </w:rPr>
      </w:pPr>
      <w:r w:rsidRPr="00F92E75">
        <w:rPr>
          <w:rFonts w:ascii="Times New Roman" w:eastAsia="Times New Roman" w:hAnsi="Times New Roman" w:cs="Times New Roman"/>
          <w:kern w:val="0"/>
          <w:szCs w:val="24"/>
        </w:rPr>
        <w:t>2+</w:t>
      </w:r>
    </w:p>
    <w:p w14:paraId="5EE88D91" w14:textId="77777777" w:rsidR="00153829" w:rsidRPr="00F92E75" w:rsidRDefault="00153829" w:rsidP="00F92E75">
      <w:pPr>
        <w:widowControl/>
        <w:snapToGrid w:val="0"/>
        <w:spacing w:before="100" w:beforeAutospacing="1" w:after="100" w:afterAutospacing="1" w:line="360" w:lineRule="auto"/>
        <w:rPr>
          <w:rFonts w:ascii="Times New Roman" w:eastAsia="Times New Roman" w:hAnsi="Times New Roman" w:cs="Times New Roman"/>
          <w:kern w:val="0"/>
          <w:szCs w:val="24"/>
        </w:rPr>
      </w:pPr>
      <w:r w:rsidRPr="00F92E75">
        <w:rPr>
          <w:rFonts w:ascii="Times New Roman" w:eastAsia="Times New Roman" w:hAnsi="Times New Roman" w:cs="Times New Roman"/>
          <w:color w:val="313131"/>
          <w:kern w:val="0"/>
          <w:szCs w:val="24"/>
        </w:rPr>
        <w:t>After answering these questions, a score from 10 to 50 will appear, the scores are divided into four groups, 10 to 18, 19 to 27, 28 to 36 and 37 to 50. If a score of 10 to 18 is obtained, the suggestion will be “Maintain Discretion”. If the score is 37 to 50, the suggestion will be “Consider Outsourced Chief Investment Officer”. If 19 to 27 or 28 to 36, the sug</w:t>
      </w:r>
      <w:r w:rsidRPr="00F92E75">
        <w:rPr>
          <w:rFonts w:ascii="Times New Roman" w:eastAsia="Times New Roman" w:hAnsi="Times New Roman" w:cs="Times New Roman"/>
          <w:kern w:val="0"/>
          <w:szCs w:val="24"/>
        </w:rPr>
        <w:t>gestion will be within the two extremes.</w:t>
      </w:r>
    </w:p>
    <w:p w14:paraId="1A8BCC9E" w14:textId="3408838D" w:rsidR="00153829" w:rsidRPr="00201E81" w:rsidRDefault="00201E81" w:rsidP="00201E81">
      <w:pPr>
        <w:widowControl/>
        <w:snapToGrid w:val="0"/>
        <w:spacing w:before="100" w:beforeAutospacing="1" w:after="100" w:afterAutospacing="1" w:line="360" w:lineRule="auto"/>
        <w:rPr>
          <w:rFonts w:ascii="Times New Roman" w:hAnsi="Times New Roman" w:cs="Times New Roman"/>
          <w:kern w:val="0"/>
          <w:szCs w:val="24"/>
        </w:rPr>
      </w:pPr>
      <w:r>
        <w:rPr>
          <w:rFonts w:ascii="Times New Roman" w:hAnsi="Times New Roman" w:cs="Times New Roman"/>
          <w:kern w:val="0"/>
          <w:szCs w:val="24"/>
        </w:rPr>
        <w:t xml:space="preserve">3.3.1b </w:t>
      </w:r>
      <w:r w:rsidR="00153829" w:rsidRPr="00201E81">
        <w:rPr>
          <w:rFonts w:ascii="Times New Roman" w:hAnsi="Times New Roman" w:cs="Times New Roman"/>
          <w:kern w:val="0"/>
          <w:szCs w:val="24"/>
        </w:rPr>
        <w:t>CA Institute</w:t>
      </w:r>
    </w:p>
    <w:p w14:paraId="0035942E"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color w:val="FF0000"/>
          <w:szCs w:val="24"/>
        </w:rPr>
      </w:pPr>
      <w:r w:rsidRPr="00F92E75">
        <w:rPr>
          <w:rFonts w:ascii="Times New Roman" w:hAnsi="Times New Roman" w:cs="Times New Roman"/>
          <w:szCs w:val="24"/>
        </w:rPr>
        <w:t xml:space="preserve">CA Institute was developed to support institutional clients. With strong networks and experience in research and analysis, CA aims to support institutional clients to keep ahead in performance under ever-changing investment environment (Cambridge </w:t>
      </w:r>
      <w:r w:rsidRPr="00F92E75">
        <w:rPr>
          <w:rFonts w:ascii="Times New Roman" w:hAnsi="Times New Roman" w:cs="Times New Roman"/>
          <w:szCs w:val="24"/>
        </w:rPr>
        <w:lastRenderedPageBreak/>
        <w:t>Associates, no date h)</w:t>
      </w:r>
      <w:r w:rsidRPr="00F92E75">
        <w:rPr>
          <w:rFonts w:ascii="Times New Roman" w:hAnsi="Times New Roman" w:cs="Times New Roman"/>
          <w:color w:val="FF0000"/>
          <w:szCs w:val="24"/>
        </w:rPr>
        <w:t>.</w:t>
      </w:r>
    </w:p>
    <w:p w14:paraId="228266D4" w14:textId="77777777" w:rsidR="00153829" w:rsidRPr="00F92E75" w:rsidRDefault="00153829" w:rsidP="00F92E75">
      <w:pPr>
        <w:pStyle w:val="Web"/>
        <w:snapToGrid w:val="0"/>
        <w:spacing w:line="360" w:lineRule="auto"/>
      </w:pPr>
      <w:r w:rsidRPr="00F92E75">
        <w:t>CA is consistently researching the portfolios and long-term performance of the endowments and foundations. They study their composition of governing bodies, and how they make decisions. Through the study, CA can stay ahead of evolving management models and help investors understand how implementation may impact resources, roles and responsibilities, and results. CA investigates a variety of factors including how endowments and foundations support their enterprises, their financial sustainability, risks of their enterprises and liquidity needs. In addition to longitudinal studies in annual basis, CA also develops studies of current hot topics. For example, manager concentration, spending policy adjustments, and endowment fees etc. With Through the research in all angles, together with the in-depth analysis and insights, CA is confident to advise their clients the customized approaches in portfolio management which consequently can support institutional clients to meet their unique needs.</w:t>
      </w:r>
    </w:p>
    <w:p w14:paraId="7FAF9CBE" w14:textId="0A0AA920" w:rsidR="00153829" w:rsidRPr="00F92E75" w:rsidRDefault="00201E81" w:rsidP="00F92E75">
      <w:pPr>
        <w:snapToGrid w:val="0"/>
        <w:spacing w:before="100" w:beforeAutospacing="1" w:after="100" w:afterAutospacing="1" w:line="360" w:lineRule="auto"/>
        <w:rPr>
          <w:rFonts w:ascii="Times New Roman" w:hAnsi="Times New Roman" w:cs="Times New Roman"/>
          <w:szCs w:val="24"/>
        </w:rPr>
      </w:pPr>
      <w:r w:rsidRPr="00201E81">
        <w:rPr>
          <w:rFonts w:ascii="Times New Roman" w:hAnsi="Times New Roman" w:cs="Times New Roman"/>
          <w:szCs w:val="24"/>
        </w:rPr>
        <w:t xml:space="preserve">3.3.2 </w:t>
      </w:r>
      <w:r w:rsidR="00153829" w:rsidRPr="00201E81">
        <w:rPr>
          <w:rFonts w:ascii="Times New Roman" w:hAnsi="Times New Roman" w:cs="Times New Roman"/>
          <w:szCs w:val="24"/>
        </w:rPr>
        <w:t>Marketing and servicing strategies for individual private clients</w:t>
      </w:r>
    </w:p>
    <w:p w14:paraId="6CCAEC93"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For individual private clients, CA emphasizes their roles as pioneer as well as leader in the asset management industry. CA believes their private investment platform building on their resources, experience and infrastructure can help clients increase the potential to outperform in investment performance.</w:t>
      </w:r>
    </w:p>
    <w:p w14:paraId="749A3B20" w14:textId="77777777" w:rsidR="00153829" w:rsidRPr="00F92E75" w:rsidRDefault="00153829" w:rsidP="00F92E75">
      <w:pPr>
        <w:snapToGrid w:val="0"/>
        <w:spacing w:before="100" w:beforeAutospacing="1" w:after="100" w:afterAutospacing="1" w:line="360" w:lineRule="auto"/>
        <w:rPr>
          <w:rStyle w:val="markedcontent"/>
          <w:rFonts w:ascii="Times New Roman" w:hAnsi="Times New Roman" w:cs="Times New Roman"/>
          <w:szCs w:val="24"/>
        </w:rPr>
      </w:pPr>
      <w:r w:rsidRPr="00F92E75">
        <w:rPr>
          <w:rFonts w:ascii="Times New Roman" w:hAnsi="Times New Roman" w:cs="Times New Roman"/>
          <w:szCs w:val="24"/>
        </w:rPr>
        <w:t xml:space="preserve">Cambridge Associates (2021) explains the CA’s Private Investments Database is one of the most robust collections of institutional quality private fund performance, which contains the performance records of over 2,200 fund managers and their over 8,600 </w:t>
      </w:r>
      <w:proofErr w:type="gramStart"/>
      <w:r w:rsidRPr="00F92E75">
        <w:rPr>
          <w:rFonts w:ascii="Times New Roman" w:hAnsi="Times New Roman" w:cs="Times New Roman"/>
          <w:szCs w:val="24"/>
        </w:rPr>
        <w:t>fund</w:t>
      </w:r>
      <w:proofErr w:type="gramEnd"/>
      <w:r w:rsidRPr="00F92E75">
        <w:rPr>
          <w:rFonts w:ascii="Times New Roman" w:hAnsi="Times New Roman" w:cs="Times New Roman"/>
          <w:szCs w:val="24"/>
        </w:rPr>
        <w:t>. CA has accumulated more than 40 years of investment data for analysis; more than 2,000 meetings annually with g</w:t>
      </w:r>
      <w:r w:rsidRPr="00F966DD">
        <w:rPr>
          <w:rStyle w:val="ad"/>
          <w:rFonts w:ascii="Times New Roman" w:hAnsi="Times New Roman" w:cs="Times New Roman"/>
          <w:b w:val="0"/>
          <w:bCs w:val="0"/>
          <w:szCs w:val="24"/>
        </w:rPr>
        <w:t>eneral partners (“GP”)</w:t>
      </w:r>
      <w:r w:rsidRPr="00F92E75">
        <w:rPr>
          <w:rFonts w:ascii="Times New Roman" w:hAnsi="Times New Roman" w:cs="Times New Roman"/>
          <w:szCs w:val="24"/>
        </w:rPr>
        <w:t xml:space="preserve"> who are investment professionals responsible for making decisions with respect to the ventures that they are required to be invested (Cambridge Associates, no date g). </w:t>
      </w:r>
      <w:r w:rsidRPr="00F92E75">
        <w:rPr>
          <w:rStyle w:val="markedcontent"/>
          <w:rFonts w:ascii="Times New Roman" w:hAnsi="Times New Roman" w:cs="Times New Roman"/>
          <w:szCs w:val="24"/>
        </w:rPr>
        <w:t xml:space="preserve">In addition, CA captures the performance information of over 86,000 investments underlying their venture capital, growth equity, and buyout funds. This is one of the largest collections of fund portfolio investment-level performance information in the world and represents the investments of approximately 76% of these funds on a count basis and 83% on a total commitment basis. CA strives to include only institutional quality </w:t>
      </w:r>
      <w:r w:rsidRPr="00F92E75">
        <w:rPr>
          <w:rStyle w:val="markedcontent"/>
          <w:rFonts w:ascii="Times New Roman" w:hAnsi="Times New Roman" w:cs="Times New Roman"/>
          <w:szCs w:val="24"/>
        </w:rPr>
        <w:lastRenderedPageBreak/>
        <w:t>funds in their benchmarks. In order to become CA’s institutional quality funds, they have to meet several vigorous requirements.</w:t>
      </w:r>
    </w:p>
    <w:p w14:paraId="03A651C4" w14:textId="571498B5" w:rsidR="00153829" w:rsidRPr="00F966DD" w:rsidRDefault="00F966DD" w:rsidP="00F92E75">
      <w:pPr>
        <w:snapToGrid w:val="0"/>
        <w:spacing w:before="100" w:beforeAutospacing="1" w:after="100" w:afterAutospacing="1" w:line="360" w:lineRule="auto"/>
        <w:rPr>
          <w:rFonts w:ascii="Times New Roman" w:hAnsi="Times New Roman" w:cs="Times New Roman"/>
          <w:szCs w:val="24"/>
        </w:rPr>
      </w:pPr>
      <w:r w:rsidRPr="00F966DD">
        <w:rPr>
          <w:rFonts w:ascii="Times New Roman" w:hAnsi="Times New Roman" w:cs="Times New Roman"/>
          <w:szCs w:val="24"/>
        </w:rPr>
        <w:t>3.3.</w:t>
      </w:r>
      <w:r>
        <w:rPr>
          <w:rFonts w:ascii="Times New Roman" w:hAnsi="Times New Roman" w:cs="Times New Roman"/>
          <w:szCs w:val="24"/>
        </w:rPr>
        <w:t>3</w:t>
      </w:r>
      <w:r w:rsidRPr="00F966DD">
        <w:rPr>
          <w:rFonts w:ascii="Times New Roman" w:hAnsi="Times New Roman" w:cs="Times New Roman"/>
          <w:szCs w:val="24"/>
        </w:rPr>
        <w:t xml:space="preserve"> </w:t>
      </w:r>
      <w:r w:rsidR="00153829" w:rsidRPr="00F966DD">
        <w:rPr>
          <w:rFonts w:ascii="Times New Roman" w:hAnsi="Times New Roman" w:cs="Times New Roman"/>
          <w:szCs w:val="24"/>
        </w:rPr>
        <w:t>Market commentaries, research reports, podcasts and events</w:t>
      </w:r>
    </w:p>
    <w:p w14:paraId="4D223788"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CA shares their investment expertise through diversified channels, including online platforms, social media and events.</w:t>
      </w:r>
    </w:p>
    <w:p w14:paraId="34B935B9" w14:textId="64A1CE3E" w:rsidR="00153829" w:rsidRPr="00F966DD" w:rsidRDefault="00F966DD" w:rsidP="00F966DD">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3.3.3a </w:t>
      </w:r>
      <w:r w:rsidR="00153829" w:rsidRPr="00F966DD">
        <w:rPr>
          <w:rFonts w:ascii="Times New Roman" w:hAnsi="Times New Roman" w:cs="Times New Roman"/>
          <w:szCs w:val="24"/>
        </w:rPr>
        <w:t>Quarterly Benchmarks Reports</w:t>
      </w:r>
    </w:p>
    <w:p w14:paraId="2860C21B"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provides quarterly benchmarks reports directly to several key market segments, namely their clients, fund managers contributing data to CA’s benchmark dataset, and certain industry partners and coalitions (Cambridge Associates, no date </w:t>
      </w:r>
      <w:proofErr w:type="spellStart"/>
      <w:r w:rsidRPr="00F92E75">
        <w:rPr>
          <w:rFonts w:ascii="Times New Roman" w:hAnsi="Times New Roman" w:cs="Times New Roman"/>
          <w:szCs w:val="24"/>
        </w:rPr>
        <w:t>i</w:t>
      </w:r>
      <w:proofErr w:type="spellEnd"/>
      <w:r w:rsidRPr="00F92E75">
        <w:rPr>
          <w:rFonts w:ascii="Times New Roman" w:hAnsi="Times New Roman" w:cs="Times New Roman"/>
          <w:szCs w:val="24"/>
        </w:rPr>
        <w:t>). The reports are categorized by markets and types of assets. In the third quarter of 2021, there are seven reports with names “US Venture Capital”, “US Private Equity”, “Ex US Developed Markets Private Equity &amp; Venture Capital”, “Emerging Markets Private Equity &amp; Venture Capital”, “Real Estate”, “Impact Investing: Private Equity &amp; Venture Capital” and “Impact Investing: Real Assets”.</w:t>
      </w:r>
    </w:p>
    <w:p w14:paraId="51570D8C" w14:textId="09F26F8E" w:rsidR="00153829" w:rsidRPr="00F966DD" w:rsidRDefault="00F966DD" w:rsidP="00F966DD">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3.3.3b </w:t>
      </w:r>
      <w:r w:rsidR="00153829" w:rsidRPr="00F966DD">
        <w:rPr>
          <w:rFonts w:ascii="Times New Roman" w:hAnsi="Times New Roman" w:cs="Times New Roman"/>
          <w:szCs w:val="24"/>
        </w:rPr>
        <w:t>“Unseen Upside” Podcast</w:t>
      </w:r>
    </w:p>
    <w:p w14:paraId="53264351" w14:textId="77777777" w:rsidR="00153829" w:rsidRPr="00F92E75" w:rsidRDefault="00153829" w:rsidP="00F92E75">
      <w:pPr>
        <w:snapToGrid w:val="0"/>
        <w:spacing w:before="100" w:beforeAutospacing="1" w:after="100" w:afterAutospacing="1" w:line="360" w:lineRule="auto"/>
        <w:rPr>
          <w:rStyle w:val="markedcontent"/>
          <w:rFonts w:ascii="Times New Roman" w:hAnsi="Times New Roman" w:cs="Times New Roman"/>
          <w:szCs w:val="24"/>
        </w:rPr>
      </w:pPr>
      <w:r w:rsidRPr="00F92E75">
        <w:rPr>
          <w:rFonts w:ascii="Times New Roman" w:hAnsi="Times New Roman" w:cs="Times New Roman"/>
          <w:szCs w:val="24"/>
        </w:rPr>
        <w:t xml:space="preserve">Since 2021 CA shares their investment ideas and strategies by audio with brand “Unseen Upside” in podcast format through the channels of Apple, Spotify and Stitcher (Cambridge Associates, no date j). The investment ideas are related to something with real human impact. CA claims the ideas are not just about investment, they are about innovations which may change the way people live. The first season of podcasts were launched in September to November 2021, there are five episodes with names “Episode 1: </w:t>
      </w:r>
      <w:r w:rsidRPr="00F92E75">
        <w:rPr>
          <w:rStyle w:val="markedcontent"/>
          <w:rFonts w:ascii="Times New Roman" w:hAnsi="Times New Roman" w:cs="Times New Roman"/>
          <w:szCs w:val="24"/>
        </w:rPr>
        <w:t xml:space="preserve">Impact Investing: How Is Tech Making Food Systems More Sustainable?”, “Episode 2: Digital Infrastructure: Where Does </w:t>
      </w:r>
      <w:proofErr w:type="gramStart"/>
      <w:r w:rsidRPr="00F92E75">
        <w:rPr>
          <w:rStyle w:val="markedcontent"/>
          <w:rFonts w:ascii="Times New Roman" w:hAnsi="Times New Roman" w:cs="Times New Roman"/>
          <w:szCs w:val="24"/>
        </w:rPr>
        <w:t>The</w:t>
      </w:r>
      <w:proofErr w:type="gramEnd"/>
      <w:r w:rsidRPr="00F92E75">
        <w:rPr>
          <w:rStyle w:val="markedcontent"/>
          <w:rFonts w:ascii="Times New Roman" w:hAnsi="Times New Roman" w:cs="Times New Roman"/>
          <w:szCs w:val="24"/>
        </w:rPr>
        <w:t xml:space="preserve"> Internet Come From?”, “Episode 3: Crypto: How Are Artists Leveraging NFTs?”, “Episode 4: Digital Health: How is Tech Revolutionizing Healthcare?” and “Episode 5: Consumer Brands: Why Do We Buy?”. The second season of podcasts will be launched in late April 2022.</w:t>
      </w:r>
    </w:p>
    <w:p w14:paraId="7DF1571C"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The host of the podcasts is Mr. Luke Charest, Senior Director, Global Business Development of CA, his conversations with the investors or early adopters in the </w:t>
      </w:r>
      <w:r w:rsidRPr="00F92E75">
        <w:rPr>
          <w:rFonts w:ascii="Times New Roman" w:hAnsi="Times New Roman" w:cs="Times New Roman"/>
          <w:szCs w:val="24"/>
        </w:rPr>
        <w:lastRenderedPageBreak/>
        <w:t>podcasts inspire people how investment decisions have the possibilities to improve our daily lives in innovative ways and redefine our future. At the same time, the content of the podcasts also draws the attentions from the private clients who are looking for new investment ideas and strategies.</w:t>
      </w:r>
    </w:p>
    <w:p w14:paraId="74B5A21B" w14:textId="4BF3C676" w:rsidR="00153829" w:rsidRPr="00F966DD" w:rsidRDefault="00F966DD" w:rsidP="00F966DD">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3.3.3c </w:t>
      </w:r>
      <w:r w:rsidR="00153829" w:rsidRPr="00F966DD">
        <w:rPr>
          <w:rFonts w:ascii="Times New Roman" w:hAnsi="Times New Roman" w:cs="Times New Roman"/>
          <w:szCs w:val="24"/>
        </w:rPr>
        <w:t>Events</w:t>
      </w:r>
    </w:p>
    <w:p w14:paraId="11A16E63"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organizes many live events and webinars for industry participants and individual investors who may include clients and potential clients. In the events, speakers from CA and the industry share their insights on the latest trends, investment ideas and best practices. </w:t>
      </w:r>
    </w:p>
    <w:p w14:paraId="25D3BC69"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There are diversified topics in the events covering the interests of different individual investors. “Impact Investing Forum”, “Healthcare’s Compelling Return”, “Jumpstarting the Energy Transition”, “Pensions &amp; Investments ESG Investing Conference”, “FOX Global Investment Forum”, “Managed Funds Association ESG Conference” and “Private Debt Investor APAC Forum 2022” were held in the past six months from October 2021 to early April 2022. Six more events have been scheduled in April to end of May (Cambridge Associates, no date k). </w:t>
      </w:r>
    </w:p>
    <w:p w14:paraId="77EBFE30"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These events are useful for CA to develop the networks with external investment managers as well as gain trust from clients and potential clients.</w:t>
      </w:r>
    </w:p>
    <w:p w14:paraId="52C300A8"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In addition to these marketing and servicing programs, CA publish regular online articles to attract investors to follow them, topics include endowments &amp; foundations, private clients &amp; family offices, pensions, healthcare systems, sustainable &amp; impact investing, private investments and market insights. Articles published since February 2011 can be found in CA’s website and they have accumulated more than 330 articles there (Cambridge Associates, no date l). This practice encourages investors to study their past articles to understand their consistent performance and trust can be built.</w:t>
      </w:r>
    </w:p>
    <w:p w14:paraId="1E9F1020" w14:textId="46D3CC9D" w:rsidR="00AA4D85" w:rsidRDefault="00AA4D85" w:rsidP="00F92E75">
      <w:pPr>
        <w:snapToGrid w:val="0"/>
        <w:spacing w:before="100" w:beforeAutospacing="1" w:after="100" w:afterAutospacing="1" w:line="360" w:lineRule="auto"/>
        <w:rPr>
          <w:rFonts w:ascii="Times New Roman" w:hAnsi="Times New Roman" w:cs="Times New Roman"/>
          <w:szCs w:val="24"/>
        </w:rPr>
      </w:pPr>
    </w:p>
    <w:p w14:paraId="465D790E" w14:textId="0AF9D5A5" w:rsidR="00861E7F" w:rsidRDefault="00861E7F" w:rsidP="00F92E75">
      <w:pPr>
        <w:snapToGrid w:val="0"/>
        <w:spacing w:before="100" w:beforeAutospacing="1" w:after="100" w:afterAutospacing="1" w:line="360" w:lineRule="auto"/>
        <w:rPr>
          <w:rFonts w:ascii="Times New Roman" w:hAnsi="Times New Roman" w:cs="Times New Roman"/>
          <w:szCs w:val="24"/>
        </w:rPr>
      </w:pPr>
    </w:p>
    <w:p w14:paraId="2D85E054" w14:textId="77777777" w:rsidR="00861E7F" w:rsidRDefault="00861E7F" w:rsidP="00F92E75">
      <w:pPr>
        <w:snapToGrid w:val="0"/>
        <w:spacing w:before="100" w:beforeAutospacing="1" w:after="100" w:afterAutospacing="1" w:line="360" w:lineRule="auto"/>
        <w:rPr>
          <w:rFonts w:ascii="Times New Roman" w:hAnsi="Times New Roman" w:cs="Times New Roman" w:hint="eastAsia"/>
          <w:szCs w:val="24"/>
        </w:rPr>
      </w:pPr>
    </w:p>
    <w:p w14:paraId="423EA289" w14:textId="0DD0CEED" w:rsidR="00153829" w:rsidRPr="00F92E75" w:rsidRDefault="00AA4D85" w:rsidP="00F92E75">
      <w:pPr>
        <w:snapToGrid w:val="0"/>
        <w:spacing w:before="100" w:beforeAutospacing="1" w:after="100" w:afterAutospacing="1" w:line="360" w:lineRule="auto"/>
        <w:rPr>
          <w:rFonts w:ascii="Times New Roman" w:hAnsi="Times New Roman" w:cs="Times New Roman"/>
          <w:szCs w:val="24"/>
        </w:rPr>
      </w:pPr>
      <w:r w:rsidRPr="00AA4D85">
        <w:rPr>
          <w:rFonts w:ascii="Times New Roman" w:hAnsi="Times New Roman" w:cs="Times New Roman"/>
          <w:szCs w:val="24"/>
        </w:rPr>
        <w:lastRenderedPageBreak/>
        <w:t xml:space="preserve">3.4 </w:t>
      </w:r>
      <w:r w:rsidR="00153829" w:rsidRPr="00AA4D85">
        <w:rPr>
          <w:rFonts w:ascii="Times New Roman" w:hAnsi="Times New Roman" w:cs="Times New Roman"/>
          <w:szCs w:val="24"/>
        </w:rPr>
        <w:t>Finance and Accounting</w:t>
      </w:r>
    </w:p>
    <w:p w14:paraId="0A5A76DF" w14:textId="3FBCF2F8"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is a private investment adviser firm registered with the United States Securities and Exchange Commission (SEC). One regulatory requirement is to provide brochure to SEC, which includes information about the qualifications and business practices of CA. </w:t>
      </w:r>
      <w:r w:rsidR="0022461B" w:rsidRPr="00F92E75">
        <w:rPr>
          <w:rFonts w:ascii="Times New Roman" w:hAnsi="Times New Roman" w:cs="Times New Roman"/>
          <w:szCs w:val="24"/>
        </w:rPr>
        <w:t>Pictures</w:t>
      </w:r>
      <w:r w:rsidRPr="00F92E75">
        <w:rPr>
          <w:rFonts w:ascii="Times New Roman" w:hAnsi="Times New Roman" w:cs="Times New Roman"/>
          <w:szCs w:val="24"/>
        </w:rPr>
        <w:t xml:space="preserve"> 1 and 2 are the information of CA’s consolidated balance sheet as of December 31, 2021 extracted from the brochure of CA (Investment Adviser Public Disclosure, 2022b).</w:t>
      </w:r>
    </w:p>
    <w:p w14:paraId="492285F1"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noProof/>
          <w:szCs w:val="24"/>
        </w:rPr>
        <w:drawing>
          <wp:inline distT="0" distB="0" distL="0" distR="0" wp14:anchorId="650E460B" wp14:editId="6FA20656">
            <wp:extent cx="5274310" cy="3705225"/>
            <wp:effectExtent l="19050" t="19050" r="21590" b="2857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705225"/>
                    </a:xfrm>
                    <a:prstGeom prst="rect">
                      <a:avLst/>
                    </a:prstGeom>
                    <a:ln w="12700">
                      <a:solidFill>
                        <a:schemeClr val="tx1"/>
                      </a:solidFill>
                    </a:ln>
                  </pic:spPr>
                </pic:pic>
              </a:graphicData>
            </a:graphic>
          </wp:inline>
        </w:drawing>
      </w:r>
    </w:p>
    <w:p w14:paraId="4C794BD6" w14:textId="2E3078AE" w:rsidR="00153829" w:rsidRPr="00F92E75" w:rsidRDefault="0022461B"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Picture</w:t>
      </w:r>
      <w:r w:rsidR="00153829" w:rsidRPr="00F92E75">
        <w:rPr>
          <w:rFonts w:ascii="Times New Roman" w:hAnsi="Times New Roman" w:cs="Times New Roman"/>
          <w:szCs w:val="24"/>
        </w:rPr>
        <w:t xml:space="preserve"> 1: Total assets of Cambridge Associates, LLC and subsidiaries in the consolidated balance sheet as of December 31, 2021.</w:t>
      </w:r>
    </w:p>
    <w:p w14:paraId="645F300D"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noProof/>
          <w:szCs w:val="24"/>
        </w:rPr>
        <w:lastRenderedPageBreak/>
        <w:drawing>
          <wp:inline distT="0" distB="0" distL="0" distR="0" wp14:anchorId="35D9F220" wp14:editId="052A8A39">
            <wp:extent cx="5274310" cy="2632710"/>
            <wp:effectExtent l="19050" t="19050" r="21590" b="1524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632710"/>
                    </a:xfrm>
                    <a:prstGeom prst="rect">
                      <a:avLst/>
                    </a:prstGeom>
                    <a:ln w="12700" cap="sq">
                      <a:solidFill>
                        <a:srgbClr val="000000"/>
                      </a:solidFill>
                      <a:prstDash val="solid"/>
                      <a:miter lim="800000"/>
                    </a:ln>
                    <a:effectLst/>
                  </pic:spPr>
                </pic:pic>
              </a:graphicData>
            </a:graphic>
          </wp:inline>
        </w:drawing>
      </w:r>
    </w:p>
    <w:p w14:paraId="32C33E5C" w14:textId="04D69F13" w:rsidR="00153829" w:rsidRPr="00F92E75" w:rsidRDefault="0022461B"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Picture</w:t>
      </w:r>
      <w:r w:rsidR="00153829" w:rsidRPr="00F92E75">
        <w:rPr>
          <w:rFonts w:ascii="Times New Roman" w:hAnsi="Times New Roman" w:cs="Times New Roman"/>
          <w:szCs w:val="24"/>
        </w:rPr>
        <w:t xml:space="preserve"> 2: Total liabilities and members’ deficit of Cambridge Associates, LLC and subsidiaries in the consolidated balance sheet as of December 31, 2021.</w:t>
      </w:r>
    </w:p>
    <w:p w14:paraId="2ADF5750"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With the given information from the consolidated balance sheet, current or quick ratio of CA can be computed which is equal to 143.8%.</w:t>
      </w:r>
    </w:p>
    <w:tbl>
      <w:tblPr>
        <w:tblW w:w="6516" w:type="dxa"/>
        <w:jc w:val="center"/>
        <w:tblCellMar>
          <w:left w:w="28" w:type="dxa"/>
          <w:right w:w="28" w:type="dxa"/>
        </w:tblCellMar>
        <w:tblLook w:val="04A0" w:firstRow="1" w:lastRow="0" w:firstColumn="1" w:lastColumn="0" w:noHBand="0" w:noVBand="1"/>
      </w:tblPr>
      <w:tblGrid>
        <w:gridCol w:w="2977"/>
        <w:gridCol w:w="1840"/>
        <w:gridCol w:w="428"/>
        <w:gridCol w:w="1271"/>
      </w:tblGrid>
      <w:tr w:rsidR="00153829" w:rsidRPr="00F92E75" w14:paraId="5CB2E623" w14:textId="77777777" w:rsidTr="006E2752">
        <w:trPr>
          <w:trHeight w:val="312"/>
          <w:jc w:val="center"/>
        </w:trPr>
        <w:tc>
          <w:tcPr>
            <w:tcW w:w="2977" w:type="dxa"/>
            <w:vMerge w:val="restart"/>
            <w:tcBorders>
              <w:top w:val="single" w:sz="4" w:space="0" w:color="auto"/>
              <w:left w:val="single" w:sz="4" w:space="0" w:color="auto"/>
              <w:bottom w:val="nil"/>
              <w:right w:val="nil"/>
            </w:tcBorders>
            <w:shd w:val="clear" w:color="auto" w:fill="auto"/>
            <w:noWrap/>
            <w:vAlign w:val="center"/>
            <w:hideMark/>
          </w:tcPr>
          <w:p w14:paraId="182AE11E"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Current/Quick Ratio =</w:t>
            </w:r>
          </w:p>
        </w:tc>
        <w:tc>
          <w:tcPr>
            <w:tcW w:w="1840" w:type="dxa"/>
            <w:tcBorders>
              <w:top w:val="single" w:sz="4" w:space="0" w:color="auto"/>
              <w:left w:val="nil"/>
              <w:bottom w:val="single" w:sz="4" w:space="0" w:color="auto"/>
              <w:right w:val="nil"/>
            </w:tcBorders>
            <w:shd w:val="clear" w:color="auto" w:fill="auto"/>
            <w:noWrap/>
            <w:vAlign w:val="center"/>
            <w:hideMark/>
          </w:tcPr>
          <w:p w14:paraId="400B0C12"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200,207,203</w:t>
            </w:r>
          </w:p>
        </w:tc>
        <w:tc>
          <w:tcPr>
            <w:tcW w:w="428" w:type="dxa"/>
            <w:vMerge w:val="restart"/>
            <w:tcBorders>
              <w:top w:val="single" w:sz="4" w:space="0" w:color="auto"/>
              <w:left w:val="nil"/>
              <w:bottom w:val="nil"/>
              <w:right w:val="nil"/>
            </w:tcBorders>
            <w:shd w:val="clear" w:color="auto" w:fill="auto"/>
            <w:noWrap/>
            <w:vAlign w:val="center"/>
            <w:hideMark/>
          </w:tcPr>
          <w:p w14:paraId="02DAF605"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w:t>
            </w:r>
          </w:p>
        </w:tc>
        <w:tc>
          <w:tcPr>
            <w:tcW w:w="1271" w:type="dxa"/>
            <w:vMerge w:val="restart"/>
            <w:tcBorders>
              <w:top w:val="single" w:sz="4" w:space="0" w:color="auto"/>
              <w:left w:val="nil"/>
              <w:bottom w:val="nil"/>
              <w:right w:val="single" w:sz="4" w:space="0" w:color="auto"/>
            </w:tcBorders>
            <w:shd w:val="clear" w:color="auto" w:fill="auto"/>
            <w:noWrap/>
            <w:vAlign w:val="center"/>
            <w:hideMark/>
          </w:tcPr>
          <w:p w14:paraId="251CCB60"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143.8%</w:t>
            </w:r>
          </w:p>
        </w:tc>
      </w:tr>
      <w:tr w:rsidR="00153829" w:rsidRPr="00F92E75" w14:paraId="2D2262A7" w14:textId="77777777" w:rsidTr="006E2752">
        <w:trPr>
          <w:trHeight w:val="312"/>
          <w:jc w:val="center"/>
        </w:trPr>
        <w:tc>
          <w:tcPr>
            <w:tcW w:w="2977" w:type="dxa"/>
            <w:vMerge/>
            <w:tcBorders>
              <w:top w:val="nil"/>
              <w:left w:val="single" w:sz="4" w:space="0" w:color="auto"/>
              <w:bottom w:val="single" w:sz="4" w:space="0" w:color="auto"/>
              <w:right w:val="nil"/>
            </w:tcBorders>
            <w:vAlign w:val="center"/>
            <w:hideMark/>
          </w:tcPr>
          <w:p w14:paraId="5633A966"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c>
          <w:tcPr>
            <w:tcW w:w="1840" w:type="dxa"/>
            <w:tcBorders>
              <w:top w:val="nil"/>
              <w:left w:val="nil"/>
              <w:bottom w:val="single" w:sz="4" w:space="0" w:color="auto"/>
              <w:right w:val="nil"/>
            </w:tcBorders>
            <w:shd w:val="clear" w:color="auto" w:fill="auto"/>
            <w:noWrap/>
            <w:vAlign w:val="center"/>
            <w:hideMark/>
          </w:tcPr>
          <w:p w14:paraId="16F6A259"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139,215,628</w:t>
            </w:r>
          </w:p>
        </w:tc>
        <w:tc>
          <w:tcPr>
            <w:tcW w:w="428" w:type="dxa"/>
            <w:vMerge/>
            <w:tcBorders>
              <w:top w:val="nil"/>
              <w:left w:val="nil"/>
              <w:bottom w:val="single" w:sz="4" w:space="0" w:color="auto"/>
              <w:right w:val="nil"/>
            </w:tcBorders>
            <w:vAlign w:val="center"/>
            <w:hideMark/>
          </w:tcPr>
          <w:p w14:paraId="0EBEE037"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c>
          <w:tcPr>
            <w:tcW w:w="1271" w:type="dxa"/>
            <w:vMerge/>
            <w:tcBorders>
              <w:top w:val="nil"/>
              <w:left w:val="nil"/>
              <w:bottom w:val="single" w:sz="4" w:space="0" w:color="auto"/>
              <w:right w:val="single" w:sz="4" w:space="0" w:color="auto"/>
            </w:tcBorders>
            <w:vAlign w:val="center"/>
            <w:hideMark/>
          </w:tcPr>
          <w:p w14:paraId="4BAC5414"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r>
    </w:tbl>
    <w:p w14:paraId="030C31FC"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Current ratio is current assets divided by current liabilities, and quick ratio is the current assets minus inventory and then divided by the current liabilities. CA does not have any inventory, so current ratio is equal to quick ratio. The ratio indicates the extent to which a company can meet its short-term obligations. More than 100% means CA has very strong liquidity to settle short-term liabilities.</w:t>
      </w:r>
    </w:p>
    <w:tbl>
      <w:tblPr>
        <w:tblW w:w="6516" w:type="dxa"/>
        <w:jc w:val="center"/>
        <w:tblCellMar>
          <w:left w:w="28" w:type="dxa"/>
          <w:right w:w="28" w:type="dxa"/>
        </w:tblCellMar>
        <w:tblLook w:val="04A0" w:firstRow="1" w:lastRow="0" w:firstColumn="1" w:lastColumn="0" w:noHBand="0" w:noVBand="1"/>
      </w:tblPr>
      <w:tblGrid>
        <w:gridCol w:w="3200"/>
        <w:gridCol w:w="1840"/>
        <w:gridCol w:w="500"/>
        <w:gridCol w:w="976"/>
      </w:tblGrid>
      <w:tr w:rsidR="00153829" w:rsidRPr="00F92E75" w14:paraId="667D0DCB" w14:textId="77777777" w:rsidTr="006E2752">
        <w:trPr>
          <w:trHeight w:val="312"/>
          <w:jc w:val="center"/>
        </w:trPr>
        <w:tc>
          <w:tcPr>
            <w:tcW w:w="3200" w:type="dxa"/>
            <w:vMerge w:val="restart"/>
            <w:tcBorders>
              <w:top w:val="single" w:sz="4" w:space="0" w:color="auto"/>
              <w:left w:val="single" w:sz="4" w:space="0" w:color="auto"/>
              <w:bottom w:val="nil"/>
              <w:right w:val="nil"/>
            </w:tcBorders>
            <w:shd w:val="clear" w:color="auto" w:fill="auto"/>
            <w:noWrap/>
            <w:vAlign w:val="center"/>
            <w:hideMark/>
          </w:tcPr>
          <w:p w14:paraId="7036700C"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 xml:space="preserve">Debt-to-Total-Assets Ratio = </w:t>
            </w:r>
          </w:p>
        </w:tc>
        <w:tc>
          <w:tcPr>
            <w:tcW w:w="1840" w:type="dxa"/>
            <w:tcBorders>
              <w:top w:val="single" w:sz="4" w:space="0" w:color="auto"/>
              <w:left w:val="nil"/>
              <w:bottom w:val="single" w:sz="4" w:space="0" w:color="auto"/>
              <w:right w:val="nil"/>
            </w:tcBorders>
            <w:shd w:val="clear" w:color="auto" w:fill="auto"/>
            <w:noWrap/>
            <w:vAlign w:val="center"/>
            <w:hideMark/>
          </w:tcPr>
          <w:p w14:paraId="73756911"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200,000,000</w:t>
            </w:r>
          </w:p>
        </w:tc>
        <w:tc>
          <w:tcPr>
            <w:tcW w:w="500" w:type="dxa"/>
            <w:vMerge w:val="restart"/>
            <w:tcBorders>
              <w:top w:val="single" w:sz="4" w:space="0" w:color="auto"/>
              <w:left w:val="nil"/>
              <w:bottom w:val="nil"/>
              <w:right w:val="nil"/>
            </w:tcBorders>
            <w:shd w:val="clear" w:color="auto" w:fill="auto"/>
            <w:noWrap/>
            <w:vAlign w:val="center"/>
            <w:hideMark/>
          </w:tcPr>
          <w:p w14:paraId="7A4CB7AB"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w:t>
            </w:r>
          </w:p>
        </w:tc>
        <w:tc>
          <w:tcPr>
            <w:tcW w:w="976" w:type="dxa"/>
            <w:vMerge w:val="restart"/>
            <w:tcBorders>
              <w:top w:val="single" w:sz="4" w:space="0" w:color="auto"/>
              <w:left w:val="nil"/>
              <w:bottom w:val="nil"/>
              <w:right w:val="single" w:sz="4" w:space="0" w:color="auto"/>
            </w:tcBorders>
            <w:shd w:val="clear" w:color="auto" w:fill="auto"/>
            <w:noWrap/>
            <w:vAlign w:val="center"/>
            <w:hideMark/>
          </w:tcPr>
          <w:p w14:paraId="6C2F1D1F"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68.0%</w:t>
            </w:r>
          </w:p>
        </w:tc>
      </w:tr>
      <w:tr w:rsidR="00153829" w:rsidRPr="00F92E75" w14:paraId="31B84156" w14:textId="77777777" w:rsidTr="006E2752">
        <w:trPr>
          <w:trHeight w:val="312"/>
          <w:jc w:val="center"/>
        </w:trPr>
        <w:tc>
          <w:tcPr>
            <w:tcW w:w="3200" w:type="dxa"/>
            <w:vMerge/>
            <w:tcBorders>
              <w:top w:val="nil"/>
              <w:left w:val="single" w:sz="4" w:space="0" w:color="auto"/>
              <w:bottom w:val="single" w:sz="4" w:space="0" w:color="auto"/>
              <w:right w:val="nil"/>
            </w:tcBorders>
            <w:vAlign w:val="center"/>
            <w:hideMark/>
          </w:tcPr>
          <w:p w14:paraId="6687155C"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c>
          <w:tcPr>
            <w:tcW w:w="1840" w:type="dxa"/>
            <w:tcBorders>
              <w:top w:val="nil"/>
              <w:left w:val="nil"/>
              <w:bottom w:val="single" w:sz="4" w:space="0" w:color="auto"/>
              <w:right w:val="nil"/>
            </w:tcBorders>
            <w:shd w:val="clear" w:color="auto" w:fill="auto"/>
            <w:noWrap/>
            <w:vAlign w:val="center"/>
            <w:hideMark/>
          </w:tcPr>
          <w:p w14:paraId="674B6AD9" w14:textId="77777777" w:rsidR="00153829" w:rsidRPr="00F92E75" w:rsidRDefault="00153829" w:rsidP="00F92E75">
            <w:pPr>
              <w:widowControl/>
              <w:snapToGrid w:val="0"/>
              <w:spacing w:before="100" w:beforeAutospacing="1" w:after="100" w:afterAutospacing="1" w:line="360" w:lineRule="auto"/>
              <w:jc w:val="center"/>
              <w:rPr>
                <w:rFonts w:ascii="Times New Roman" w:eastAsia="新細明體" w:hAnsi="Times New Roman" w:cs="Times New Roman"/>
                <w:color w:val="000000"/>
                <w:kern w:val="0"/>
                <w:szCs w:val="24"/>
              </w:rPr>
            </w:pPr>
            <w:r w:rsidRPr="00F92E75">
              <w:rPr>
                <w:rFonts w:ascii="Times New Roman" w:eastAsia="新細明體" w:hAnsi="Times New Roman" w:cs="Times New Roman"/>
                <w:color w:val="000000"/>
                <w:kern w:val="0"/>
                <w:szCs w:val="24"/>
              </w:rPr>
              <w:t>294,111,915</w:t>
            </w:r>
          </w:p>
        </w:tc>
        <w:tc>
          <w:tcPr>
            <w:tcW w:w="500" w:type="dxa"/>
            <w:vMerge/>
            <w:tcBorders>
              <w:top w:val="nil"/>
              <w:left w:val="nil"/>
              <w:bottom w:val="single" w:sz="4" w:space="0" w:color="auto"/>
              <w:right w:val="nil"/>
            </w:tcBorders>
            <w:vAlign w:val="center"/>
            <w:hideMark/>
          </w:tcPr>
          <w:p w14:paraId="534EED68"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c>
          <w:tcPr>
            <w:tcW w:w="976" w:type="dxa"/>
            <w:vMerge/>
            <w:tcBorders>
              <w:top w:val="nil"/>
              <w:left w:val="nil"/>
              <w:bottom w:val="single" w:sz="4" w:space="0" w:color="auto"/>
              <w:right w:val="single" w:sz="4" w:space="0" w:color="auto"/>
            </w:tcBorders>
            <w:vAlign w:val="center"/>
            <w:hideMark/>
          </w:tcPr>
          <w:p w14:paraId="15F6A22C" w14:textId="77777777" w:rsidR="00153829" w:rsidRPr="00F92E75" w:rsidRDefault="00153829" w:rsidP="00F92E75">
            <w:pPr>
              <w:widowControl/>
              <w:snapToGrid w:val="0"/>
              <w:spacing w:before="100" w:beforeAutospacing="1" w:after="100" w:afterAutospacing="1" w:line="360" w:lineRule="auto"/>
              <w:rPr>
                <w:rFonts w:ascii="Times New Roman" w:eastAsia="新細明體" w:hAnsi="Times New Roman" w:cs="Times New Roman"/>
                <w:color w:val="000000"/>
                <w:kern w:val="0"/>
                <w:szCs w:val="24"/>
              </w:rPr>
            </w:pPr>
          </w:p>
        </w:tc>
      </w:tr>
    </w:tbl>
    <w:p w14:paraId="526DF3D9"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Debt-to-total-assets ratio equals total debt divided by total assets, it indicates the percentage of total funds that are provided by creditors. Lower ratio means lower funding expenses which may impact a company profitability.</w:t>
      </w:r>
    </w:p>
    <w:p w14:paraId="5F30B255"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proofErr w:type="spellStart"/>
      <w:r w:rsidRPr="00F92E75">
        <w:rPr>
          <w:rFonts w:ascii="Times New Roman" w:hAnsi="Times New Roman" w:cs="Times New Roman"/>
          <w:szCs w:val="24"/>
        </w:rPr>
        <w:t>Hertina</w:t>
      </w:r>
      <w:proofErr w:type="spellEnd"/>
      <w:r w:rsidRPr="00F92E75">
        <w:rPr>
          <w:rFonts w:ascii="Times New Roman" w:hAnsi="Times New Roman" w:cs="Times New Roman"/>
          <w:szCs w:val="24"/>
        </w:rPr>
        <w:t xml:space="preserve">, et al. (2021) argues that company using more long-term debt to finance its operation can increase the company value. The debt of CA is senior notes issued in </w:t>
      </w:r>
      <w:r w:rsidRPr="00F92E75">
        <w:rPr>
          <w:rFonts w:ascii="Times New Roman" w:hAnsi="Times New Roman" w:cs="Times New Roman"/>
          <w:szCs w:val="24"/>
        </w:rPr>
        <w:lastRenderedPageBreak/>
        <w:t>2018 at a fixed interest rate of 4.91% with a 10-year term to lenders, the remaining average life of the notes was 6.59 years as of December 2021. If CA uses the loan properly, the company may have higher profits.</w:t>
      </w:r>
    </w:p>
    <w:p w14:paraId="5DE621E4" w14:textId="77777777" w:rsidR="00FC4394" w:rsidRDefault="00FC4394" w:rsidP="00F92E75">
      <w:pPr>
        <w:snapToGrid w:val="0"/>
        <w:spacing w:before="100" w:beforeAutospacing="1" w:after="100" w:afterAutospacing="1" w:line="360" w:lineRule="auto"/>
        <w:rPr>
          <w:rFonts w:ascii="Times New Roman" w:hAnsi="Times New Roman" w:cs="Times New Roman"/>
          <w:szCs w:val="24"/>
        </w:rPr>
      </w:pPr>
    </w:p>
    <w:p w14:paraId="41268471" w14:textId="754E74DC" w:rsidR="00153829" w:rsidRPr="00FC4394" w:rsidRDefault="00FC4394" w:rsidP="00F92E75">
      <w:pPr>
        <w:snapToGrid w:val="0"/>
        <w:spacing w:before="100" w:beforeAutospacing="1" w:after="100" w:afterAutospacing="1" w:line="360" w:lineRule="auto"/>
        <w:rPr>
          <w:rFonts w:ascii="Times New Roman" w:hAnsi="Times New Roman" w:cs="Times New Roman"/>
          <w:szCs w:val="24"/>
        </w:rPr>
      </w:pPr>
      <w:r w:rsidRPr="00FC4394">
        <w:rPr>
          <w:rFonts w:ascii="Times New Roman" w:hAnsi="Times New Roman" w:cs="Times New Roman" w:hint="eastAsia"/>
          <w:szCs w:val="24"/>
        </w:rPr>
        <w:t>3</w:t>
      </w:r>
      <w:r w:rsidRPr="00FC4394">
        <w:rPr>
          <w:rFonts w:ascii="Times New Roman" w:hAnsi="Times New Roman" w:cs="Times New Roman"/>
          <w:szCs w:val="24"/>
        </w:rPr>
        <w:t xml:space="preserve">.5 </w:t>
      </w:r>
      <w:r w:rsidR="00153829" w:rsidRPr="00FC4394">
        <w:rPr>
          <w:rFonts w:ascii="Times New Roman" w:hAnsi="Times New Roman" w:cs="Times New Roman"/>
          <w:szCs w:val="24"/>
        </w:rPr>
        <w:t>Resource-Based View</w:t>
      </w:r>
    </w:p>
    <w:p w14:paraId="7561F17A"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Schmidt and Keil (2013) explains that company’s superior performance is related to their superior resources which need to be valuable and rare, and other competitors are difficult to replicate or substitute. In addition, the company needs to manage, adapt and deploy them in order to create values for the company. García-Sánchez and García-</w:t>
      </w:r>
      <w:proofErr w:type="spellStart"/>
      <w:r w:rsidRPr="00F92E75">
        <w:rPr>
          <w:rFonts w:ascii="Times New Roman" w:hAnsi="Times New Roman" w:cs="Times New Roman"/>
          <w:szCs w:val="24"/>
        </w:rPr>
        <w:t>Meca</w:t>
      </w:r>
      <w:proofErr w:type="spellEnd"/>
      <w:r w:rsidRPr="00F92E75">
        <w:rPr>
          <w:rFonts w:ascii="Times New Roman" w:hAnsi="Times New Roman" w:cs="Times New Roman"/>
          <w:szCs w:val="24"/>
        </w:rPr>
        <w:t xml:space="preserve"> (2020) finds that more able bank managers select and implement investment projects more efficiently, suggesting that managers’ characteristics affect financial decisions. Therefore, competent people are very critical resources for investment advisory firms to gain competitive advantages. For people with strong investment expertise and wealth of experience is the key successful factor for CA. The strong leadership teams definitely have such characteristics.</w:t>
      </w:r>
    </w:p>
    <w:p w14:paraId="4979D06D" w14:textId="77777777" w:rsidR="00153829" w:rsidRPr="00F92E75" w:rsidRDefault="00153829" w:rsidP="00F92E75">
      <w:pPr>
        <w:snapToGrid w:val="0"/>
        <w:spacing w:before="100" w:beforeAutospacing="1" w:after="100" w:afterAutospacing="1" w:line="360" w:lineRule="auto"/>
        <w:rPr>
          <w:rFonts w:ascii="Times New Roman" w:hAnsi="Times New Roman" w:cs="Times New Roman"/>
          <w:szCs w:val="24"/>
        </w:rPr>
      </w:pPr>
    </w:p>
    <w:p w14:paraId="37DB29F5" w14:textId="03A6630D" w:rsidR="00FF2C0D" w:rsidRPr="00F92E75" w:rsidRDefault="00FF2C0D" w:rsidP="00F92E75">
      <w:pPr>
        <w:snapToGrid w:val="0"/>
        <w:spacing w:before="100" w:beforeAutospacing="1" w:after="100" w:afterAutospacing="1" w:line="360" w:lineRule="auto"/>
        <w:jc w:val="center"/>
        <w:rPr>
          <w:rFonts w:ascii="Times New Roman" w:hAnsi="Times New Roman" w:cs="Times New Roman"/>
          <w:b/>
          <w:bCs/>
          <w:szCs w:val="24"/>
        </w:rPr>
      </w:pPr>
    </w:p>
    <w:p w14:paraId="69C4F187" w14:textId="77777777" w:rsidR="006E2752" w:rsidRDefault="006E2752">
      <w:pPr>
        <w:widowControl/>
        <w:rPr>
          <w:rFonts w:ascii="Times New Roman" w:hAnsi="Times New Roman" w:cs="Times New Roman"/>
          <w:b/>
          <w:bCs/>
          <w:szCs w:val="24"/>
        </w:rPr>
      </w:pPr>
      <w:r>
        <w:rPr>
          <w:rFonts w:ascii="Times New Roman" w:hAnsi="Times New Roman" w:cs="Times New Roman"/>
          <w:b/>
          <w:bCs/>
          <w:szCs w:val="24"/>
        </w:rPr>
        <w:br w:type="page"/>
      </w:r>
    </w:p>
    <w:p w14:paraId="21329B7A" w14:textId="7DCE2DEE" w:rsidR="00FF2C0D" w:rsidRPr="00F92E75" w:rsidRDefault="006E2752" w:rsidP="00F92E75">
      <w:pPr>
        <w:snapToGrid w:val="0"/>
        <w:spacing w:before="100" w:beforeAutospacing="1" w:after="100" w:afterAutospacing="1" w:line="360" w:lineRule="auto"/>
        <w:jc w:val="center"/>
        <w:rPr>
          <w:rFonts w:ascii="Times New Roman" w:hAnsi="Times New Roman" w:cs="Times New Roman"/>
          <w:b/>
          <w:bCs/>
          <w:szCs w:val="24"/>
        </w:rPr>
      </w:pPr>
      <w:r>
        <w:rPr>
          <w:rFonts w:ascii="Times New Roman" w:hAnsi="Times New Roman" w:cs="Times New Roman"/>
          <w:b/>
          <w:bCs/>
          <w:szCs w:val="24"/>
        </w:rPr>
        <w:lastRenderedPageBreak/>
        <w:t xml:space="preserve">4. </w:t>
      </w:r>
      <w:r w:rsidR="00FF2C0D" w:rsidRPr="00F92E75">
        <w:rPr>
          <w:rFonts w:ascii="Times New Roman" w:hAnsi="Times New Roman" w:cs="Times New Roman"/>
          <w:b/>
          <w:bCs/>
          <w:szCs w:val="24"/>
        </w:rPr>
        <w:t>External Audit</w:t>
      </w:r>
    </w:p>
    <w:p w14:paraId="207510F1"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p>
    <w:p w14:paraId="6DE57DC8" w14:textId="6ED32103" w:rsidR="00FF2C0D"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The external audit is aimed at identifying key external variables that actionable responses are required. It is a dynamic process because trends and current events have to be evaluated. PESTEL Analysis is used to understand the general external environment. PESTEL reflects the names of the six segments of the general environment: (1) political, (2) economic, (3) social, (4) technological, (5) environmental, and (6) legal.</w:t>
      </w:r>
    </w:p>
    <w:p w14:paraId="34A66641" w14:textId="77777777" w:rsidR="00866B95" w:rsidRPr="00F92E75" w:rsidRDefault="00866B95" w:rsidP="00F92E75">
      <w:pPr>
        <w:snapToGrid w:val="0"/>
        <w:spacing w:before="100" w:beforeAutospacing="1" w:after="100" w:afterAutospacing="1" w:line="360" w:lineRule="auto"/>
        <w:rPr>
          <w:rFonts w:ascii="Times New Roman" w:hAnsi="Times New Roman" w:cs="Times New Roman"/>
          <w:szCs w:val="24"/>
        </w:rPr>
      </w:pPr>
    </w:p>
    <w:p w14:paraId="1817636F" w14:textId="52FD2B9F" w:rsidR="00FF2C0D" w:rsidRPr="00866B95" w:rsidRDefault="00FF2C0D" w:rsidP="00866B95">
      <w:pPr>
        <w:pStyle w:val="a3"/>
        <w:widowControl/>
        <w:numPr>
          <w:ilvl w:val="1"/>
          <w:numId w:val="32"/>
        </w:numPr>
        <w:snapToGrid w:val="0"/>
        <w:spacing w:before="100" w:beforeAutospacing="1" w:after="100" w:afterAutospacing="1" w:line="360" w:lineRule="auto"/>
        <w:ind w:leftChars="0"/>
        <w:rPr>
          <w:rFonts w:ascii="Times New Roman" w:hAnsi="Times New Roman" w:cs="Times New Roman"/>
          <w:kern w:val="0"/>
          <w:szCs w:val="24"/>
        </w:rPr>
      </w:pPr>
      <w:r w:rsidRPr="00866B95">
        <w:rPr>
          <w:rFonts w:ascii="Times New Roman" w:hAnsi="Times New Roman" w:cs="Times New Roman"/>
          <w:kern w:val="0"/>
          <w:szCs w:val="24"/>
        </w:rPr>
        <w:t>Political</w:t>
      </w:r>
    </w:p>
    <w:p w14:paraId="544E63E1" w14:textId="6EAD9052" w:rsidR="00FF2C0D"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Executive summary - United States (2022) claims that the United States President has lost popularity since taking office in January 2021. Factors including inability to control the outbreak of COVID-19 in the past years, high inflation, elevated crime levels, rising levels of illegal immigration, and increasing discontent among swing voters about the administration’s social policies have led to the decrease in popularity. The subsequent impact may be loss of votes in coming elections, finally the implementation of government policies in the near future may also be affected.</w:t>
      </w:r>
    </w:p>
    <w:p w14:paraId="13868949" w14:textId="77777777" w:rsidR="00866B95" w:rsidRPr="00F92E75" w:rsidRDefault="00866B95" w:rsidP="00F92E75">
      <w:pPr>
        <w:snapToGrid w:val="0"/>
        <w:spacing w:before="100" w:beforeAutospacing="1" w:after="100" w:afterAutospacing="1" w:line="360" w:lineRule="auto"/>
        <w:rPr>
          <w:rFonts w:ascii="Times New Roman" w:hAnsi="Times New Roman" w:cs="Times New Roman"/>
          <w:szCs w:val="24"/>
        </w:rPr>
      </w:pPr>
    </w:p>
    <w:p w14:paraId="50AC9928" w14:textId="4DC0E42D" w:rsidR="00FF2C0D" w:rsidRPr="00866B95" w:rsidRDefault="00FF2C0D" w:rsidP="00866B95">
      <w:pPr>
        <w:pStyle w:val="a3"/>
        <w:numPr>
          <w:ilvl w:val="1"/>
          <w:numId w:val="32"/>
        </w:numPr>
        <w:snapToGrid w:val="0"/>
        <w:spacing w:before="100" w:beforeAutospacing="1" w:after="100" w:afterAutospacing="1" w:line="360" w:lineRule="auto"/>
        <w:ind w:leftChars="0"/>
        <w:rPr>
          <w:rFonts w:ascii="Times New Roman" w:hAnsi="Times New Roman" w:cs="Times New Roman"/>
          <w:szCs w:val="24"/>
        </w:rPr>
      </w:pPr>
      <w:r w:rsidRPr="00866B95">
        <w:rPr>
          <w:rFonts w:ascii="Times New Roman" w:hAnsi="Times New Roman" w:cs="Times New Roman"/>
          <w:szCs w:val="24"/>
        </w:rPr>
        <w:t>Economic</w:t>
      </w:r>
    </w:p>
    <w:p w14:paraId="26CA9AB7"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Executive summary - United States (2022) reports the United States economic growth forecast for 2022 full year to be 3.7% and spending will be recovered in the second quarter if there is a sharp drop in COVID-19 infections. Beyond mid-2022, the transition from pandemic to endemic COVID-19 will support economic expansion particularly when there are resolution of supply disruptions and </w:t>
      </w:r>
      <w:proofErr w:type="spellStart"/>
      <w:r w:rsidRPr="00F92E75">
        <w:rPr>
          <w:rFonts w:ascii="Times New Roman" w:hAnsi="Times New Roman" w:cs="Times New Roman"/>
          <w:szCs w:val="24"/>
        </w:rPr>
        <w:t>labour</w:t>
      </w:r>
      <w:proofErr w:type="spellEnd"/>
      <w:r w:rsidRPr="00F92E75">
        <w:rPr>
          <w:rFonts w:ascii="Times New Roman" w:hAnsi="Times New Roman" w:cs="Times New Roman"/>
          <w:szCs w:val="24"/>
        </w:rPr>
        <w:t xml:space="preserve"> shortage. From these forecasts, the economic growth for coming years will be optimistic and it is also a good sign for CA’s investment advisory businesses.</w:t>
      </w:r>
    </w:p>
    <w:p w14:paraId="5D5747D6"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However, professional investors may have more concerns on current economic </w:t>
      </w:r>
      <w:r w:rsidRPr="00F92E75">
        <w:rPr>
          <w:rFonts w:ascii="Times New Roman" w:hAnsi="Times New Roman" w:cs="Times New Roman"/>
          <w:szCs w:val="24"/>
        </w:rPr>
        <w:lastRenderedPageBreak/>
        <w:t xml:space="preserve">environment. </w:t>
      </w:r>
      <w:proofErr w:type="spellStart"/>
      <w:r w:rsidRPr="00F92E75">
        <w:rPr>
          <w:rFonts w:ascii="Times New Roman" w:hAnsi="Times New Roman" w:cs="Times New Roman"/>
          <w:szCs w:val="24"/>
        </w:rPr>
        <w:t>Klebnikov</w:t>
      </w:r>
      <w:proofErr w:type="spellEnd"/>
      <w:r w:rsidRPr="00F92E75">
        <w:rPr>
          <w:rFonts w:ascii="Times New Roman" w:hAnsi="Times New Roman" w:cs="Times New Roman"/>
          <w:szCs w:val="24"/>
        </w:rPr>
        <w:t xml:space="preserve"> (2022) states that more professional investors concern about the impacts of rising inflation. Over 60% of investors in the Bank of America's Global Fund Manager Survey in March said that the United States economy will take a hit from stagflation or recession-inflation, that means a situation of high inflation but at a slow economic growth environment together with high unemployment rate. Investor sentiment becomes more bearish due to surging inflation and geopolitical uncertainty from Russia’s invasion of Ukraine. </w:t>
      </w:r>
    </w:p>
    <w:p w14:paraId="786BC989" w14:textId="77777777" w:rsidR="00FF2C0D" w:rsidRPr="00F92E75" w:rsidRDefault="00FF2C0D" w:rsidP="00F92E75">
      <w:pPr>
        <w:pStyle w:val="body-paragraph"/>
        <w:snapToGrid w:val="0"/>
        <w:spacing w:line="360" w:lineRule="auto"/>
        <w:textAlignment w:val="baseline"/>
      </w:pPr>
      <w:r w:rsidRPr="00F92E75">
        <w:t>The majority of professional investors see rising recession risks ahead once more, with 60% predicting a bear market in 2022 and over 50% expecting that high inflation will be "permanent." History tells the investors that for whatever reasons, similar economic situations in the past usually could not lead to satisfactory performance in investment markets. If majority has such estimation, it can be forecasted that CA’s clients will be more hesitant to invest and may keep more cash, subsequently CA’s profit will be negatively affected.</w:t>
      </w:r>
    </w:p>
    <w:p w14:paraId="05F48F47"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Kline and Rocha (2022) quotes similar forecasts from investment guru. Mr. Jamie </w:t>
      </w:r>
      <w:proofErr w:type="spellStart"/>
      <w:r w:rsidRPr="00F92E75">
        <w:rPr>
          <w:rFonts w:ascii="Times New Roman" w:hAnsi="Times New Roman" w:cs="Times New Roman"/>
          <w:szCs w:val="24"/>
        </w:rPr>
        <w:t>Dimon</w:t>
      </w:r>
      <w:proofErr w:type="spellEnd"/>
      <w:r w:rsidRPr="00F92E75">
        <w:rPr>
          <w:rFonts w:ascii="Times New Roman" w:hAnsi="Times New Roman" w:cs="Times New Roman"/>
          <w:szCs w:val="24"/>
        </w:rPr>
        <w:t>, CEO of JPMorgan Chase, said that the United States economy remains strong now, but there are many warning signs which may make the economy worse.</w:t>
      </w:r>
    </w:p>
    <w:p w14:paraId="57159396"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The analyses suggest forecasts in extremes from different people. CA should pay extra attention on any signs reflect the changing trends.</w:t>
      </w:r>
    </w:p>
    <w:p w14:paraId="71CBD87A"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p>
    <w:p w14:paraId="343CAB3E" w14:textId="47D8A664" w:rsidR="00FF2C0D" w:rsidRPr="00F92E75" w:rsidRDefault="00866B95"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4.3 </w:t>
      </w:r>
      <w:r w:rsidR="00FF2C0D" w:rsidRPr="00F92E75">
        <w:rPr>
          <w:rFonts w:ascii="Times New Roman" w:hAnsi="Times New Roman" w:cs="Times New Roman"/>
          <w:szCs w:val="24"/>
        </w:rPr>
        <w:t>Social</w:t>
      </w:r>
    </w:p>
    <w:p w14:paraId="16824B28" w14:textId="77777777" w:rsidR="00FF2C0D" w:rsidRPr="00F92E75" w:rsidRDefault="00FF2C0D" w:rsidP="00F92E75">
      <w:pPr>
        <w:pStyle w:val="Web"/>
        <w:snapToGrid w:val="0"/>
        <w:spacing w:line="360" w:lineRule="auto"/>
        <w:rPr>
          <w:color w:val="000000"/>
        </w:rPr>
      </w:pPr>
      <w:r w:rsidRPr="00F92E75">
        <w:rPr>
          <w:color w:val="000000"/>
        </w:rPr>
        <w:t xml:space="preserve">Social factors can impact people’s living conditions and lifestyles. Religion and ethics, demographics, healthcare, media and education level are some key social factors. </w:t>
      </w:r>
      <w:r w:rsidRPr="00F92E75">
        <w:t>Executive summary - United States (2022) argues that the disproportionate financial impact of the COVID 19 on poor and ethnic minority communities will stimulate more conflicts in the society. Clients of CA are mainly charitable organizations, pension plans and high net worth individuals, they are less affected by common social issues, so social factors may have only limited impact on CA’s business.</w:t>
      </w:r>
    </w:p>
    <w:p w14:paraId="1F8A0B02" w14:textId="37DA3BE2" w:rsidR="00FF2C0D" w:rsidRPr="00866B95" w:rsidRDefault="00FF2C0D" w:rsidP="00866B95">
      <w:pPr>
        <w:pStyle w:val="a3"/>
        <w:numPr>
          <w:ilvl w:val="1"/>
          <w:numId w:val="33"/>
        </w:numPr>
        <w:snapToGrid w:val="0"/>
        <w:spacing w:before="100" w:beforeAutospacing="1" w:after="100" w:afterAutospacing="1" w:line="360" w:lineRule="auto"/>
        <w:ind w:leftChars="0"/>
        <w:rPr>
          <w:rFonts w:ascii="Times New Roman" w:hAnsi="Times New Roman" w:cs="Times New Roman"/>
          <w:szCs w:val="24"/>
        </w:rPr>
      </w:pPr>
      <w:r w:rsidRPr="00866B95">
        <w:rPr>
          <w:rFonts w:ascii="Times New Roman" w:hAnsi="Times New Roman" w:cs="Times New Roman"/>
          <w:szCs w:val="24"/>
        </w:rPr>
        <w:lastRenderedPageBreak/>
        <w:t>Technological</w:t>
      </w:r>
    </w:p>
    <w:p w14:paraId="4400C981" w14:textId="77777777" w:rsidR="00FF2C0D" w:rsidRPr="00F92E75" w:rsidRDefault="00FF2C0D" w:rsidP="00F92E75">
      <w:pPr>
        <w:pStyle w:val="Web"/>
        <w:snapToGrid w:val="0"/>
        <w:spacing w:line="360" w:lineRule="auto"/>
        <w:rPr>
          <w:rStyle w:val="hgkelc"/>
        </w:rPr>
      </w:pPr>
      <w:r w:rsidRPr="00F92E75">
        <w:t xml:space="preserve">The United States is the global leader in science and technology, MAMMA is the most updated </w:t>
      </w:r>
      <w:r w:rsidRPr="00F92E75">
        <w:rPr>
          <w:rStyle w:val="hgkelc"/>
        </w:rPr>
        <w:t>acronym referring to the stocks of the five most popular and best-performing American technology companies: Meta (formerly known as Facebook), Alphabet (formerly known as Google), Microsoft, Amazon and Apple.</w:t>
      </w:r>
    </w:p>
    <w:p w14:paraId="6D3F36FF" w14:textId="77777777" w:rsidR="00FF2C0D" w:rsidRPr="00F92E75" w:rsidRDefault="00FF2C0D" w:rsidP="00F92E75">
      <w:pPr>
        <w:pStyle w:val="Web"/>
        <w:snapToGrid w:val="0"/>
        <w:spacing w:line="360" w:lineRule="auto"/>
        <w:rPr>
          <w:rStyle w:val="ad"/>
        </w:rPr>
      </w:pPr>
      <w:r w:rsidRPr="00F92E75">
        <w:t xml:space="preserve">The rate of technological innovation and change is extremely rapid in the United States and the technologies have changed the ways many things are done. The impact of technology on investment advisory field may be clients have more choices in advising channels and platforms. Indeed, even high net worth individuals are also interested to invest through digital platforms. Fischer (2021) quotes the findings from a survey on high net-worth individuals that 58% of high net worth millennial investors said digital trading apps such as Robinhood and Coinbase offer them the freedom and flexibility to invest the way they want; 83% </w:t>
      </w:r>
      <w:r w:rsidRPr="00F92E75">
        <w:rPr>
          <w:rStyle w:val="ad"/>
          <w:b w:val="0"/>
          <w:bCs w:val="0"/>
        </w:rPr>
        <w:t xml:space="preserve">of younger investors cited better coordination between digital tools and </w:t>
      </w:r>
      <w:proofErr w:type="spellStart"/>
      <w:r w:rsidRPr="00F92E75">
        <w:rPr>
          <w:rStyle w:val="ad"/>
          <w:b w:val="0"/>
          <w:bCs w:val="0"/>
        </w:rPr>
        <w:t>robo</w:t>
      </w:r>
      <w:proofErr w:type="spellEnd"/>
      <w:r w:rsidRPr="00F92E75">
        <w:rPr>
          <w:rStyle w:val="ad"/>
          <w:b w:val="0"/>
          <w:bCs w:val="0"/>
        </w:rPr>
        <w:t xml:space="preserve">-advisors and their financial advisors as the most important aspect; 52% of survey participants reported that they have hired a financial advisor to fully manage their investments, while a third of high-net-worth investors are using </w:t>
      </w:r>
      <w:proofErr w:type="spellStart"/>
      <w:r w:rsidRPr="00F92E75">
        <w:rPr>
          <w:rStyle w:val="ad"/>
          <w:b w:val="0"/>
          <w:bCs w:val="0"/>
        </w:rPr>
        <w:t>robo</w:t>
      </w:r>
      <w:proofErr w:type="spellEnd"/>
      <w:r w:rsidRPr="00F92E75">
        <w:rPr>
          <w:rStyle w:val="ad"/>
          <w:b w:val="0"/>
          <w:bCs w:val="0"/>
        </w:rPr>
        <w:t>-advisors and digital apps to execute investments.</w:t>
      </w:r>
    </w:p>
    <w:p w14:paraId="2D2DCC60" w14:textId="7DC8ACB4" w:rsidR="00FF2C0D" w:rsidRDefault="00FF2C0D" w:rsidP="00F92E75">
      <w:pPr>
        <w:pStyle w:val="Web"/>
        <w:snapToGrid w:val="0"/>
        <w:spacing w:line="360" w:lineRule="auto"/>
        <w:rPr>
          <w:rFonts w:eastAsiaTheme="minorEastAsia"/>
        </w:rPr>
      </w:pPr>
      <w:r w:rsidRPr="00F92E75">
        <w:rPr>
          <w:rFonts w:eastAsiaTheme="minorEastAsia"/>
        </w:rPr>
        <w:t>From these statistics, CA has to invest more resources on digital investment platforms if they want to maintain existing clients and approach new clients especially the younger generation.</w:t>
      </w:r>
    </w:p>
    <w:p w14:paraId="16966ABC" w14:textId="77777777" w:rsidR="00866B95" w:rsidRPr="00F92E75" w:rsidRDefault="00866B95" w:rsidP="00F92E75">
      <w:pPr>
        <w:pStyle w:val="Web"/>
        <w:snapToGrid w:val="0"/>
        <w:spacing w:line="360" w:lineRule="auto"/>
        <w:rPr>
          <w:rFonts w:eastAsiaTheme="minorEastAsia"/>
        </w:rPr>
      </w:pPr>
    </w:p>
    <w:p w14:paraId="325AEA4E" w14:textId="4C76CC16" w:rsidR="00FF2C0D" w:rsidRPr="00866B95" w:rsidRDefault="00FF2C0D" w:rsidP="00866B95">
      <w:pPr>
        <w:pStyle w:val="a3"/>
        <w:numPr>
          <w:ilvl w:val="1"/>
          <w:numId w:val="33"/>
        </w:numPr>
        <w:snapToGrid w:val="0"/>
        <w:spacing w:before="100" w:beforeAutospacing="1" w:after="100" w:afterAutospacing="1" w:line="360" w:lineRule="auto"/>
        <w:ind w:leftChars="0"/>
        <w:rPr>
          <w:rFonts w:ascii="Times New Roman" w:hAnsi="Times New Roman" w:cs="Times New Roman"/>
          <w:szCs w:val="24"/>
        </w:rPr>
      </w:pPr>
      <w:r w:rsidRPr="00866B95">
        <w:rPr>
          <w:rFonts w:ascii="Times New Roman" w:hAnsi="Times New Roman" w:cs="Times New Roman"/>
          <w:szCs w:val="24"/>
        </w:rPr>
        <w:t>Environmental</w:t>
      </w:r>
    </w:p>
    <w:p w14:paraId="53B1E222"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Environmental factors include all those relating to the physical environment and to general environmental protection requirements. In recent years, Environmental, social and governance (“ESG”) becomes a popular topic in asset management industry. Curry and </w:t>
      </w:r>
      <w:proofErr w:type="spellStart"/>
      <w:r w:rsidRPr="00F92E75">
        <w:rPr>
          <w:rFonts w:ascii="Times New Roman" w:hAnsi="Times New Roman" w:cs="Times New Roman"/>
          <w:szCs w:val="24"/>
        </w:rPr>
        <w:t>Napoletano</w:t>
      </w:r>
      <w:proofErr w:type="spellEnd"/>
      <w:r w:rsidRPr="00F92E75">
        <w:rPr>
          <w:rFonts w:ascii="Times New Roman" w:hAnsi="Times New Roman" w:cs="Times New Roman"/>
          <w:szCs w:val="24"/>
        </w:rPr>
        <w:t xml:space="preserve"> (2022) explains that “Environment” is about the impacts that organizations have on the environment, for example the carbon footprints of the organizations, toxic chemicals involved in the manufacturing processes and sustainability efforts that make up the supply chains. Investors are more concerned </w:t>
      </w:r>
      <w:r w:rsidRPr="00F92E75">
        <w:rPr>
          <w:rFonts w:ascii="Times New Roman" w:hAnsi="Times New Roman" w:cs="Times New Roman"/>
          <w:szCs w:val="24"/>
        </w:rPr>
        <w:lastRenderedPageBreak/>
        <w:t>about the involvement of asset management companies in their investments in ESG related companies. Saad (2022) quotes the findings of a survey that 48% of investors are interested in buying sustainable investing funds though they are not familiar with the definitions of ESG investing, and seven in ten investors surveyed employees would include this kind of funds in their 401(k) plans if offered.</w:t>
      </w:r>
    </w:p>
    <w:p w14:paraId="45178DCE"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ESG is not just acronym, it becomes one of the important selection criteria for investors and also fund managers. </w:t>
      </w:r>
      <w:proofErr w:type="spellStart"/>
      <w:r w:rsidRPr="00F92E75">
        <w:rPr>
          <w:rFonts w:ascii="Times New Roman" w:hAnsi="Times New Roman" w:cs="Times New Roman"/>
          <w:szCs w:val="24"/>
        </w:rPr>
        <w:t>Moyo</w:t>
      </w:r>
      <w:proofErr w:type="spellEnd"/>
      <w:r w:rsidRPr="00F92E75">
        <w:rPr>
          <w:rFonts w:ascii="Times New Roman" w:hAnsi="Times New Roman" w:cs="Times New Roman"/>
          <w:szCs w:val="24"/>
        </w:rPr>
        <w:t xml:space="preserve"> (2022) proposes 10 questions that companies should answer, </w:t>
      </w:r>
      <w:proofErr w:type="gramStart"/>
      <w:r w:rsidRPr="00F92E75">
        <w:rPr>
          <w:rFonts w:ascii="Times New Roman" w:hAnsi="Times New Roman" w:cs="Times New Roman"/>
          <w:szCs w:val="24"/>
        </w:rPr>
        <w:t>If</w:t>
      </w:r>
      <w:proofErr w:type="gramEnd"/>
      <w:r w:rsidRPr="00F92E75">
        <w:rPr>
          <w:rFonts w:ascii="Times New Roman" w:hAnsi="Times New Roman" w:cs="Times New Roman"/>
          <w:szCs w:val="24"/>
        </w:rPr>
        <w:t xml:space="preserve"> they fail to address these questions, there may be a risk that they will be overtaken by rivals and, at the extreme, could even cease to exist. These 10 questions are 1) Is ESG undermining your company’s competitiveness?; 2) Does driving the ESG agenda mean sacrificing company returns?; 3) How are you navigating ESG trade-offs?; 4) How does ESG change due diligence?; 5) Should you become a public benefit corporation?; 6) How should corporations address societal concerns such as racial equity?; 7) How do you develop a global approach to ESG?; 8) How do you build an ESG framework that is future-proofed for tomorrow’s economic realities?; 9) How do you vet company performance of ESG?; and 10) How should corporations navigate the ever-changing landscape of ESG?.</w:t>
      </w:r>
    </w:p>
    <w:p w14:paraId="4ED515AA"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CA should have proper procedures and actions to address ESG issues in their investment as well as operations. It is because most of their institutional clients are pension plans and charitable organizations, both take ESG investing seriously. In the discussion in Internal Audit session, it is found that CA has been doing different strategies to address ESG issues.</w:t>
      </w:r>
    </w:p>
    <w:p w14:paraId="083C0E40"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p>
    <w:p w14:paraId="02FB654D" w14:textId="53D3354B" w:rsidR="00FF2C0D" w:rsidRPr="00866B95" w:rsidRDefault="00FF2C0D" w:rsidP="00866B95">
      <w:pPr>
        <w:pStyle w:val="a3"/>
        <w:numPr>
          <w:ilvl w:val="1"/>
          <w:numId w:val="33"/>
        </w:numPr>
        <w:snapToGrid w:val="0"/>
        <w:spacing w:before="100" w:beforeAutospacing="1" w:after="100" w:afterAutospacing="1" w:line="360" w:lineRule="auto"/>
        <w:ind w:leftChars="0"/>
        <w:rPr>
          <w:rFonts w:ascii="Times New Roman" w:hAnsi="Times New Roman" w:cs="Times New Roman"/>
          <w:szCs w:val="24"/>
        </w:rPr>
      </w:pPr>
      <w:r w:rsidRPr="00866B95">
        <w:rPr>
          <w:rFonts w:ascii="Times New Roman" w:hAnsi="Times New Roman" w:cs="Times New Roman"/>
          <w:szCs w:val="24"/>
        </w:rPr>
        <w:t>Legal</w:t>
      </w:r>
    </w:p>
    <w:p w14:paraId="0324A29A"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Legal factors can include employment laws, consumer protection, industry specific regulations, business operations law and environmental regulations etc. Investment advisory is a highly regulated business. CA is registered under the United States Securities and Future Commission which has comprehensive rules and regulations to follow so as to protect the interests of investors. If any law related to regulated business is breached, the organization may be penalized, the punishment may involve </w:t>
      </w:r>
      <w:r w:rsidRPr="00F92E75">
        <w:rPr>
          <w:rFonts w:ascii="Times New Roman" w:hAnsi="Times New Roman" w:cs="Times New Roman"/>
          <w:szCs w:val="24"/>
        </w:rPr>
        <w:lastRenderedPageBreak/>
        <w:t>monetary fine, suspension of business and litigation. CA has been running different campaigns to demonstrate the corporation is a responsible employer. For example, as discussed in Internal Audit session, CA released their first annual Diversity, Equity, and Inclusion Report in March and earned the designation as a best place to work for LGBTQ Equality by the Human Rights Campaign (HRC) Foundation for two consecutive years. CA got a perfect score of 100 in two years reflecting they have attractive employee benefits, good cultures and workplace protection policies, and they are responsible citizenship. These are good evidence showing CA performs well in the legal areas.</w:t>
      </w:r>
    </w:p>
    <w:p w14:paraId="2F7EACE3" w14:textId="77777777" w:rsidR="00FF2C0D" w:rsidRPr="00F92E75" w:rsidRDefault="00FF2C0D" w:rsidP="00F92E75">
      <w:pPr>
        <w:snapToGrid w:val="0"/>
        <w:spacing w:before="100" w:beforeAutospacing="1" w:after="100" w:afterAutospacing="1" w:line="360" w:lineRule="auto"/>
        <w:rPr>
          <w:rFonts w:ascii="Times New Roman" w:hAnsi="Times New Roman" w:cs="Times New Roman"/>
          <w:szCs w:val="24"/>
        </w:rPr>
      </w:pPr>
    </w:p>
    <w:p w14:paraId="07C5EC6B" w14:textId="77777777" w:rsidR="00866B95" w:rsidRDefault="00866B95">
      <w:pPr>
        <w:widowControl/>
        <w:rPr>
          <w:rFonts w:ascii="Times New Roman" w:hAnsi="Times New Roman" w:cs="Times New Roman"/>
          <w:szCs w:val="24"/>
        </w:rPr>
      </w:pPr>
      <w:r>
        <w:rPr>
          <w:rFonts w:ascii="Times New Roman" w:hAnsi="Times New Roman" w:cs="Times New Roman"/>
          <w:szCs w:val="24"/>
        </w:rPr>
        <w:br w:type="page"/>
      </w:r>
    </w:p>
    <w:p w14:paraId="0894C757" w14:textId="55722A6B" w:rsidR="00AF3690" w:rsidRPr="00462AA5" w:rsidRDefault="00462AA5" w:rsidP="00866B95">
      <w:pPr>
        <w:snapToGrid w:val="0"/>
        <w:spacing w:before="100" w:beforeAutospacing="1" w:after="100" w:afterAutospacing="1" w:line="360" w:lineRule="auto"/>
        <w:jc w:val="center"/>
        <w:rPr>
          <w:rFonts w:ascii="Times New Roman" w:hAnsi="Times New Roman" w:cs="Times New Roman"/>
          <w:b/>
          <w:bCs/>
          <w:szCs w:val="24"/>
        </w:rPr>
      </w:pPr>
      <w:r w:rsidRPr="00462AA5">
        <w:rPr>
          <w:rFonts w:ascii="Times New Roman" w:hAnsi="Times New Roman" w:cs="Times New Roman"/>
          <w:b/>
          <w:bCs/>
          <w:szCs w:val="24"/>
        </w:rPr>
        <w:lastRenderedPageBreak/>
        <w:t xml:space="preserve">5. </w:t>
      </w:r>
      <w:r w:rsidR="00AF3690" w:rsidRPr="00462AA5">
        <w:rPr>
          <w:rFonts w:ascii="Times New Roman" w:hAnsi="Times New Roman" w:cs="Times New Roman"/>
          <w:b/>
          <w:bCs/>
          <w:szCs w:val="24"/>
        </w:rPr>
        <w:t xml:space="preserve">SWOT </w:t>
      </w:r>
      <w:r w:rsidR="00866B95" w:rsidRPr="00462AA5">
        <w:rPr>
          <w:rFonts w:ascii="Times New Roman" w:hAnsi="Times New Roman" w:cs="Times New Roman"/>
          <w:b/>
          <w:bCs/>
          <w:szCs w:val="24"/>
        </w:rPr>
        <w:t xml:space="preserve">Analysis </w:t>
      </w:r>
      <w:r w:rsidR="00AF3690" w:rsidRPr="00462AA5">
        <w:rPr>
          <w:rFonts w:ascii="Times New Roman" w:hAnsi="Times New Roman" w:cs="Times New Roman"/>
          <w:b/>
          <w:bCs/>
          <w:szCs w:val="24"/>
        </w:rPr>
        <w:t>of C</w:t>
      </w:r>
      <w:r w:rsidR="00866B95" w:rsidRPr="00462AA5">
        <w:rPr>
          <w:rFonts w:ascii="Times New Roman" w:hAnsi="Times New Roman" w:cs="Times New Roman"/>
          <w:b/>
          <w:bCs/>
          <w:szCs w:val="24"/>
        </w:rPr>
        <w:t xml:space="preserve">ambridge Associates </w:t>
      </w:r>
      <w:r w:rsidRPr="00462AA5">
        <w:rPr>
          <w:rFonts w:ascii="Times New Roman" w:hAnsi="Times New Roman" w:cs="Times New Roman"/>
          <w:b/>
          <w:bCs/>
          <w:szCs w:val="24"/>
        </w:rPr>
        <w:t>(Hong Kong) Private Limited</w:t>
      </w:r>
    </w:p>
    <w:p w14:paraId="2EF62146" w14:textId="77777777" w:rsidR="00462AA5" w:rsidRPr="00462AA5" w:rsidRDefault="00462AA5" w:rsidP="00462AA5">
      <w:pPr>
        <w:snapToGrid w:val="0"/>
        <w:spacing w:before="100" w:beforeAutospacing="1" w:after="100" w:afterAutospacing="1" w:line="360" w:lineRule="auto"/>
        <w:rPr>
          <w:rFonts w:ascii="Times New Roman" w:hAnsi="Times New Roman" w:cs="Times New Roman" w:hint="eastAsia"/>
          <w:szCs w:val="24"/>
        </w:rPr>
      </w:pPr>
    </w:p>
    <w:p w14:paraId="29E8598A"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CA announced in March 2021 that the company would expand the business exposures in Asia by opening a new office in Hong Kong. Cambridge Associates (Hong Kong) Private Limited (“CAHK”) was set up and licensed by the Securities and Futures Commission of Hong Kong on March 29, 2022 to conduct regulated activity “Type 4: Advising on securities” in Hong Kong.</w:t>
      </w:r>
    </w:p>
    <w:p w14:paraId="469EA45F" w14:textId="5192CCD4" w:rsidR="00AF3690"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The business is just started, this section will investigate the competitive advantages of CAHK by using SWOT analysis. SWOT analysis is used as it is comprehensive in understanding both internal and external advantages and challenges of the organization.</w:t>
      </w:r>
    </w:p>
    <w:p w14:paraId="07C8BD2E" w14:textId="77777777" w:rsidR="00D50D2E" w:rsidRPr="00F92E75" w:rsidRDefault="00D50D2E" w:rsidP="00F92E75">
      <w:pPr>
        <w:snapToGrid w:val="0"/>
        <w:spacing w:before="100" w:beforeAutospacing="1" w:after="100" w:afterAutospacing="1" w:line="360" w:lineRule="auto"/>
        <w:rPr>
          <w:rFonts w:ascii="Times New Roman" w:hAnsi="Times New Roman" w:cs="Times New Roman"/>
          <w:szCs w:val="24"/>
        </w:rPr>
      </w:pPr>
    </w:p>
    <w:p w14:paraId="6E338EF7" w14:textId="2342B7D3"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sidRPr="00D50D2E">
        <w:rPr>
          <w:rFonts w:ascii="Times New Roman" w:hAnsi="Times New Roman" w:cs="Times New Roman" w:hint="eastAsia"/>
          <w:szCs w:val="24"/>
        </w:rPr>
        <w:t>5</w:t>
      </w:r>
      <w:r w:rsidRPr="00D50D2E">
        <w:rPr>
          <w:rFonts w:ascii="Times New Roman" w:hAnsi="Times New Roman" w:cs="Times New Roman"/>
          <w:szCs w:val="24"/>
        </w:rPr>
        <w:t xml:space="preserve">.1 </w:t>
      </w:r>
      <w:r w:rsidR="00AF3690" w:rsidRPr="00D50D2E">
        <w:rPr>
          <w:rFonts w:ascii="Times New Roman" w:hAnsi="Times New Roman" w:cs="Times New Roman"/>
          <w:szCs w:val="24"/>
        </w:rPr>
        <w:t>Strength</w:t>
      </w:r>
      <w:r>
        <w:rPr>
          <w:rFonts w:ascii="Times New Roman" w:hAnsi="Times New Roman" w:cs="Times New Roman"/>
          <w:szCs w:val="24"/>
        </w:rPr>
        <w:t>s</w:t>
      </w:r>
    </w:p>
    <w:p w14:paraId="6D4723CC" w14:textId="058F3C2A"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5.1.1 </w:t>
      </w:r>
      <w:r w:rsidR="00AF3690" w:rsidRPr="00F92E75">
        <w:rPr>
          <w:rFonts w:ascii="Times New Roman" w:hAnsi="Times New Roman" w:cs="Times New Roman"/>
          <w:szCs w:val="24"/>
        </w:rPr>
        <w:t>Worldwide presence with long history</w:t>
      </w:r>
    </w:p>
    <w:p w14:paraId="5D3545CA"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CA started in 1973 and now has well established offices in the United States, London, Munich, Australia, Singapore and Beijing, so the worldwide presence of sales and servicing networks can support CAHK to kick start easier.</w:t>
      </w:r>
    </w:p>
    <w:p w14:paraId="5F8DBBD3" w14:textId="4F7C0971"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5.1.2 </w:t>
      </w:r>
      <w:r w:rsidR="00AF3690" w:rsidRPr="00F92E75">
        <w:rPr>
          <w:rFonts w:ascii="Times New Roman" w:hAnsi="Times New Roman" w:cs="Times New Roman"/>
          <w:szCs w:val="24"/>
        </w:rPr>
        <w:t>Wide range of solutions</w:t>
      </w:r>
    </w:p>
    <w:p w14:paraId="5B6B70A2" w14:textId="0D93629C" w:rsidR="00AF3690"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CA currently is offering a range of solutions, which include discretionary or outsourced chief investment officer, advisory services and asset class mandates. In addition, CA has different kinds of asset class expertise in managing private equity, venture capital, secondaries &amp; co-investments, real assets, credit investments, hedge funds and public equities. Their professional and extensive experience and knowledge can support CAHK to work for different kinds of institutional and individual high net worth clients.</w:t>
      </w:r>
    </w:p>
    <w:p w14:paraId="6A3AA1A2" w14:textId="77777777" w:rsidR="00D50D2E" w:rsidRPr="00F92E75" w:rsidRDefault="00D50D2E" w:rsidP="00F92E75">
      <w:pPr>
        <w:snapToGrid w:val="0"/>
        <w:spacing w:before="100" w:beforeAutospacing="1" w:after="100" w:afterAutospacing="1" w:line="360" w:lineRule="auto"/>
        <w:rPr>
          <w:rFonts w:ascii="Times New Roman" w:hAnsi="Times New Roman" w:cs="Times New Roman"/>
          <w:szCs w:val="24"/>
        </w:rPr>
      </w:pPr>
    </w:p>
    <w:p w14:paraId="23214B77" w14:textId="338EC7D8"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hint="eastAsia"/>
          <w:szCs w:val="24"/>
        </w:rPr>
        <w:lastRenderedPageBreak/>
        <w:t>5</w:t>
      </w:r>
      <w:r>
        <w:rPr>
          <w:rFonts w:ascii="Times New Roman" w:hAnsi="Times New Roman" w:cs="Times New Roman"/>
          <w:szCs w:val="24"/>
        </w:rPr>
        <w:t xml:space="preserve">.1.3 </w:t>
      </w:r>
      <w:r w:rsidR="00AF3690" w:rsidRPr="00F92E75">
        <w:rPr>
          <w:rFonts w:ascii="Times New Roman" w:hAnsi="Times New Roman" w:cs="Times New Roman"/>
          <w:szCs w:val="24"/>
        </w:rPr>
        <w:t>Strong Asia leadership team</w:t>
      </w:r>
    </w:p>
    <w:p w14:paraId="210E2196"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Ms. Edwina Ho joined CAHK as the Hong Kong-based Senior Director of Business Development for Asia when the Hong Kong office was set up. Edwina has 20 years of institutional business development experience earned from some global asset management companies, Legg Mason Asset Management Hong Kong Limited, Macquarie Funds Management Hong Kong Limited, Everbright Capital Management Limited and China Everbright Assets Management Limited are some of them (Securities and Futures Commission, 2022).</w:t>
      </w:r>
    </w:p>
    <w:p w14:paraId="31C01665"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Ms. Mary Pang, Head of the Global Private Client Practice was relocated from San Francisco to Asia and station in CA’s office in Singapore. Mary </w:t>
      </w:r>
      <w:r w:rsidRPr="00F92E75">
        <w:rPr>
          <w:rFonts w:ascii="Times New Roman" w:eastAsia="Times New Roman" w:hAnsi="Times New Roman" w:cs="Times New Roman"/>
          <w:kern w:val="0"/>
          <w:szCs w:val="24"/>
        </w:rPr>
        <w:t xml:space="preserve">has over 20 years of experience in the investment industry and has been serving prominent families and individuals across the world. </w:t>
      </w:r>
      <w:r w:rsidRPr="00F92E75">
        <w:rPr>
          <w:rFonts w:ascii="Times New Roman" w:hAnsi="Times New Roman" w:cs="Times New Roman"/>
          <w:szCs w:val="24"/>
        </w:rPr>
        <w:t>This strategic move further accentuates CA’s commitment to accelerating business growth in the region, especially among private clients and family offices.</w:t>
      </w:r>
    </w:p>
    <w:p w14:paraId="64FCAE00"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Mr. Aaron Costello is the Regional Head for Asia and is responsible for CA’s investment and research activities in Asia. He joined CA in 2003 and relocated to Singapore in 2010 and then Beijing in 2016. He covers global markets and supports CA and CAHK to provide views</w:t>
      </w:r>
      <w:r w:rsidRPr="00F92E75">
        <w:rPr>
          <w:rFonts w:ascii="Times New Roman" w:eastAsia="Times New Roman" w:hAnsi="Times New Roman" w:cs="Times New Roman"/>
          <w:kern w:val="0"/>
          <w:szCs w:val="24"/>
        </w:rPr>
        <w:t xml:space="preserve"> on various global asset classes and Asia-Pacific investment opportunities.</w:t>
      </w:r>
    </w:p>
    <w:p w14:paraId="4CAC1F33"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0235C245" w14:textId="3041902A"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sidRPr="00D50D2E">
        <w:rPr>
          <w:rFonts w:ascii="Times New Roman" w:hAnsi="Times New Roman" w:cs="Times New Roman"/>
          <w:szCs w:val="24"/>
        </w:rPr>
        <w:t xml:space="preserve">5.2 </w:t>
      </w:r>
      <w:r w:rsidR="00AF3690" w:rsidRPr="00D50D2E">
        <w:rPr>
          <w:rFonts w:ascii="Times New Roman" w:hAnsi="Times New Roman" w:cs="Times New Roman"/>
          <w:szCs w:val="24"/>
        </w:rPr>
        <w:t>Weakness</w:t>
      </w:r>
      <w:r>
        <w:rPr>
          <w:rFonts w:ascii="Times New Roman" w:hAnsi="Times New Roman" w:cs="Times New Roman"/>
          <w:szCs w:val="24"/>
        </w:rPr>
        <w:t>es</w:t>
      </w:r>
    </w:p>
    <w:p w14:paraId="083ABC5F" w14:textId="2E989F4A"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5.2.1 </w:t>
      </w:r>
      <w:r w:rsidR="00AF3690" w:rsidRPr="00F92E75">
        <w:rPr>
          <w:rFonts w:ascii="Times New Roman" w:hAnsi="Times New Roman" w:cs="Times New Roman"/>
          <w:szCs w:val="24"/>
        </w:rPr>
        <w:t>Concentration on limited number of customers</w:t>
      </w:r>
    </w:p>
    <w:p w14:paraId="0CC08F2B"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CA has accumulated 568 clients in 49 years (Investment Adviser Public Disclosure, 2022a). Hong Kong as a global financial </w:t>
      </w:r>
      <w:proofErr w:type="spellStart"/>
      <w:r w:rsidRPr="00F92E75">
        <w:rPr>
          <w:rFonts w:ascii="Times New Roman" w:hAnsi="Times New Roman" w:cs="Times New Roman"/>
          <w:szCs w:val="24"/>
        </w:rPr>
        <w:t>centre</w:t>
      </w:r>
      <w:proofErr w:type="spellEnd"/>
      <w:r w:rsidRPr="00F92E75">
        <w:rPr>
          <w:rFonts w:ascii="Times New Roman" w:hAnsi="Times New Roman" w:cs="Times New Roman"/>
          <w:szCs w:val="24"/>
        </w:rPr>
        <w:t xml:space="preserve"> with high proportion of wealthy clients, most of the high net worth and institutional clients have been servicing by international and local financial institutions and investment advisory firms, CAHK has to compete with 942 firms who are conducting asset management, fund advisory, private banking and private wealth management business or trust services in Hong Kong (Securities and Futures Commission, 2021). Hence, this weakness makes </w:t>
      </w:r>
      <w:r w:rsidRPr="00F92E75">
        <w:rPr>
          <w:rFonts w:ascii="Times New Roman" w:hAnsi="Times New Roman" w:cs="Times New Roman"/>
          <w:szCs w:val="24"/>
        </w:rPr>
        <w:lastRenderedPageBreak/>
        <w:t xml:space="preserve">CAHK difficult to find a </w:t>
      </w:r>
      <w:proofErr w:type="gramStart"/>
      <w:r w:rsidRPr="00F92E75">
        <w:rPr>
          <w:rFonts w:ascii="Times New Roman" w:hAnsi="Times New Roman" w:cs="Times New Roman"/>
          <w:szCs w:val="24"/>
        </w:rPr>
        <w:t>clients</w:t>
      </w:r>
      <w:proofErr w:type="gramEnd"/>
      <w:r w:rsidRPr="00F92E75">
        <w:rPr>
          <w:rFonts w:ascii="Times New Roman" w:hAnsi="Times New Roman" w:cs="Times New Roman"/>
          <w:szCs w:val="24"/>
        </w:rPr>
        <w:t>.</w:t>
      </w:r>
    </w:p>
    <w:p w14:paraId="53A36D7A" w14:textId="1EBA8580" w:rsidR="00AF3690" w:rsidRPr="00F92E75" w:rsidRDefault="00D50D2E"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5.2.2 </w:t>
      </w:r>
      <w:r w:rsidR="00AF3690" w:rsidRPr="00F92E75">
        <w:rPr>
          <w:rFonts w:ascii="Times New Roman" w:hAnsi="Times New Roman" w:cs="Times New Roman"/>
          <w:szCs w:val="24"/>
        </w:rPr>
        <w:t>Investment restrictions for US firms</w:t>
      </w:r>
    </w:p>
    <w:p w14:paraId="38E794B3" w14:textId="50AA551F" w:rsidR="00AF3690"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In January 2021, government of the United States banned investment companies registered in the United States to invest in some Hong Kong listed companies, State Street Corp, the fund manager of the Tracker Fund of Hong Kong, announced that they could not invest in the listed companies even they are the blue chips stocks in Hong Kong. The issue also threatened the Hong Kong's pension industry because eight Mandatory Provident Fund Scheme sponsors provide the Tracker Fund as an investment option and they are also US-based investment companies, including Principal Trust Co. (Asia) Ltd., Fidelity and Invesco Ltd (Hu and Chen, 2021). Although the problem was finally resolved and the investment companies can continue to invest in the Tracker Fund, it raised an issue that similar situation may happen again. Indeed, State Street was finally dropped as the fund manager of the Tracker Fund in March 2022 (Wong, 2022). Therefore, investors may consider seriously whether they should appoint investment companies from the United States if they do not want to have any limitations in investing in China related stocks in the future. CAHK is a subsidiary of CA, any restrictions on CA may also affect CAHK, so it is a weakness to CAHK when compared with other investment advisory companies domiciled in Hong Kong or non-US places.</w:t>
      </w:r>
    </w:p>
    <w:p w14:paraId="31907349" w14:textId="77777777" w:rsidR="00D50D2E" w:rsidRPr="00F92E75" w:rsidRDefault="00D50D2E" w:rsidP="00F92E75">
      <w:pPr>
        <w:snapToGrid w:val="0"/>
        <w:spacing w:before="100" w:beforeAutospacing="1" w:after="100" w:afterAutospacing="1" w:line="360" w:lineRule="auto"/>
        <w:rPr>
          <w:rFonts w:ascii="Times New Roman" w:hAnsi="Times New Roman" w:cs="Times New Roman"/>
          <w:szCs w:val="24"/>
        </w:rPr>
      </w:pPr>
    </w:p>
    <w:p w14:paraId="7DF32BFF" w14:textId="702D1289" w:rsidR="00AF3690" w:rsidRPr="00D50D2E" w:rsidRDefault="00AF3690" w:rsidP="00D50D2E">
      <w:pPr>
        <w:pStyle w:val="a3"/>
        <w:numPr>
          <w:ilvl w:val="1"/>
          <w:numId w:val="34"/>
        </w:numPr>
        <w:snapToGrid w:val="0"/>
        <w:spacing w:before="100" w:beforeAutospacing="1" w:after="100" w:afterAutospacing="1" w:line="360" w:lineRule="auto"/>
        <w:ind w:leftChars="0"/>
        <w:rPr>
          <w:rFonts w:ascii="Times New Roman" w:hAnsi="Times New Roman" w:cs="Times New Roman"/>
          <w:szCs w:val="24"/>
        </w:rPr>
      </w:pPr>
      <w:r w:rsidRPr="00D50D2E">
        <w:rPr>
          <w:rFonts w:ascii="Times New Roman" w:hAnsi="Times New Roman" w:cs="Times New Roman"/>
          <w:szCs w:val="24"/>
        </w:rPr>
        <w:t>Opportunities</w:t>
      </w:r>
    </w:p>
    <w:p w14:paraId="13808CFF" w14:textId="1838A8A4" w:rsidR="00AF3690" w:rsidRPr="00D50D2E" w:rsidRDefault="00D50D2E" w:rsidP="00D50D2E">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 xml:space="preserve">5.3.1 </w:t>
      </w:r>
      <w:r w:rsidR="00AF3690" w:rsidRPr="00D50D2E">
        <w:rPr>
          <w:rFonts w:ascii="Times New Roman" w:hAnsi="Times New Roman" w:cs="Times New Roman"/>
          <w:szCs w:val="24"/>
        </w:rPr>
        <w:t xml:space="preserve">HK </w:t>
      </w:r>
      <w:r>
        <w:rPr>
          <w:rFonts w:ascii="Times New Roman" w:hAnsi="Times New Roman" w:cs="Times New Roman"/>
          <w:szCs w:val="24"/>
        </w:rPr>
        <w:t xml:space="preserve">a leader </w:t>
      </w:r>
      <w:r w:rsidR="00AF3690" w:rsidRPr="00D50D2E">
        <w:rPr>
          <w:rFonts w:ascii="Times New Roman" w:hAnsi="Times New Roman" w:cs="Times New Roman"/>
          <w:szCs w:val="24"/>
        </w:rPr>
        <w:t xml:space="preserve">international financial </w:t>
      </w:r>
      <w:proofErr w:type="spellStart"/>
      <w:r w:rsidR="00AF3690" w:rsidRPr="00D50D2E">
        <w:rPr>
          <w:rFonts w:ascii="Times New Roman" w:hAnsi="Times New Roman" w:cs="Times New Roman"/>
          <w:szCs w:val="24"/>
        </w:rPr>
        <w:t>centre</w:t>
      </w:r>
      <w:proofErr w:type="spellEnd"/>
    </w:p>
    <w:p w14:paraId="39A3F508" w14:textId="77777777" w:rsidR="00AF3690" w:rsidRPr="00F92E75" w:rsidRDefault="00AF3690" w:rsidP="00F92E75">
      <w:pPr>
        <w:snapToGrid w:val="0"/>
        <w:spacing w:before="100" w:beforeAutospacing="1" w:after="100" w:afterAutospacing="1" w:line="360" w:lineRule="auto"/>
        <w:rPr>
          <w:rFonts w:ascii="Times New Roman" w:eastAsia="Times New Roman" w:hAnsi="Times New Roman" w:cs="Times New Roman"/>
          <w:color w:val="1D2228"/>
          <w:kern w:val="0"/>
          <w:szCs w:val="24"/>
        </w:rPr>
      </w:pPr>
      <w:r w:rsidRPr="00F92E75">
        <w:rPr>
          <w:rFonts w:ascii="Times New Roman" w:hAnsi="Times New Roman" w:cs="Times New Roman"/>
          <w:szCs w:val="24"/>
        </w:rPr>
        <w:t xml:space="preserve">Bray and </w:t>
      </w:r>
      <w:proofErr w:type="spellStart"/>
      <w:r w:rsidRPr="00F92E75">
        <w:rPr>
          <w:rFonts w:ascii="Times New Roman" w:hAnsi="Times New Roman" w:cs="Times New Roman"/>
          <w:szCs w:val="24"/>
        </w:rPr>
        <w:t>Yiu</w:t>
      </w:r>
      <w:proofErr w:type="spellEnd"/>
      <w:r w:rsidRPr="00F92E75">
        <w:rPr>
          <w:rFonts w:ascii="Times New Roman" w:hAnsi="Times New Roman" w:cs="Times New Roman"/>
          <w:szCs w:val="24"/>
        </w:rPr>
        <w:t xml:space="preserve"> (2022) reports that Hong Kong and some major cities in China are ranked as the leading global financial </w:t>
      </w:r>
      <w:proofErr w:type="spellStart"/>
      <w:r w:rsidRPr="00F92E75">
        <w:rPr>
          <w:rFonts w:ascii="Times New Roman" w:hAnsi="Times New Roman" w:cs="Times New Roman"/>
          <w:szCs w:val="24"/>
        </w:rPr>
        <w:t>centres</w:t>
      </w:r>
      <w:proofErr w:type="spellEnd"/>
      <w:r w:rsidRPr="00F92E75">
        <w:rPr>
          <w:rFonts w:ascii="Times New Roman" w:hAnsi="Times New Roman" w:cs="Times New Roman"/>
          <w:szCs w:val="24"/>
        </w:rPr>
        <w:t xml:space="preserve">. Z/YEN (2022) ranks Hong Kong in the thirty-first edition of the Global Financial </w:t>
      </w:r>
      <w:proofErr w:type="spellStart"/>
      <w:r w:rsidRPr="00F92E75">
        <w:rPr>
          <w:rFonts w:ascii="Times New Roman" w:hAnsi="Times New Roman" w:cs="Times New Roman"/>
          <w:szCs w:val="24"/>
        </w:rPr>
        <w:t>Centres</w:t>
      </w:r>
      <w:proofErr w:type="spellEnd"/>
      <w:r w:rsidRPr="00F92E75">
        <w:rPr>
          <w:rFonts w:ascii="Times New Roman" w:hAnsi="Times New Roman" w:cs="Times New Roman"/>
          <w:szCs w:val="24"/>
        </w:rPr>
        <w:t xml:space="preserve"> Index report in the third-place as a leading international financial </w:t>
      </w:r>
      <w:proofErr w:type="spellStart"/>
      <w:r w:rsidRPr="00F92E75">
        <w:rPr>
          <w:rFonts w:ascii="Times New Roman" w:hAnsi="Times New Roman" w:cs="Times New Roman"/>
          <w:szCs w:val="24"/>
        </w:rPr>
        <w:t>centre</w:t>
      </w:r>
      <w:proofErr w:type="spellEnd"/>
      <w:r w:rsidRPr="00F92E75">
        <w:rPr>
          <w:rFonts w:ascii="Times New Roman" w:hAnsi="Times New Roman" w:cs="Times New Roman"/>
          <w:szCs w:val="24"/>
        </w:rPr>
        <w:t xml:space="preserve">, after New York and London. The report was produced by the </w:t>
      </w:r>
      <w:r w:rsidRPr="00F92E75">
        <w:rPr>
          <w:rFonts w:ascii="Times New Roman" w:eastAsia="Times New Roman" w:hAnsi="Times New Roman" w:cs="Times New Roman"/>
          <w:color w:val="1D2228"/>
          <w:kern w:val="0"/>
          <w:szCs w:val="24"/>
        </w:rPr>
        <w:t xml:space="preserve">China Development Institute in Shenzhen and the London think tank Z/Yen Partners. </w:t>
      </w:r>
      <w:r w:rsidRPr="00F92E75">
        <w:rPr>
          <w:rFonts w:ascii="Times New Roman" w:hAnsi="Times New Roman" w:cs="Times New Roman"/>
          <w:szCs w:val="24"/>
        </w:rPr>
        <w:t xml:space="preserve">In the same report, Shanghai was fourth, Beijing was eighth and Shenzhen was tenth. The </w:t>
      </w:r>
      <w:r w:rsidRPr="00F92E75">
        <w:rPr>
          <w:rFonts w:ascii="Times New Roman" w:eastAsia="Times New Roman" w:hAnsi="Times New Roman" w:cs="Times New Roman"/>
          <w:color w:val="1D2228"/>
          <w:kern w:val="0"/>
          <w:szCs w:val="24"/>
        </w:rPr>
        <w:t xml:space="preserve">report reaffirms the importance of Hong Kong and some </w:t>
      </w:r>
      <w:r w:rsidRPr="00F92E75">
        <w:rPr>
          <w:rFonts w:ascii="Times New Roman" w:eastAsia="Times New Roman" w:hAnsi="Times New Roman" w:cs="Times New Roman"/>
          <w:color w:val="1D2228"/>
          <w:kern w:val="0"/>
          <w:szCs w:val="24"/>
        </w:rPr>
        <w:lastRenderedPageBreak/>
        <w:t>cities in China in leading global financial development as well as creating business and career opportunities in financial sector.</w:t>
      </w:r>
    </w:p>
    <w:p w14:paraId="1C54F952" w14:textId="77777777" w:rsidR="00AF3690" w:rsidRPr="00F92E75" w:rsidRDefault="00AF3690" w:rsidP="00F92E75">
      <w:pPr>
        <w:autoSpaceDE w:val="0"/>
        <w:autoSpaceDN w:val="0"/>
        <w:adjustRightInd w:val="0"/>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Zhou (2021) argues that the leading status of Hong Kong has been strengthening further with the implementation of the Greater Bay Area Outline Development Plan. In the plan, Hong Kong will not only be an international financial hub in the Greater Bay Area, but also a competitive asset management </w:t>
      </w:r>
      <w:proofErr w:type="spellStart"/>
      <w:r w:rsidRPr="00F92E75">
        <w:rPr>
          <w:rFonts w:ascii="Times New Roman" w:hAnsi="Times New Roman" w:cs="Times New Roman"/>
          <w:szCs w:val="24"/>
        </w:rPr>
        <w:t>centre</w:t>
      </w:r>
      <w:proofErr w:type="spellEnd"/>
      <w:r w:rsidRPr="00F92E75">
        <w:rPr>
          <w:rFonts w:ascii="Times New Roman" w:hAnsi="Times New Roman" w:cs="Times New Roman"/>
          <w:szCs w:val="24"/>
        </w:rPr>
        <w:t xml:space="preserve"> and </w:t>
      </w:r>
      <w:r w:rsidRPr="00F92E75">
        <w:rPr>
          <w:rFonts w:ascii="Times New Roman" w:eastAsia="MyriadPro-Semibold" w:hAnsi="Times New Roman" w:cs="Times New Roman"/>
          <w:kern w:val="0"/>
          <w:szCs w:val="24"/>
        </w:rPr>
        <w:t>financing platforms for mainland enterprises</w:t>
      </w:r>
      <w:r w:rsidRPr="00F92E75">
        <w:rPr>
          <w:rFonts w:ascii="Times New Roman" w:hAnsi="Times New Roman" w:cs="Times New Roman"/>
          <w:szCs w:val="24"/>
        </w:rPr>
        <w:t xml:space="preserve">. There are several reasons that Hong Kong can take up these important roles. Zhou (2021) elaborates that the </w:t>
      </w:r>
      <w:r w:rsidRPr="00F92E75">
        <w:rPr>
          <w:rFonts w:ascii="Times New Roman" w:eastAsia="MyriadPro-Light" w:hAnsi="Times New Roman" w:cs="Times New Roman"/>
          <w:kern w:val="0"/>
          <w:szCs w:val="24"/>
        </w:rPr>
        <w:t>business-friendly environment, low taxes, rule of law under an independent common law legal system, high financial freedom, low levels of corruption, modern infrastructure, and robust intellectual property protection are fundamental advantages of Hong Kong. Most importantly, the strong bonding between Mainland China and Hong Kong facilitates robust developments for both businesses and individuals. Zhou (2021) claims that there are five specific reasons that Hong Kong is advantageous to be a global financial hub in the Greater Bay Area. Firstly, the policy of pegging Hong Kong dollar with United States dollar in exchange rate helps reduce the currency fluctuations. Secondly, Hong Kong does not impose sales tax or VAT, no withholding tax, no capital gains tax, no tax on dividends and no estate tax (</w:t>
      </w:r>
      <w:proofErr w:type="spellStart"/>
      <w:r w:rsidRPr="00F92E75">
        <w:rPr>
          <w:rFonts w:ascii="Times New Roman" w:hAnsi="Times New Roman" w:cs="Times New Roman"/>
          <w:szCs w:val="24"/>
        </w:rPr>
        <w:t>InvestHK</w:t>
      </w:r>
      <w:proofErr w:type="spellEnd"/>
      <w:r w:rsidRPr="00F92E75">
        <w:rPr>
          <w:rFonts w:ascii="Times New Roman" w:hAnsi="Times New Roman" w:cs="Times New Roman"/>
          <w:szCs w:val="24"/>
        </w:rPr>
        <w:t>, n.d.). It means that the tax liability will be much lower if the business is operating in Hong Kong. Thirdly, companies operating in Hong Kong are regulated by the rules and laws in Hong Kong, which are based on the UK. Fourthly, under the “Closer Economic Partnership” system, also abbreviated as CEPA, companies in Hong Kong can enjoy advantages in doing trades with China. Finally, Hong Kong is located in the center of the Greater Bay Area, accounting for around one fourth of all mainland China trades.</w:t>
      </w:r>
    </w:p>
    <w:p w14:paraId="0AADC954" w14:textId="714EAD26" w:rsidR="00AF3690" w:rsidRPr="00D50D2E" w:rsidRDefault="00AF3690" w:rsidP="00D50D2E">
      <w:pPr>
        <w:pStyle w:val="a3"/>
        <w:numPr>
          <w:ilvl w:val="2"/>
          <w:numId w:val="35"/>
        </w:numPr>
        <w:snapToGrid w:val="0"/>
        <w:spacing w:before="100" w:beforeAutospacing="1" w:after="100" w:afterAutospacing="1" w:line="360" w:lineRule="auto"/>
        <w:ind w:leftChars="0"/>
        <w:rPr>
          <w:rFonts w:ascii="Times New Roman" w:hAnsi="Times New Roman" w:cs="Times New Roman"/>
          <w:szCs w:val="24"/>
        </w:rPr>
      </w:pPr>
      <w:r w:rsidRPr="00D50D2E">
        <w:rPr>
          <w:rFonts w:ascii="Times New Roman" w:hAnsi="Times New Roman" w:cs="Times New Roman"/>
          <w:szCs w:val="24"/>
        </w:rPr>
        <w:t xml:space="preserve">Growing </w:t>
      </w:r>
      <w:r w:rsidR="00377199">
        <w:rPr>
          <w:rFonts w:ascii="Times New Roman" w:hAnsi="Times New Roman" w:cs="Times New Roman"/>
          <w:szCs w:val="24"/>
        </w:rPr>
        <w:t>w</w:t>
      </w:r>
      <w:r w:rsidRPr="00D50D2E">
        <w:rPr>
          <w:rFonts w:ascii="Times New Roman" w:hAnsi="Times New Roman" w:cs="Times New Roman"/>
          <w:szCs w:val="24"/>
        </w:rPr>
        <w:t xml:space="preserve">ealth </w:t>
      </w:r>
      <w:r w:rsidR="00377199">
        <w:rPr>
          <w:rFonts w:ascii="Times New Roman" w:hAnsi="Times New Roman" w:cs="Times New Roman"/>
          <w:szCs w:val="24"/>
        </w:rPr>
        <w:t>m</w:t>
      </w:r>
      <w:r w:rsidRPr="00D50D2E">
        <w:rPr>
          <w:rFonts w:ascii="Times New Roman" w:hAnsi="Times New Roman" w:cs="Times New Roman"/>
          <w:szCs w:val="24"/>
        </w:rPr>
        <w:t xml:space="preserve">anagement </w:t>
      </w:r>
      <w:r w:rsidR="00377199">
        <w:rPr>
          <w:rFonts w:ascii="Times New Roman" w:hAnsi="Times New Roman" w:cs="Times New Roman"/>
          <w:szCs w:val="24"/>
        </w:rPr>
        <w:t>p</w:t>
      </w:r>
      <w:r w:rsidRPr="00D50D2E">
        <w:rPr>
          <w:rFonts w:ascii="Times New Roman" w:hAnsi="Times New Roman" w:cs="Times New Roman"/>
          <w:szCs w:val="24"/>
        </w:rPr>
        <w:t>rospects in China</w:t>
      </w:r>
    </w:p>
    <w:p w14:paraId="5A07C3D8"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Industrial Bank Co Ltd. SWOT Analysis (2022) argues that growing affluent population in Mainland China may be a strong engine for the business growth of providers of wealth management services. From the bank’s in-house research, the projected affluent population is projected to reach 56.7 million in 2022, including 2.1 million are high net worth individuals. CAHK can work closely with CA’s Beijing office to develop suitable services for the clients from Mainland China.</w:t>
      </w:r>
    </w:p>
    <w:p w14:paraId="754892C2"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7C3310D6" w14:textId="728B67A2" w:rsidR="00AF3690" w:rsidRPr="00377199" w:rsidRDefault="00377199" w:rsidP="00F92E75">
      <w:pPr>
        <w:snapToGrid w:val="0"/>
        <w:spacing w:before="100" w:beforeAutospacing="1" w:after="100" w:afterAutospacing="1" w:line="360" w:lineRule="auto"/>
        <w:rPr>
          <w:rFonts w:ascii="Times New Roman" w:hAnsi="Times New Roman" w:cs="Times New Roman"/>
          <w:szCs w:val="24"/>
        </w:rPr>
      </w:pPr>
      <w:r w:rsidRPr="00377199">
        <w:rPr>
          <w:rFonts w:ascii="Times New Roman" w:hAnsi="Times New Roman" w:cs="Times New Roman"/>
          <w:szCs w:val="24"/>
        </w:rPr>
        <w:t xml:space="preserve">5.4 </w:t>
      </w:r>
      <w:r w:rsidR="00AF3690" w:rsidRPr="00377199">
        <w:rPr>
          <w:rFonts w:ascii="Times New Roman" w:hAnsi="Times New Roman" w:cs="Times New Roman"/>
          <w:szCs w:val="24"/>
        </w:rPr>
        <w:t>Threats</w:t>
      </w:r>
    </w:p>
    <w:p w14:paraId="52820CB6" w14:textId="4FC3C83F" w:rsidR="00AF3690" w:rsidRPr="00F92E75" w:rsidRDefault="00377199" w:rsidP="00F92E75">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hint="eastAsia"/>
          <w:szCs w:val="24"/>
        </w:rPr>
        <w:t>5</w:t>
      </w:r>
      <w:r>
        <w:rPr>
          <w:rFonts w:ascii="Times New Roman" w:hAnsi="Times New Roman" w:cs="Times New Roman"/>
          <w:szCs w:val="24"/>
        </w:rPr>
        <w:t xml:space="preserve">.4.1 </w:t>
      </w:r>
      <w:r w:rsidR="00AF3690" w:rsidRPr="00F92E75">
        <w:rPr>
          <w:rFonts w:ascii="Times New Roman" w:hAnsi="Times New Roman" w:cs="Times New Roman"/>
          <w:szCs w:val="24"/>
        </w:rPr>
        <w:t>Economic rivalry between China and US</w:t>
      </w:r>
    </w:p>
    <w:p w14:paraId="2DA6888C"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 xml:space="preserve">In the past two years, the United States charged high import tax for goods from China into the United States, and implemented restrictions on technological goods and skills transfer. Current president of the United States probably avoids new measures that would significantly affect US business interests in Hong Kong and mainland China, however, the gradual change in the status of the US’s special treatment towards Hong Kong, including trade, extradition, immigration, and visa regulations, will probably affect the long-term economic collaborations between Hong Kong and the United States (Executive summary - Hong Kong SAR, 2022). </w:t>
      </w:r>
    </w:p>
    <w:p w14:paraId="68D12671"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3ABCB71C"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4B46D2E4"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771561D9"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0A57A6B0"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5FA2744B" w14:textId="77777777" w:rsidR="00AF3690" w:rsidRPr="00F92E75" w:rsidRDefault="00AF3690" w:rsidP="00F92E75">
      <w:pPr>
        <w:snapToGrid w:val="0"/>
        <w:spacing w:before="100" w:beforeAutospacing="1" w:after="100" w:afterAutospacing="1" w:line="360" w:lineRule="auto"/>
        <w:rPr>
          <w:rFonts w:ascii="Times New Roman" w:hAnsi="Times New Roman" w:cs="Times New Roman"/>
          <w:szCs w:val="24"/>
        </w:rPr>
      </w:pPr>
    </w:p>
    <w:p w14:paraId="205DB832" w14:textId="77777777" w:rsidR="00AF3690" w:rsidRPr="00F92E75" w:rsidRDefault="00AF3690" w:rsidP="00F92E75">
      <w:pPr>
        <w:widowControl/>
        <w:snapToGrid w:val="0"/>
        <w:spacing w:before="100" w:beforeAutospacing="1" w:after="100" w:afterAutospacing="1" w:line="360" w:lineRule="auto"/>
        <w:rPr>
          <w:rFonts w:ascii="Times New Roman" w:hAnsi="Times New Roman" w:cs="Times New Roman"/>
          <w:b/>
          <w:bCs/>
          <w:szCs w:val="24"/>
        </w:rPr>
      </w:pPr>
      <w:r w:rsidRPr="00F92E75">
        <w:rPr>
          <w:rFonts w:ascii="Times New Roman" w:hAnsi="Times New Roman" w:cs="Times New Roman"/>
          <w:b/>
          <w:bCs/>
          <w:szCs w:val="24"/>
        </w:rPr>
        <w:br w:type="page"/>
      </w:r>
    </w:p>
    <w:p w14:paraId="62C9E82D" w14:textId="0D171359" w:rsidR="003C0328" w:rsidRPr="00F92E75" w:rsidRDefault="00462AA5" w:rsidP="00F92E75">
      <w:pPr>
        <w:snapToGrid w:val="0"/>
        <w:spacing w:before="100" w:beforeAutospacing="1" w:after="100" w:afterAutospacing="1" w:line="360" w:lineRule="auto"/>
        <w:jc w:val="center"/>
        <w:rPr>
          <w:rFonts w:ascii="Times New Roman" w:hAnsi="Times New Roman" w:cs="Times New Roman"/>
          <w:b/>
          <w:bCs/>
          <w:szCs w:val="24"/>
        </w:rPr>
      </w:pPr>
      <w:r>
        <w:rPr>
          <w:rFonts w:ascii="Times New Roman" w:hAnsi="Times New Roman" w:cs="Times New Roman"/>
          <w:b/>
          <w:bCs/>
          <w:szCs w:val="24"/>
        </w:rPr>
        <w:lastRenderedPageBreak/>
        <w:t xml:space="preserve">6. Recommendations and </w:t>
      </w:r>
      <w:r w:rsidR="003C0328" w:rsidRPr="00F92E75">
        <w:rPr>
          <w:rFonts w:ascii="Times New Roman" w:hAnsi="Times New Roman" w:cs="Times New Roman"/>
          <w:b/>
          <w:bCs/>
          <w:szCs w:val="24"/>
        </w:rPr>
        <w:t>Conclusion</w:t>
      </w:r>
    </w:p>
    <w:p w14:paraId="2E7F4013" w14:textId="0C055145" w:rsidR="003C0328" w:rsidRDefault="003C0328" w:rsidP="00F92E75">
      <w:pPr>
        <w:widowControl/>
        <w:snapToGrid w:val="0"/>
        <w:spacing w:before="100" w:beforeAutospacing="1" w:after="100" w:afterAutospacing="1" w:line="360" w:lineRule="auto"/>
        <w:rPr>
          <w:rFonts w:ascii="Times New Roman" w:hAnsi="Times New Roman" w:cs="Times New Roman"/>
          <w:b/>
          <w:bCs/>
          <w:szCs w:val="24"/>
        </w:rPr>
      </w:pPr>
    </w:p>
    <w:p w14:paraId="430B6D21" w14:textId="0118083C" w:rsidR="00462AA5" w:rsidRPr="00462AA5" w:rsidRDefault="00462AA5" w:rsidP="00F92E75">
      <w:pPr>
        <w:widowControl/>
        <w:snapToGrid w:val="0"/>
        <w:spacing w:before="100" w:beforeAutospacing="1" w:after="100" w:afterAutospacing="1" w:line="360" w:lineRule="auto"/>
        <w:rPr>
          <w:rFonts w:ascii="Times New Roman" w:hAnsi="Times New Roman" w:cs="Times New Roman" w:hint="eastAsia"/>
          <w:szCs w:val="24"/>
        </w:rPr>
      </w:pPr>
      <w:r>
        <w:rPr>
          <w:rFonts w:ascii="Times New Roman" w:hAnsi="Times New Roman" w:cs="Times New Roman"/>
          <w:szCs w:val="24"/>
        </w:rPr>
        <w:t>The following SWOT matrix summarized the discussions on CAHK’s strengths, weaknesses, opportunities and threats.</w:t>
      </w:r>
    </w:p>
    <w:tbl>
      <w:tblPr>
        <w:tblStyle w:val="ae"/>
        <w:tblW w:w="0" w:type="auto"/>
        <w:tblLook w:val="04A0" w:firstRow="1" w:lastRow="0" w:firstColumn="1" w:lastColumn="0" w:noHBand="0" w:noVBand="1"/>
      </w:tblPr>
      <w:tblGrid>
        <w:gridCol w:w="4148"/>
        <w:gridCol w:w="4148"/>
      </w:tblGrid>
      <w:tr w:rsidR="00462AA5" w:rsidRPr="00F92E75" w14:paraId="329093F8" w14:textId="77777777" w:rsidTr="00BE0FF9">
        <w:tc>
          <w:tcPr>
            <w:tcW w:w="4148" w:type="dxa"/>
          </w:tcPr>
          <w:p w14:paraId="1C96C866" w14:textId="77777777" w:rsidR="00462AA5" w:rsidRPr="008D79F1" w:rsidRDefault="00462AA5" w:rsidP="008D79F1">
            <w:pPr>
              <w:snapToGrid w:val="0"/>
              <w:spacing w:before="100" w:beforeAutospacing="1" w:after="100" w:afterAutospacing="1" w:line="360" w:lineRule="auto"/>
              <w:jc w:val="center"/>
              <w:rPr>
                <w:rFonts w:ascii="Times New Roman" w:hAnsi="Times New Roman" w:cs="Times New Roman"/>
                <w:b/>
                <w:bCs/>
                <w:szCs w:val="24"/>
              </w:rPr>
            </w:pPr>
            <w:bookmarkStart w:id="0" w:name="_Hlk101106735"/>
            <w:r w:rsidRPr="008D79F1">
              <w:rPr>
                <w:rFonts w:ascii="Times New Roman" w:hAnsi="Times New Roman" w:cs="Times New Roman"/>
                <w:b/>
                <w:bCs/>
                <w:szCs w:val="24"/>
              </w:rPr>
              <w:t>Strength</w:t>
            </w:r>
          </w:p>
          <w:p w14:paraId="5F92A1D5" w14:textId="77777777" w:rsidR="00462AA5" w:rsidRPr="00F92E75" w:rsidRDefault="00462AA5" w:rsidP="00BE0FF9">
            <w:pPr>
              <w:pStyle w:val="a3"/>
              <w:numPr>
                <w:ilvl w:val="0"/>
                <w:numId w:val="28"/>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Worldwide presence with long history</w:t>
            </w:r>
          </w:p>
          <w:p w14:paraId="17574BBD" w14:textId="77777777" w:rsidR="00462AA5" w:rsidRPr="00F92E75" w:rsidRDefault="00462AA5" w:rsidP="00BE0FF9">
            <w:pPr>
              <w:pStyle w:val="a3"/>
              <w:numPr>
                <w:ilvl w:val="0"/>
                <w:numId w:val="28"/>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Wide range of solutions</w:t>
            </w:r>
          </w:p>
          <w:p w14:paraId="0B013F98" w14:textId="77777777" w:rsidR="00462AA5" w:rsidRPr="00F92E75" w:rsidRDefault="00462AA5" w:rsidP="00BE0FF9">
            <w:pPr>
              <w:pStyle w:val="a3"/>
              <w:numPr>
                <w:ilvl w:val="0"/>
                <w:numId w:val="28"/>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Strong Asia leadership team</w:t>
            </w:r>
          </w:p>
        </w:tc>
        <w:tc>
          <w:tcPr>
            <w:tcW w:w="4148" w:type="dxa"/>
          </w:tcPr>
          <w:p w14:paraId="49F16AF5" w14:textId="77777777" w:rsidR="00462AA5" w:rsidRPr="008D79F1" w:rsidRDefault="00462AA5" w:rsidP="008D79F1">
            <w:pPr>
              <w:snapToGrid w:val="0"/>
              <w:spacing w:before="100" w:beforeAutospacing="1" w:after="100" w:afterAutospacing="1" w:line="360" w:lineRule="auto"/>
              <w:jc w:val="center"/>
              <w:rPr>
                <w:rFonts w:ascii="Times New Roman" w:hAnsi="Times New Roman" w:cs="Times New Roman"/>
                <w:b/>
                <w:bCs/>
                <w:szCs w:val="24"/>
              </w:rPr>
            </w:pPr>
            <w:r w:rsidRPr="008D79F1">
              <w:rPr>
                <w:rFonts w:ascii="Times New Roman" w:hAnsi="Times New Roman" w:cs="Times New Roman"/>
                <w:b/>
                <w:bCs/>
                <w:szCs w:val="24"/>
              </w:rPr>
              <w:t>Weakness</w:t>
            </w:r>
          </w:p>
          <w:p w14:paraId="4DA11072" w14:textId="77777777" w:rsidR="00462AA5" w:rsidRPr="00F92E75" w:rsidRDefault="00462AA5" w:rsidP="00BE0FF9">
            <w:pPr>
              <w:pStyle w:val="a3"/>
              <w:numPr>
                <w:ilvl w:val="0"/>
                <w:numId w:val="27"/>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Concentration of limited number of customers</w:t>
            </w:r>
          </w:p>
          <w:p w14:paraId="3700BE48" w14:textId="77777777" w:rsidR="00462AA5" w:rsidRPr="00F92E75" w:rsidRDefault="00462AA5" w:rsidP="00BE0FF9">
            <w:pPr>
              <w:pStyle w:val="a3"/>
              <w:numPr>
                <w:ilvl w:val="0"/>
                <w:numId w:val="27"/>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Investment restrictions for US firms</w:t>
            </w:r>
          </w:p>
        </w:tc>
      </w:tr>
      <w:tr w:rsidR="00462AA5" w:rsidRPr="00F92E75" w14:paraId="5877ED3C" w14:textId="77777777" w:rsidTr="00BE0FF9">
        <w:tc>
          <w:tcPr>
            <w:tcW w:w="4148" w:type="dxa"/>
          </w:tcPr>
          <w:p w14:paraId="6F895354" w14:textId="77777777" w:rsidR="00462AA5" w:rsidRPr="008D79F1" w:rsidRDefault="00462AA5" w:rsidP="008D79F1">
            <w:pPr>
              <w:snapToGrid w:val="0"/>
              <w:spacing w:before="100" w:beforeAutospacing="1" w:after="100" w:afterAutospacing="1" w:line="360" w:lineRule="auto"/>
              <w:jc w:val="center"/>
              <w:rPr>
                <w:rFonts w:ascii="Times New Roman" w:hAnsi="Times New Roman" w:cs="Times New Roman"/>
                <w:b/>
                <w:bCs/>
                <w:szCs w:val="24"/>
              </w:rPr>
            </w:pPr>
            <w:r w:rsidRPr="008D79F1">
              <w:rPr>
                <w:rFonts w:ascii="Times New Roman" w:hAnsi="Times New Roman" w:cs="Times New Roman"/>
                <w:b/>
                <w:bCs/>
                <w:szCs w:val="24"/>
              </w:rPr>
              <w:t>Opportunities</w:t>
            </w:r>
          </w:p>
          <w:p w14:paraId="024EAD3D" w14:textId="77777777" w:rsidR="00462AA5" w:rsidRPr="00F92E75" w:rsidRDefault="00462AA5" w:rsidP="00BE0FF9">
            <w:pPr>
              <w:pStyle w:val="a3"/>
              <w:numPr>
                <w:ilvl w:val="0"/>
                <w:numId w:val="27"/>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 xml:space="preserve">HK is an international financial </w:t>
            </w:r>
            <w:proofErr w:type="spellStart"/>
            <w:r w:rsidRPr="00F92E75">
              <w:rPr>
                <w:rFonts w:ascii="Times New Roman" w:hAnsi="Times New Roman" w:cs="Times New Roman"/>
                <w:szCs w:val="24"/>
              </w:rPr>
              <w:t>centre</w:t>
            </w:r>
            <w:proofErr w:type="spellEnd"/>
            <w:r w:rsidRPr="00F92E75">
              <w:rPr>
                <w:rFonts w:ascii="Times New Roman" w:hAnsi="Times New Roman" w:cs="Times New Roman"/>
                <w:szCs w:val="24"/>
              </w:rPr>
              <w:t xml:space="preserve"> and Greater Bay Areas development</w:t>
            </w:r>
          </w:p>
          <w:p w14:paraId="1F58AA0B" w14:textId="77777777" w:rsidR="00462AA5" w:rsidRPr="00F92E75" w:rsidRDefault="00462AA5" w:rsidP="00BE0FF9">
            <w:pPr>
              <w:pStyle w:val="a3"/>
              <w:numPr>
                <w:ilvl w:val="0"/>
                <w:numId w:val="27"/>
              </w:numPr>
              <w:snapToGrid w:val="0"/>
              <w:spacing w:before="100" w:beforeAutospacing="1" w:after="100" w:afterAutospacing="1" w:line="360" w:lineRule="auto"/>
              <w:ind w:leftChars="0"/>
              <w:rPr>
                <w:rFonts w:ascii="Times New Roman" w:hAnsi="Times New Roman" w:cs="Times New Roman"/>
                <w:szCs w:val="24"/>
              </w:rPr>
            </w:pPr>
            <w:r w:rsidRPr="00F92E75">
              <w:rPr>
                <w:rFonts w:ascii="Times New Roman" w:hAnsi="Times New Roman" w:cs="Times New Roman"/>
                <w:szCs w:val="24"/>
              </w:rPr>
              <w:t>Growing Wealth Management Prospects in China</w:t>
            </w:r>
          </w:p>
        </w:tc>
        <w:tc>
          <w:tcPr>
            <w:tcW w:w="4148" w:type="dxa"/>
          </w:tcPr>
          <w:p w14:paraId="27803A46" w14:textId="77777777" w:rsidR="00462AA5" w:rsidRPr="008D79F1" w:rsidRDefault="00462AA5" w:rsidP="008D79F1">
            <w:pPr>
              <w:snapToGrid w:val="0"/>
              <w:spacing w:before="100" w:beforeAutospacing="1" w:after="100" w:afterAutospacing="1" w:line="360" w:lineRule="auto"/>
              <w:jc w:val="center"/>
              <w:rPr>
                <w:rFonts w:ascii="Times New Roman" w:hAnsi="Times New Roman" w:cs="Times New Roman"/>
                <w:b/>
                <w:bCs/>
                <w:szCs w:val="24"/>
              </w:rPr>
            </w:pPr>
            <w:r w:rsidRPr="008D79F1">
              <w:rPr>
                <w:rFonts w:ascii="Times New Roman" w:hAnsi="Times New Roman" w:cs="Times New Roman"/>
                <w:b/>
                <w:bCs/>
                <w:szCs w:val="24"/>
              </w:rPr>
              <w:t>Threats</w:t>
            </w:r>
          </w:p>
          <w:p w14:paraId="7D48447A" w14:textId="77777777" w:rsidR="00462AA5" w:rsidRPr="00F92E75" w:rsidRDefault="00462AA5" w:rsidP="00BE0FF9">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Economic rivalry between China and US</w:t>
            </w:r>
          </w:p>
        </w:tc>
      </w:tr>
    </w:tbl>
    <w:bookmarkEnd w:id="0"/>
    <w:p w14:paraId="7A043E89" w14:textId="018927AB" w:rsidR="00462AA5" w:rsidRDefault="00462AA5" w:rsidP="00462AA5">
      <w:pPr>
        <w:snapToGrid w:val="0"/>
        <w:spacing w:before="100" w:beforeAutospacing="1" w:after="100" w:afterAutospacing="1" w:line="360" w:lineRule="auto"/>
        <w:rPr>
          <w:rFonts w:ascii="Times New Roman" w:hAnsi="Times New Roman" w:cs="Times New Roman"/>
          <w:szCs w:val="24"/>
        </w:rPr>
      </w:pPr>
      <w:r w:rsidRPr="00F92E75">
        <w:rPr>
          <w:rFonts w:ascii="Times New Roman" w:hAnsi="Times New Roman" w:cs="Times New Roman"/>
          <w:szCs w:val="24"/>
        </w:rPr>
        <w:t>Based on the SWOT analysis of CAHK, different strategies are recommended.</w:t>
      </w:r>
    </w:p>
    <w:p w14:paraId="05C38053" w14:textId="77777777" w:rsidR="00BA5538" w:rsidRPr="00F92E75" w:rsidRDefault="00BA5538" w:rsidP="00462AA5">
      <w:pPr>
        <w:snapToGrid w:val="0"/>
        <w:spacing w:before="100" w:beforeAutospacing="1" w:after="100" w:afterAutospacing="1" w:line="360" w:lineRule="auto"/>
        <w:rPr>
          <w:rFonts w:ascii="Times New Roman" w:hAnsi="Times New Roman" w:cs="Times New Roman"/>
          <w:szCs w:val="24"/>
        </w:rPr>
      </w:pPr>
    </w:p>
    <w:p w14:paraId="1FA4D0BB" w14:textId="1FBC65AF" w:rsidR="00462AA5" w:rsidRPr="00462AA5" w:rsidRDefault="00462AA5" w:rsidP="00462AA5">
      <w:pPr>
        <w:rPr>
          <w:rFonts w:ascii="Times New Roman" w:hAnsi="Times New Roman" w:cs="Times New Roman"/>
        </w:rPr>
      </w:pPr>
      <w:r w:rsidRPr="00462AA5">
        <w:rPr>
          <w:rFonts w:ascii="Times New Roman" w:hAnsi="Times New Roman" w:cs="Times New Roman"/>
        </w:rPr>
        <w:t>6.1 SO situation: Maxi-Maxi strategy</w:t>
      </w:r>
    </w:p>
    <w:p w14:paraId="10E846A4" w14:textId="0A4476FD" w:rsidR="00462AA5" w:rsidRDefault="00462AA5" w:rsidP="00462AA5">
      <w:pPr>
        <w:pStyle w:val="Web"/>
        <w:snapToGrid w:val="0"/>
        <w:spacing w:line="360" w:lineRule="auto"/>
        <w:jc w:val="both"/>
        <w:rPr>
          <w:rFonts w:eastAsiaTheme="minorEastAsia"/>
        </w:rPr>
      </w:pPr>
      <w:r w:rsidRPr="00F92E75">
        <w:rPr>
          <w:rFonts w:eastAsiaTheme="minorEastAsia"/>
        </w:rPr>
        <w:t xml:space="preserve">CAHK should maximize the strengths and opportunities. To the targeted potential clients, CAHK should emphasize on CA’s history and experience, especially their investment expertise for worldwide institutional and high net worth clients. Chinese are the wealthy with high population in Hong Kong, hence CAHK should organize more marketing and wealth management events. Both physical and virtual events should be organized, virtual events can help boost the popularity of the company, physical events can reach the potential clients directly. In addition, as CA has very good networks with </w:t>
      </w:r>
      <w:r w:rsidRPr="00F92E75">
        <w:rPr>
          <w:rFonts w:eastAsiaTheme="minorEastAsia"/>
        </w:rPr>
        <w:lastRenderedPageBreak/>
        <w:t>the fund managers who are normally have offices in Asia, CAHK can seek support from CA to meet these fund managers for business collaborations.</w:t>
      </w:r>
    </w:p>
    <w:p w14:paraId="7F957F6E" w14:textId="77777777" w:rsidR="00BA5538" w:rsidRPr="00F92E75" w:rsidRDefault="00BA5538" w:rsidP="00462AA5">
      <w:pPr>
        <w:pStyle w:val="Web"/>
        <w:snapToGrid w:val="0"/>
        <w:spacing w:line="360" w:lineRule="auto"/>
        <w:jc w:val="both"/>
        <w:rPr>
          <w:rFonts w:eastAsiaTheme="minorEastAsia"/>
        </w:rPr>
      </w:pPr>
    </w:p>
    <w:p w14:paraId="39EAB79A" w14:textId="1F01DAB4" w:rsidR="00462AA5" w:rsidRPr="00462AA5" w:rsidRDefault="00462AA5" w:rsidP="00462AA5">
      <w:pPr>
        <w:rPr>
          <w:rFonts w:ascii="Times New Roman" w:hAnsi="Times New Roman" w:cs="Times New Roman"/>
        </w:rPr>
      </w:pPr>
      <w:r>
        <w:rPr>
          <w:rFonts w:ascii="Times New Roman" w:hAnsi="Times New Roman" w:cs="Times New Roman"/>
        </w:rPr>
        <w:t xml:space="preserve">6.2 </w:t>
      </w:r>
      <w:r w:rsidRPr="00462AA5">
        <w:rPr>
          <w:rFonts w:ascii="Times New Roman" w:hAnsi="Times New Roman" w:cs="Times New Roman"/>
        </w:rPr>
        <w:t>ST situation: Maxi-Mini strategy</w:t>
      </w:r>
    </w:p>
    <w:p w14:paraId="7C92675B" w14:textId="0738009C" w:rsidR="00462AA5" w:rsidRDefault="00462AA5" w:rsidP="00462AA5">
      <w:pPr>
        <w:pStyle w:val="Web"/>
        <w:snapToGrid w:val="0"/>
        <w:spacing w:line="360" w:lineRule="auto"/>
        <w:jc w:val="both"/>
      </w:pPr>
      <w:r w:rsidRPr="00F92E75">
        <w:t xml:space="preserve">CA is the largest OCIO manager and seventh largest manager of worldwide institutional assets under advisement (Williamson, 2021), so CAHK can advise clients more on global asset allocation instead of concentrating on the financial markets of China and Hong Kong. With this approach, when there </w:t>
      </w:r>
      <w:proofErr w:type="gramStart"/>
      <w:r w:rsidRPr="00F92E75">
        <w:t>is</w:t>
      </w:r>
      <w:proofErr w:type="gramEnd"/>
      <w:r w:rsidRPr="00F92E75">
        <w:t xml:space="preserve"> any conflicts in the relationship between China and the US, clients’ investment portfolios will be affected at a lesser extent, and also the performance.</w:t>
      </w:r>
    </w:p>
    <w:p w14:paraId="0A7C0D42" w14:textId="77777777" w:rsidR="00BA5538" w:rsidRPr="00F92E75" w:rsidRDefault="00BA5538" w:rsidP="00462AA5">
      <w:pPr>
        <w:pStyle w:val="Web"/>
        <w:snapToGrid w:val="0"/>
        <w:spacing w:line="360" w:lineRule="auto"/>
        <w:jc w:val="both"/>
      </w:pPr>
    </w:p>
    <w:p w14:paraId="17941B27" w14:textId="7CF41E9C" w:rsidR="00462AA5" w:rsidRPr="00462AA5" w:rsidRDefault="00462AA5" w:rsidP="00462AA5">
      <w:pPr>
        <w:rPr>
          <w:rFonts w:ascii="Times New Roman" w:hAnsi="Times New Roman" w:cs="Times New Roman"/>
        </w:rPr>
      </w:pPr>
      <w:r>
        <w:rPr>
          <w:rFonts w:ascii="Times New Roman" w:hAnsi="Times New Roman" w:cs="Times New Roman"/>
        </w:rPr>
        <w:t xml:space="preserve">6.3 </w:t>
      </w:r>
      <w:r w:rsidRPr="00462AA5">
        <w:rPr>
          <w:rFonts w:ascii="Times New Roman" w:hAnsi="Times New Roman" w:cs="Times New Roman"/>
        </w:rPr>
        <w:t>WO situation: Mini-Maxi strategy </w:t>
      </w:r>
    </w:p>
    <w:p w14:paraId="27E25BD8" w14:textId="77777777" w:rsidR="00462AA5" w:rsidRPr="00F92E75" w:rsidRDefault="00462AA5" w:rsidP="00462AA5">
      <w:pPr>
        <w:pStyle w:val="Web"/>
        <w:snapToGrid w:val="0"/>
        <w:spacing w:line="360" w:lineRule="auto"/>
        <w:jc w:val="both"/>
      </w:pPr>
      <w:r w:rsidRPr="00F92E75">
        <w:t>In this situation CAHK has more impacts from the weaknesses, but the environment provides more opportunities to resolve that.</w:t>
      </w:r>
    </w:p>
    <w:p w14:paraId="31EA3B8C" w14:textId="2E3C7DB0" w:rsidR="00462AA5" w:rsidRDefault="00462AA5" w:rsidP="00462AA5">
      <w:pPr>
        <w:pStyle w:val="Web"/>
        <w:snapToGrid w:val="0"/>
        <w:spacing w:line="360" w:lineRule="auto"/>
        <w:jc w:val="both"/>
        <w:rPr>
          <w:rFonts w:eastAsiaTheme="minorEastAsia"/>
        </w:rPr>
      </w:pPr>
      <w:r w:rsidRPr="00F92E75">
        <w:rPr>
          <w:rFonts w:eastAsiaTheme="minorEastAsia"/>
        </w:rPr>
        <w:t>CAHK may employ strategy to broaden the client base. CAHK may consider offering incentives to new clients. For example, a lower minimum account opening amount can be provided for new clients joining in a specific period. Besides, more innovative or new investment markets can be recommended so that clients may not focus mainly on Hong Kong and China markets, then their negative impacts will be reduced when any conflicts between China and the United States happen. Indeed, clients from Mainland China are also interested to know more investment ideas unrelated to their place because they may not have opportunities to invest through existing investment advisors.</w:t>
      </w:r>
    </w:p>
    <w:p w14:paraId="61AEA5C6" w14:textId="77777777" w:rsidR="00BA5538" w:rsidRPr="00F92E75" w:rsidRDefault="00BA5538" w:rsidP="00462AA5">
      <w:pPr>
        <w:pStyle w:val="Web"/>
        <w:snapToGrid w:val="0"/>
        <w:spacing w:line="360" w:lineRule="auto"/>
        <w:jc w:val="both"/>
        <w:rPr>
          <w:rFonts w:eastAsiaTheme="minorEastAsia"/>
        </w:rPr>
      </w:pPr>
    </w:p>
    <w:p w14:paraId="01FB27AE" w14:textId="41064BDB" w:rsidR="00462AA5" w:rsidRPr="00462AA5" w:rsidRDefault="00462AA5" w:rsidP="00462AA5">
      <w:pPr>
        <w:rPr>
          <w:rFonts w:ascii="Times New Roman" w:hAnsi="Times New Roman" w:cs="Times New Roman"/>
        </w:rPr>
      </w:pPr>
      <w:r>
        <w:rPr>
          <w:rFonts w:ascii="Times New Roman" w:hAnsi="Times New Roman" w:cs="Times New Roman"/>
        </w:rPr>
        <w:t xml:space="preserve">6.4 </w:t>
      </w:r>
      <w:r w:rsidRPr="00462AA5">
        <w:rPr>
          <w:rFonts w:ascii="Times New Roman" w:hAnsi="Times New Roman" w:cs="Times New Roman"/>
        </w:rPr>
        <w:t>WT situation: Mini-Mini strategy</w:t>
      </w:r>
    </w:p>
    <w:p w14:paraId="1B2DEC12" w14:textId="77777777" w:rsidR="00462AA5" w:rsidRPr="00F92E75" w:rsidRDefault="00462AA5" w:rsidP="00462AA5">
      <w:pPr>
        <w:pStyle w:val="Web"/>
        <w:snapToGrid w:val="0"/>
        <w:spacing w:line="360" w:lineRule="auto"/>
        <w:jc w:val="both"/>
      </w:pPr>
      <w:r w:rsidRPr="00F92E75">
        <w:t xml:space="preserve">The aim of the strategy is to minimize both weaknesses and threats. CAHK may have little development opportunities in this situation </w:t>
      </w:r>
      <w:r w:rsidRPr="00F92E75">
        <w:rPr>
          <w:rFonts w:eastAsia="新細明體"/>
        </w:rPr>
        <w:t xml:space="preserve">and </w:t>
      </w:r>
      <w:r w:rsidRPr="00F92E75">
        <w:t xml:space="preserve">should also plan for such situation and has to develop Asia markets except China and Hong Kong. Presently CA has four </w:t>
      </w:r>
      <w:r w:rsidRPr="00F92E75">
        <w:lastRenderedPageBreak/>
        <w:t>offices in Asia Pacific region, CAHK should drive new collaboration projects with CA’s offices in Singapore and Sydney to refer clients from Hong Kong to them to explore any opportunities for investing in their places. Hong Kong investors are interested to invest in overseas properties as well as plan for overseas retirement and children education, so CAHK may launch a series of marketing events with these ideas.</w:t>
      </w:r>
    </w:p>
    <w:p w14:paraId="4BC62850" w14:textId="77777777" w:rsidR="00462AA5" w:rsidRPr="00F92E75" w:rsidRDefault="00462AA5" w:rsidP="00462AA5">
      <w:pPr>
        <w:snapToGrid w:val="0"/>
        <w:spacing w:before="100" w:beforeAutospacing="1" w:after="100" w:afterAutospacing="1" w:line="360" w:lineRule="auto"/>
        <w:rPr>
          <w:rFonts w:ascii="Times New Roman" w:hAnsi="Times New Roman" w:cs="Times New Roman"/>
          <w:szCs w:val="24"/>
        </w:rPr>
      </w:pPr>
    </w:p>
    <w:p w14:paraId="2FB36999" w14:textId="77777777" w:rsidR="00BA5538" w:rsidRDefault="00BA5538">
      <w:pPr>
        <w:widowControl/>
        <w:rPr>
          <w:rFonts w:ascii="Times New Roman" w:hAnsi="Times New Roman" w:cs="Times New Roman"/>
          <w:b/>
          <w:bCs/>
          <w:szCs w:val="24"/>
        </w:rPr>
      </w:pPr>
      <w:r>
        <w:rPr>
          <w:rFonts w:ascii="Times New Roman" w:hAnsi="Times New Roman" w:cs="Times New Roman"/>
          <w:b/>
          <w:bCs/>
          <w:szCs w:val="24"/>
        </w:rPr>
        <w:br w:type="page"/>
      </w:r>
    </w:p>
    <w:p w14:paraId="76545096" w14:textId="0E2EEADD" w:rsidR="00AF3690" w:rsidRPr="00F92E75" w:rsidRDefault="00BA5538" w:rsidP="00EE7CCA">
      <w:pPr>
        <w:snapToGrid w:val="0"/>
        <w:spacing w:before="100" w:beforeAutospacing="1" w:after="100" w:afterAutospacing="1" w:line="360" w:lineRule="auto"/>
        <w:jc w:val="center"/>
        <w:rPr>
          <w:rFonts w:ascii="Times New Roman" w:hAnsi="Times New Roman" w:cs="Times New Roman"/>
          <w:b/>
          <w:bCs/>
          <w:szCs w:val="24"/>
        </w:rPr>
      </w:pPr>
      <w:r>
        <w:rPr>
          <w:rFonts w:ascii="Times New Roman" w:hAnsi="Times New Roman" w:cs="Times New Roman"/>
          <w:b/>
          <w:bCs/>
          <w:szCs w:val="24"/>
        </w:rPr>
        <w:lastRenderedPageBreak/>
        <w:t xml:space="preserve">7. </w:t>
      </w:r>
      <w:r w:rsidR="00AF3690" w:rsidRPr="00F92E75">
        <w:rPr>
          <w:rFonts w:ascii="Times New Roman" w:hAnsi="Times New Roman" w:cs="Times New Roman"/>
          <w:b/>
          <w:bCs/>
          <w:szCs w:val="24"/>
        </w:rPr>
        <w:t>Reference</w:t>
      </w:r>
      <w:r>
        <w:rPr>
          <w:rFonts w:ascii="Times New Roman" w:hAnsi="Times New Roman" w:cs="Times New Roman"/>
          <w:b/>
          <w:bCs/>
          <w:szCs w:val="24"/>
        </w:rPr>
        <w:t>s</w:t>
      </w:r>
    </w:p>
    <w:p w14:paraId="4594DA58" w14:textId="77777777" w:rsidR="002C7EB2" w:rsidRPr="00F92E75" w:rsidRDefault="002C7EB2"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Ali, A. and Kelley, K. (2020) ‘The Outsourcing Decision’, </w:t>
      </w:r>
      <w:r w:rsidRPr="00F92E75">
        <w:rPr>
          <w:rFonts w:ascii="Times New Roman" w:hAnsi="Times New Roman" w:cs="Times New Roman"/>
          <w:i/>
          <w:iCs/>
          <w:szCs w:val="24"/>
        </w:rPr>
        <w:t>Benefits Magazine</w:t>
      </w:r>
      <w:r w:rsidRPr="00F92E75">
        <w:rPr>
          <w:rFonts w:ascii="Times New Roman" w:hAnsi="Times New Roman" w:cs="Times New Roman"/>
          <w:szCs w:val="24"/>
        </w:rPr>
        <w:t>, 57(8), pp. 40–47. Available at: https://search.ebscohost.com/login.aspx?direct=true&amp;db=bth&amp;AN=145232905&amp;site=ehost-live (Accessed: 8 April 2022).</w:t>
      </w:r>
    </w:p>
    <w:p w14:paraId="64DC13A6" w14:textId="07A351CA" w:rsidR="002C7EB2" w:rsidRPr="00F92E75" w:rsidRDefault="002C7EB2"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Ali, A. and Lash, D. (2021) ‘Selecting and Monitoring an OCIO’, </w:t>
      </w:r>
      <w:r w:rsidRPr="00F92E75">
        <w:rPr>
          <w:rFonts w:ascii="Times New Roman" w:hAnsi="Times New Roman" w:cs="Times New Roman"/>
          <w:i/>
          <w:iCs/>
          <w:szCs w:val="24"/>
        </w:rPr>
        <w:t>Benefits Magazine</w:t>
      </w:r>
      <w:r w:rsidRPr="00F92E75">
        <w:rPr>
          <w:rFonts w:ascii="Times New Roman" w:hAnsi="Times New Roman" w:cs="Times New Roman"/>
          <w:szCs w:val="24"/>
        </w:rPr>
        <w:t>, 58(12), pp. 20–25. Available at: https://search.ebscohost.com/login.aspx?direct=true&amp;db=bth&amp;AN=154062973&amp;site=ehost-live (Accessed: 8 April 2022).</w:t>
      </w:r>
    </w:p>
    <w:p w14:paraId="0CC900EF" w14:textId="5D57A391" w:rsidR="00B169A9" w:rsidRPr="00F92E75" w:rsidRDefault="00B169A9" w:rsidP="00EE7CCA">
      <w:pPr>
        <w:widowControl/>
        <w:shd w:val="clear" w:color="auto" w:fill="FFFFFF"/>
        <w:snapToGrid w:val="0"/>
        <w:spacing w:before="100" w:beforeAutospacing="1" w:after="100" w:afterAutospacing="1" w:line="360" w:lineRule="auto"/>
        <w:ind w:left="480" w:hangingChars="200" w:hanging="480"/>
        <w:textAlignment w:val="center"/>
        <w:rPr>
          <w:rFonts w:ascii="Times New Roman" w:hAnsi="Times New Roman" w:cs="Times New Roman"/>
          <w:color w:val="828C93"/>
          <w:kern w:val="0"/>
          <w:szCs w:val="24"/>
        </w:rPr>
      </w:pPr>
      <w:r w:rsidRPr="00F92E75">
        <w:rPr>
          <w:rFonts w:ascii="Times New Roman" w:hAnsi="Times New Roman" w:cs="Times New Roman"/>
          <w:szCs w:val="24"/>
        </w:rPr>
        <w:t xml:space="preserve">Bray, C. and </w:t>
      </w:r>
      <w:proofErr w:type="spellStart"/>
      <w:r w:rsidRPr="00F92E75">
        <w:rPr>
          <w:rFonts w:ascii="Times New Roman" w:hAnsi="Times New Roman" w:cs="Times New Roman"/>
          <w:szCs w:val="24"/>
        </w:rPr>
        <w:t>Yiu</w:t>
      </w:r>
      <w:proofErr w:type="spellEnd"/>
      <w:r w:rsidRPr="00F92E75">
        <w:rPr>
          <w:rFonts w:ascii="Times New Roman" w:hAnsi="Times New Roman" w:cs="Times New Roman"/>
          <w:szCs w:val="24"/>
        </w:rPr>
        <w:t>, E. 2022. ‘</w:t>
      </w:r>
      <w:r w:rsidRPr="00F92E75">
        <w:rPr>
          <w:rFonts w:ascii="Times New Roman" w:eastAsia="Times New Roman" w:hAnsi="Times New Roman" w:cs="Times New Roman"/>
          <w:color w:val="1D2228"/>
          <w:kern w:val="36"/>
          <w:szCs w:val="24"/>
        </w:rPr>
        <w:t xml:space="preserve">Hong Kong holds on to third place in global financial </w:t>
      </w:r>
      <w:proofErr w:type="spellStart"/>
      <w:r w:rsidRPr="00F92E75">
        <w:rPr>
          <w:rFonts w:ascii="Times New Roman" w:eastAsia="Times New Roman" w:hAnsi="Times New Roman" w:cs="Times New Roman"/>
          <w:color w:val="1D2228"/>
          <w:kern w:val="36"/>
          <w:szCs w:val="24"/>
        </w:rPr>
        <w:t>centre</w:t>
      </w:r>
      <w:proofErr w:type="spellEnd"/>
      <w:r w:rsidRPr="00F92E75">
        <w:rPr>
          <w:rFonts w:ascii="Times New Roman" w:eastAsia="Times New Roman" w:hAnsi="Times New Roman" w:cs="Times New Roman"/>
          <w:color w:val="1D2228"/>
          <w:kern w:val="36"/>
          <w:szCs w:val="24"/>
        </w:rPr>
        <w:t xml:space="preserve"> rankings, as local markets defy Covid-19 </w:t>
      </w:r>
      <w:proofErr w:type="gramStart"/>
      <w:r w:rsidRPr="00F92E75">
        <w:rPr>
          <w:rFonts w:ascii="Times New Roman" w:eastAsia="Times New Roman" w:hAnsi="Times New Roman" w:cs="Times New Roman"/>
          <w:color w:val="1D2228"/>
          <w:kern w:val="36"/>
          <w:szCs w:val="24"/>
        </w:rPr>
        <w:t>restrictions’</w:t>
      </w:r>
      <w:proofErr w:type="gramEnd"/>
      <w:r w:rsidRPr="00F92E75">
        <w:rPr>
          <w:rFonts w:ascii="Times New Roman" w:eastAsia="Times New Roman" w:hAnsi="Times New Roman" w:cs="Times New Roman"/>
          <w:color w:val="1D2228"/>
          <w:kern w:val="36"/>
          <w:szCs w:val="24"/>
        </w:rPr>
        <w:t xml:space="preserve">. </w:t>
      </w:r>
      <w:r w:rsidRPr="00F92E75">
        <w:rPr>
          <w:rFonts w:ascii="Times New Roman" w:eastAsia="Times New Roman" w:hAnsi="Times New Roman" w:cs="Times New Roman"/>
          <w:i/>
          <w:iCs/>
          <w:color w:val="1D2228"/>
          <w:kern w:val="36"/>
          <w:szCs w:val="24"/>
        </w:rPr>
        <w:t>South China Morning Post</w:t>
      </w:r>
      <w:r w:rsidRPr="00F92E75">
        <w:rPr>
          <w:rFonts w:ascii="Times New Roman" w:eastAsia="Times New Roman" w:hAnsi="Times New Roman" w:cs="Times New Roman"/>
          <w:color w:val="1D2228"/>
          <w:kern w:val="36"/>
          <w:szCs w:val="24"/>
        </w:rPr>
        <w:t xml:space="preserve">, </w:t>
      </w:r>
      <w:r w:rsidRPr="00F92E75">
        <w:rPr>
          <w:rFonts w:ascii="Times New Roman" w:hAnsi="Times New Roman" w:cs="Times New Roman"/>
          <w:szCs w:val="24"/>
        </w:rPr>
        <w:t xml:space="preserve">[online] 24 </w:t>
      </w:r>
      <w:r w:rsidRPr="00F92E75">
        <w:rPr>
          <w:rFonts w:ascii="Times New Roman" w:eastAsia="Times New Roman" w:hAnsi="Times New Roman" w:cs="Times New Roman"/>
          <w:color w:val="1D2228"/>
          <w:kern w:val="36"/>
          <w:szCs w:val="24"/>
        </w:rPr>
        <w:t>March. Available at: &lt;</w:t>
      </w:r>
      <w:r w:rsidRPr="00316471">
        <w:rPr>
          <w:rFonts w:ascii="Times New Roman" w:hAnsi="Times New Roman" w:cs="Times New Roman"/>
          <w:kern w:val="0"/>
          <w:szCs w:val="24"/>
        </w:rPr>
        <w:t>https://finance.yahoo.com/news/hong-kong-holds-third-place-093000749.html?msclkid=82f763cfb8ab11ec81cc0c8f9c484eac</w:t>
      </w:r>
      <w:proofErr w:type="gramStart"/>
      <w:r w:rsidRPr="00F92E75">
        <w:rPr>
          <w:rFonts w:ascii="Times New Roman" w:hAnsi="Times New Roman" w:cs="Times New Roman"/>
          <w:color w:val="828C93"/>
          <w:kern w:val="0"/>
          <w:szCs w:val="24"/>
        </w:rPr>
        <w:t xml:space="preserve">&gt; </w:t>
      </w:r>
      <w:r w:rsidRPr="00F92E75">
        <w:rPr>
          <w:rFonts w:ascii="Times New Roman" w:hAnsi="Times New Roman" w:cs="Times New Roman"/>
          <w:szCs w:val="24"/>
        </w:rPr>
        <w:t xml:space="preserve"> (</w:t>
      </w:r>
      <w:proofErr w:type="gramEnd"/>
      <w:r w:rsidRPr="00F92E75">
        <w:rPr>
          <w:rFonts w:ascii="Times New Roman" w:hAnsi="Times New Roman" w:cs="Times New Roman"/>
          <w:szCs w:val="24"/>
        </w:rPr>
        <w:t>Accessed: 10 April 2022).</w:t>
      </w:r>
    </w:p>
    <w:p w14:paraId="76BC2AA8" w14:textId="35AB57A6" w:rsidR="00877EF7" w:rsidRPr="00F92E75" w:rsidRDefault="00AA1B5B" w:rsidP="00EE7CCA">
      <w:pPr>
        <w:adjustRightInd w:val="0"/>
        <w:snapToGrid w:val="0"/>
        <w:spacing w:before="100" w:beforeAutospacing="1" w:after="100" w:afterAutospacing="1" w:line="360" w:lineRule="auto"/>
        <w:ind w:left="480" w:hangingChars="200" w:hanging="480"/>
        <w:rPr>
          <w:rFonts w:ascii="Times New Roman" w:hAnsi="Times New Roman" w:cs="Times New Roman"/>
          <w:szCs w:val="24"/>
          <w:shd w:val="clear" w:color="auto" w:fill="FFFFFF"/>
        </w:rPr>
      </w:pPr>
      <w:r w:rsidRPr="00F92E75">
        <w:rPr>
          <w:rFonts w:ascii="Times New Roman" w:hAnsi="Times New Roman" w:cs="Times New Roman"/>
          <w:szCs w:val="24"/>
        </w:rPr>
        <w:t>Cambridge Associates</w:t>
      </w:r>
      <w:r w:rsidR="00F7498A" w:rsidRPr="00F92E75">
        <w:rPr>
          <w:rFonts w:ascii="Times New Roman" w:hAnsi="Times New Roman" w:cs="Times New Roman"/>
          <w:szCs w:val="24"/>
        </w:rPr>
        <w:t xml:space="preserve"> (</w:t>
      </w:r>
      <w:r w:rsidR="00D21EFD" w:rsidRPr="00F92E75">
        <w:rPr>
          <w:rFonts w:ascii="Times New Roman" w:hAnsi="Times New Roman" w:cs="Times New Roman"/>
          <w:szCs w:val="24"/>
        </w:rPr>
        <w:t>n</w:t>
      </w:r>
      <w:r w:rsidR="00F7498A" w:rsidRPr="00F92E75">
        <w:rPr>
          <w:rFonts w:ascii="Times New Roman" w:hAnsi="Times New Roman" w:cs="Times New Roman"/>
          <w:szCs w:val="24"/>
        </w:rPr>
        <w:t>o date a)</w:t>
      </w:r>
      <w:r w:rsidRPr="00F92E75">
        <w:rPr>
          <w:rFonts w:ascii="Times New Roman" w:hAnsi="Times New Roman" w:cs="Times New Roman"/>
          <w:szCs w:val="24"/>
        </w:rPr>
        <w:t xml:space="preserve">, </w:t>
      </w:r>
      <w:r w:rsidR="00134A69" w:rsidRPr="00F92E75">
        <w:rPr>
          <w:rFonts w:ascii="Times New Roman" w:hAnsi="Times New Roman" w:cs="Times New Roman"/>
          <w:i/>
          <w:iCs/>
          <w:szCs w:val="24"/>
        </w:rPr>
        <w:t>What We Do: Outsourced CIO (Discretionary Management)</w:t>
      </w:r>
      <w:r w:rsidR="00134A69" w:rsidRPr="00F92E75">
        <w:rPr>
          <w:rFonts w:ascii="Times New Roman" w:hAnsi="Times New Roman" w:cs="Times New Roman"/>
          <w:szCs w:val="24"/>
        </w:rPr>
        <w:t>, viewed 8 April 2022, &lt;</w:t>
      </w:r>
      <w:r w:rsidR="00877EF7" w:rsidRPr="00316471">
        <w:rPr>
          <w:rFonts w:ascii="Times New Roman" w:hAnsi="Times New Roman" w:cs="Times New Roman"/>
          <w:szCs w:val="24"/>
          <w:shd w:val="clear" w:color="auto" w:fill="FFFFFF"/>
        </w:rPr>
        <w:t>https://www.cambridgeassociates.com/outsourced-cio-discretionary-management/</w:t>
      </w:r>
      <w:r w:rsidR="00F7498A" w:rsidRPr="00F92E75">
        <w:rPr>
          <w:rStyle w:val="a8"/>
          <w:rFonts w:ascii="Times New Roman" w:hAnsi="Times New Roman" w:cs="Times New Roman"/>
          <w:color w:val="auto"/>
          <w:szCs w:val="24"/>
          <w:u w:val="none"/>
          <w:shd w:val="clear" w:color="auto" w:fill="FFFFFF"/>
        </w:rPr>
        <w:t>&gt;</w:t>
      </w:r>
    </w:p>
    <w:p w14:paraId="62DD8151" w14:textId="1F855946" w:rsidR="00F7498A" w:rsidRPr="00F92E75" w:rsidRDefault="00F7498A" w:rsidP="00EE7CCA">
      <w:pPr>
        <w:adjustRightInd w:val="0"/>
        <w:snapToGrid w:val="0"/>
        <w:spacing w:before="100" w:beforeAutospacing="1" w:after="100" w:afterAutospacing="1" w:line="360" w:lineRule="auto"/>
        <w:ind w:left="480" w:hangingChars="200" w:hanging="480"/>
        <w:rPr>
          <w:rFonts w:ascii="Times New Roman" w:hAnsi="Times New Roman" w:cs="Times New Roman"/>
          <w:szCs w:val="24"/>
          <w:shd w:val="clear" w:color="auto" w:fill="FFFFFF"/>
        </w:rPr>
      </w:pPr>
      <w:r w:rsidRPr="00F92E75">
        <w:rPr>
          <w:rFonts w:ascii="Times New Roman" w:hAnsi="Times New Roman" w:cs="Times New Roman"/>
          <w:szCs w:val="24"/>
        </w:rPr>
        <w:t xml:space="preserve">Cambridge Associates (no date b), </w:t>
      </w:r>
      <w:r w:rsidRPr="00F92E75">
        <w:rPr>
          <w:rFonts w:ascii="Times New Roman" w:hAnsi="Times New Roman" w:cs="Times New Roman"/>
          <w:i/>
          <w:iCs/>
          <w:szCs w:val="24"/>
        </w:rPr>
        <w:t>What We Do: Advisory Services</w:t>
      </w:r>
      <w:r w:rsidRPr="00F92E75">
        <w:rPr>
          <w:rFonts w:ascii="Times New Roman" w:hAnsi="Times New Roman" w:cs="Times New Roman"/>
          <w:szCs w:val="24"/>
        </w:rPr>
        <w:t>, viewed 8 April 2022, &lt;https://www.cambridgeassociates.com/advisory-services/&gt;</w:t>
      </w:r>
    </w:p>
    <w:p w14:paraId="418FD50B"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2021. </w:t>
      </w:r>
      <w:r w:rsidRPr="00F92E75">
        <w:rPr>
          <w:rFonts w:ascii="Times New Roman" w:hAnsi="Times New Roman" w:cs="Times New Roman"/>
          <w:i/>
          <w:iCs/>
          <w:szCs w:val="24"/>
        </w:rPr>
        <w:t xml:space="preserve">US Private Equity, </w:t>
      </w:r>
      <w:r w:rsidRPr="00F92E75">
        <w:rPr>
          <w:rFonts w:ascii="Times New Roman" w:hAnsi="Times New Roman" w:cs="Times New Roman"/>
          <w:szCs w:val="24"/>
        </w:rPr>
        <w:t>30 September. [pdf] Available at: &lt; https://www.cambridgeassociates.com/wp-content/uploads/2022/04/WEB-2021-Q3-USPE-Benchmark-Book.pdf&gt; (Accessed: 14 April 2022).</w:t>
      </w:r>
    </w:p>
    <w:p w14:paraId="41A5D53A" w14:textId="5A4B7505"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2022a. </w:t>
      </w:r>
      <w:r w:rsidRPr="00F92E75">
        <w:rPr>
          <w:rFonts w:ascii="Times New Roman" w:hAnsi="Times New Roman" w:cs="Times New Roman"/>
          <w:i/>
          <w:iCs/>
          <w:szCs w:val="24"/>
        </w:rPr>
        <w:t>Cambridge Associates Earns Top Score in Human Rights Campaign Foundation’s 2022 Corporate Equality Index</w:t>
      </w:r>
      <w:r w:rsidRPr="00F92E75">
        <w:rPr>
          <w:rFonts w:ascii="Times New Roman" w:hAnsi="Times New Roman" w:cs="Times New Roman"/>
          <w:szCs w:val="24"/>
        </w:rPr>
        <w:t xml:space="preserve">, 3 March [Online] Cambridge Associates. Available from: &lt; </w:t>
      </w:r>
      <w:r w:rsidRPr="00316471">
        <w:rPr>
          <w:rFonts w:ascii="Times New Roman" w:hAnsi="Times New Roman" w:cs="Times New Roman"/>
          <w:szCs w:val="24"/>
        </w:rPr>
        <w:t>https://www.cambridgeassociates.com/news/cambridge-associates-earns-top-score-in-human-rights-campaign-foundations-2022-corporate-equality-index/</w:t>
      </w:r>
      <w:r w:rsidRPr="00F92E75">
        <w:rPr>
          <w:rFonts w:ascii="Times New Roman" w:hAnsi="Times New Roman" w:cs="Times New Roman"/>
          <w:szCs w:val="24"/>
        </w:rPr>
        <w:t xml:space="preserve">&gt; </w:t>
      </w:r>
      <w:r w:rsidRPr="00F92E75">
        <w:rPr>
          <w:rFonts w:ascii="Times New Roman" w:hAnsi="Times New Roman" w:cs="Times New Roman"/>
          <w:szCs w:val="24"/>
        </w:rPr>
        <w:lastRenderedPageBreak/>
        <w:t xml:space="preserve">(Accessed: 11 April 2022) </w:t>
      </w:r>
    </w:p>
    <w:p w14:paraId="070B714E"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2022b. </w:t>
      </w:r>
      <w:r w:rsidRPr="00F92E75">
        <w:rPr>
          <w:rFonts w:ascii="Times New Roman" w:hAnsi="Times New Roman" w:cs="Times New Roman"/>
          <w:i/>
          <w:iCs/>
          <w:szCs w:val="24"/>
        </w:rPr>
        <w:t>Cambridge Associates Releases 2021 Diversity, Equity, and Inclusion Report</w:t>
      </w:r>
      <w:r w:rsidRPr="00F92E75">
        <w:rPr>
          <w:rFonts w:ascii="Times New Roman" w:hAnsi="Times New Roman" w:cs="Times New Roman"/>
          <w:szCs w:val="24"/>
        </w:rPr>
        <w:t xml:space="preserve">, 10 March [Online] Cambridge Associates. Available from:  &lt;https://www.cambridgeassociates.com/news/cambridge-associates-releases-2021-diversity-equity-and-inclusion-report/&gt; (Accessed: 11 April 2022) </w:t>
      </w:r>
    </w:p>
    <w:p w14:paraId="5C929CAE" w14:textId="14F65645"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2022c. </w:t>
      </w:r>
      <w:r w:rsidRPr="00F92E75">
        <w:rPr>
          <w:rFonts w:ascii="Times New Roman" w:hAnsi="Times New Roman" w:cs="Times New Roman"/>
          <w:i/>
          <w:iCs/>
          <w:szCs w:val="24"/>
        </w:rPr>
        <w:t xml:space="preserve">Diversity, Equity &amp; Inclusion </w:t>
      </w:r>
      <w:proofErr w:type="gramStart"/>
      <w:r w:rsidRPr="00F92E75">
        <w:rPr>
          <w:rFonts w:ascii="Times New Roman" w:hAnsi="Times New Roman" w:cs="Times New Roman"/>
          <w:i/>
          <w:iCs/>
          <w:szCs w:val="24"/>
        </w:rPr>
        <w:t>At</w:t>
      </w:r>
      <w:proofErr w:type="gramEnd"/>
      <w:r w:rsidRPr="00F92E75">
        <w:rPr>
          <w:rFonts w:ascii="Times New Roman" w:hAnsi="Times New Roman" w:cs="Times New Roman"/>
          <w:i/>
          <w:iCs/>
          <w:szCs w:val="24"/>
        </w:rPr>
        <w:t xml:space="preserve"> Cambridge Associates 2021</w:t>
      </w:r>
      <w:r w:rsidRPr="00F92E75">
        <w:rPr>
          <w:rFonts w:ascii="Times New Roman" w:hAnsi="Times New Roman" w:cs="Times New Roman"/>
          <w:szCs w:val="24"/>
        </w:rPr>
        <w:t xml:space="preserve">. [pdf] Available at: &lt; </w:t>
      </w:r>
      <w:r w:rsidRPr="00316471">
        <w:rPr>
          <w:rFonts w:ascii="Times New Roman" w:hAnsi="Times New Roman" w:cs="Times New Roman"/>
          <w:szCs w:val="24"/>
        </w:rPr>
        <w:t>https://www.cambridgeassociates.com/wp-content/uploads/2022/03/Cambridge-Associates-2021-DEI-Report.pdf</w:t>
      </w:r>
      <w:r w:rsidRPr="00F92E75">
        <w:rPr>
          <w:rFonts w:ascii="Times New Roman" w:hAnsi="Times New Roman" w:cs="Times New Roman"/>
          <w:szCs w:val="24"/>
        </w:rPr>
        <w:t>&gt; (Accessed: 11 April 2022).</w:t>
      </w:r>
    </w:p>
    <w:p w14:paraId="7F91A230" w14:textId="77777777" w:rsidR="00153829" w:rsidRPr="00F92E75" w:rsidRDefault="00153829" w:rsidP="00EE7CCA">
      <w:pPr>
        <w:adjustRightInd w:val="0"/>
        <w:snapToGrid w:val="0"/>
        <w:spacing w:before="100" w:beforeAutospacing="1" w:after="100" w:afterAutospacing="1" w:line="360" w:lineRule="auto"/>
        <w:ind w:left="480" w:hangingChars="200" w:hanging="480"/>
        <w:rPr>
          <w:rFonts w:ascii="Times New Roman" w:hAnsi="Times New Roman" w:cs="Times New Roman"/>
          <w:szCs w:val="24"/>
          <w:shd w:val="clear" w:color="auto" w:fill="FFFFFF"/>
        </w:rPr>
      </w:pPr>
      <w:r w:rsidRPr="00F92E75">
        <w:rPr>
          <w:rFonts w:ascii="Times New Roman" w:hAnsi="Times New Roman" w:cs="Times New Roman"/>
          <w:szCs w:val="24"/>
        </w:rPr>
        <w:t xml:space="preserve">Cambridge Associates (no date c), </w:t>
      </w:r>
      <w:r w:rsidRPr="00F92E75">
        <w:rPr>
          <w:rFonts w:ascii="Times New Roman" w:hAnsi="Times New Roman" w:cs="Times New Roman"/>
          <w:i/>
          <w:iCs/>
          <w:szCs w:val="24"/>
        </w:rPr>
        <w:t>Who We Are: Leadership</w:t>
      </w:r>
      <w:r w:rsidRPr="00F92E75">
        <w:rPr>
          <w:rFonts w:ascii="Times New Roman" w:hAnsi="Times New Roman" w:cs="Times New Roman"/>
          <w:szCs w:val="24"/>
        </w:rPr>
        <w:t>, viewed 11 April 2022, &lt;https://www.cambridgeassociates.com/leadership/&gt;</w:t>
      </w:r>
    </w:p>
    <w:p w14:paraId="7C65C7BD" w14:textId="77777777" w:rsidR="00153829" w:rsidRPr="00F92E75" w:rsidRDefault="00153829" w:rsidP="00EE7CCA">
      <w:pPr>
        <w:adjustRightInd w:val="0"/>
        <w:snapToGrid w:val="0"/>
        <w:spacing w:before="100" w:beforeAutospacing="1" w:after="100" w:afterAutospacing="1" w:line="360" w:lineRule="auto"/>
        <w:ind w:left="480" w:hangingChars="200" w:hanging="480"/>
        <w:rPr>
          <w:rFonts w:ascii="Times New Roman" w:hAnsi="Times New Roman" w:cs="Times New Roman"/>
          <w:szCs w:val="24"/>
          <w:shd w:val="clear" w:color="auto" w:fill="FFFFFF"/>
        </w:rPr>
      </w:pPr>
      <w:r w:rsidRPr="00F92E75">
        <w:rPr>
          <w:rFonts w:ascii="Times New Roman" w:hAnsi="Times New Roman" w:cs="Times New Roman"/>
          <w:szCs w:val="24"/>
        </w:rPr>
        <w:t xml:space="preserve">Cambridge Associates (no date d), </w:t>
      </w:r>
      <w:r w:rsidRPr="00F92E75">
        <w:rPr>
          <w:rFonts w:ascii="Times New Roman" w:hAnsi="Times New Roman" w:cs="Times New Roman"/>
          <w:i/>
          <w:iCs/>
          <w:szCs w:val="24"/>
        </w:rPr>
        <w:t>Who We Are: Firm Values</w:t>
      </w:r>
      <w:r w:rsidRPr="00F92E75">
        <w:rPr>
          <w:rFonts w:ascii="Times New Roman" w:hAnsi="Times New Roman" w:cs="Times New Roman"/>
          <w:szCs w:val="24"/>
        </w:rPr>
        <w:t>, viewed 11 April 2022, &lt;https://www.cambridgeassociates.com/firm-values/&gt;</w:t>
      </w:r>
    </w:p>
    <w:p w14:paraId="638D207A" w14:textId="77777777" w:rsidR="00153829" w:rsidRPr="00F92E75" w:rsidRDefault="00153829" w:rsidP="00EE7CCA">
      <w:pPr>
        <w:adjustRightInd w:val="0"/>
        <w:snapToGrid w:val="0"/>
        <w:spacing w:before="100" w:beforeAutospacing="1" w:after="100" w:afterAutospacing="1" w:line="360" w:lineRule="auto"/>
        <w:ind w:left="480" w:hangingChars="200" w:hanging="480"/>
        <w:rPr>
          <w:rFonts w:ascii="Times New Roman" w:hAnsi="Times New Roman" w:cs="Times New Roman"/>
          <w:szCs w:val="24"/>
          <w:shd w:val="clear" w:color="auto" w:fill="FFFFFF"/>
        </w:rPr>
      </w:pPr>
      <w:r w:rsidRPr="00F92E75">
        <w:rPr>
          <w:rFonts w:ascii="Times New Roman" w:hAnsi="Times New Roman" w:cs="Times New Roman"/>
          <w:szCs w:val="24"/>
        </w:rPr>
        <w:t xml:space="preserve">Cambridge Associates (no date e), </w:t>
      </w:r>
      <w:r w:rsidRPr="00F92E75">
        <w:rPr>
          <w:rFonts w:ascii="Times New Roman" w:hAnsi="Times New Roman" w:cs="Times New Roman"/>
          <w:i/>
          <w:iCs/>
          <w:szCs w:val="24"/>
        </w:rPr>
        <w:t>What We Do: Endowments &amp; Foundations</w:t>
      </w:r>
      <w:r w:rsidRPr="00F92E75">
        <w:rPr>
          <w:rFonts w:ascii="Times New Roman" w:hAnsi="Times New Roman" w:cs="Times New Roman"/>
          <w:szCs w:val="24"/>
        </w:rPr>
        <w:t>, viewed 13 April 2022, &lt; https://www.cambridgeassociates.com/endowments-foundations/&gt;</w:t>
      </w:r>
    </w:p>
    <w:p w14:paraId="3823D45E"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(no date f), </w:t>
      </w:r>
      <w:r w:rsidRPr="00F92E75">
        <w:rPr>
          <w:rFonts w:ascii="Times New Roman" w:hAnsi="Times New Roman" w:cs="Times New Roman"/>
          <w:i/>
          <w:iCs/>
          <w:szCs w:val="24"/>
        </w:rPr>
        <w:t xml:space="preserve">Take </w:t>
      </w:r>
      <w:proofErr w:type="gramStart"/>
      <w:r w:rsidRPr="00F92E75">
        <w:rPr>
          <w:rFonts w:ascii="Times New Roman" w:hAnsi="Times New Roman" w:cs="Times New Roman"/>
          <w:i/>
          <w:iCs/>
          <w:szCs w:val="24"/>
        </w:rPr>
        <w:t>The</w:t>
      </w:r>
      <w:proofErr w:type="gramEnd"/>
      <w:r w:rsidRPr="00F92E75">
        <w:rPr>
          <w:rFonts w:ascii="Times New Roman" w:hAnsi="Times New Roman" w:cs="Times New Roman"/>
          <w:i/>
          <w:iCs/>
          <w:szCs w:val="24"/>
        </w:rPr>
        <w:t xml:space="preserve"> Governance Quiz</w:t>
      </w:r>
      <w:r w:rsidRPr="00F92E75">
        <w:rPr>
          <w:rFonts w:ascii="Times New Roman" w:hAnsi="Times New Roman" w:cs="Times New Roman"/>
          <w:szCs w:val="24"/>
        </w:rPr>
        <w:t>, viewed 13 April 2022, &lt; http://view.ceros.com/cambridge-associates/governancequiz/p/1&gt;</w:t>
      </w:r>
    </w:p>
    <w:p w14:paraId="26ADC780"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(no date g), </w:t>
      </w:r>
      <w:r w:rsidRPr="00F92E75">
        <w:rPr>
          <w:rFonts w:ascii="Times New Roman" w:hAnsi="Times New Roman" w:cs="Times New Roman"/>
          <w:i/>
          <w:iCs/>
          <w:szCs w:val="24"/>
        </w:rPr>
        <w:t>Portfolios focused on generating outperformance</w:t>
      </w:r>
      <w:r w:rsidRPr="00F92E75">
        <w:rPr>
          <w:rFonts w:ascii="Times New Roman" w:hAnsi="Times New Roman" w:cs="Times New Roman"/>
          <w:szCs w:val="24"/>
        </w:rPr>
        <w:t>, viewed 13 April 2022, &lt;https://www.cambridgeassociates.com/private-markets-investing/&gt;</w:t>
      </w:r>
    </w:p>
    <w:p w14:paraId="54F0BFD6" w14:textId="6B97879E" w:rsidR="00153829" w:rsidRPr="00F92E75" w:rsidRDefault="00153829" w:rsidP="00EE7CCA">
      <w:pPr>
        <w:snapToGrid w:val="0"/>
        <w:spacing w:before="100" w:beforeAutospacing="1" w:after="100" w:afterAutospacing="1" w:line="360" w:lineRule="auto"/>
        <w:ind w:left="240" w:hangingChars="100" w:hanging="240"/>
        <w:rPr>
          <w:rFonts w:ascii="Times New Roman" w:hAnsi="Times New Roman" w:cs="Times New Roman"/>
          <w:szCs w:val="24"/>
        </w:rPr>
      </w:pPr>
      <w:r w:rsidRPr="00F92E75">
        <w:rPr>
          <w:rFonts w:ascii="Times New Roman" w:hAnsi="Times New Roman" w:cs="Times New Roman"/>
          <w:szCs w:val="24"/>
        </w:rPr>
        <w:t xml:space="preserve">Cambridge Associates (no date h), </w:t>
      </w:r>
      <w:r w:rsidRPr="00F92E75">
        <w:rPr>
          <w:rFonts w:ascii="Times New Roman" w:hAnsi="Times New Roman" w:cs="Times New Roman"/>
          <w:i/>
          <w:iCs/>
          <w:szCs w:val="24"/>
        </w:rPr>
        <w:t>CA Institute</w:t>
      </w:r>
      <w:r w:rsidRPr="00F92E75">
        <w:rPr>
          <w:rFonts w:ascii="Times New Roman" w:hAnsi="Times New Roman" w:cs="Times New Roman"/>
          <w:szCs w:val="24"/>
        </w:rPr>
        <w:t xml:space="preserve">, viewed 14 April 2022, </w:t>
      </w:r>
      <w:r w:rsidR="00EE7CCA" w:rsidRPr="003270FE">
        <w:rPr>
          <w:rFonts w:ascii="Times New Roman" w:hAnsi="Times New Roman" w:cs="Times New Roman"/>
          <w:kern w:val="0"/>
          <w:szCs w:val="24"/>
        </w:rPr>
        <w:t>https://ca-</w:t>
      </w:r>
      <w:r w:rsidR="00EE7CCA">
        <w:rPr>
          <w:rFonts w:ascii="Times New Roman" w:hAnsi="Times New Roman" w:cs="Times New Roman"/>
          <w:kern w:val="0"/>
          <w:szCs w:val="24"/>
        </w:rPr>
        <w:t xml:space="preserve"> </w:t>
      </w:r>
      <w:r w:rsidRPr="00F92E75">
        <w:rPr>
          <w:rFonts w:ascii="Times New Roman" w:hAnsi="Times New Roman" w:cs="Times New Roman"/>
          <w:kern w:val="0"/>
          <w:szCs w:val="24"/>
        </w:rPr>
        <w:t>cambridge.adkalpha.com/ca-institute/.</w:t>
      </w:r>
    </w:p>
    <w:p w14:paraId="15177387"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(no date </w:t>
      </w:r>
      <w:proofErr w:type="spellStart"/>
      <w:r w:rsidRPr="00F92E75">
        <w:rPr>
          <w:rFonts w:ascii="Times New Roman" w:hAnsi="Times New Roman" w:cs="Times New Roman"/>
          <w:szCs w:val="24"/>
        </w:rPr>
        <w:t>i</w:t>
      </w:r>
      <w:proofErr w:type="spellEnd"/>
      <w:r w:rsidRPr="00F92E75">
        <w:rPr>
          <w:rFonts w:ascii="Times New Roman" w:hAnsi="Times New Roman" w:cs="Times New Roman"/>
          <w:szCs w:val="24"/>
        </w:rPr>
        <w:t xml:space="preserve">), </w:t>
      </w:r>
      <w:r w:rsidRPr="00F92E75">
        <w:rPr>
          <w:rFonts w:ascii="Times New Roman" w:hAnsi="Times New Roman" w:cs="Times New Roman"/>
          <w:i/>
          <w:iCs/>
          <w:szCs w:val="24"/>
        </w:rPr>
        <w:t>Private Investment Benchmarks</w:t>
      </w:r>
      <w:r w:rsidRPr="00F92E75">
        <w:rPr>
          <w:rFonts w:ascii="Times New Roman" w:hAnsi="Times New Roman" w:cs="Times New Roman"/>
          <w:szCs w:val="24"/>
        </w:rPr>
        <w:t>, viewed 14 April 2022, https://www.cambridgeassociates.com/private-investment-benchmarks/#.</w:t>
      </w:r>
    </w:p>
    <w:p w14:paraId="0662397E"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(no date j), </w:t>
      </w:r>
      <w:r w:rsidRPr="00F92E75">
        <w:rPr>
          <w:rFonts w:ascii="Times New Roman" w:hAnsi="Times New Roman" w:cs="Times New Roman"/>
          <w:i/>
          <w:iCs/>
          <w:szCs w:val="24"/>
        </w:rPr>
        <w:t>Unseen Upside</w:t>
      </w:r>
      <w:r w:rsidRPr="00F92E75">
        <w:rPr>
          <w:rFonts w:ascii="Times New Roman" w:hAnsi="Times New Roman" w:cs="Times New Roman"/>
          <w:szCs w:val="24"/>
        </w:rPr>
        <w:t>, viewed 15 April 2022, https://www.cambridgeassociates.com/unseenupside/.</w:t>
      </w:r>
    </w:p>
    <w:p w14:paraId="327CDAF6"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lastRenderedPageBreak/>
        <w:t xml:space="preserve">Cambridge Associates (no date k), </w:t>
      </w:r>
      <w:r w:rsidRPr="00F92E75">
        <w:rPr>
          <w:rFonts w:ascii="Times New Roman" w:hAnsi="Times New Roman" w:cs="Times New Roman"/>
          <w:i/>
          <w:iCs/>
          <w:szCs w:val="24"/>
        </w:rPr>
        <w:t>Thought Leadership in Action</w:t>
      </w:r>
      <w:r w:rsidRPr="00F92E75">
        <w:rPr>
          <w:rFonts w:ascii="Times New Roman" w:hAnsi="Times New Roman" w:cs="Times New Roman"/>
          <w:szCs w:val="24"/>
        </w:rPr>
        <w:t>, viewed 15 April 2022, https://www.cambridgeassociates.com/events/?scope=past#tabs.</w:t>
      </w:r>
    </w:p>
    <w:p w14:paraId="504DE135"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Cambridge Associates (no date l), </w:t>
      </w:r>
      <w:r w:rsidRPr="00F92E75">
        <w:rPr>
          <w:rFonts w:ascii="Times New Roman" w:hAnsi="Times New Roman" w:cs="Times New Roman"/>
          <w:i/>
          <w:iCs/>
          <w:szCs w:val="24"/>
        </w:rPr>
        <w:t>Insights</w:t>
      </w:r>
      <w:r w:rsidRPr="00F92E75">
        <w:rPr>
          <w:rFonts w:ascii="Times New Roman" w:hAnsi="Times New Roman" w:cs="Times New Roman"/>
          <w:szCs w:val="24"/>
        </w:rPr>
        <w:t>, viewed 15 April 2022, https://www.cambridgeassociates.com/our-insights/.</w:t>
      </w:r>
    </w:p>
    <w:p w14:paraId="7E3248CE" w14:textId="77777777" w:rsidR="0004018B" w:rsidRPr="00F92E75" w:rsidRDefault="0004018B" w:rsidP="00EE7CCA">
      <w:pPr>
        <w:pStyle w:val="Web"/>
        <w:adjustRightInd w:val="0"/>
        <w:snapToGrid w:val="0"/>
        <w:spacing w:line="360" w:lineRule="auto"/>
        <w:ind w:left="480" w:hangingChars="200" w:hanging="480"/>
        <w:rPr>
          <w:rFonts w:eastAsiaTheme="minorEastAsia"/>
        </w:rPr>
      </w:pPr>
      <w:proofErr w:type="spellStart"/>
      <w:r w:rsidRPr="00F92E75">
        <w:rPr>
          <w:rFonts w:eastAsiaTheme="minorEastAsia"/>
        </w:rPr>
        <w:t>Catmull</w:t>
      </w:r>
      <w:proofErr w:type="spellEnd"/>
      <w:r w:rsidRPr="00F92E75">
        <w:rPr>
          <w:rFonts w:eastAsiaTheme="minorEastAsia"/>
        </w:rPr>
        <w:t>, J 2022. ‘</w:t>
      </w:r>
      <w:r w:rsidRPr="00F92E75">
        <w:t xml:space="preserve">4 Alternative Investments </w:t>
      </w:r>
      <w:proofErr w:type="gramStart"/>
      <w:r w:rsidRPr="00F92E75">
        <w:t>To</w:t>
      </w:r>
      <w:proofErr w:type="gramEnd"/>
      <w:r w:rsidRPr="00F92E75">
        <w:t xml:space="preserve"> Consider In 2022’, Forbes, 6 Jan, viewed 8 April 2022, &lt;</w:t>
      </w:r>
      <w:r w:rsidRPr="00F92E75">
        <w:rPr>
          <w:rFonts w:eastAsiaTheme="minorEastAsia"/>
        </w:rPr>
        <w:t xml:space="preserve">https://www.forbes.com/sites/jaimecatmull/2022/01/06/4-alternative-investments-to-consider-in-2022/?sh=3878d54b27f9&gt;. </w:t>
      </w:r>
    </w:p>
    <w:p w14:paraId="1903C932" w14:textId="77777777" w:rsidR="001C0E15" w:rsidRPr="00F92E75" w:rsidRDefault="001C0E15"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Chan, C. and Chen, L. Y. 2020. ‘Wall Street’s Biggest-Ever China Bet Is Riding on These Bankers’, </w:t>
      </w:r>
      <w:r w:rsidRPr="00F92E75">
        <w:rPr>
          <w:rFonts w:ascii="Times New Roman" w:hAnsi="Times New Roman" w:cs="Times New Roman"/>
          <w:i/>
          <w:iCs/>
          <w:szCs w:val="24"/>
          <w:bdr w:val="none" w:sz="0" w:space="0" w:color="auto" w:frame="1"/>
        </w:rPr>
        <w:t>Bloomberg.com</w:t>
      </w:r>
      <w:r w:rsidRPr="00F92E75">
        <w:rPr>
          <w:rFonts w:ascii="Times New Roman" w:hAnsi="Times New Roman" w:cs="Times New Roman"/>
          <w:szCs w:val="24"/>
        </w:rPr>
        <w:t>, p. N.PAG. Available at: https://search.ebscohost.com/login.aspx?direct=true&amp;db=bth&amp;AN=142717436&amp;site=ehost-live (Accessed: 10 April 2022).</w:t>
      </w:r>
    </w:p>
    <w:p w14:paraId="69FA1988" w14:textId="77777777" w:rsidR="0004018B" w:rsidRPr="00F92E75" w:rsidRDefault="0004018B" w:rsidP="00EE7CCA">
      <w:pPr>
        <w:pStyle w:val="1"/>
        <w:snapToGrid w:val="0"/>
        <w:spacing w:before="100" w:beforeAutospacing="1" w:after="100" w:afterAutospacing="1" w:line="360" w:lineRule="auto"/>
        <w:ind w:left="480" w:hangingChars="200" w:hanging="480"/>
        <w:rPr>
          <w:rFonts w:ascii="Times New Roman" w:hAnsi="Times New Roman" w:cs="Times New Roman"/>
          <w:b w:val="0"/>
          <w:bCs w:val="0"/>
          <w:sz w:val="24"/>
          <w:szCs w:val="24"/>
          <w:shd w:val="clear" w:color="auto" w:fill="FFFFFF"/>
        </w:rPr>
      </w:pPr>
      <w:proofErr w:type="spellStart"/>
      <w:r w:rsidRPr="00F92E75">
        <w:rPr>
          <w:rFonts w:ascii="Times New Roman" w:hAnsi="Times New Roman" w:cs="Times New Roman"/>
          <w:b w:val="0"/>
          <w:bCs w:val="0"/>
          <w:sz w:val="24"/>
          <w:szCs w:val="24"/>
          <w:shd w:val="clear" w:color="auto" w:fill="FFFFFF"/>
        </w:rPr>
        <w:t>Chladek</w:t>
      </w:r>
      <w:proofErr w:type="spellEnd"/>
      <w:r w:rsidRPr="00F92E75">
        <w:rPr>
          <w:rFonts w:ascii="Times New Roman" w:hAnsi="Times New Roman" w:cs="Times New Roman"/>
          <w:b w:val="0"/>
          <w:bCs w:val="0"/>
          <w:sz w:val="24"/>
          <w:szCs w:val="24"/>
          <w:shd w:val="clear" w:color="auto" w:fill="FFFFFF"/>
        </w:rPr>
        <w:t>, N 2020. ‘</w:t>
      </w:r>
      <w:r w:rsidRPr="00F92E75">
        <w:rPr>
          <w:rFonts w:ascii="Times New Roman" w:hAnsi="Times New Roman" w:cs="Times New Roman"/>
          <w:b w:val="0"/>
          <w:bCs w:val="0"/>
          <w:sz w:val="24"/>
          <w:szCs w:val="24"/>
        </w:rPr>
        <w:t xml:space="preserve">7 Types of Alternative Investments Everyone Should Know’, </w:t>
      </w:r>
      <w:r w:rsidRPr="00F92E75">
        <w:rPr>
          <w:rFonts w:ascii="Times New Roman" w:hAnsi="Times New Roman" w:cs="Times New Roman"/>
          <w:b w:val="0"/>
          <w:bCs w:val="0"/>
          <w:i/>
          <w:iCs/>
          <w:sz w:val="24"/>
          <w:szCs w:val="24"/>
        </w:rPr>
        <w:t>Business Insights: Harvard Business School Online</w:t>
      </w:r>
      <w:r w:rsidRPr="00F92E75">
        <w:rPr>
          <w:rFonts w:ascii="Times New Roman" w:hAnsi="Times New Roman" w:cs="Times New Roman"/>
          <w:b w:val="0"/>
          <w:bCs w:val="0"/>
          <w:sz w:val="24"/>
          <w:szCs w:val="24"/>
        </w:rPr>
        <w:t>, 7 May, viewed 8 April 2022, &lt;</w:t>
      </w:r>
      <w:r w:rsidRPr="00F92E75">
        <w:rPr>
          <w:rFonts w:ascii="Times New Roman" w:hAnsi="Times New Roman" w:cs="Times New Roman"/>
          <w:b w:val="0"/>
          <w:bCs w:val="0"/>
          <w:sz w:val="24"/>
          <w:szCs w:val="24"/>
          <w:shd w:val="clear" w:color="auto" w:fill="FFFFFF"/>
        </w:rPr>
        <w:t>https://online.hbs.edu/blog/post/types-of-alternative-investments&gt;.</w:t>
      </w:r>
    </w:p>
    <w:p w14:paraId="61155152" w14:textId="6E46AA85" w:rsidR="001C0E15" w:rsidRPr="00F92E75" w:rsidRDefault="001C0E15"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Curry, B. and </w:t>
      </w:r>
      <w:proofErr w:type="spellStart"/>
      <w:r w:rsidRPr="00F92E75">
        <w:rPr>
          <w:rFonts w:ascii="Times New Roman" w:hAnsi="Times New Roman" w:cs="Times New Roman"/>
          <w:szCs w:val="24"/>
        </w:rPr>
        <w:t>Napoletano</w:t>
      </w:r>
      <w:proofErr w:type="spellEnd"/>
      <w:r w:rsidRPr="00F92E75">
        <w:rPr>
          <w:rFonts w:ascii="Times New Roman" w:hAnsi="Times New Roman" w:cs="Times New Roman"/>
          <w:szCs w:val="24"/>
        </w:rPr>
        <w:t xml:space="preserve">, E., 2022. Environmental, Social </w:t>
      </w:r>
      <w:proofErr w:type="gramStart"/>
      <w:r w:rsidRPr="00F92E75">
        <w:rPr>
          <w:rFonts w:ascii="Times New Roman" w:hAnsi="Times New Roman" w:cs="Times New Roman"/>
          <w:szCs w:val="24"/>
        </w:rPr>
        <w:t>And</w:t>
      </w:r>
      <w:proofErr w:type="gramEnd"/>
      <w:r w:rsidRPr="00F92E75">
        <w:rPr>
          <w:rFonts w:ascii="Times New Roman" w:hAnsi="Times New Roman" w:cs="Times New Roman"/>
          <w:szCs w:val="24"/>
        </w:rPr>
        <w:t xml:space="preserve"> Governance: What Is ESG Investing? </w:t>
      </w:r>
      <w:r w:rsidRPr="00F92E75">
        <w:rPr>
          <w:rFonts w:ascii="Times New Roman" w:hAnsi="Times New Roman" w:cs="Times New Roman"/>
          <w:i/>
          <w:iCs/>
          <w:szCs w:val="24"/>
        </w:rPr>
        <w:t>Forbes.com</w:t>
      </w:r>
      <w:r w:rsidRPr="00F92E75">
        <w:rPr>
          <w:rFonts w:ascii="Times New Roman" w:hAnsi="Times New Roman" w:cs="Times New Roman"/>
          <w:szCs w:val="24"/>
        </w:rPr>
        <w:t>. [Online] 24 Feb. Available at: &lt;</w:t>
      </w:r>
      <w:r w:rsidRPr="003270FE">
        <w:rPr>
          <w:rFonts w:ascii="Times New Roman" w:hAnsi="Times New Roman" w:cs="Times New Roman"/>
          <w:szCs w:val="24"/>
        </w:rPr>
        <w:t>https://www.forbes.com/advisor/investing/esg-investing/</w:t>
      </w:r>
      <w:r w:rsidRPr="00F92E75">
        <w:rPr>
          <w:rFonts w:ascii="Times New Roman" w:hAnsi="Times New Roman" w:cs="Times New Roman"/>
          <w:szCs w:val="24"/>
        </w:rPr>
        <w:t>&gt; (Accessed: 17 April 2022).</w:t>
      </w:r>
    </w:p>
    <w:p w14:paraId="60913F21" w14:textId="77777777" w:rsidR="001C0E15" w:rsidRPr="00F92E75" w:rsidRDefault="001C0E15"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Executive summary - Hong Kong SAR (2022) </w:t>
      </w:r>
      <w:r w:rsidRPr="00F92E75">
        <w:rPr>
          <w:rFonts w:ascii="Times New Roman" w:hAnsi="Times New Roman" w:cs="Times New Roman"/>
          <w:i/>
          <w:iCs/>
          <w:szCs w:val="24"/>
        </w:rPr>
        <w:t>Hong Kong Country Monitor</w:t>
      </w:r>
      <w:r w:rsidRPr="00F92E75">
        <w:rPr>
          <w:rFonts w:ascii="Times New Roman" w:hAnsi="Times New Roman" w:cs="Times New Roman"/>
          <w:szCs w:val="24"/>
        </w:rPr>
        <w:t>, pp. 1–6. Available at: https://search.ebscohost.com/login.aspx?direct=true&amp;db=bth&amp;AN=155517274&amp;site=ehost-live (Accessed: 18 April 2022).</w:t>
      </w:r>
    </w:p>
    <w:p w14:paraId="3FBB250E" w14:textId="77777777" w:rsidR="001C0E15" w:rsidRPr="00F92E75" w:rsidRDefault="001C0E15"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Executive summary - United States (2022)</w:t>
      </w:r>
      <w:r w:rsidRPr="00F92E75">
        <w:rPr>
          <w:rFonts w:ascii="Times New Roman" w:hAnsi="Times New Roman" w:cs="Times New Roman"/>
          <w:i/>
          <w:iCs/>
          <w:szCs w:val="24"/>
        </w:rPr>
        <w:t xml:space="preserve"> United States Country Monitor</w:t>
      </w:r>
      <w:r w:rsidRPr="00F92E75">
        <w:rPr>
          <w:rFonts w:ascii="Times New Roman" w:hAnsi="Times New Roman" w:cs="Times New Roman"/>
          <w:szCs w:val="24"/>
        </w:rPr>
        <w:t>, pp. 1–6. Available at: https://search.ebscohost.com/login.aspx?direct=true&amp;db=aph&amp;AN=155517809&amp;site=ehost-live (Accessed: 16 April 2022).</w:t>
      </w:r>
    </w:p>
    <w:p w14:paraId="73E88E01" w14:textId="3393A2E9" w:rsidR="001C0E15" w:rsidRPr="00F92E75" w:rsidRDefault="001C0E15"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Fischer, M., 2021. </w:t>
      </w:r>
      <w:r w:rsidRPr="00F92E75">
        <w:rPr>
          <w:rFonts w:ascii="Times New Roman" w:eastAsia="Times New Roman" w:hAnsi="Times New Roman" w:cs="Times New Roman"/>
          <w:kern w:val="36"/>
          <w:szCs w:val="24"/>
        </w:rPr>
        <w:t xml:space="preserve">Wealthy Millennials Embrace Both DIY Platforms and Professional Advice: Survey. </w:t>
      </w:r>
      <w:r w:rsidRPr="00F92E75">
        <w:rPr>
          <w:rFonts w:ascii="Times New Roman" w:eastAsia="Times New Roman" w:hAnsi="Times New Roman" w:cs="Times New Roman"/>
          <w:i/>
          <w:iCs/>
          <w:kern w:val="36"/>
          <w:szCs w:val="24"/>
        </w:rPr>
        <w:t>Thinkadvisor.com</w:t>
      </w:r>
      <w:r w:rsidRPr="00F92E75">
        <w:rPr>
          <w:rFonts w:ascii="Times New Roman" w:eastAsia="Times New Roman" w:hAnsi="Times New Roman" w:cs="Times New Roman"/>
          <w:kern w:val="36"/>
          <w:szCs w:val="24"/>
        </w:rPr>
        <w:t>. [Online] 10 Dec. Available at:</w:t>
      </w:r>
      <w:r w:rsidRPr="00F92E75">
        <w:rPr>
          <w:rFonts w:ascii="Times New Roman" w:hAnsi="Times New Roman" w:cs="Times New Roman"/>
          <w:kern w:val="36"/>
          <w:szCs w:val="24"/>
        </w:rPr>
        <w:t xml:space="preserve"> </w:t>
      </w:r>
      <w:r w:rsidRPr="00F92E75">
        <w:rPr>
          <w:rFonts w:ascii="Times New Roman" w:hAnsi="Times New Roman" w:cs="Times New Roman"/>
          <w:kern w:val="36"/>
          <w:szCs w:val="24"/>
        </w:rPr>
        <w:lastRenderedPageBreak/>
        <w:t>&lt;</w:t>
      </w:r>
      <w:r w:rsidRPr="003270FE">
        <w:rPr>
          <w:rFonts w:ascii="Times New Roman" w:hAnsi="Times New Roman" w:cs="Times New Roman"/>
          <w:szCs w:val="24"/>
        </w:rPr>
        <w:t>https://www.thinkadvisor.com/2021/12/10/wealthy-millennials-embrace-both-diy-platforms-and-professional-advice-survey/</w:t>
      </w:r>
      <w:r w:rsidRPr="003270FE">
        <w:rPr>
          <w:rStyle w:val="a8"/>
          <w:rFonts w:ascii="Times New Roman" w:hAnsi="Times New Roman" w:cs="Times New Roman"/>
          <w:color w:val="auto"/>
          <w:szCs w:val="24"/>
          <w:u w:val="none"/>
        </w:rPr>
        <w:t>&gt; (Accessed 17 April 2022).</w:t>
      </w:r>
    </w:p>
    <w:p w14:paraId="754D3801"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García-Sánchez, I.-M. and García-</w:t>
      </w:r>
      <w:proofErr w:type="spellStart"/>
      <w:r w:rsidRPr="00F92E75">
        <w:rPr>
          <w:rFonts w:ascii="Times New Roman" w:hAnsi="Times New Roman" w:cs="Times New Roman"/>
          <w:szCs w:val="24"/>
        </w:rPr>
        <w:t>Meca</w:t>
      </w:r>
      <w:proofErr w:type="spellEnd"/>
      <w:r w:rsidRPr="00F92E75">
        <w:rPr>
          <w:rFonts w:ascii="Times New Roman" w:hAnsi="Times New Roman" w:cs="Times New Roman"/>
          <w:szCs w:val="24"/>
        </w:rPr>
        <w:t xml:space="preserve">, E., 2020. ‘Do Able Bank Managers Exhibit Specific Attributes? An Empirical Analysis of Their Investment Efficiency’, </w:t>
      </w:r>
      <w:r w:rsidRPr="00F92E75">
        <w:rPr>
          <w:rFonts w:ascii="Times New Roman" w:hAnsi="Times New Roman" w:cs="Times New Roman"/>
          <w:i/>
          <w:iCs/>
          <w:szCs w:val="24"/>
        </w:rPr>
        <w:t>Administrative Sciences (2076-3387)</w:t>
      </w:r>
      <w:r w:rsidRPr="00F92E75">
        <w:rPr>
          <w:rFonts w:ascii="Times New Roman" w:hAnsi="Times New Roman" w:cs="Times New Roman"/>
          <w:szCs w:val="24"/>
        </w:rPr>
        <w:t xml:space="preserve">, 10(3), p. 44. </w:t>
      </w:r>
      <w:proofErr w:type="spellStart"/>
      <w:r w:rsidRPr="00F92E75">
        <w:rPr>
          <w:rFonts w:ascii="Times New Roman" w:hAnsi="Times New Roman" w:cs="Times New Roman"/>
          <w:szCs w:val="24"/>
        </w:rPr>
        <w:t>doi</w:t>
      </w:r>
      <w:proofErr w:type="spellEnd"/>
      <w:r w:rsidRPr="00F92E75">
        <w:rPr>
          <w:rFonts w:ascii="Times New Roman" w:hAnsi="Times New Roman" w:cs="Times New Roman"/>
          <w:szCs w:val="24"/>
        </w:rPr>
        <w:t>: 10.3390/admsci10030044.</w:t>
      </w:r>
    </w:p>
    <w:p w14:paraId="08889171"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proofErr w:type="spellStart"/>
      <w:r w:rsidRPr="00F92E75">
        <w:rPr>
          <w:rFonts w:ascii="Times New Roman" w:hAnsi="Times New Roman" w:cs="Times New Roman"/>
          <w:szCs w:val="24"/>
        </w:rPr>
        <w:t>Hertina</w:t>
      </w:r>
      <w:proofErr w:type="spellEnd"/>
      <w:r w:rsidRPr="00F92E75">
        <w:rPr>
          <w:rFonts w:ascii="Times New Roman" w:hAnsi="Times New Roman" w:cs="Times New Roman"/>
          <w:szCs w:val="24"/>
        </w:rPr>
        <w:t xml:space="preserve">, D. et al. (2021) ‘Analysis </w:t>
      </w:r>
      <w:proofErr w:type="gramStart"/>
      <w:r w:rsidRPr="00F92E75">
        <w:rPr>
          <w:rFonts w:ascii="Times New Roman" w:hAnsi="Times New Roman" w:cs="Times New Roman"/>
          <w:szCs w:val="24"/>
        </w:rPr>
        <w:t>Of</w:t>
      </w:r>
      <w:proofErr w:type="gramEnd"/>
      <w:r w:rsidRPr="00F92E75">
        <w:rPr>
          <w:rFonts w:ascii="Times New Roman" w:hAnsi="Times New Roman" w:cs="Times New Roman"/>
          <w:szCs w:val="24"/>
        </w:rPr>
        <w:t xml:space="preserve"> Financial Ratio to Company Value’, </w:t>
      </w:r>
      <w:r w:rsidRPr="00F92E75">
        <w:rPr>
          <w:rFonts w:ascii="Times New Roman" w:hAnsi="Times New Roman" w:cs="Times New Roman"/>
          <w:i/>
          <w:iCs/>
          <w:szCs w:val="24"/>
        </w:rPr>
        <w:t>Review of International Geographical Education Online</w:t>
      </w:r>
      <w:r w:rsidRPr="00F92E75">
        <w:rPr>
          <w:rFonts w:ascii="Times New Roman" w:hAnsi="Times New Roman" w:cs="Times New Roman"/>
          <w:szCs w:val="24"/>
        </w:rPr>
        <w:t xml:space="preserve">, 11(7), pp. 3489–3500. </w:t>
      </w:r>
      <w:proofErr w:type="spellStart"/>
      <w:r w:rsidRPr="00F92E75">
        <w:rPr>
          <w:rFonts w:ascii="Times New Roman" w:hAnsi="Times New Roman" w:cs="Times New Roman"/>
          <w:szCs w:val="24"/>
        </w:rPr>
        <w:t>doi</w:t>
      </w:r>
      <w:proofErr w:type="spellEnd"/>
      <w:r w:rsidRPr="00F92E75">
        <w:rPr>
          <w:rFonts w:ascii="Times New Roman" w:hAnsi="Times New Roman" w:cs="Times New Roman"/>
          <w:szCs w:val="24"/>
        </w:rPr>
        <w:t>: 10.48047/rigeo.11.07.319.</w:t>
      </w:r>
    </w:p>
    <w:p w14:paraId="56ACB642" w14:textId="77777777" w:rsidR="004660D3" w:rsidRPr="00F92E75" w:rsidRDefault="004660D3"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Hu, B. and Chen, L. Y. (2021) ‘Hong Kong’s Biggest ETF Resumes Buying Stocks Banned by U.S’, </w:t>
      </w:r>
      <w:r w:rsidRPr="00F92E75">
        <w:rPr>
          <w:rFonts w:ascii="Times New Roman" w:hAnsi="Times New Roman" w:cs="Times New Roman"/>
          <w:i/>
          <w:iCs/>
          <w:szCs w:val="24"/>
        </w:rPr>
        <w:t>Bloomberg.com</w:t>
      </w:r>
      <w:r w:rsidRPr="00F92E75">
        <w:rPr>
          <w:rFonts w:ascii="Times New Roman" w:hAnsi="Times New Roman" w:cs="Times New Roman"/>
          <w:szCs w:val="24"/>
        </w:rPr>
        <w:t>, p. N.PAG. Available at: https://search.ebscohost.com/login.aspx?direct=true&amp;db=bth&amp;AN=148105938&amp;site=ehost-live (Accessed: 17 April 2022).</w:t>
      </w:r>
    </w:p>
    <w:p w14:paraId="6BB06B2B" w14:textId="77777777" w:rsidR="004660D3" w:rsidRPr="00F92E75" w:rsidRDefault="004660D3"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‘Industrial Bank Co Ltd. SWOT Analysis’ (2022) </w:t>
      </w:r>
      <w:r w:rsidRPr="00F92E75">
        <w:rPr>
          <w:rFonts w:ascii="Times New Roman" w:hAnsi="Times New Roman" w:cs="Times New Roman"/>
          <w:i/>
          <w:iCs/>
          <w:szCs w:val="24"/>
        </w:rPr>
        <w:t>Industrial Bank Co., Ltd. SWOT Analysis,</w:t>
      </w:r>
      <w:r w:rsidRPr="00F92E75">
        <w:rPr>
          <w:rFonts w:ascii="Times New Roman" w:hAnsi="Times New Roman" w:cs="Times New Roman"/>
          <w:szCs w:val="24"/>
        </w:rPr>
        <w:t xml:space="preserve"> pp. 1–7. Available at: &lt;https://search.ebscohost.com/login.aspx?direct=true&amp;db=bth&amp;AN=155586942&amp;site=ehost-live&gt; (Accessed: 17 April 2022).</w:t>
      </w:r>
    </w:p>
    <w:p w14:paraId="360DDB50" w14:textId="166EC1B2" w:rsidR="00B169A9" w:rsidRPr="00F92E75" w:rsidRDefault="00B169A9" w:rsidP="00EE7CCA">
      <w:pPr>
        <w:autoSpaceDE w:val="0"/>
        <w:autoSpaceDN w:val="0"/>
        <w:adjustRightInd w:val="0"/>
        <w:snapToGrid w:val="0"/>
        <w:spacing w:before="100" w:beforeAutospacing="1" w:after="100" w:afterAutospacing="1" w:line="360" w:lineRule="auto"/>
        <w:ind w:left="480" w:hangingChars="200" w:hanging="480"/>
        <w:rPr>
          <w:rFonts w:ascii="Times New Roman" w:hAnsi="Times New Roman" w:cs="Times New Roman"/>
          <w:szCs w:val="24"/>
        </w:rPr>
      </w:pPr>
      <w:proofErr w:type="spellStart"/>
      <w:r w:rsidRPr="00F92E75">
        <w:rPr>
          <w:rFonts w:ascii="Times New Roman" w:hAnsi="Times New Roman" w:cs="Times New Roman"/>
          <w:szCs w:val="24"/>
        </w:rPr>
        <w:t>InvestHK</w:t>
      </w:r>
      <w:proofErr w:type="spellEnd"/>
      <w:r w:rsidRPr="00F92E75">
        <w:rPr>
          <w:rFonts w:ascii="Times New Roman" w:hAnsi="Times New Roman" w:cs="Times New Roman"/>
          <w:szCs w:val="24"/>
        </w:rPr>
        <w:t xml:space="preserve">, no date. </w:t>
      </w:r>
      <w:r w:rsidRPr="00F92E75">
        <w:rPr>
          <w:rFonts w:ascii="Times New Roman" w:hAnsi="Times New Roman" w:cs="Times New Roman"/>
          <w:i/>
          <w:iCs/>
          <w:szCs w:val="24"/>
        </w:rPr>
        <w:t>Tax Basics</w:t>
      </w:r>
      <w:r w:rsidRPr="00F92E75">
        <w:rPr>
          <w:rFonts w:ascii="Times New Roman" w:hAnsi="Times New Roman" w:cs="Times New Roman"/>
          <w:szCs w:val="24"/>
        </w:rPr>
        <w:t xml:space="preserve">. [Online] </w:t>
      </w:r>
      <w:proofErr w:type="spellStart"/>
      <w:r w:rsidRPr="00F92E75">
        <w:rPr>
          <w:rFonts w:ascii="Times New Roman" w:hAnsi="Times New Roman" w:cs="Times New Roman"/>
          <w:szCs w:val="24"/>
        </w:rPr>
        <w:t>InvestHK</w:t>
      </w:r>
      <w:proofErr w:type="spellEnd"/>
      <w:r w:rsidRPr="00F92E75">
        <w:rPr>
          <w:rFonts w:ascii="Times New Roman" w:hAnsi="Times New Roman" w:cs="Times New Roman"/>
          <w:szCs w:val="24"/>
        </w:rPr>
        <w:t xml:space="preserve">. Available at: &lt; </w:t>
      </w:r>
      <w:r w:rsidR="00EE7CCA" w:rsidRPr="003270FE">
        <w:rPr>
          <w:rFonts w:ascii="Times New Roman" w:hAnsi="Times New Roman" w:cs="Times New Roman"/>
          <w:szCs w:val="24"/>
        </w:rPr>
        <w:t>https://www.investhk.gov.hk/en/setting-hong-kong/tax-basics.html</w:t>
      </w:r>
      <w:r w:rsidRPr="00F92E75">
        <w:rPr>
          <w:rFonts w:ascii="Times New Roman" w:hAnsi="Times New Roman" w:cs="Times New Roman"/>
          <w:szCs w:val="24"/>
        </w:rPr>
        <w:t>&gt; (Accessed 10 April 2022).</w:t>
      </w:r>
    </w:p>
    <w:p w14:paraId="0FFE424E" w14:textId="3C80CB1F" w:rsidR="00153829" w:rsidRPr="00F92E75" w:rsidRDefault="00153829" w:rsidP="00EE7CCA">
      <w:pPr>
        <w:widowControl/>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Investment Adviser Public Disclosure, 2022a.</w:t>
      </w:r>
      <w:r w:rsidRPr="00F92E75">
        <w:rPr>
          <w:rFonts w:ascii="Times New Roman" w:hAnsi="Times New Roman" w:cs="Times New Roman"/>
          <w:i/>
          <w:iCs/>
          <w:szCs w:val="24"/>
        </w:rPr>
        <w:t xml:space="preserve"> </w:t>
      </w:r>
      <w:r w:rsidRPr="00F92E75">
        <w:rPr>
          <w:rStyle w:val="text-2xl"/>
          <w:rFonts w:ascii="Times New Roman" w:hAnsi="Times New Roman" w:cs="Times New Roman"/>
          <w:i/>
          <w:iCs/>
          <w:szCs w:val="24"/>
        </w:rPr>
        <w:t xml:space="preserve">Investment Adviser Firm Summary: </w:t>
      </w:r>
      <w:r w:rsidRPr="00F92E75">
        <w:rPr>
          <w:rStyle w:val="text-lg"/>
          <w:rFonts w:ascii="Times New Roman" w:hAnsi="Times New Roman" w:cs="Times New Roman"/>
          <w:i/>
          <w:iCs/>
          <w:szCs w:val="24"/>
        </w:rPr>
        <w:t xml:space="preserve">CAMBRIDGE ASSOCIATES, LLC </w:t>
      </w:r>
      <w:proofErr w:type="gramStart"/>
      <w:r w:rsidRPr="00F92E75">
        <w:rPr>
          <w:rStyle w:val="text-lg"/>
          <w:rFonts w:ascii="Times New Roman" w:hAnsi="Times New Roman" w:cs="Times New Roman"/>
          <w:i/>
          <w:iCs/>
          <w:szCs w:val="24"/>
        </w:rPr>
        <w:t>( CRD</w:t>
      </w:r>
      <w:proofErr w:type="gramEnd"/>
      <w:r w:rsidRPr="00F92E75">
        <w:rPr>
          <w:rStyle w:val="text-lg"/>
          <w:rFonts w:ascii="Times New Roman" w:hAnsi="Times New Roman" w:cs="Times New Roman"/>
          <w:i/>
          <w:iCs/>
          <w:szCs w:val="24"/>
        </w:rPr>
        <w:t xml:space="preserve"> # 104942/SEC#:801-14255 ), </w:t>
      </w:r>
      <w:r w:rsidRPr="00F92E75">
        <w:rPr>
          <w:rFonts w:ascii="Times New Roman" w:hAnsi="Times New Roman" w:cs="Times New Roman"/>
          <w:i/>
          <w:iCs/>
          <w:szCs w:val="24"/>
        </w:rPr>
        <w:t>View latest Form ADV filed</w:t>
      </w:r>
      <w:r w:rsidRPr="00F92E75">
        <w:rPr>
          <w:rFonts w:ascii="Times New Roman" w:hAnsi="Times New Roman" w:cs="Times New Roman"/>
          <w:szCs w:val="24"/>
        </w:rPr>
        <w:t>. [Pdf]. Available at: &lt;https://reports.adviserinfo.sec.gov/reports/ADV/104942/PDF/104942.pdf</w:t>
      </w:r>
      <w:proofErr w:type="gramStart"/>
      <w:r w:rsidRPr="00F92E75">
        <w:rPr>
          <w:rFonts w:ascii="Times New Roman" w:hAnsi="Times New Roman" w:cs="Times New Roman"/>
          <w:szCs w:val="24"/>
        </w:rPr>
        <w:t>&gt;(</w:t>
      </w:r>
      <w:proofErr w:type="gramEnd"/>
      <w:r w:rsidRPr="00F92E75">
        <w:rPr>
          <w:rFonts w:ascii="Times New Roman" w:hAnsi="Times New Roman" w:cs="Times New Roman"/>
          <w:szCs w:val="24"/>
        </w:rPr>
        <w:t>Accessed: 11 April 2022).</w:t>
      </w:r>
    </w:p>
    <w:p w14:paraId="28426335" w14:textId="08CC835F" w:rsidR="00153829" w:rsidRPr="00F92E75" w:rsidRDefault="00153829" w:rsidP="00EE7CCA">
      <w:pPr>
        <w:widowControl/>
        <w:snapToGrid w:val="0"/>
        <w:spacing w:before="100" w:beforeAutospacing="1" w:after="100" w:afterAutospacing="1" w:line="360" w:lineRule="auto"/>
        <w:ind w:left="480" w:hangingChars="200" w:hanging="480"/>
        <w:rPr>
          <w:rFonts w:ascii="Times New Roman" w:hAnsi="Times New Roman" w:cs="Times New Roman"/>
          <w:szCs w:val="24"/>
        </w:rPr>
      </w:pPr>
      <w:bookmarkStart w:id="1" w:name="_Hlk101017036"/>
      <w:r w:rsidRPr="00F92E75">
        <w:rPr>
          <w:rFonts w:ascii="Times New Roman" w:hAnsi="Times New Roman" w:cs="Times New Roman"/>
          <w:szCs w:val="24"/>
        </w:rPr>
        <w:t>Investment Adviser Public Disclosure, 2022b.</w:t>
      </w:r>
      <w:r w:rsidRPr="00F92E75">
        <w:rPr>
          <w:rFonts w:ascii="Times New Roman" w:hAnsi="Times New Roman" w:cs="Times New Roman"/>
          <w:i/>
          <w:iCs/>
          <w:szCs w:val="24"/>
        </w:rPr>
        <w:t xml:space="preserve"> </w:t>
      </w:r>
      <w:r w:rsidRPr="00F92E75">
        <w:rPr>
          <w:rStyle w:val="text-2xl"/>
          <w:rFonts w:ascii="Times New Roman" w:hAnsi="Times New Roman" w:cs="Times New Roman"/>
          <w:i/>
          <w:iCs/>
          <w:szCs w:val="24"/>
        </w:rPr>
        <w:t xml:space="preserve">Investment Adviser Firm Summary: </w:t>
      </w:r>
      <w:r w:rsidRPr="00F92E75">
        <w:rPr>
          <w:rStyle w:val="text-lg"/>
          <w:rFonts w:ascii="Times New Roman" w:hAnsi="Times New Roman" w:cs="Times New Roman"/>
          <w:i/>
          <w:iCs/>
          <w:szCs w:val="24"/>
        </w:rPr>
        <w:t xml:space="preserve">CAMBRIDGE ASSOCIATES, LLC </w:t>
      </w:r>
      <w:proofErr w:type="gramStart"/>
      <w:r w:rsidRPr="00F92E75">
        <w:rPr>
          <w:rStyle w:val="text-lg"/>
          <w:rFonts w:ascii="Times New Roman" w:hAnsi="Times New Roman" w:cs="Times New Roman"/>
          <w:i/>
          <w:iCs/>
          <w:szCs w:val="24"/>
        </w:rPr>
        <w:t>( CRD</w:t>
      </w:r>
      <w:proofErr w:type="gramEnd"/>
      <w:r w:rsidRPr="00F92E75">
        <w:rPr>
          <w:rStyle w:val="text-lg"/>
          <w:rFonts w:ascii="Times New Roman" w:hAnsi="Times New Roman" w:cs="Times New Roman"/>
          <w:i/>
          <w:iCs/>
          <w:szCs w:val="24"/>
        </w:rPr>
        <w:t xml:space="preserve"> # 104942/SEC#:801-14255 ), Part 2 Brochures</w:t>
      </w:r>
      <w:r w:rsidRPr="00F92E75">
        <w:rPr>
          <w:rFonts w:ascii="Times New Roman" w:hAnsi="Times New Roman" w:cs="Times New Roman"/>
          <w:szCs w:val="24"/>
        </w:rPr>
        <w:t xml:space="preserve">. [Pdf]. Available at: </w:t>
      </w:r>
      <w:r w:rsidRPr="003270FE">
        <w:rPr>
          <w:rFonts w:ascii="Times New Roman" w:hAnsi="Times New Roman" w:cs="Times New Roman"/>
          <w:szCs w:val="24"/>
        </w:rPr>
        <w:lastRenderedPageBreak/>
        <w:t>https://files.adviserinfo.sec.gov/IAPD/Content/Common/crd_iapd_Brochure.aspx?BRCHR_VRSN_ID=775714</w:t>
      </w:r>
      <w:r w:rsidRPr="00F92E75">
        <w:rPr>
          <w:rFonts w:ascii="Times New Roman" w:hAnsi="Times New Roman" w:cs="Times New Roman"/>
          <w:szCs w:val="24"/>
        </w:rPr>
        <w:t xml:space="preserve"> (Accessed: 16 April 2022).</w:t>
      </w:r>
    </w:p>
    <w:bookmarkEnd w:id="1"/>
    <w:p w14:paraId="7B5E8603"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proofErr w:type="spellStart"/>
      <w:r w:rsidRPr="00F92E75">
        <w:rPr>
          <w:rFonts w:ascii="Times New Roman" w:hAnsi="Times New Roman" w:cs="Times New Roman"/>
          <w:szCs w:val="24"/>
        </w:rPr>
        <w:t>Klebnikov</w:t>
      </w:r>
      <w:proofErr w:type="spellEnd"/>
      <w:r w:rsidRPr="00F92E75">
        <w:rPr>
          <w:rFonts w:ascii="Times New Roman" w:hAnsi="Times New Roman" w:cs="Times New Roman"/>
          <w:szCs w:val="24"/>
        </w:rPr>
        <w:t xml:space="preserve">, S. (2022) ‘Most Wall Street Experts Now Predict Stagflation—Here’s What That Means </w:t>
      </w:r>
      <w:proofErr w:type="gramStart"/>
      <w:r w:rsidRPr="00F92E75">
        <w:rPr>
          <w:rFonts w:ascii="Times New Roman" w:hAnsi="Times New Roman" w:cs="Times New Roman"/>
          <w:szCs w:val="24"/>
        </w:rPr>
        <w:t>For</w:t>
      </w:r>
      <w:proofErr w:type="gramEnd"/>
      <w:r w:rsidRPr="00F92E75">
        <w:rPr>
          <w:rFonts w:ascii="Times New Roman" w:hAnsi="Times New Roman" w:cs="Times New Roman"/>
          <w:szCs w:val="24"/>
        </w:rPr>
        <w:t xml:space="preserve"> Investors And The U.S. Economy’, </w:t>
      </w:r>
      <w:r w:rsidRPr="00F92E75">
        <w:rPr>
          <w:rFonts w:ascii="Times New Roman" w:hAnsi="Times New Roman" w:cs="Times New Roman"/>
          <w:i/>
          <w:iCs/>
          <w:szCs w:val="24"/>
        </w:rPr>
        <w:t>Forbes.com</w:t>
      </w:r>
      <w:r w:rsidRPr="00F92E75">
        <w:rPr>
          <w:rFonts w:ascii="Times New Roman" w:hAnsi="Times New Roman" w:cs="Times New Roman"/>
          <w:szCs w:val="24"/>
        </w:rPr>
        <w:t>, p. N.PAG. Available at: https://search.ebscohost.com/login.aspx?direct=true&amp;db=bth&amp;AN=155778377&amp;site=ehost-live (Accessed: 16 April 2022).</w:t>
      </w:r>
    </w:p>
    <w:p w14:paraId="522284EC"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proofErr w:type="spellStart"/>
      <w:r w:rsidRPr="00F92E75">
        <w:rPr>
          <w:rFonts w:ascii="Times New Roman" w:hAnsi="Times New Roman" w:cs="Times New Roman"/>
          <w:szCs w:val="24"/>
        </w:rPr>
        <w:t>Klebnikov</w:t>
      </w:r>
      <w:proofErr w:type="spellEnd"/>
      <w:r w:rsidRPr="00F92E75">
        <w:rPr>
          <w:rFonts w:ascii="Times New Roman" w:hAnsi="Times New Roman" w:cs="Times New Roman"/>
          <w:szCs w:val="24"/>
        </w:rPr>
        <w:t xml:space="preserve">, S. (2022) ‘Most Wall Street Experts Now Predict Stagflation—Here’s What That Means </w:t>
      </w:r>
      <w:proofErr w:type="gramStart"/>
      <w:r w:rsidRPr="00F92E75">
        <w:rPr>
          <w:rFonts w:ascii="Times New Roman" w:hAnsi="Times New Roman" w:cs="Times New Roman"/>
          <w:szCs w:val="24"/>
        </w:rPr>
        <w:t>For</w:t>
      </w:r>
      <w:proofErr w:type="gramEnd"/>
      <w:r w:rsidRPr="00F92E75">
        <w:rPr>
          <w:rFonts w:ascii="Times New Roman" w:hAnsi="Times New Roman" w:cs="Times New Roman"/>
          <w:szCs w:val="24"/>
        </w:rPr>
        <w:t xml:space="preserve"> Investors And The U.S. Economy’, </w:t>
      </w:r>
      <w:r w:rsidRPr="00F92E75">
        <w:rPr>
          <w:rFonts w:ascii="Times New Roman" w:hAnsi="Times New Roman" w:cs="Times New Roman"/>
          <w:i/>
          <w:iCs/>
          <w:szCs w:val="24"/>
        </w:rPr>
        <w:t>Forbes.com</w:t>
      </w:r>
      <w:r w:rsidRPr="00F92E75">
        <w:rPr>
          <w:rFonts w:ascii="Times New Roman" w:hAnsi="Times New Roman" w:cs="Times New Roman"/>
          <w:szCs w:val="24"/>
        </w:rPr>
        <w:t>, p. N.PAG. Available at: https://search.ebscohost.com/login.aspx?direct=true&amp;db=bth&amp;AN=155778377&amp;site=ehost-live (Accessed: 16 April 2022).</w:t>
      </w:r>
    </w:p>
    <w:p w14:paraId="64F43A6E"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proofErr w:type="spellStart"/>
      <w:r w:rsidRPr="00F92E75">
        <w:rPr>
          <w:rFonts w:ascii="Times New Roman" w:hAnsi="Times New Roman" w:cs="Times New Roman"/>
          <w:szCs w:val="24"/>
        </w:rPr>
        <w:t>Moyo</w:t>
      </w:r>
      <w:proofErr w:type="spellEnd"/>
      <w:r w:rsidRPr="00F92E75">
        <w:rPr>
          <w:rFonts w:ascii="Times New Roman" w:hAnsi="Times New Roman" w:cs="Times New Roman"/>
          <w:szCs w:val="24"/>
        </w:rPr>
        <w:t xml:space="preserve">, D. (2022) ‘10 ESG Questions Companies Need to Answer’, </w:t>
      </w:r>
      <w:r w:rsidRPr="00F92E75">
        <w:rPr>
          <w:rFonts w:ascii="Times New Roman" w:hAnsi="Times New Roman" w:cs="Times New Roman"/>
          <w:i/>
          <w:iCs/>
          <w:szCs w:val="24"/>
        </w:rPr>
        <w:t>Harvard Business Review Digital Articles</w:t>
      </w:r>
      <w:r w:rsidRPr="00F92E75">
        <w:rPr>
          <w:rFonts w:ascii="Times New Roman" w:hAnsi="Times New Roman" w:cs="Times New Roman"/>
          <w:szCs w:val="24"/>
        </w:rPr>
        <w:t>, pp. 1–8. Available at: https://search.ebscohost.com/login.aspx?direct=true&amp;db=bth&amp;AN=154606090&amp;site=ehost-live (Accessed: 17 April 2022).</w:t>
      </w:r>
    </w:p>
    <w:p w14:paraId="001E2CF8"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Saad, L. (2022) ‘Where U.S. Investors Stand on ESG Investing’, </w:t>
      </w:r>
      <w:r w:rsidRPr="00F92E75">
        <w:rPr>
          <w:rFonts w:ascii="Times New Roman" w:hAnsi="Times New Roman" w:cs="Times New Roman"/>
          <w:i/>
          <w:iCs/>
          <w:szCs w:val="24"/>
        </w:rPr>
        <w:t>Gallup News Service</w:t>
      </w:r>
      <w:r w:rsidRPr="00F92E75">
        <w:rPr>
          <w:rFonts w:ascii="Times New Roman" w:hAnsi="Times New Roman" w:cs="Times New Roman"/>
          <w:szCs w:val="24"/>
        </w:rPr>
        <w:t>, p. N.PAG. Available at: &lt;https://search.ebscohost.com/login.aspx?direct=true&amp;db=bth&amp;AN=155429400&amp;site=ehost-live&gt; (Accessed: 17 April 2022).</w:t>
      </w:r>
    </w:p>
    <w:p w14:paraId="03308D51"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Sareen-</w:t>
      </w:r>
      <w:proofErr w:type="spellStart"/>
      <w:r w:rsidRPr="00F92E75">
        <w:rPr>
          <w:rFonts w:ascii="Times New Roman" w:hAnsi="Times New Roman" w:cs="Times New Roman"/>
          <w:szCs w:val="24"/>
        </w:rPr>
        <w:t>Tak</w:t>
      </w:r>
      <w:proofErr w:type="spellEnd"/>
      <w:r w:rsidRPr="00F92E75">
        <w:rPr>
          <w:rFonts w:ascii="Times New Roman" w:hAnsi="Times New Roman" w:cs="Times New Roman"/>
          <w:szCs w:val="24"/>
        </w:rPr>
        <w:t>, A. 2016. ‘Cambridge Associates Selects New CEO’, </w:t>
      </w:r>
      <w:r w:rsidRPr="00F92E75">
        <w:rPr>
          <w:rFonts w:ascii="Times New Roman" w:hAnsi="Times New Roman" w:cs="Times New Roman"/>
          <w:i/>
          <w:iCs/>
          <w:szCs w:val="24"/>
        </w:rPr>
        <w:t>Money Management Letter</w:t>
      </w:r>
      <w:r w:rsidRPr="00F92E75">
        <w:rPr>
          <w:rFonts w:ascii="Times New Roman" w:hAnsi="Times New Roman" w:cs="Times New Roman"/>
          <w:szCs w:val="24"/>
        </w:rPr>
        <w:t>, p. 1. Available at: https://search.ebscohost.com/login.aspx?direct=true&amp;db=bth&amp;AN=115372734&amp;site=ehost-live (Accessed: 11 April 2022).</w:t>
      </w:r>
    </w:p>
    <w:p w14:paraId="317E2815" w14:textId="77777777" w:rsidR="00153829" w:rsidRPr="00F92E75" w:rsidRDefault="00153829"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Schmidt, J. and Keil, T., 2013. ‘What Makes a Resource Valuable? Identifying the Drivers of Firm- Idiosyncratic Resource Value’, </w:t>
      </w:r>
      <w:r w:rsidRPr="00F92E75">
        <w:rPr>
          <w:rFonts w:ascii="Times New Roman" w:hAnsi="Times New Roman" w:cs="Times New Roman"/>
          <w:i/>
          <w:iCs/>
          <w:szCs w:val="24"/>
        </w:rPr>
        <w:t>Academy of Management Review</w:t>
      </w:r>
      <w:r w:rsidRPr="00F92E75">
        <w:rPr>
          <w:rFonts w:ascii="Times New Roman" w:hAnsi="Times New Roman" w:cs="Times New Roman"/>
          <w:szCs w:val="24"/>
        </w:rPr>
        <w:t xml:space="preserve">, 38(2), pp. 206–228. </w:t>
      </w:r>
      <w:proofErr w:type="spellStart"/>
      <w:r w:rsidRPr="00F92E75">
        <w:rPr>
          <w:rFonts w:ascii="Times New Roman" w:hAnsi="Times New Roman" w:cs="Times New Roman"/>
          <w:szCs w:val="24"/>
        </w:rPr>
        <w:t>doi</w:t>
      </w:r>
      <w:proofErr w:type="spellEnd"/>
      <w:r w:rsidRPr="00F92E75">
        <w:rPr>
          <w:rFonts w:ascii="Times New Roman" w:hAnsi="Times New Roman" w:cs="Times New Roman"/>
          <w:szCs w:val="24"/>
        </w:rPr>
        <w:t>: 10.5465/amr.2010.0404.</w:t>
      </w:r>
    </w:p>
    <w:p w14:paraId="690EA579"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Securities and Futures Commission, 2021. </w:t>
      </w:r>
      <w:r w:rsidRPr="00F92E75">
        <w:rPr>
          <w:rFonts w:ascii="Times New Roman" w:hAnsi="Times New Roman" w:cs="Times New Roman"/>
          <w:i/>
          <w:iCs/>
          <w:szCs w:val="24"/>
        </w:rPr>
        <w:t>Asset and Wealth Management Activities Survey 2020</w:t>
      </w:r>
      <w:r w:rsidRPr="00F92E75">
        <w:rPr>
          <w:rFonts w:ascii="Times New Roman" w:hAnsi="Times New Roman" w:cs="Times New Roman"/>
          <w:szCs w:val="24"/>
        </w:rPr>
        <w:t xml:space="preserve">, July [Pdf] Securities and Futures Commission. Available at: </w:t>
      </w:r>
      <w:r w:rsidRPr="00F92E75">
        <w:rPr>
          <w:rFonts w:ascii="Times New Roman" w:hAnsi="Times New Roman" w:cs="Times New Roman"/>
          <w:szCs w:val="24"/>
        </w:rPr>
        <w:lastRenderedPageBreak/>
        <w:t>&lt;https://www.sfc.hk/-/media/EN/files/COM/Reports-and-surveys/AWMAS2020_e.pdf&gt; (Accessed: 17 April 2022).</w:t>
      </w:r>
    </w:p>
    <w:p w14:paraId="7A5D4D78"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 xml:space="preserve">Securities and Futures Commission, 2022. </w:t>
      </w:r>
      <w:r w:rsidRPr="00F92E75">
        <w:rPr>
          <w:rFonts w:ascii="Times New Roman" w:hAnsi="Times New Roman" w:cs="Times New Roman"/>
          <w:i/>
          <w:iCs/>
          <w:szCs w:val="24"/>
        </w:rPr>
        <w:t>Public Register of Licensed Persons and Registered Institutions</w:t>
      </w:r>
      <w:r w:rsidRPr="00F92E75">
        <w:rPr>
          <w:rFonts w:ascii="Times New Roman" w:hAnsi="Times New Roman" w:cs="Times New Roman"/>
          <w:szCs w:val="24"/>
        </w:rPr>
        <w:t>, 14 April [Online] Securities and Futures Commission. Available at: &lt;https://apps.sfc.hk/publicregWeb/indi/AEK540/licenceRecord&gt; (Accessed: 18 April 2022)</w:t>
      </w:r>
    </w:p>
    <w:p w14:paraId="39FBDA4C"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Shell, A., 2022. ‘Alternative Investments for the Rest of Us’, </w:t>
      </w:r>
      <w:r w:rsidRPr="00F92E75">
        <w:rPr>
          <w:rFonts w:ascii="Times New Roman" w:hAnsi="Times New Roman" w:cs="Times New Roman"/>
          <w:i/>
          <w:iCs/>
          <w:szCs w:val="24"/>
        </w:rPr>
        <w:t>Kiplinger’s Personal Finance</w:t>
      </w:r>
      <w:r w:rsidRPr="00F92E75">
        <w:rPr>
          <w:rFonts w:ascii="Times New Roman" w:hAnsi="Times New Roman" w:cs="Times New Roman"/>
          <w:szCs w:val="24"/>
        </w:rPr>
        <w:t>, 76(2), pp. 60–61. Available at: &lt;https://search.ebscohost.com/login.aspx?direct=true&amp;db=aph&amp;AN=154124989&amp;site=ehost-live&gt; (Accessed: 8 April 2022).</w:t>
      </w:r>
    </w:p>
    <w:p w14:paraId="277C8E08"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Williamson, C. (2021) ‘Consultants benefit from client returns: Assets under advisement increase 10.5% to $47.14 trillion on investors’ market gains’, </w:t>
      </w:r>
      <w:r w:rsidRPr="00F92E75">
        <w:rPr>
          <w:rFonts w:ascii="Times New Roman" w:hAnsi="Times New Roman" w:cs="Times New Roman"/>
          <w:i/>
          <w:iCs/>
          <w:szCs w:val="24"/>
        </w:rPr>
        <w:t>Pensions &amp; Investments</w:t>
      </w:r>
      <w:r w:rsidRPr="00F92E75">
        <w:rPr>
          <w:rFonts w:ascii="Times New Roman" w:hAnsi="Times New Roman" w:cs="Times New Roman"/>
          <w:szCs w:val="24"/>
        </w:rPr>
        <w:t>, 49(24), p. 14. Available at: https://search.ebscohost.com/login.aspx?direct=true&amp;db=bth&amp;AN=153932326&amp;site=ehost-live (Accessed: 8 April 2022).</w:t>
      </w:r>
    </w:p>
    <w:p w14:paraId="1AE7108B"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Wong, K. (2022) ‘State Street Dropped as Manager of Hong Kong’s Biggest ETF’, </w:t>
      </w:r>
      <w:r w:rsidRPr="00F92E75">
        <w:rPr>
          <w:rFonts w:ascii="Times New Roman" w:hAnsi="Times New Roman" w:cs="Times New Roman"/>
          <w:i/>
          <w:iCs/>
          <w:szCs w:val="24"/>
        </w:rPr>
        <w:t>Bloomberg.com</w:t>
      </w:r>
      <w:r w:rsidRPr="00F92E75">
        <w:rPr>
          <w:rFonts w:ascii="Times New Roman" w:hAnsi="Times New Roman" w:cs="Times New Roman"/>
          <w:szCs w:val="24"/>
        </w:rPr>
        <w:t>, p. N.PAG. Available at: https://search.ebscohost.com/login.aspx?direct=true&amp;db=bth&amp;AN=156021042&amp;site=ehost-live (Accessed: 17 April 2022).</w:t>
      </w:r>
    </w:p>
    <w:p w14:paraId="4BFE43AC" w14:textId="77777777"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szCs w:val="24"/>
        </w:rPr>
      </w:pPr>
      <w:r w:rsidRPr="00F92E75">
        <w:rPr>
          <w:rFonts w:ascii="Times New Roman" w:hAnsi="Times New Roman" w:cs="Times New Roman"/>
          <w:szCs w:val="24"/>
        </w:rPr>
        <w:t>Zhou, Q. 2021. ‘Hong Kong as a Global Financial Services Center’, </w:t>
      </w:r>
      <w:r w:rsidRPr="00F92E75">
        <w:rPr>
          <w:rFonts w:ascii="Times New Roman" w:hAnsi="Times New Roman" w:cs="Times New Roman"/>
          <w:i/>
          <w:iCs/>
          <w:szCs w:val="24"/>
        </w:rPr>
        <w:t>China Briefing</w:t>
      </w:r>
      <w:r w:rsidRPr="00F92E75">
        <w:rPr>
          <w:rFonts w:ascii="Times New Roman" w:hAnsi="Times New Roman" w:cs="Times New Roman"/>
          <w:szCs w:val="24"/>
        </w:rPr>
        <w:t>, (194), pp. 14–15. Available at: https://search.ebscohost.com/login.aspx?direct=true&amp;db=bth&amp;AN=148893399&amp;site=ehost-live (Accessed: 10 April 2022).</w:t>
      </w:r>
    </w:p>
    <w:p w14:paraId="111AF26D" w14:textId="3D3B0551" w:rsidR="0004018B" w:rsidRPr="00F92E75" w:rsidRDefault="0004018B" w:rsidP="00EE7CCA">
      <w:pPr>
        <w:snapToGrid w:val="0"/>
        <w:spacing w:before="100" w:beforeAutospacing="1" w:after="100" w:afterAutospacing="1" w:line="360" w:lineRule="auto"/>
        <w:ind w:left="480" w:hangingChars="200" w:hanging="480"/>
        <w:rPr>
          <w:rFonts w:ascii="Times New Roman" w:hAnsi="Times New Roman" w:cs="Times New Roman"/>
          <w:color w:val="828C93"/>
          <w:kern w:val="0"/>
          <w:szCs w:val="24"/>
        </w:rPr>
      </w:pPr>
      <w:r w:rsidRPr="00F92E75">
        <w:rPr>
          <w:rFonts w:ascii="Times New Roman" w:hAnsi="Times New Roman" w:cs="Times New Roman"/>
          <w:szCs w:val="24"/>
        </w:rPr>
        <w:t>Z/YEN, 2022.</w:t>
      </w:r>
      <w:r w:rsidRPr="00F92E75">
        <w:rPr>
          <w:rFonts w:ascii="Times New Roman" w:hAnsi="Times New Roman" w:cs="Times New Roman"/>
          <w:i/>
          <w:iCs/>
          <w:szCs w:val="24"/>
        </w:rPr>
        <w:t xml:space="preserve"> The Global Financial </w:t>
      </w:r>
      <w:proofErr w:type="spellStart"/>
      <w:r w:rsidRPr="00F92E75">
        <w:rPr>
          <w:rFonts w:ascii="Times New Roman" w:hAnsi="Times New Roman" w:cs="Times New Roman"/>
          <w:i/>
          <w:iCs/>
          <w:szCs w:val="24"/>
        </w:rPr>
        <w:t>Centres</w:t>
      </w:r>
      <w:proofErr w:type="spellEnd"/>
      <w:r w:rsidRPr="00F92E75">
        <w:rPr>
          <w:rFonts w:ascii="Times New Roman" w:hAnsi="Times New Roman" w:cs="Times New Roman"/>
          <w:i/>
          <w:iCs/>
          <w:szCs w:val="24"/>
        </w:rPr>
        <w:t xml:space="preserve"> Index 31, March 2022</w:t>
      </w:r>
      <w:r w:rsidRPr="00F92E75">
        <w:rPr>
          <w:rFonts w:ascii="Times New Roman" w:hAnsi="Times New Roman" w:cs="Times New Roman"/>
          <w:szCs w:val="24"/>
        </w:rPr>
        <w:t xml:space="preserve">. [Online] </w:t>
      </w:r>
      <w:r w:rsidRPr="00F92E75">
        <w:rPr>
          <w:rFonts w:ascii="Times New Roman" w:eastAsia="Times New Roman" w:hAnsi="Times New Roman" w:cs="Times New Roman"/>
          <w:color w:val="1D2228"/>
          <w:kern w:val="36"/>
          <w:szCs w:val="24"/>
        </w:rPr>
        <w:t>Available at: &lt;</w:t>
      </w:r>
      <w:r w:rsidRPr="003270FE">
        <w:rPr>
          <w:rFonts w:ascii="Times New Roman" w:eastAsia="Times New Roman" w:hAnsi="Times New Roman" w:cs="Times New Roman"/>
          <w:kern w:val="36"/>
          <w:szCs w:val="24"/>
        </w:rPr>
        <w:t>www.longfinance.net/media/documents/GFCI_31_Report_2022.03.24_v1.0.pdf</w:t>
      </w:r>
      <w:r w:rsidRPr="00F92E75">
        <w:rPr>
          <w:rFonts w:ascii="Times New Roman" w:eastAsia="Times New Roman" w:hAnsi="Times New Roman" w:cs="Times New Roman"/>
          <w:color w:val="1D2228"/>
          <w:kern w:val="36"/>
          <w:szCs w:val="24"/>
        </w:rPr>
        <w:t xml:space="preserve">&gt; </w:t>
      </w:r>
      <w:r w:rsidRPr="00F92E75">
        <w:rPr>
          <w:rFonts w:ascii="Times New Roman" w:hAnsi="Times New Roman" w:cs="Times New Roman"/>
          <w:szCs w:val="24"/>
        </w:rPr>
        <w:t>(Accessed: 10 April 2022).</w:t>
      </w:r>
    </w:p>
    <w:p w14:paraId="0E36271A" w14:textId="77777777" w:rsidR="00153829" w:rsidRPr="00153829" w:rsidRDefault="00153829" w:rsidP="002C7EB2">
      <w:pPr>
        <w:rPr>
          <w:rFonts w:ascii="Times New Roman" w:hAnsi="Times New Roman" w:cs="Times New Roman" w:hint="eastAsia"/>
          <w:szCs w:val="24"/>
        </w:rPr>
      </w:pPr>
    </w:p>
    <w:sectPr w:rsidR="00153829" w:rsidRPr="00153829" w:rsidSect="00861E7F">
      <w:footerReference w:type="default" r:id="rId11"/>
      <w:pgSz w:w="11906" w:h="16838"/>
      <w:pgMar w:top="1440" w:right="1800" w:bottom="1440" w:left="1800" w:header="851" w:footer="992" w:gutter="0"/>
      <w:pgNumType w:start="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5F0A8" w14:textId="77777777" w:rsidR="00816B1A" w:rsidRDefault="00816B1A" w:rsidP="00E634FA">
      <w:r>
        <w:separator/>
      </w:r>
    </w:p>
  </w:endnote>
  <w:endnote w:type="continuationSeparator" w:id="0">
    <w:p w14:paraId="4443C1EE" w14:textId="77777777" w:rsidR="00816B1A" w:rsidRDefault="00816B1A" w:rsidP="00E63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Pro-Semibold">
    <w:altName w:val="微軟正黑體"/>
    <w:panose1 w:val="00000000000000000000"/>
    <w:charset w:val="88"/>
    <w:family w:val="swiss"/>
    <w:notTrueType/>
    <w:pitch w:val="default"/>
    <w:sig w:usb0="00000001" w:usb1="08080000" w:usb2="00000010" w:usb3="00000000" w:csb0="00100000" w:csb1="00000000"/>
  </w:font>
  <w:font w:name="MyriadPro-Light">
    <w:altName w:val="微軟正黑體"/>
    <w:panose1 w:val="00000000000000000000"/>
    <w:charset w:val="88"/>
    <w:family w:val="swiss"/>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088086"/>
      <w:docPartObj>
        <w:docPartGallery w:val="Page Numbers (Bottom of Page)"/>
        <w:docPartUnique/>
      </w:docPartObj>
    </w:sdtPr>
    <w:sdtContent>
      <w:p w14:paraId="445AC2A0" w14:textId="424EFBB8" w:rsidR="0004018B" w:rsidRDefault="0004018B">
        <w:pPr>
          <w:pStyle w:val="a6"/>
          <w:jc w:val="center"/>
        </w:pPr>
        <w:r>
          <w:fldChar w:fldCharType="begin"/>
        </w:r>
        <w:r>
          <w:instrText>PAGE   \* MERGEFORMAT</w:instrText>
        </w:r>
        <w:r>
          <w:fldChar w:fldCharType="separate"/>
        </w:r>
        <w:r>
          <w:rPr>
            <w:lang w:val="zh-TW"/>
          </w:rPr>
          <w:t>2</w:t>
        </w:r>
        <w:r>
          <w:fldChar w:fldCharType="end"/>
        </w:r>
      </w:p>
    </w:sdtContent>
  </w:sdt>
  <w:p w14:paraId="0D924B71" w14:textId="77777777" w:rsidR="003D5DED" w:rsidRDefault="003D5DE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C762E" w14:textId="77777777" w:rsidR="00816B1A" w:rsidRDefault="00816B1A" w:rsidP="00E634FA">
      <w:r>
        <w:separator/>
      </w:r>
    </w:p>
  </w:footnote>
  <w:footnote w:type="continuationSeparator" w:id="0">
    <w:p w14:paraId="62F548CB" w14:textId="77777777" w:rsidR="00816B1A" w:rsidRDefault="00816B1A" w:rsidP="00E63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4652"/>
    <w:multiLevelType w:val="hybridMultilevel"/>
    <w:tmpl w:val="197AAA6A"/>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34517B6"/>
    <w:multiLevelType w:val="multilevel"/>
    <w:tmpl w:val="BD2230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F2A36"/>
    <w:multiLevelType w:val="hybridMultilevel"/>
    <w:tmpl w:val="166452FE"/>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78768DC"/>
    <w:multiLevelType w:val="hybridMultilevel"/>
    <w:tmpl w:val="1040E892"/>
    <w:lvl w:ilvl="0" w:tplc="5484D39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46651BC"/>
    <w:multiLevelType w:val="hybridMultilevel"/>
    <w:tmpl w:val="9CF61628"/>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E0266BC"/>
    <w:multiLevelType w:val="multilevel"/>
    <w:tmpl w:val="041866B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E264F"/>
    <w:multiLevelType w:val="multilevel"/>
    <w:tmpl w:val="AC7A45A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4338EF"/>
    <w:multiLevelType w:val="hybridMultilevel"/>
    <w:tmpl w:val="B18E3A30"/>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1C54094"/>
    <w:multiLevelType w:val="hybridMultilevel"/>
    <w:tmpl w:val="69BCE534"/>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3D27AA6"/>
    <w:multiLevelType w:val="multilevel"/>
    <w:tmpl w:val="06B4A46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E03775"/>
    <w:multiLevelType w:val="multilevel"/>
    <w:tmpl w:val="7FB491BA"/>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C0E4272"/>
    <w:multiLevelType w:val="hybridMultilevel"/>
    <w:tmpl w:val="C5DE4826"/>
    <w:lvl w:ilvl="0" w:tplc="18666A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2F5174DC"/>
    <w:multiLevelType w:val="hybridMultilevel"/>
    <w:tmpl w:val="E0AA5A02"/>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1943853"/>
    <w:multiLevelType w:val="multilevel"/>
    <w:tmpl w:val="2F648374"/>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2731D0B"/>
    <w:multiLevelType w:val="hybridMultilevel"/>
    <w:tmpl w:val="A620AD2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32E66F80"/>
    <w:multiLevelType w:val="multilevel"/>
    <w:tmpl w:val="A920BB1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D4619E"/>
    <w:multiLevelType w:val="multilevel"/>
    <w:tmpl w:val="77C6533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3E3A7B07"/>
    <w:multiLevelType w:val="hybridMultilevel"/>
    <w:tmpl w:val="33A00AE6"/>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40FA0A6A"/>
    <w:multiLevelType w:val="multilevel"/>
    <w:tmpl w:val="66B225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908FB"/>
    <w:multiLevelType w:val="multilevel"/>
    <w:tmpl w:val="8DA69F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6903E6"/>
    <w:multiLevelType w:val="hybridMultilevel"/>
    <w:tmpl w:val="5CEE7D4E"/>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4EF54B57"/>
    <w:multiLevelType w:val="multilevel"/>
    <w:tmpl w:val="F4BA1D7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4F634B"/>
    <w:multiLevelType w:val="hybridMultilevel"/>
    <w:tmpl w:val="91D86E52"/>
    <w:lvl w:ilvl="0" w:tplc="028AAA4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54CA234A"/>
    <w:multiLevelType w:val="hybridMultilevel"/>
    <w:tmpl w:val="1652C12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52C3260"/>
    <w:multiLevelType w:val="multilevel"/>
    <w:tmpl w:val="A9940560"/>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0E23B9"/>
    <w:multiLevelType w:val="hybridMultilevel"/>
    <w:tmpl w:val="0674F546"/>
    <w:lvl w:ilvl="0" w:tplc="9F0AE06A">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5EB63172"/>
    <w:multiLevelType w:val="hybridMultilevel"/>
    <w:tmpl w:val="3368845E"/>
    <w:lvl w:ilvl="0" w:tplc="D486C444">
      <w:start w:val="1"/>
      <w:numFmt w:val="lowerLetter"/>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5FFA422E"/>
    <w:multiLevelType w:val="hybridMultilevel"/>
    <w:tmpl w:val="2A148C68"/>
    <w:lvl w:ilvl="0" w:tplc="1B025A42">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619D01F5"/>
    <w:multiLevelType w:val="hybridMultilevel"/>
    <w:tmpl w:val="4AB8E938"/>
    <w:lvl w:ilvl="0" w:tplc="ED2AE1C2">
      <w:start w:val="942"/>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15:restartNumberingAfterBreak="0">
    <w:nsid w:val="68415324"/>
    <w:multiLevelType w:val="multilevel"/>
    <w:tmpl w:val="0409001D"/>
    <w:lvl w:ilvl="0">
      <w:start w:val="1"/>
      <w:numFmt w:val="decimal"/>
      <w:lvlText w:val="%1"/>
      <w:lvlJc w:val="left"/>
      <w:pPr>
        <w:ind w:left="425" w:hanging="425"/>
      </w:pPr>
      <w:rPr>
        <w:rFonts w:hint="default"/>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0" w15:restartNumberingAfterBreak="0">
    <w:nsid w:val="6B1B28B2"/>
    <w:multiLevelType w:val="hybridMultilevel"/>
    <w:tmpl w:val="8C1E01C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1" w15:restartNumberingAfterBreak="0">
    <w:nsid w:val="6BF740D5"/>
    <w:multiLevelType w:val="multilevel"/>
    <w:tmpl w:val="D97C2AA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72787E"/>
    <w:multiLevelType w:val="multilevel"/>
    <w:tmpl w:val="AED6BFC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0694E03"/>
    <w:multiLevelType w:val="hybridMultilevel"/>
    <w:tmpl w:val="14402B0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7CDC5054"/>
    <w:multiLevelType w:val="hybridMultilevel"/>
    <w:tmpl w:val="7A987784"/>
    <w:lvl w:ilvl="0" w:tplc="C1F0C664">
      <w:start w:val="942"/>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353336059">
    <w:abstractNumId w:val="16"/>
  </w:num>
  <w:num w:numId="2" w16cid:durableId="834490770">
    <w:abstractNumId w:val="29"/>
  </w:num>
  <w:num w:numId="3" w16cid:durableId="325940303">
    <w:abstractNumId w:val="15"/>
  </w:num>
  <w:num w:numId="4" w16cid:durableId="1074859369">
    <w:abstractNumId w:val="21"/>
  </w:num>
  <w:num w:numId="5" w16cid:durableId="1919708103">
    <w:abstractNumId w:val="31"/>
  </w:num>
  <w:num w:numId="6" w16cid:durableId="1318729770">
    <w:abstractNumId w:val="19"/>
  </w:num>
  <w:num w:numId="7" w16cid:durableId="1464076732">
    <w:abstractNumId w:val="14"/>
  </w:num>
  <w:num w:numId="8" w16cid:durableId="944966156">
    <w:abstractNumId w:val="5"/>
  </w:num>
  <w:num w:numId="9" w16cid:durableId="66609207">
    <w:abstractNumId w:val="18"/>
  </w:num>
  <w:num w:numId="10" w16cid:durableId="168568096">
    <w:abstractNumId w:val="1"/>
  </w:num>
  <w:num w:numId="11" w16cid:durableId="2145535744">
    <w:abstractNumId w:val="9"/>
  </w:num>
  <w:num w:numId="12" w16cid:durableId="855339674">
    <w:abstractNumId w:val="3"/>
  </w:num>
  <w:num w:numId="13" w16cid:durableId="1173644484">
    <w:abstractNumId w:val="27"/>
  </w:num>
  <w:num w:numId="14" w16cid:durableId="1847013689">
    <w:abstractNumId w:val="12"/>
  </w:num>
  <w:num w:numId="15" w16cid:durableId="623851895">
    <w:abstractNumId w:val="20"/>
  </w:num>
  <w:num w:numId="16" w16cid:durableId="1554921425">
    <w:abstractNumId w:val="26"/>
  </w:num>
  <w:num w:numId="17" w16cid:durableId="380515861">
    <w:abstractNumId w:val="8"/>
  </w:num>
  <w:num w:numId="18" w16cid:durableId="33696568">
    <w:abstractNumId w:val="4"/>
  </w:num>
  <w:num w:numId="19" w16cid:durableId="1016032750">
    <w:abstractNumId w:val="17"/>
  </w:num>
  <w:num w:numId="20" w16cid:durableId="529074119">
    <w:abstractNumId w:val="0"/>
  </w:num>
  <w:num w:numId="21" w16cid:durableId="59905090">
    <w:abstractNumId w:val="2"/>
  </w:num>
  <w:num w:numId="22" w16cid:durableId="1558738564">
    <w:abstractNumId w:val="7"/>
  </w:num>
  <w:num w:numId="23" w16cid:durableId="1943872675">
    <w:abstractNumId w:val="33"/>
  </w:num>
  <w:num w:numId="24" w16cid:durableId="890072668">
    <w:abstractNumId w:val="23"/>
  </w:num>
  <w:num w:numId="25" w16cid:durableId="99421144">
    <w:abstractNumId w:val="11"/>
  </w:num>
  <w:num w:numId="26" w16cid:durableId="407075396">
    <w:abstractNumId w:val="25"/>
  </w:num>
  <w:num w:numId="27" w16cid:durableId="766734270">
    <w:abstractNumId w:val="34"/>
  </w:num>
  <w:num w:numId="28" w16cid:durableId="678386404">
    <w:abstractNumId w:val="28"/>
  </w:num>
  <w:num w:numId="29" w16cid:durableId="2027367626">
    <w:abstractNumId w:val="22"/>
  </w:num>
  <w:num w:numId="30" w16cid:durableId="1531064555">
    <w:abstractNumId w:val="6"/>
  </w:num>
  <w:num w:numId="31" w16cid:durableId="1697731174">
    <w:abstractNumId w:val="30"/>
  </w:num>
  <w:num w:numId="32" w16cid:durableId="811945206">
    <w:abstractNumId w:val="32"/>
  </w:num>
  <w:num w:numId="33" w16cid:durableId="406612784">
    <w:abstractNumId w:val="10"/>
  </w:num>
  <w:num w:numId="34" w16cid:durableId="986710761">
    <w:abstractNumId w:val="13"/>
  </w:num>
  <w:num w:numId="35" w16cid:durableId="141697491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EA"/>
    <w:rsid w:val="0004018B"/>
    <w:rsid w:val="000A339D"/>
    <w:rsid w:val="000A7E5D"/>
    <w:rsid w:val="000B5D03"/>
    <w:rsid w:val="000B737B"/>
    <w:rsid w:val="000C1279"/>
    <w:rsid w:val="000E6AE9"/>
    <w:rsid w:val="00134A69"/>
    <w:rsid w:val="00135455"/>
    <w:rsid w:val="001514D6"/>
    <w:rsid w:val="00151BA2"/>
    <w:rsid w:val="00153829"/>
    <w:rsid w:val="001730CF"/>
    <w:rsid w:val="00175140"/>
    <w:rsid w:val="00183FF8"/>
    <w:rsid w:val="001C0E15"/>
    <w:rsid w:val="001C32F5"/>
    <w:rsid w:val="001F668E"/>
    <w:rsid w:val="00201E81"/>
    <w:rsid w:val="00221E47"/>
    <w:rsid w:val="0022461B"/>
    <w:rsid w:val="00264B66"/>
    <w:rsid w:val="00290690"/>
    <w:rsid w:val="00292265"/>
    <w:rsid w:val="002C23E8"/>
    <w:rsid w:val="002C3596"/>
    <w:rsid w:val="002C7EB2"/>
    <w:rsid w:val="002F4316"/>
    <w:rsid w:val="003006EA"/>
    <w:rsid w:val="00302B2B"/>
    <w:rsid w:val="00316471"/>
    <w:rsid w:val="00316999"/>
    <w:rsid w:val="003270FE"/>
    <w:rsid w:val="003279D3"/>
    <w:rsid w:val="0034051C"/>
    <w:rsid w:val="00345B13"/>
    <w:rsid w:val="003566F0"/>
    <w:rsid w:val="00372624"/>
    <w:rsid w:val="00377199"/>
    <w:rsid w:val="0039637F"/>
    <w:rsid w:val="003A0788"/>
    <w:rsid w:val="003A423C"/>
    <w:rsid w:val="003B0490"/>
    <w:rsid w:val="003B0F88"/>
    <w:rsid w:val="003C0328"/>
    <w:rsid w:val="003D5DED"/>
    <w:rsid w:val="003E654D"/>
    <w:rsid w:val="00407547"/>
    <w:rsid w:val="00422D5B"/>
    <w:rsid w:val="00462AA5"/>
    <w:rsid w:val="004660D3"/>
    <w:rsid w:val="004D6D16"/>
    <w:rsid w:val="005B250C"/>
    <w:rsid w:val="00652271"/>
    <w:rsid w:val="00681DC4"/>
    <w:rsid w:val="006B0581"/>
    <w:rsid w:val="006E232A"/>
    <w:rsid w:val="006E2752"/>
    <w:rsid w:val="006E7672"/>
    <w:rsid w:val="007269C4"/>
    <w:rsid w:val="00763A34"/>
    <w:rsid w:val="007707AB"/>
    <w:rsid w:val="0078070E"/>
    <w:rsid w:val="007F3CE4"/>
    <w:rsid w:val="00810CD4"/>
    <w:rsid w:val="00816B1A"/>
    <w:rsid w:val="00820AF8"/>
    <w:rsid w:val="00861E7F"/>
    <w:rsid w:val="00866B95"/>
    <w:rsid w:val="00877EF7"/>
    <w:rsid w:val="0089428B"/>
    <w:rsid w:val="008A4934"/>
    <w:rsid w:val="008D79F1"/>
    <w:rsid w:val="00923C7F"/>
    <w:rsid w:val="0094112E"/>
    <w:rsid w:val="009830BA"/>
    <w:rsid w:val="009A55F8"/>
    <w:rsid w:val="009C26F7"/>
    <w:rsid w:val="009C7854"/>
    <w:rsid w:val="00A010DF"/>
    <w:rsid w:val="00A150A3"/>
    <w:rsid w:val="00A178BA"/>
    <w:rsid w:val="00A81D1F"/>
    <w:rsid w:val="00A86691"/>
    <w:rsid w:val="00A86A4D"/>
    <w:rsid w:val="00A92D86"/>
    <w:rsid w:val="00AA1B5B"/>
    <w:rsid w:val="00AA4D85"/>
    <w:rsid w:val="00AF3690"/>
    <w:rsid w:val="00B169A9"/>
    <w:rsid w:val="00B523B7"/>
    <w:rsid w:val="00B942F8"/>
    <w:rsid w:val="00BA266F"/>
    <w:rsid w:val="00BA5538"/>
    <w:rsid w:val="00BC1ACE"/>
    <w:rsid w:val="00BD455B"/>
    <w:rsid w:val="00BE3F8D"/>
    <w:rsid w:val="00BE7578"/>
    <w:rsid w:val="00C150E6"/>
    <w:rsid w:val="00C1646A"/>
    <w:rsid w:val="00C2133A"/>
    <w:rsid w:val="00C27D86"/>
    <w:rsid w:val="00C765A4"/>
    <w:rsid w:val="00C823CC"/>
    <w:rsid w:val="00CF5B4D"/>
    <w:rsid w:val="00D21EFD"/>
    <w:rsid w:val="00D40315"/>
    <w:rsid w:val="00D50D2E"/>
    <w:rsid w:val="00DD793B"/>
    <w:rsid w:val="00DF0F0A"/>
    <w:rsid w:val="00E004D9"/>
    <w:rsid w:val="00E02DC0"/>
    <w:rsid w:val="00E347BD"/>
    <w:rsid w:val="00E50C21"/>
    <w:rsid w:val="00E60D4D"/>
    <w:rsid w:val="00E634FA"/>
    <w:rsid w:val="00E66B43"/>
    <w:rsid w:val="00ED2A6D"/>
    <w:rsid w:val="00ED38EA"/>
    <w:rsid w:val="00EE7CCA"/>
    <w:rsid w:val="00F15483"/>
    <w:rsid w:val="00F239A1"/>
    <w:rsid w:val="00F72FB8"/>
    <w:rsid w:val="00F7498A"/>
    <w:rsid w:val="00F92E75"/>
    <w:rsid w:val="00F966DD"/>
    <w:rsid w:val="00FB6C67"/>
    <w:rsid w:val="00FC4394"/>
    <w:rsid w:val="00FF2C0D"/>
    <w:rsid w:val="00FF357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1FA46C"/>
  <w15:chartTrackingRefBased/>
  <w15:docId w15:val="{0D9C6843-14C5-43D0-9670-C9DA2BED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3A423C"/>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link w:val="20"/>
    <w:uiPriority w:val="9"/>
    <w:qFormat/>
    <w:rsid w:val="00E634FA"/>
    <w:pPr>
      <w:widowControl/>
      <w:spacing w:before="100" w:beforeAutospacing="1" w:after="100" w:afterAutospacing="1"/>
      <w:outlineLvl w:val="1"/>
    </w:pPr>
    <w:rPr>
      <w:rFonts w:ascii="Times New Roman" w:eastAsia="Times New Roman" w:hAnsi="Times New Roman" w:cs="Times New Roman"/>
      <w:b/>
      <w:bCs/>
      <w:kern w:val="0"/>
      <w:sz w:val="36"/>
      <w:szCs w:val="36"/>
    </w:rPr>
  </w:style>
  <w:style w:type="paragraph" w:styleId="3">
    <w:name w:val="heading 3"/>
    <w:basedOn w:val="a"/>
    <w:next w:val="a"/>
    <w:link w:val="30"/>
    <w:uiPriority w:val="9"/>
    <w:semiHidden/>
    <w:unhideWhenUsed/>
    <w:qFormat/>
    <w:rsid w:val="00BE7578"/>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38EA"/>
    <w:pPr>
      <w:ind w:leftChars="200" w:left="480"/>
    </w:pPr>
  </w:style>
  <w:style w:type="paragraph" w:styleId="a4">
    <w:name w:val="header"/>
    <w:basedOn w:val="a"/>
    <w:link w:val="a5"/>
    <w:uiPriority w:val="99"/>
    <w:unhideWhenUsed/>
    <w:rsid w:val="00E634FA"/>
    <w:pPr>
      <w:tabs>
        <w:tab w:val="center" w:pos="4153"/>
        <w:tab w:val="right" w:pos="8306"/>
      </w:tabs>
      <w:snapToGrid w:val="0"/>
    </w:pPr>
    <w:rPr>
      <w:sz w:val="20"/>
      <w:szCs w:val="20"/>
    </w:rPr>
  </w:style>
  <w:style w:type="character" w:customStyle="1" w:styleId="a5">
    <w:name w:val="頁首 字元"/>
    <w:basedOn w:val="a0"/>
    <w:link w:val="a4"/>
    <w:uiPriority w:val="99"/>
    <w:rsid w:val="00E634FA"/>
    <w:rPr>
      <w:sz w:val="20"/>
      <w:szCs w:val="20"/>
    </w:rPr>
  </w:style>
  <w:style w:type="paragraph" w:styleId="a6">
    <w:name w:val="footer"/>
    <w:basedOn w:val="a"/>
    <w:link w:val="a7"/>
    <w:uiPriority w:val="99"/>
    <w:unhideWhenUsed/>
    <w:rsid w:val="00E634FA"/>
    <w:pPr>
      <w:tabs>
        <w:tab w:val="center" w:pos="4153"/>
        <w:tab w:val="right" w:pos="8306"/>
      </w:tabs>
      <w:snapToGrid w:val="0"/>
    </w:pPr>
    <w:rPr>
      <w:sz w:val="20"/>
      <w:szCs w:val="20"/>
    </w:rPr>
  </w:style>
  <w:style w:type="character" w:customStyle="1" w:styleId="a7">
    <w:name w:val="頁尾 字元"/>
    <w:basedOn w:val="a0"/>
    <w:link w:val="a6"/>
    <w:uiPriority w:val="99"/>
    <w:rsid w:val="00E634FA"/>
    <w:rPr>
      <w:sz w:val="20"/>
      <w:szCs w:val="20"/>
    </w:rPr>
  </w:style>
  <w:style w:type="character" w:customStyle="1" w:styleId="20">
    <w:name w:val="標題 2 字元"/>
    <w:basedOn w:val="a0"/>
    <w:link w:val="2"/>
    <w:uiPriority w:val="9"/>
    <w:rsid w:val="00E634FA"/>
    <w:rPr>
      <w:rFonts w:ascii="Times New Roman" w:eastAsia="Times New Roman" w:hAnsi="Times New Roman" w:cs="Times New Roman"/>
      <w:b/>
      <w:bCs/>
      <w:kern w:val="0"/>
      <w:sz w:val="36"/>
      <w:szCs w:val="36"/>
    </w:rPr>
  </w:style>
  <w:style w:type="character" w:styleId="a8">
    <w:name w:val="Hyperlink"/>
    <w:basedOn w:val="a0"/>
    <w:uiPriority w:val="99"/>
    <w:unhideWhenUsed/>
    <w:rsid w:val="00E634FA"/>
    <w:rPr>
      <w:color w:val="0000FF"/>
      <w:u w:val="single"/>
    </w:rPr>
  </w:style>
  <w:style w:type="character" w:customStyle="1" w:styleId="c-type">
    <w:name w:val="c-type"/>
    <w:basedOn w:val="a0"/>
    <w:rsid w:val="00E634FA"/>
  </w:style>
  <w:style w:type="paragraph" w:styleId="Web">
    <w:name w:val="Normal (Web)"/>
    <w:basedOn w:val="a"/>
    <w:uiPriority w:val="99"/>
    <w:unhideWhenUsed/>
    <w:rsid w:val="0089428B"/>
    <w:pPr>
      <w:widowControl/>
      <w:spacing w:before="100" w:beforeAutospacing="1" w:after="100" w:afterAutospacing="1"/>
    </w:pPr>
    <w:rPr>
      <w:rFonts w:ascii="Times New Roman" w:eastAsia="Times New Roman" w:hAnsi="Times New Roman" w:cs="Times New Roman"/>
      <w:kern w:val="0"/>
      <w:szCs w:val="24"/>
    </w:rPr>
  </w:style>
  <w:style w:type="character" w:customStyle="1" w:styleId="ellip">
    <w:name w:val="ellip"/>
    <w:basedOn w:val="a0"/>
    <w:rsid w:val="0089428B"/>
  </w:style>
  <w:style w:type="character" w:customStyle="1" w:styleId="w8qarf">
    <w:name w:val="w8qarf"/>
    <w:basedOn w:val="a0"/>
    <w:rsid w:val="0089428B"/>
  </w:style>
  <w:style w:type="character" w:customStyle="1" w:styleId="lrzxr">
    <w:name w:val="lrzxr"/>
    <w:basedOn w:val="a0"/>
    <w:rsid w:val="0089428B"/>
  </w:style>
  <w:style w:type="character" w:customStyle="1" w:styleId="sw5pqf">
    <w:name w:val="sw5pqf"/>
    <w:basedOn w:val="a0"/>
    <w:rsid w:val="0089428B"/>
  </w:style>
  <w:style w:type="character" w:customStyle="1" w:styleId="os8yje">
    <w:name w:val="os8yje"/>
    <w:basedOn w:val="a0"/>
    <w:rsid w:val="0089428B"/>
  </w:style>
  <w:style w:type="paragraph" w:customStyle="1" w:styleId="trt0xe">
    <w:name w:val="trt0xe"/>
    <w:basedOn w:val="a"/>
    <w:rsid w:val="0089428B"/>
    <w:pPr>
      <w:widowControl/>
      <w:spacing w:before="100" w:beforeAutospacing="1" w:after="100" w:afterAutospacing="1"/>
    </w:pPr>
    <w:rPr>
      <w:rFonts w:ascii="Times New Roman" w:eastAsia="Times New Roman" w:hAnsi="Times New Roman" w:cs="Times New Roman"/>
      <w:kern w:val="0"/>
      <w:szCs w:val="24"/>
    </w:rPr>
  </w:style>
  <w:style w:type="character" w:customStyle="1" w:styleId="10">
    <w:name w:val="標題 1 字元"/>
    <w:basedOn w:val="a0"/>
    <w:link w:val="1"/>
    <w:uiPriority w:val="9"/>
    <w:rsid w:val="003A423C"/>
    <w:rPr>
      <w:rFonts w:asciiTheme="majorHAnsi" w:eastAsiaTheme="majorEastAsia" w:hAnsiTheme="majorHAnsi" w:cstheme="majorBidi"/>
      <w:b/>
      <w:bCs/>
      <w:kern w:val="52"/>
      <w:sz w:val="52"/>
      <w:szCs w:val="52"/>
    </w:rPr>
  </w:style>
  <w:style w:type="character" w:styleId="a9">
    <w:name w:val="Unresolved Mention"/>
    <w:basedOn w:val="a0"/>
    <w:uiPriority w:val="99"/>
    <w:semiHidden/>
    <w:unhideWhenUsed/>
    <w:rsid w:val="003A423C"/>
    <w:rPr>
      <w:color w:val="605E5C"/>
      <w:shd w:val="clear" w:color="auto" w:fill="E1DFDD"/>
    </w:rPr>
  </w:style>
  <w:style w:type="character" w:styleId="aa">
    <w:name w:val="Emphasis"/>
    <w:basedOn w:val="a0"/>
    <w:uiPriority w:val="20"/>
    <w:qFormat/>
    <w:rsid w:val="00E66B43"/>
    <w:rPr>
      <w:i/>
      <w:iCs/>
    </w:rPr>
  </w:style>
  <w:style w:type="paragraph" w:styleId="ab">
    <w:name w:val="Date"/>
    <w:basedOn w:val="a"/>
    <w:next w:val="a"/>
    <w:link w:val="ac"/>
    <w:uiPriority w:val="99"/>
    <w:semiHidden/>
    <w:unhideWhenUsed/>
    <w:rsid w:val="00DD793B"/>
    <w:pPr>
      <w:jc w:val="right"/>
    </w:pPr>
  </w:style>
  <w:style w:type="character" w:customStyle="1" w:styleId="ac">
    <w:name w:val="日期 字元"/>
    <w:basedOn w:val="a0"/>
    <w:link w:val="ab"/>
    <w:uiPriority w:val="99"/>
    <w:semiHidden/>
    <w:rsid w:val="00DD793B"/>
  </w:style>
  <w:style w:type="character" w:customStyle="1" w:styleId="updated-short-citation">
    <w:name w:val="updated-short-citation"/>
    <w:basedOn w:val="a0"/>
    <w:rsid w:val="00DD793B"/>
  </w:style>
  <w:style w:type="paragraph" w:customStyle="1" w:styleId="body-paragraph">
    <w:name w:val="body-paragraph"/>
    <w:basedOn w:val="a"/>
    <w:rsid w:val="001514D6"/>
    <w:pPr>
      <w:widowControl/>
      <w:spacing w:before="100" w:beforeAutospacing="1" w:after="100" w:afterAutospacing="1"/>
    </w:pPr>
    <w:rPr>
      <w:rFonts w:ascii="Times New Roman" w:eastAsia="Times New Roman" w:hAnsi="Times New Roman" w:cs="Times New Roman"/>
      <w:kern w:val="0"/>
      <w:szCs w:val="24"/>
    </w:rPr>
  </w:style>
  <w:style w:type="character" w:customStyle="1" w:styleId="eta">
    <w:name w:val="eta"/>
    <w:basedOn w:val="a0"/>
    <w:rsid w:val="000C1279"/>
  </w:style>
  <w:style w:type="character" w:customStyle="1" w:styleId="mu">
    <w:name w:val="mu"/>
    <w:basedOn w:val="a0"/>
    <w:rsid w:val="000C1279"/>
  </w:style>
  <w:style w:type="paragraph" w:customStyle="1" w:styleId="d-ib">
    <w:name w:val="d-ib"/>
    <w:basedOn w:val="a"/>
    <w:rsid w:val="000C1279"/>
    <w:pPr>
      <w:widowControl/>
      <w:spacing w:before="100" w:beforeAutospacing="1" w:after="100" w:afterAutospacing="1"/>
    </w:pPr>
    <w:rPr>
      <w:rFonts w:ascii="Times New Roman" w:eastAsia="Times New Roman" w:hAnsi="Times New Roman" w:cs="Times New Roman"/>
      <w:kern w:val="0"/>
      <w:szCs w:val="24"/>
    </w:rPr>
  </w:style>
  <w:style w:type="character" w:customStyle="1" w:styleId="fs-author-name">
    <w:name w:val="fs-author-name"/>
    <w:basedOn w:val="a0"/>
    <w:rsid w:val="000B5D03"/>
  </w:style>
  <w:style w:type="character" w:customStyle="1" w:styleId="contrib-byline-type">
    <w:name w:val="contrib-byline-type"/>
    <w:basedOn w:val="a0"/>
    <w:rsid w:val="000B5D03"/>
  </w:style>
  <w:style w:type="character" w:customStyle="1" w:styleId="30">
    <w:name w:val="標題 3 字元"/>
    <w:basedOn w:val="a0"/>
    <w:link w:val="3"/>
    <w:uiPriority w:val="9"/>
    <w:semiHidden/>
    <w:rsid w:val="00BE7578"/>
    <w:rPr>
      <w:rFonts w:asciiTheme="majorHAnsi" w:eastAsiaTheme="majorEastAsia" w:hAnsiTheme="majorHAnsi" w:cstheme="majorBidi"/>
      <w:b/>
      <w:bCs/>
      <w:sz w:val="36"/>
      <w:szCs w:val="36"/>
    </w:rPr>
  </w:style>
  <w:style w:type="character" w:customStyle="1" w:styleId="hgkelc">
    <w:name w:val="hgkelc"/>
    <w:basedOn w:val="a0"/>
    <w:rsid w:val="00C150E6"/>
  </w:style>
  <w:style w:type="character" w:customStyle="1" w:styleId="markedcontent">
    <w:name w:val="markedcontent"/>
    <w:basedOn w:val="a0"/>
    <w:rsid w:val="00153829"/>
  </w:style>
  <w:style w:type="character" w:customStyle="1" w:styleId="text-2xl">
    <w:name w:val="text-2xl"/>
    <w:basedOn w:val="a0"/>
    <w:rsid w:val="00153829"/>
  </w:style>
  <w:style w:type="character" w:customStyle="1" w:styleId="text-lg">
    <w:name w:val="text-lg"/>
    <w:basedOn w:val="a0"/>
    <w:rsid w:val="00153829"/>
  </w:style>
  <w:style w:type="character" w:styleId="ad">
    <w:name w:val="Strong"/>
    <w:basedOn w:val="a0"/>
    <w:uiPriority w:val="22"/>
    <w:qFormat/>
    <w:rsid w:val="00153829"/>
    <w:rPr>
      <w:b/>
      <w:bCs/>
    </w:rPr>
  </w:style>
  <w:style w:type="table" w:styleId="ae">
    <w:name w:val="Table Grid"/>
    <w:basedOn w:val="a1"/>
    <w:uiPriority w:val="39"/>
    <w:rsid w:val="00AF36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4560">
      <w:bodyDiv w:val="1"/>
      <w:marLeft w:val="0"/>
      <w:marRight w:val="0"/>
      <w:marTop w:val="0"/>
      <w:marBottom w:val="0"/>
      <w:divBdr>
        <w:top w:val="none" w:sz="0" w:space="0" w:color="auto"/>
        <w:left w:val="none" w:sz="0" w:space="0" w:color="auto"/>
        <w:bottom w:val="none" w:sz="0" w:space="0" w:color="auto"/>
        <w:right w:val="none" w:sz="0" w:space="0" w:color="auto"/>
      </w:divBdr>
    </w:div>
    <w:div w:id="63186676">
      <w:bodyDiv w:val="1"/>
      <w:marLeft w:val="0"/>
      <w:marRight w:val="0"/>
      <w:marTop w:val="0"/>
      <w:marBottom w:val="0"/>
      <w:divBdr>
        <w:top w:val="none" w:sz="0" w:space="0" w:color="auto"/>
        <w:left w:val="none" w:sz="0" w:space="0" w:color="auto"/>
        <w:bottom w:val="none" w:sz="0" w:space="0" w:color="auto"/>
        <w:right w:val="none" w:sz="0" w:space="0" w:color="auto"/>
      </w:divBdr>
      <w:divsChild>
        <w:div w:id="929243033">
          <w:marLeft w:val="0"/>
          <w:marRight w:val="0"/>
          <w:marTop w:val="0"/>
          <w:marBottom w:val="0"/>
          <w:divBdr>
            <w:top w:val="none" w:sz="0" w:space="0" w:color="auto"/>
            <w:left w:val="none" w:sz="0" w:space="0" w:color="auto"/>
            <w:bottom w:val="none" w:sz="0" w:space="0" w:color="auto"/>
            <w:right w:val="none" w:sz="0" w:space="0" w:color="auto"/>
          </w:divBdr>
          <w:divsChild>
            <w:div w:id="1644502990">
              <w:marLeft w:val="0"/>
              <w:marRight w:val="0"/>
              <w:marTop w:val="0"/>
              <w:marBottom w:val="0"/>
              <w:divBdr>
                <w:top w:val="none" w:sz="0" w:space="0" w:color="auto"/>
                <w:left w:val="none" w:sz="0" w:space="0" w:color="auto"/>
                <w:bottom w:val="none" w:sz="0" w:space="0" w:color="auto"/>
                <w:right w:val="none" w:sz="0" w:space="0" w:color="auto"/>
              </w:divBdr>
              <w:divsChild>
                <w:div w:id="1944334445">
                  <w:marLeft w:val="0"/>
                  <w:marRight w:val="0"/>
                  <w:marTop w:val="0"/>
                  <w:marBottom w:val="0"/>
                  <w:divBdr>
                    <w:top w:val="none" w:sz="0" w:space="0" w:color="auto"/>
                    <w:left w:val="none" w:sz="0" w:space="0" w:color="auto"/>
                    <w:bottom w:val="none" w:sz="0" w:space="0" w:color="auto"/>
                    <w:right w:val="none" w:sz="0" w:space="0" w:color="auto"/>
                  </w:divBdr>
                  <w:divsChild>
                    <w:div w:id="1942488598">
                      <w:marLeft w:val="0"/>
                      <w:marRight w:val="0"/>
                      <w:marTop w:val="0"/>
                      <w:marBottom w:val="0"/>
                      <w:divBdr>
                        <w:top w:val="none" w:sz="0" w:space="0" w:color="auto"/>
                        <w:left w:val="none" w:sz="0" w:space="0" w:color="auto"/>
                        <w:bottom w:val="none" w:sz="0" w:space="0" w:color="auto"/>
                        <w:right w:val="none" w:sz="0" w:space="0" w:color="auto"/>
                      </w:divBdr>
                      <w:divsChild>
                        <w:div w:id="1438981725">
                          <w:marLeft w:val="0"/>
                          <w:marRight w:val="0"/>
                          <w:marTop w:val="0"/>
                          <w:marBottom w:val="0"/>
                          <w:divBdr>
                            <w:top w:val="none" w:sz="0" w:space="0" w:color="auto"/>
                            <w:left w:val="none" w:sz="0" w:space="0" w:color="auto"/>
                            <w:bottom w:val="none" w:sz="0" w:space="0" w:color="auto"/>
                            <w:right w:val="none" w:sz="0" w:space="0" w:color="auto"/>
                          </w:divBdr>
                          <w:divsChild>
                            <w:div w:id="49631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585106">
          <w:marLeft w:val="0"/>
          <w:marRight w:val="0"/>
          <w:marTop w:val="0"/>
          <w:marBottom w:val="0"/>
          <w:divBdr>
            <w:top w:val="none" w:sz="0" w:space="0" w:color="auto"/>
            <w:left w:val="none" w:sz="0" w:space="0" w:color="auto"/>
            <w:bottom w:val="none" w:sz="0" w:space="0" w:color="auto"/>
            <w:right w:val="none" w:sz="0" w:space="0" w:color="auto"/>
          </w:divBdr>
          <w:divsChild>
            <w:div w:id="1425608237">
              <w:marLeft w:val="0"/>
              <w:marRight w:val="0"/>
              <w:marTop w:val="0"/>
              <w:marBottom w:val="0"/>
              <w:divBdr>
                <w:top w:val="none" w:sz="0" w:space="0" w:color="auto"/>
                <w:left w:val="none" w:sz="0" w:space="0" w:color="auto"/>
                <w:bottom w:val="none" w:sz="0" w:space="0" w:color="auto"/>
                <w:right w:val="none" w:sz="0" w:space="0" w:color="auto"/>
              </w:divBdr>
            </w:div>
          </w:divsChild>
        </w:div>
        <w:div w:id="1296640314">
          <w:marLeft w:val="0"/>
          <w:marRight w:val="0"/>
          <w:marTop w:val="0"/>
          <w:marBottom w:val="0"/>
          <w:divBdr>
            <w:top w:val="none" w:sz="0" w:space="0" w:color="auto"/>
            <w:left w:val="none" w:sz="0" w:space="0" w:color="auto"/>
            <w:bottom w:val="none" w:sz="0" w:space="0" w:color="auto"/>
            <w:right w:val="none" w:sz="0" w:space="0" w:color="auto"/>
          </w:divBdr>
          <w:divsChild>
            <w:div w:id="1190409902">
              <w:marLeft w:val="0"/>
              <w:marRight w:val="0"/>
              <w:marTop w:val="0"/>
              <w:marBottom w:val="0"/>
              <w:divBdr>
                <w:top w:val="none" w:sz="0" w:space="0" w:color="auto"/>
                <w:left w:val="none" w:sz="0" w:space="0" w:color="auto"/>
                <w:bottom w:val="none" w:sz="0" w:space="0" w:color="auto"/>
                <w:right w:val="none" w:sz="0" w:space="0" w:color="auto"/>
              </w:divBdr>
              <w:divsChild>
                <w:div w:id="1298561538">
                  <w:marLeft w:val="0"/>
                  <w:marRight w:val="0"/>
                  <w:marTop w:val="0"/>
                  <w:marBottom w:val="0"/>
                  <w:divBdr>
                    <w:top w:val="none" w:sz="0" w:space="0" w:color="auto"/>
                    <w:left w:val="none" w:sz="0" w:space="0" w:color="auto"/>
                    <w:bottom w:val="none" w:sz="0" w:space="0" w:color="auto"/>
                    <w:right w:val="none" w:sz="0" w:space="0" w:color="auto"/>
                  </w:divBdr>
                  <w:divsChild>
                    <w:div w:id="94747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161362">
          <w:marLeft w:val="0"/>
          <w:marRight w:val="0"/>
          <w:marTop w:val="0"/>
          <w:marBottom w:val="0"/>
          <w:divBdr>
            <w:top w:val="none" w:sz="0" w:space="0" w:color="auto"/>
            <w:left w:val="none" w:sz="0" w:space="0" w:color="auto"/>
            <w:bottom w:val="none" w:sz="0" w:space="0" w:color="auto"/>
            <w:right w:val="none" w:sz="0" w:space="0" w:color="auto"/>
          </w:divBdr>
          <w:divsChild>
            <w:div w:id="2031448911">
              <w:marLeft w:val="0"/>
              <w:marRight w:val="0"/>
              <w:marTop w:val="0"/>
              <w:marBottom w:val="0"/>
              <w:divBdr>
                <w:top w:val="none" w:sz="0" w:space="0" w:color="auto"/>
                <w:left w:val="none" w:sz="0" w:space="0" w:color="auto"/>
                <w:bottom w:val="none" w:sz="0" w:space="0" w:color="auto"/>
                <w:right w:val="none" w:sz="0" w:space="0" w:color="auto"/>
              </w:divBdr>
              <w:divsChild>
                <w:div w:id="1172797622">
                  <w:marLeft w:val="0"/>
                  <w:marRight w:val="0"/>
                  <w:marTop w:val="0"/>
                  <w:marBottom w:val="0"/>
                  <w:divBdr>
                    <w:top w:val="none" w:sz="0" w:space="0" w:color="auto"/>
                    <w:left w:val="none" w:sz="0" w:space="0" w:color="auto"/>
                    <w:bottom w:val="none" w:sz="0" w:space="0" w:color="auto"/>
                    <w:right w:val="none" w:sz="0" w:space="0" w:color="auto"/>
                  </w:divBdr>
                  <w:divsChild>
                    <w:div w:id="42376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700159">
          <w:marLeft w:val="0"/>
          <w:marRight w:val="0"/>
          <w:marTop w:val="0"/>
          <w:marBottom w:val="0"/>
          <w:divBdr>
            <w:top w:val="none" w:sz="0" w:space="0" w:color="auto"/>
            <w:left w:val="none" w:sz="0" w:space="0" w:color="auto"/>
            <w:bottom w:val="none" w:sz="0" w:space="0" w:color="auto"/>
            <w:right w:val="none" w:sz="0" w:space="0" w:color="auto"/>
          </w:divBdr>
          <w:divsChild>
            <w:div w:id="1587037441">
              <w:marLeft w:val="0"/>
              <w:marRight w:val="0"/>
              <w:marTop w:val="0"/>
              <w:marBottom w:val="0"/>
              <w:divBdr>
                <w:top w:val="none" w:sz="0" w:space="0" w:color="auto"/>
                <w:left w:val="none" w:sz="0" w:space="0" w:color="auto"/>
                <w:bottom w:val="none" w:sz="0" w:space="0" w:color="auto"/>
                <w:right w:val="none" w:sz="0" w:space="0" w:color="auto"/>
              </w:divBdr>
              <w:divsChild>
                <w:div w:id="1629969650">
                  <w:marLeft w:val="0"/>
                  <w:marRight w:val="0"/>
                  <w:marTop w:val="0"/>
                  <w:marBottom w:val="0"/>
                  <w:divBdr>
                    <w:top w:val="none" w:sz="0" w:space="0" w:color="auto"/>
                    <w:left w:val="none" w:sz="0" w:space="0" w:color="auto"/>
                    <w:bottom w:val="none" w:sz="0" w:space="0" w:color="auto"/>
                    <w:right w:val="none" w:sz="0" w:space="0" w:color="auto"/>
                  </w:divBdr>
                  <w:divsChild>
                    <w:div w:id="73724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998565">
          <w:marLeft w:val="0"/>
          <w:marRight w:val="0"/>
          <w:marTop w:val="0"/>
          <w:marBottom w:val="0"/>
          <w:divBdr>
            <w:top w:val="none" w:sz="0" w:space="0" w:color="auto"/>
            <w:left w:val="none" w:sz="0" w:space="0" w:color="auto"/>
            <w:bottom w:val="none" w:sz="0" w:space="0" w:color="auto"/>
            <w:right w:val="none" w:sz="0" w:space="0" w:color="auto"/>
          </w:divBdr>
          <w:divsChild>
            <w:div w:id="762994863">
              <w:marLeft w:val="0"/>
              <w:marRight w:val="0"/>
              <w:marTop w:val="0"/>
              <w:marBottom w:val="0"/>
              <w:divBdr>
                <w:top w:val="none" w:sz="0" w:space="0" w:color="auto"/>
                <w:left w:val="none" w:sz="0" w:space="0" w:color="auto"/>
                <w:bottom w:val="none" w:sz="0" w:space="0" w:color="auto"/>
                <w:right w:val="none" w:sz="0" w:space="0" w:color="auto"/>
              </w:divBdr>
              <w:divsChild>
                <w:div w:id="963929540">
                  <w:marLeft w:val="0"/>
                  <w:marRight w:val="0"/>
                  <w:marTop w:val="0"/>
                  <w:marBottom w:val="0"/>
                  <w:divBdr>
                    <w:top w:val="none" w:sz="0" w:space="0" w:color="auto"/>
                    <w:left w:val="none" w:sz="0" w:space="0" w:color="auto"/>
                    <w:bottom w:val="none" w:sz="0" w:space="0" w:color="auto"/>
                    <w:right w:val="none" w:sz="0" w:space="0" w:color="auto"/>
                  </w:divBdr>
                  <w:divsChild>
                    <w:div w:id="18246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468865">
          <w:marLeft w:val="0"/>
          <w:marRight w:val="0"/>
          <w:marTop w:val="0"/>
          <w:marBottom w:val="0"/>
          <w:divBdr>
            <w:top w:val="none" w:sz="0" w:space="0" w:color="auto"/>
            <w:left w:val="none" w:sz="0" w:space="0" w:color="auto"/>
            <w:bottom w:val="none" w:sz="0" w:space="0" w:color="auto"/>
            <w:right w:val="none" w:sz="0" w:space="0" w:color="auto"/>
          </w:divBdr>
          <w:divsChild>
            <w:div w:id="1159615162">
              <w:marLeft w:val="0"/>
              <w:marRight w:val="0"/>
              <w:marTop w:val="0"/>
              <w:marBottom w:val="0"/>
              <w:divBdr>
                <w:top w:val="none" w:sz="0" w:space="0" w:color="auto"/>
                <w:left w:val="none" w:sz="0" w:space="0" w:color="auto"/>
                <w:bottom w:val="none" w:sz="0" w:space="0" w:color="auto"/>
                <w:right w:val="none" w:sz="0" w:space="0" w:color="auto"/>
              </w:divBdr>
              <w:divsChild>
                <w:div w:id="266237615">
                  <w:marLeft w:val="0"/>
                  <w:marRight w:val="0"/>
                  <w:marTop w:val="0"/>
                  <w:marBottom w:val="0"/>
                  <w:divBdr>
                    <w:top w:val="none" w:sz="0" w:space="0" w:color="auto"/>
                    <w:left w:val="none" w:sz="0" w:space="0" w:color="auto"/>
                    <w:bottom w:val="none" w:sz="0" w:space="0" w:color="auto"/>
                    <w:right w:val="none" w:sz="0" w:space="0" w:color="auto"/>
                  </w:divBdr>
                  <w:divsChild>
                    <w:div w:id="210345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099702">
          <w:marLeft w:val="0"/>
          <w:marRight w:val="0"/>
          <w:marTop w:val="0"/>
          <w:marBottom w:val="0"/>
          <w:divBdr>
            <w:top w:val="none" w:sz="0" w:space="0" w:color="auto"/>
            <w:left w:val="none" w:sz="0" w:space="0" w:color="auto"/>
            <w:bottom w:val="none" w:sz="0" w:space="0" w:color="auto"/>
            <w:right w:val="none" w:sz="0" w:space="0" w:color="auto"/>
          </w:divBdr>
          <w:divsChild>
            <w:div w:id="1114445752">
              <w:marLeft w:val="0"/>
              <w:marRight w:val="0"/>
              <w:marTop w:val="0"/>
              <w:marBottom w:val="0"/>
              <w:divBdr>
                <w:top w:val="none" w:sz="0" w:space="0" w:color="auto"/>
                <w:left w:val="none" w:sz="0" w:space="0" w:color="auto"/>
                <w:bottom w:val="none" w:sz="0" w:space="0" w:color="auto"/>
                <w:right w:val="none" w:sz="0" w:space="0" w:color="auto"/>
              </w:divBdr>
              <w:divsChild>
                <w:div w:id="296647767">
                  <w:marLeft w:val="0"/>
                  <w:marRight w:val="0"/>
                  <w:marTop w:val="0"/>
                  <w:marBottom w:val="0"/>
                  <w:divBdr>
                    <w:top w:val="none" w:sz="0" w:space="0" w:color="auto"/>
                    <w:left w:val="none" w:sz="0" w:space="0" w:color="auto"/>
                    <w:bottom w:val="none" w:sz="0" w:space="0" w:color="auto"/>
                    <w:right w:val="none" w:sz="0" w:space="0" w:color="auto"/>
                  </w:divBdr>
                  <w:divsChild>
                    <w:div w:id="160989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69431">
          <w:marLeft w:val="0"/>
          <w:marRight w:val="0"/>
          <w:marTop w:val="0"/>
          <w:marBottom w:val="0"/>
          <w:divBdr>
            <w:top w:val="none" w:sz="0" w:space="0" w:color="auto"/>
            <w:left w:val="none" w:sz="0" w:space="0" w:color="auto"/>
            <w:bottom w:val="none" w:sz="0" w:space="0" w:color="auto"/>
            <w:right w:val="none" w:sz="0" w:space="0" w:color="auto"/>
          </w:divBdr>
          <w:divsChild>
            <w:div w:id="2902500">
              <w:marLeft w:val="0"/>
              <w:marRight w:val="0"/>
              <w:marTop w:val="0"/>
              <w:marBottom w:val="0"/>
              <w:divBdr>
                <w:top w:val="none" w:sz="0" w:space="0" w:color="auto"/>
                <w:left w:val="none" w:sz="0" w:space="0" w:color="auto"/>
                <w:bottom w:val="none" w:sz="0" w:space="0" w:color="auto"/>
                <w:right w:val="none" w:sz="0" w:space="0" w:color="auto"/>
              </w:divBdr>
              <w:divsChild>
                <w:div w:id="1125854194">
                  <w:marLeft w:val="0"/>
                  <w:marRight w:val="0"/>
                  <w:marTop w:val="0"/>
                  <w:marBottom w:val="0"/>
                  <w:divBdr>
                    <w:top w:val="none" w:sz="0" w:space="0" w:color="auto"/>
                    <w:left w:val="none" w:sz="0" w:space="0" w:color="auto"/>
                    <w:bottom w:val="none" w:sz="0" w:space="0" w:color="auto"/>
                    <w:right w:val="none" w:sz="0" w:space="0" w:color="auto"/>
                  </w:divBdr>
                  <w:divsChild>
                    <w:div w:id="112204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61707">
          <w:marLeft w:val="0"/>
          <w:marRight w:val="0"/>
          <w:marTop w:val="0"/>
          <w:marBottom w:val="0"/>
          <w:divBdr>
            <w:top w:val="none" w:sz="0" w:space="0" w:color="auto"/>
            <w:left w:val="none" w:sz="0" w:space="0" w:color="auto"/>
            <w:bottom w:val="none" w:sz="0" w:space="0" w:color="auto"/>
            <w:right w:val="none" w:sz="0" w:space="0" w:color="auto"/>
          </w:divBdr>
          <w:divsChild>
            <w:div w:id="231039984">
              <w:marLeft w:val="0"/>
              <w:marRight w:val="0"/>
              <w:marTop w:val="0"/>
              <w:marBottom w:val="0"/>
              <w:divBdr>
                <w:top w:val="none" w:sz="0" w:space="0" w:color="auto"/>
                <w:left w:val="none" w:sz="0" w:space="0" w:color="auto"/>
                <w:bottom w:val="none" w:sz="0" w:space="0" w:color="auto"/>
                <w:right w:val="none" w:sz="0" w:space="0" w:color="auto"/>
              </w:divBdr>
              <w:divsChild>
                <w:div w:id="485972228">
                  <w:marLeft w:val="0"/>
                  <w:marRight w:val="0"/>
                  <w:marTop w:val="0"/>
                  <w:marBottom w:val="0"/>
                  <w:divBdr>
                    <w:top w:val="none" w:sz="0" w:space="0" w:color="auto"/>
                    <w:left w:val="none" w:sz="0" w:space="0" w:color="auto"/>
                    <w:bottom w:val="none" w:sz="0" w:space="0" w:color="auto"/>
                    <w:right w:val="none" w:sz="0" w:space="0" w:color="auto"/>
                  </w:divBdr>
                  <w:divsChild>
                    <w:div w:id="158787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275674">
          <w:marLeft w:val="0"/>
          <w:marRight w:val="0"/>
          <w:marTop w:val="0"/>
          <w:marBottom w:val="0"/>
          <w:divBdr>
            <w:top w:val="none" w:sz="0" w:space="0" w:color="auto"/>
            <w:left w:val="none" w:sz="0" w:space="0" w:color="auto"/>
            <w:bottom w:val="none" w:sz="0" w:space="0" w:color="auto"/>
            <w:right w:val="none" w:sz="0" w:space="0" w:color="auto"/>
          </w:divBdr>
          <w:divsChild>
            <w:div w:id="2094667373">
              <w:marLeft w:val="0"/>
              <w:marRight w:val="0"/>
              <w:marTop w:val="0"/>
              <w:marBottom w:val="0"/>
              <w:divBdr>
                <w:top w:val="none" w:sz="0" w:space="0" w:color="auto"/>
                <w:left w:val="none" w:sz="0" w:space="0" w:color="auto"/>
                <w:bottom w:val="none" w:sz="0" w:space="0" w:color="auto"/>
                <w:right w:val="none" w:sz="0" w:space="0" w:color="auto"/>
              </w:divBdr>
              <w:divsChild>
                <w:div w:id="101623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58315">
          <w:marLeft w:val="0"/>
          <w:marRight w:val="0"/>
          <w:marTop w:val="0"/>
          <w:marBottom w:val="0"/>
          <w:divBdr>
            <w:top w:val="none" w:sz="0" w:space="0" w:color="auto"/>
            <w:left w:val="none" w:sz="0" w:space="0" w:color="auto"/>
            <w:bottom w:val="none" w:sz="0" w:space="0" w:color="auto"/>
            <w:right w:val="none" w:sz="0" w:space="0" w:color="auto"/>
          </w:divBdr>
          <w:divsChild>
            <w:div w:id="294024083">
              <w:marLeft w:val="0"/>
              <w:marRight w:val="0"/>
              <w:marTop w:val="0"/>
              <w:marBottom w:val="0"/>
              <w:divBdr>
                <w:top w:val="none" w:sz="0" w:space="0" w:color="auto"/>
                <w:left w:val="none" w:sz="0" w:space="0" w:color="auto"/>
                <w:bottom w:val="none" w:sz="0" w:space="0" w:color="auto"/>
                <w:right w:val="none" w:sz="0" w:space="0" w:color="auto"/>
              </w:divBdr>
              <w:divsChild>
                <w:div w:id="1625305439">
                  <w:marLeft w:val="0"/>
                  <w:marRight w:val="0"/>
                  <w:marTop w:val="0"/>
                  <w:marBottom w:val="0"/>
                  <w:divBdr>
                    <w:top w:val="none" w:sz="0" w:space="0" w:color="auto"/>
                    <w:left w:val="none" w:sz="0" w:space="0" w:color="auto"/>
                    <w:bottom w:val="none" w:sz="0" w:space="0" w:color="auto"/>
                    <w:right w:val="none" w:sz="0" w:space="0" w:color="auto"/>
                  </w:divBdr>
                  <w:divsChild>
                    <w:div w:id="1671103260">
                      <w:marLeft w:val="0"/>
                      <w:marRight w:val="0"/>
                      <w:marTop w:val="0"/>
                      <w:marBottom w:val="0"/>
                      <w:divBdr>
                        <w:top w:val="none" w:sz="0" w:space="0" w:color="auto"/>
                        <w:left w:val="none" w:sz="0" w:space="0" w:color="auto"/>
                        <w:bottom w:val="none" w:sz="0" w:space="0" w:color="auto"/>
                        <w:right w:val="none" w:sz="0" w:space="0" w:color="auto"/>
                      </w:divBdr>
                      <w:divsChild>
                        <w:div w:id="1052656887">
                          <w:marLeft w:val="0"/>
                          <w:marRight w:val="0"/>
                          <w:marTop w:val="0"/>
                          <w:marBottom w:val="0"/>
                          <w:divBdr>
                            <w:top w:val="none" w:sz="0" w:space="0" w:color="auto"/>
                            <w:left w:val="none" w:sz="0" w:space="0" w:color="auto"/>
                            <w:bottom w:val="none" w:sz="0" w:space="0" w:color="auto"/>
                            <w:right w:val="none" w:sz="0" w:space="0" w:color="auto"/>
                          </w:divBdr>
                          <w:divsChild>
                            <w:div w:id="1992785674">
                              <w:marLeft w:val="0"/>
                              <w:marRight w:val="0"/>
                              <w:marTop w:val="0"/>
                              <w:marBottom w:val="0"/>
                              <w:divBdr>
                                <w:top w:val="none" w:sz="0" w:space="0" w:color="auto"/>
                                <w:left w:val="none" w:sz="0" w:space="0" w:color="auto"/>
                                <w:bottom w:val="none" w:sz="0" w:space="0" w:color="auto"/>
                                <w:right w:val="none" w:sz="0" w:space="0" w:color="auto"/>
                              </w:divBdr>
                              <w:divsChild>
                                <w:div w:id="1132334012">
                                  <w:marLeft w:val="0"/>
                                  <w:marRight w:val="0"/>
                                  <w:marTop w:val="0"/>
                                  <w:marBottom w:val="0"/>
                                  <w:divBdr>
                                    <w:top w:val="none" w:sz="0" w:space="0" w:color="auto"/>
                                    <w:left w:val="none" w:sz="0" w:space="0" w:color="auto"/>
                                    <w:bottom w:val="none" w:sz="0" w:space="0" w:color="auto"/>
                                    <w:right w:val="none" w:sz="0" w:space="0" w:color="auto"/>
                                  </w:divBdr>
                                </w:div>
                                <w:div w:id="73878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257821">
      <w:bodyDiv w:val="1"/>
      <w:marLeft w:val="0"/>
      <w:marRight w:val="0"/>
      <w:marTop w:val="0"/>
      <w:marBottom w:val="0"/>
      <w:divBdr>
        <w:top w:val="none" w:sz="0" w:space="0" w:color="auto"/>
        <w:left w:val="none" w:sz="0" w:space="0" w:color="auto"/>
        <w:bottom w:val="none" w:sz="0" w:space="0" w:color="auto"/>
        <w:right w:val="none" w:sz="0" w:space="0" w:color="auto"/>
      </w:divBdr>
    </w:div>
    <w:div w:id="228463192">
      <w:bodyDiv w:val="1"/>
      <w:marLeft w:val="0"/>
      <w:marRight w:val="0"/>
      <w:marTop w:val="0"/>
      <w:marBottom w:val="0"/>
      <w:divBdr>
        <w:top w:val="none" w:sz="0" w:space="0" w:color="auto"/>
        <w:left w:val="none" w:sz="0" w:space="0" w:color="auto"/>
        <w:bottom w:val="none" w:sz="0" w:space="0" w:color="auto"/>
        <w:right w:val="none" w:sz="0" w:space="0" w:color="auto"/>
      </w:divBdr>
      <w:divsChild>
        <w:div w:id="1060446664">
          <w:marLeft w:val="0"/>
          <w:marRight w:val="0"/>
          <w:marTop w:val="0"/>
          <w:marBottom w:val="0"/>
          <w:divBdr>
            <w:top w:val="none" w:sz="0" w:space="0" w:color="auto"/>
            <w:left w:val="none" w:sz="0" w:space="0" w:color="auto"/>
            <w:bottom w:val="none" w:sz="0" w:space="0" w:color="auto"/>
            <w:right w:val="none" w:sz="0" w:space="0" w:color="auto"/>
          </w:divBdr>
          <w:divsChild>
            <w:div w:id="29183156">
              <w:marLeft w:val="0"/>
              <w:marRight w:val="0"/>
              <w:marTop w:val="0"/>
              <w:marBottom w:val="0"/>
              <w:divBdr>
                <w:top w:val="none" w:sz="0" w:space="0" w:color="auto"/>
                <w:left w:val="none" w:sz="0" w:space="0" w:color="auto"/>
                <w:bottom w:val="none" w:sz="0" w:space="0" w:color="auto"/>
                <w:right w:val="none" w:sz="0" w:space="0" w:color="auto"/>
              </w:divBdr>
              <w:divsChild>
                <w:div w:id="140379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812875">
      <w:bodyDiv w:val="1"/>
      <w:marLeft w:val="0"/>
      <w:marRight w:val="0"/>
      <w:marTop w:val="0"/>
      <w:marBottom w:val="0"/>
      <w:divBdr>
        <w:top w:val="none" w:sz="0" w:space="0" w:color="auto"/>
        <w:left w:val="none" w:sz="0" w:space="0" w:color="auto"/>
        <w:bottom w:val="none" w:sz="0" w:space="0" w:color="auto"/>
        <w:right w:val="none" w:sz="0" w:space="0" w:color="auto"/>
      </w:divBdr>
      <w:divsChild>
        <w:div w:id="1212688547">
          <w:marLeft w:val="0"/>
          <w:marRight w:val="0"/>
          <w:marTop w:val="0"/>
          <w:marBottom w:val="0"/>
          <w:divBdr>
            <w:top w:val="none" w:sz="0" w:space="0" w:color="auto"/>
            <w:left w:val="none" w:sz="0" w:space="0" w:color="auto"/>
            <w:bottom w:val="none" w:sz="0" w:space="0" w:color="auto"/>
            <w:right w:val="none" w:sz="0" w:space="0" w:color="auto"/>
          </w:divBdr>
        </w:div>
      </w:divsChild>
    </w:div>
    <w:div w:id="341011535">
      <w:bodyDiv w:val="1"/>
      <w:marLeft w:val="0"/>
      <w:marRight w:val="0"/>
      <w:marTop w:val="0"/>
      <w:marBottom w:val="0"/>
      <w:divBdr>
        <w:top w:val="none" w:sz="0" w:space="0" w:color="auto"/>
        <w:left w:val="none" w:sz="0" w:space="0" w:color="auto"/>
        <w:bottom w:val="none" w:sz="0" w:space="0" w:color="auto"/>
        <w:right w:val="none" w:sz="0" w:space="0" w:color="auto"/>
      </w:divBdr>
    </w:div>
    <w:div w:id="384527891">
      <w:bodyDiv w:val="1"/>
      <w:marLeft w:val="0"/>
      <w:marRight w:val="0"/>
      <w:marTop w:val="0"/>
      <w:marBottom w:val="0"/>
      <w:divBdr>
        <w:top w:val="none" w:sz="0" w:space="0" w:color="auto"/>
        <w:left w:val="none" w:sz="0" w:space="0" w:color="auto"/>
        <w:bottom w:val="none" w:sz="0" w:space="0" w:color="auto"/>
        <w:right w:val="none" w:sz="0" w:space="0" w:color="auto"/>
      </w:divBdr>
    </w:div>
    <w:div w:id="387731198">
      <w:bodyDiv w:val="1"/>
      <w:marLeft w:val="0"/>
      <w:marRight w:val="0"/>
      <w:marTop w:val="0"/>
      <w:marBottom w:val="0"/>
      <w:divBdr>
        <w:top w:val="none" w:sz="0" w:space="0" w:color="auto"/>
        <w:left w:val="none" w:sz="0" w:space="0" w:color="auto"/>
        <w:bottom w:val="none" w:sz="0" w:space="0" w:color="auto"/>
        <w:right w:val="none" w:sz="0" w:space="0" w:color="auto"/>
      </w:divBdr>
    </w:div>
    <w:div w:id="567570085">
      <w:bodyDiv w:val="1"/>
      <w:marLeft w:val="0"/>
      <w:marRight w:val="0"/>
      <w:marTop w:val="0"/>
      <w:marBottom w:val="0"/>
      <w:divBdr>
        <w:top w:val="none" w:sz="0" w:space="0" w:color="auto"/>
        <w:left w:val="none" w:sz="0" w:space="0" w:color="auto"/>
        <w:bottom w:val="none" w:sz="0" w:space="0" w:color="auto"/>
        <w:right w:val="none" w:sz="0" w:space="0" w:color="auto"/>
      </w:divBdr>
      <w:divsChild>
        <w:div w:id="1825584963">
          <w:marLeft w:val="0"/>
          <w:marRight w:val="0"/>
          <w:marTop w:val="0"/>
          <w:marBottom w:val="0"/>
          <w:divBdr>
            <w:top w:val="none" w:sz="0" w:space="0" w:color="auto"/>
            <w:left w:val="none" w:sz="0" w:space="0" w:color="auto"/>
            <w:bottom w:val="none" w:sz="0" w:space="0" w:color="auto"/>
            <w:right w:val="none" w:sz="0" w:space="0" w:color="auto"/>
          </w:divBdr>
          <w:divsChild>
            <w:div w:id="185599666">
              <w:marLeft w:val="0"/>
              <w:marRight w:val="0"/>
              <w:marTop w:val="0"/>
              <w:marBottom w:val="0"/>
              <w:divBdr>
                <w:top w:val="none" w:sz="0" w:space="0" w:color="auto"/>
                <w:left w:val="none" w:sz="0" w:space="0" w:color="auto"/>
                <w:bottom w:val="none" w:sz="0" w:space="0" w:color="auto"/>
                <w:right w:val="none" w:sz="0" w:space="0" w:color="auto"/>
              </w:divBdr>
              <w:divsChild>
                <w:div w:id="139311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928465">
      <w:bodyDiv w:val="1"/>
      <w:marLeft w:val="0"/>
      <w:marRight w:val="0"/>
      <w:marTop w:val="0"/>
      <w:marBottom w:val="0"/>
      <w:divBdr>
        <w:top w:val="none" w:sz="0" w:space="0" w:color="auto"/>
        <w:left w:val="none" w:sz="0" w:space="0" w:color="auto"/>
        <w:bottom w:val="none" w:sz="0" w:space="0" w:color="auto"/>
        <w:right w:val="none" w:sz="0" w:space="0" w:color="auto"/>
      </w:divBdr>
      <w:divsChild>
        <w:div w:id="667825513">
          <w:marLeft w:val="0"/>
          <w:marRight w:val="0"/>
          <w:marTop w:val="0"/>
          <w:marBottom w:val="0"/>
          <w:divBdr>
            <w:top w:val="none" w:sz="0" w:space="0" w:color="auto"/>
            <w:left w:val="none" w:sz="0" w:space="0" w:color="auto"/>
            <w:bottom w:val="none" w:sz="0" w:space="0" w:color="auto"/>
            <w:right w:val="none" w:sz="0" w:space="0" w:color="auto"/>
          </w:divBdr>
          <w:divsChild>
            <w:div w:id="18241683">
              <w:marLeft w:val="0"/>
              <w:marRight w:val="0"/>
              <w:marTop w:val="0"/>
              <w:marBottom w:val="0"/>
              <w:divBdr>
                <w:top w:val="none" w:sz="0" w:space="0" w:color="auto"/>
                <w:left w:val="none" w:sz="0" w:space="0" w:color="auto"/>
                <w:bottom w:val="none" w:sz="0" w:space="0" w:color="auto"/>
                <w:right w:val="none" w:sz="0" w:space="0" w:color="auto"/>
              </w:divBdr>
              <w:divsChild>
                <w:div w:id="155839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623024">
      <w:bodyDiv w:val="1"/>
      <w:marLeft w:val="0"/>
      <w:marRight w:val="0"/>
      <w:marTop w:val="0"/>
      <w:marBottom w:val="0"/>
      <w:divBdr>
        <w:top w:val="none" w:sz="0" w:space="0" w:color="auto"/>
        <w:left w:val="none" w:sz="0" w:space="0" w:color="auto"/>
        <w:bottom w:val="none" w:sz="0" w:space="0" w:color="auto"/>
        <w:right w:val="none" w:sz="0" w:space="0" w:color="auto"/>
      </w:divBdr>
    </w:div>
    <w:div w:id="667902212">
      <w:bodyDiv w:val="1"/>
      <w:marLeft w:val="0"/>
      <w:marRight w:val="0"/>
      <w:marTop w:val="0"/>
      <w:marBottom w:val="0"/>
      <w:divBdr>
        <w:top w:val="none" w:sz="0" w:space="0" w:color="auto"/>
        <w:left w:val="none" w:sz="0" w:space="0" w:color="auto"/>
        <w:bottom w:val="none" w:sz="0" w:space="0" w:color="auto"/>
        <w:right w:val="none" w:sz="0" w:space="0" w:color="auto"/>
      </w:divBdr>
    </w:div>
    <w:div w:id="706761578">
      <w:bodyDiv w:val="1"/>
      <w:marLeft w:val="0"/>
      <w:marRight w:val="0"/>
      <w:marTop w:val="0"/>
      <w:marBottom w:val="0"/>
      <w:divBdr>
        <w:top w:val="none" w:sz="0" w:space="0" w:color="auto"/>
        <w:left w:val="none" w:sz="0" w:space="0" w:color="auto"/>
        <w:bottom w:val="none" w:sz="0" w:space="0" w:color="auto"/>
        <w:right w:val="none" w:sz="0" w:space="0" w:color="auto"/>
      </w:divBdr>
      <w:divsChild>
        <w:div w:id="984970826">
          <w:marLeft w:val="0"/>
          <w:marRight w:val="0"/>
          <w:marTop w:val="0"/>
          <w:marBottom w:val="0"/>
          <w:divBdr>
            <w:top w:val="none" w:sz="0" w:space="0" w:color="auto"/>
            <w:left w:val="none" w:sz="0" w:space="0" w:color="auto"/>
            <w:bottom w:val="none" w:sz="0" w:space="0" w:color="auto"/>
            <w:right w:val="none" w:sz="0" w:space="0" w:color="auto"/>
          </w:divBdr>
        </w:div>
      </w:divsChild>
    </w:div>
    <w:div w:id="760837494">
      <w:bodyDiv w:val="1"/>
      <w:marLeft w:val="0"/>
      <w:marRight w:val="0"/>
      <w:marTop w:val="0"/>
      <w:marBottom w:val="0"/>
      <w:divBdr>
        <w:top w:val="none" w:sz="0" w:space="0" w:color="auto"/>
        <w:left w:val="none" w:sz="0" w:space="0" w:color="auto"/>
        <w:bottom w:val="none" w:sz="0" w:space="0" w:color="auto"/>
        <w:right w:val="none" w:sz="0" w:space="0" w:color="auto"/>
      </w:divBdr>
      <w:divsChild>
        <w:div w:id="93400922">
          <w:marLeft w:val="0"/>
          <w:marRight w:val="0"/>
          <w:marTop w:val="0"/>
          <w:marBottom w:val="0"/>
          <w:divBdr>
            <w:top w:val="none" w:sz="0" w:space="0" w:color="auto"/>
            <w:left w:val="none" w:sz="0" w:space="0" w:color="auto"/>
            <w:bottom w:val="none" w:sz="0" w:space="0" w:color="auto"/>
            <w:right w:val="none" w:sz="0" w:space="0" w:color="auto"/>
          </w:divBdr>
        </w:div>
      </w:divsChild>
    </w:div>
    <w:div w:id="761335414">
      <w:bodyDiv w:val="1"/>
      <w:marLeft w:val="0"/>
      <w:marRight w:val="0"/>
      <w:marTop w:val="0"/>
      <w:marBottom w:val="0"/>
      <w:divBdr>
        <w:top w:val="none" w:sz="0" w:space="0" w:color="auto"/>
        <w:left w:val="none" w:sz="0" w:space="0" w:color="auto"/>
        <w:bottom w:val="none" w:sz="0" w:space="0" w:color="auto"/>
        <w:right w:val="none" w:sz="0" w:space="0" w:color="auto"/>
      </w:divBdr>
    </w:div>
    <w:div w:id="854927201">
      <w:bodyDiv w:val="1"/>
      <w:marLeft w:val="0"/>
      <w:marRight w:val="0"/>
      <w:marTop w:val="0"/>
      <w:marBottom w:val="0"/>
      <w:divBdr>
        <w:top w:val="none" w:sz="0" w:space="0" w:color="auto"/>
        <w:left w:val="none" w:sz="0" w:space="0" w:color="auto"/>
        <w:bottom w:val="none" w:sz="0" w:space="0" w:color="auto"/>
        <w:right w:val="none" w:sz="0" w:space="0" w:color="auto"/>
      </w:divBdr>
    </w:div>
    <w:div w:id="860632286">
      <w:bodyDiv w:val="1"/>
      <w:marLeft w:val="0"/>
      <w:marRight w:val="0"/>
      <w:marTop w:val="0"/>
      <w:marBottom w:val="0"/>
      <w:divBdr>
        <w:top w:val="none" w:sz="0" w:space="0" w:color="auto"/>
        <w:left w:val="none" w:sz="0" w:space="0" w:color="auto"/>
        <w:bottom w:val="none" w:sz="0" w:space="0" w:color="auto"/>
        <w:right w:val="none" w:sz="0" w:space="0" w:color="auto"/>
      </w:divBdr>
      <w:divsChild>
        <w:div w:id="1524124729">
          <w:marLeft w:val="0"/>
          <w:marRight w:val="0"/>
          <w:marTop w:val="0"/>
          <w:marBottom w:val="0"/>
          <w:divBdr>
            <w:top w:val="none" w:sz="0" w:space="0" w:color="auto"/>
            <w:left w:val="none" w:sz="0" w:space="0" w:color="auto"/>
            <w:bottom w:val="none" w:sz="0" w:space="0" w:color="auto"/>
            <w:right w:val="none" w:sz="0" w:space="0" w:color="auto"/>
          </w:divBdr>
        </w:div>
      </w:divsChild>
    </w:div>
    <w:div w:id="964434393">
      <w:bodyDiv w:val="1"/>
      <w:marLeft w:val="0"/>
      <w:marRight w:val="0"/>
      <w:marTop w:val="0"/>
      <w:marBottom w:val="0"/>
      <w:divBdr>
        <w:top w:val="none" w:sz="0" w:space="0" w:color="auto"/>
        <w:left w:val="none" w:sz="0" w:space="0" w:color="auto"/>
        <w:bottom w:val="none" w:sz="0" w:space="0" w:color="auto"/>
        <w:right w:val="none" w:sz="0" w:space="0" w:color="auto"/>
      </w:divBdr>
      <w:divsChild>
        <w:div w:id="258679811">
          <w:marLeft w:val="0"/>
          <w:marRight w:val="0"/>
          <w:marTop w:val="0"/>
          <w:marBottom w:val="0"/>
          <w:divBdr>
            <w:top w:val="none" w:sz="0" w:space="0" w:color="auto"/>
            <w:left w:val="none" w:sz="0" w:space="0" w:color="auto"/>
            <w:bottom w:val="none" w:sz="0" w:space="0" w:color="auto"/>
            <w:right w:val="none" w:sz="0" w:space="0" w:color="auto"/>
          </w:divBdr>
        </w:div>
        <w:div w:id="450636679">
          <w:marLeft w:val="0"/>
          <w:marRight w:val="0"/>
          <w:marTop w:val="0"/>
          <w:marBottom w:val="0"/>
          <w:divBdr>
            <w:top w:val="none" w:sz="0" w:space="0" w:color="auto"/>
            <w:left w:val="none" w:sz="0" w:space="0" w:color="auto"/>
            <w:bottom w:val="none" w:sz="0" w:space="0" w:color="auto"/>
            <w:right w:val="none" w:sz="0" w:space="0" w:color="auto"/>
          </w:divBdr>
        </w:div>
        <w:div w:id="2050374571">
          <w:marLeft w:val="0"/>
          <w:marRight w:val="0"/>
          <w:marTop w:val="0"/>
          <w:marBottom w:val="0"/>
          <w:divBdr>
            <w:top w:val="none" w:sz="0" w:space="0" w:color="auto"/>
            <w:left w:val="none" w:sz="0" w:space="0" w:color="auto"/>
            <w:bottom w:val="none" w:sz="0" w:space="0" w:color="auto"/>
            <w:right w:val="none" w:sz="0" w:space="0" w:color="auto"/>
          </w:divBdr>
        </w:div>
      </w:divsChild>
    </w:div>
    <w:div w:id="1013531704">
      <w:bodyDiv w:val="1"/>
      <w:marLeft w:val="0"/>
      <w:marRight w:val="0"/>
      <w:marTop w:val="0"/>
      <w:marBottom w:val="0"/>
      <w:divBdr>
        <w:top w:val="none" w:sz="0" w:space="0" w:color="auto"/>
        <w:left w:val="none" w:sz="0" w:space="0" w:color="auto"/>
        <w:bottom w:val="none" w:sz="0" w:space="0" w:color="auto"/>
        <w:right w:val="none" w:sz="0" w:space="0" w:color="auto"/>
      </w:divBdr>
      <w:divsChild>
        <w:div w:id="431901322">
          <w:marLeft w:val="0"/>
          <w:marRight w:val="0"/>
          <w:marTop w:val="0"/>
          <w:marBottom w:val="0"/>
          <w:divBdr>
            <w:top w:val="none" w:sz="0" w:space="0" w:color="auto"/>
            <w:left w:val="none" w:sz="0" w:space="0" w:color="auto"/>
            <w:bottom w:val="none" w:sz="0" w:space="0" w:color="auto"/>
            <w:right w:val="none" w:sz="0" w:space="0" w:color="auto"/>
          </w:divBdr>
          <w:divsChild>
            <w:div w:id="1943998979">
              <w:marLeft w:val="0"/>
              <w:marRight w:val="0"/>
              <w:marTop w:val="0"/>
              <w:marBottom w:val="0"/>
              <w:divBdr>
                <w:top w:val="none" w:sz="0" w:space="0" w:color="auto"/>
                <w:left w:val="none" w:sz="0" w:space="0" w:color="auto"/>
                <w:bottom w:val="none" w:sz="0" w:space="0" w:color="auto"/>
                <w:right w:val="none" w:sz="0" w:space="0" w:color="auto"/>
              </w:divBdr>
              <w:divsChild>
                <w:div w:id="30867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161625">
      <w:bodyDiv w:val="1"/>
      <w:marLeft w:val="0"/>
      <w:marRight w:val="0"/>
      <w:marTop w:val="0"/>
      <w:marBottom w:val="0"/>
      <w:divBdr>
        <w:top w:val="none" w:sz="0" w:space="0" w:color="auto"/>
        <w:left w:val="none" w:sz="0" w:space="0" w:color="auto"/>
        <w:bottom w:val="none" w:sz="0" w:space="0" w:color="auto"/>
        <w:right w:val="none" w:sz="0" w:space="0" w:color="auto"/>
      </w:divBdr>
      <w:divsChild>
        <w:div w:id="506483343">
          <w:marLeft w:val="0"/>
          <w:marRight w:val="0"/>
          <w:marTop w:val="0"/>
          <w:marBottom w:val="0"/>
          <w:divBdr>
            <w:top w:val="none" w:sz="0" w:space="0" w:color="auto"/>
            <w:left w:val="none" w:sz="0" w:space="0" w:color="auto"/>
            <w:bottom w:val="none" w:sz="0" w:space="0" w:color="auto"/>
            <w:right w:val="none" w:sz="0" w:space="0" w:color="auto"/>
          </w:divBdr>
        </w:div>
        <w:div w:id="1389189618">
          <w:marLeft w:val="0"/>
          <w:marRight w:val="0"/>
          <w:marTop w:val="0"/>
          <w:marBottom w:val="0"/>
          <w:divBdr>
            <w:top w:val="none" w:sz="0" w:space="0" w:color="auto"/>
            <w:left w:val="none" w:sz="0" w:space="0" w:color="auto"/>
            <w:bottom w:val="none" w:sz="0" w:space="0" w:color="auto"/>
            <w:right w:val="none" w:sz="0" w:space="0" w:color="auto"/>
          </w:divBdr>
        </w:div>
      </w:divsChild>
    </w:div>
    <w:div w:id="1335258567">
      <w:bodyDiv w:val="1"/>
      <w:marLeft w:val="0"/>
      <w:marRight w:val="0"/>
      <w:marTop w:val="0"/>
      <w:marBottom w:val="0"/>
      <w:divBdr>
        <w:top w:val="none" w:sz="0" w:space="0" w:color="auto"/>
        <w:left w:val="none" w:sz="0" w:space="0" w:color="auto"/>
        <w:bottom w:val="none" w:sz="0" w:space="0" w:color="auto"/>
        <w:right w:val="none" w:sz="0" w:space="0" w:color="auto"/>
      </w:divBdr>
    </w:div>
    <w:div w:id="1350714463">
      <w:bodyDiv w:val="1"/>
      <w:marLeft w:val="0"/>
      <w:marRight w:val="0"/>
      <w:marTop w:val="0"/>
      <w:marBottom w:val="0"/>
      <w:divBdr>
        <w:top w:val="none" w:sz="0" w:space="0" w:color="auto"/>
        <w:left w:val="none" w:sz="0" w:space="0" w:color="auto"/>
        <w:bottom w:val="none" w:sz="0" w:space="0" w:color="auto"/>
        <w:right w:val="none" w:sz="0" w:space="0" w:color="auto"/>
      </w:divBdr>
      <w:divsChild>
        <w:div w:id="476799228">
          <w:marLeft w:val="0"/>
          <w:marRight w:val="0"/>
          <w:marTop w:val="0"/>
          <w:marBottom w:val="0"/>
          <w:divBdr>
            <w:top w:val="none" w:sz="0" w:space="0" w:color="auto"/>
            <w:left w:val="none" w:sz="0" w:space="0" w:color="auto"/>
            <w:bottom w:val="none" w:sz="0" w:space="0" w:color="auto"/>
            <w:right w:val="none" w:sz="0" w:space="0" w:color="auto"/>
          </w:divBdr>
        </w:div>
      </w:divsChild>
    </w:div>
    <w:div w:id="1400709170">
      <w:bodyDiv w:val="1"/>
      <w:marLeft w:val="0"/>
      <w:marRight w:val="0"/>
      <w:marTop w:val="0"/>
      <w:marBottom w:val="0"/>
      <w:divBdr>
        <w:top w:val="none" w:sz="0" w:space="0" w:color="auto"/>
        <w:left w:val="none" w:sz="0" w:space="0" w:color="auto"/>
        <w:bottom w:val="none" w:sz="0" w:space="0" w:color="auto"/>
        <w:right w:val="none" w:sz="0" w:space="0" w:color="auto"/>
      </w:divBdr>
      <w:divsChild>
        <w:div w:id="318535500">
          <w:marLeft w:val="0"/>
          <w:marRight w:val="0"/>
          <w:marTop w:val="0"/>
          <w:marBottom w:val="0"/>
          <w:divBdr>
            <w:top w:val="none" w:sz="0" w:space="0" w:color="auto"/>
            <w:left w:val="none" w:sz="0" w:space="0" w:color="auto"/>
            <w:bottom w:val="none" w:sz="0" w:space="0" w:color="auto"/>
            <w:right w:val="none" w:sz="0" w:space="0" w:color="auto"/>
          </w:divBdr>
        </w:div>
      </w:divsChild>
    </w:div>
    <w:div w:id="1428503205">
      <w:bodyDiv w:val="1"/>
      <w:marLeft w:val="0"/>
      <w:marRight w:val="0"/>
      <w:marTop w:val="0"/>
      <w:marBottom w:val="0"/>
      <w:divBdr>
        <w:top w:val="none" w:sz="0" w:space="0" w:color="auto"/>
        <w:left w:val="none" w:sz="0" w:space="0" w:color="auto"/>
        <w:bottom w:val="none" w:sz="0" w:space="0" w:color="auto"/>
        <w:right w:val="none" w:sz="0" w:space="0" w:color="auto"/>
      </w:divBdr>
      <w:divsChild>
        <w:div w:id="134227222">
          <w:marLeft w:val="0"/>
          <w:marRight w:val="0"/>
          <w:marTop w:val="0"/>
          <w:marBottom w:val="0"/>
          <w:divBdr>
            <w:top w:val="none" w:sz="0" w:space="0" w:color="auto"/>
            <w:left w:val="none" w:sz="0" w:space="0" w:color="auto"/>
            <w:bottom w:val="none" w:sz="0" w:space="0" w:color="auto"/>
            <w:right w:val="none" w:sz="0" w:space="0" w:color="auto"/>
          </w:divBdr>
        </w:div>
      </w:divsChild>
    </w:div>
    <w:div w:id="1506244559">
      <w:bodyDiv w:val="1"/>
      <w:marLeft w:val="0"/>
      <w:marRight w:val="0"/>
      <w:marTop w:val="0"/>
      <w:marBottom w:val="0"/>
      <w:divBdr>
        <w:top w:val="none" w:sz="0" w:space="0" w:color="auto"/>
        <w:left w:val="none" w:sz="0" w:space="0" w:color="auto"/>
        <w:bottom w:val="none" w:sz="0" w:space="0" w:color="auto"/>
        <w:right w:val="none" w:sz="0" w:space="0" w:color="auto"/>
      </w:divBdr>
      <w:divsChild>
        <w:div w:id="579217370">
          <w:marLeft w:val="0"/>
          <w:marRight w:val="0"/>
          <w:marTop w:val="0"/>
          <w:marBottom w:val="0"/>
          <w:divBdr>
            <w:top w:val="none" w:sz="0" w:space="0" w:color="auto"/>
            <w:left w:val="none" w:sz="0" w:space="0" w:color="auto"/>
            <w:bottom w:val="none" w:sz="0" w:space="0" w:color="auto"/>
            <w:right w:val="none" w:sz="0" w:space="0" w:color="auto"/>
          </w:divBdr>
        </w:div>
      </w:divsChild>
    </w:div>
    <w:div w:id="1534340070">
      <w:bodyDiv w:val="1"/>
      <w:marLeft w:val="0"/>
      <w:marRight w:val="0"/>
      <w:marTop w:val="0"/>
      <w:marBottom w:val="0"/>
      <w:divBdr>
        <w:top w:val="none" w:sz="0" w:space="0" w:color="auto"/>
        <w:left w:val="none" w:sz="0" w:space="0" w:color="auto"/>
        <w:bottom w:val="none" w:sz="0" w:space="0" w:color="auto"/>
        <w:right w:val="none" w:sz="0" w:space="0" w:color="auto"/>
      </w:divBdr>
      <w:divsChild>
        <w:div w:id="1226336776">
          <w:marLeft w:val="0"/>
          <w:marRight w:val="0"/>
          <w:marTop w:val="0"/>
          <w:marBottom w:val="0"/>
          <w:divBdr>
            <w:top w:val="none" w:sz="0" w:space="0" w:color="auto"/>
            <w:left w:val="none" w:sz="0" w:space="0" w:color="auto"/>
            <w:bottom w:val="none" w:sz="0" w:space="0" w:color="auto"/>
            <w:right w:val="none" w:sz="0" w:space="0" w:color="auto"/>
          </w:divBdr>
          <w:divsChild>
            <w:div w:id="7603082">
              <w:marLeft w:val="0"/>
              <w:marRight w:val="0"/>
              <w:marTop w:val="0"/>
              <w:marBottom w:val="0"/>
              <w:divBdr>
                <w:top w:val="none" w:sz="0" w:space="0" w:color="auto"/>
                <w:left w:val="none" w:sz="0" w:space="0" w:color="auto"/>
                <w:bottom w:val="none" w:sz="0" w:space="0" w:color="auto"/>
                <w:right w:val="none" w:sz="0" w:space="0" w:color="auto"/>
              </w:divBdr>
              <w:divsChild>
                <w:div w:id="190626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60224">
      <w:bodyDiv w:val="1"/>
      <w:marLeft w:val="0"/>
      <w:marRight w:val="0"/>
      <w:marTop w:val="0"/>
      <w:marBottom w:val="0"/>
      <w:divBdr>
        <w:top w:val="none" w:sz="0" w:space="0" w:color="auto"/>
        <w:left w:val="none" w:sz="0" w:space="0" w:color="auto"/>
        <w:bottom w:val="none" w:sz="0" w:space="0" w:color="auto"/>
        <w:right w:val="none" w:sz="0" w:space="0" w:color="auto"/>
      </w:divBdr>
      <w:divsChild>
        <w:div w:id="1603953243">
          <w:marLeft w:val="0"/>
          <w:marRight w:val="0"/>
          <w:marTop w:val="0"/>
          <w:marBottom w:val="0"/>
          <w:divBdr>
            <w:top w:val="none" w:sz="0" w:space="0" w:color="auto"/>
            <w:left w:val="none" w:sz="0" w:space="0" w:color="auto"/>
            <w:bottom w:val="none" w:sz="0" w:space="0" w:color="auto"/>
            <w:right w:val="none" w:sz="0" w:space="0" w:color="auto"/>
          </w:divBdr>
          <w:divsChild>
            <w:div w:id="792288802">
              <w:marLeft w:val="0"/>
              <w:marRight w:val="0"/>
              <w:marTop w:val="0"/>
              <w:marBottom w:val="0"/>
              <w:divBdr>
                <w:top w:val="none" w:sz="0" w:space="0" w:color="auto"/>
                <w:left w:val="none" w:sz="0" w:space="0" w:color="auto"/>
                <w:bottom w:val="none" w:sz="0" w:space="0" w:color="auto"/>
                <w:right w:val="none" w:sz="0" w:space="0" w:color="auto"/>
              </w:divBdr>
              <w:divsChild>
                <w:div w:id="208898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845615">
      <w:bodyDiv w:val="1"/>
      <w:marLeft w:val="0"/>
      <w:marRight w:val="0"/>
      <w:marTop w:val="0"/>
      <w:marBottom w:val="0"/>
      <w:divBdr>
        <w:top w:val="none" w:sz="0" w:space="0" w:color="auto"/>
        <w:left w:val="none" w:sz="0" w:space="0" w:color="auto"/>
        <w:bottom w:val="none" w:sz="0" w:space="0" w:color="auto"/>
        <w:right w:val="none" w:sz="0" w:space="0" w:color="auto"/>
      </w:divBdr>
      <w:divsChild>
        <w:div w:id="939413419">
          <w:marLeft w:val="0"/>
          <w:marRight w:val="0"/>
          <w:marTop w:val="0"/>
          <w:marBottom w:val="0"/>
          <w:divBdr>
            <w:top w:val="none" w:sz="0" w:space="0" w:color="auto"/>
            <w:left w:val="none" w:sz="0" w:space="0" w:color="auto"/>
            <w:bottom w:val="none" w:sz="0" w:space="0" w:color="auto"/>
            <w:right w:val="none" w:sz="0" w:space="0" w:color="auto"/>
          </w:divBdr>
          <w:divsChild>
            <w:div w:id="612979562">
              <w:marLeft w:val="0"/>
              <w:marRight w:val="0"/>
              <w:marTop w:val="0"/>
              <w:marBottom w:val="0"/>
              <w:divBdr>
                <w:top w:val="none" w:sz="0" w:space="0" w:color="auto"/>
                <w:left w:val="none" w:sz="0" w:space="0" w:color="auto"/>
                <w:bottom w:val="none" w:sz="0" w:space="0" w:color="auto"/>
                <w:right w:val="none" w:sz="0" w:space="0" w:color="auto"/>
              </w:divBdr>
              <w:divsChild>
                <w:div w:id="30810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279442">
      <w:bodyDiv w:val="1"/>
      <w:marLeft w:val="0"/>
      <w:marRight w:val="0"/>
      <w:marTop w:val="0"/>
      <w:marBottom w:val="0"/>
      <w:divBdr>
        <w:top w:val="none" w:sz="0" w:space="0" w:color="auto"/>
        <w:left w:val="none" w:sz="0" w:space="0" w:color="auto"/>
        <w:bottom w:val="none" w:sz="0" w:space="0" w:color="auto"/>
        <w:right w:val="none" w:sz="0" w:space="0" w:color="auto"/>
      </w:divBdr>
      <w:divsChild>
        <w:div w:id="878471842">
          <w:marLeft w:val="0"/>
          <w:marRight w:val="0"/>
          <w:marTop w:val="0"/>
          <w:marBottom w:val="0"/>
          <w:divBdr>
            <w:top w:val="none" w:sz="0" w:space="0" w:color="auto"/>
            <w:left w:val="none" w:sz="0" w:space="0" w:color="auto"/>
            <w:bottom w:val="none" w:sz="0" w:space="0" w:color="auto"/>
            <w:right w:val="none" w:sz="0" w:space="0" w:color="auto"/>
          </w:divBdr>
        </w:div>
      </w:divsChild>
    </w:div>
    <w:div w:id="1848397016">
      <w:bodyDiv w:val="1"/>
      <w:marLeft w:val="0"/>
      <w:marRight w:val="0"/>
      <w:marTop w:val="0"/>
      <w:marBottom w:val="0"/>
      <w:divBdr>
        <w:top w:val="none" w:sz="0" w:space="0" w:color="auto"/>
        <w:left w:val="none" w:sz="0" w:space="0" w:color="auto"/>
        <w:bottom w:val="none" w:sz="0" w:space="0" w:color="auto"/>
        <w:right w:val="none" w:sz="0" w:space="0" w:color="auto"/>
      </w:divBdr>
    </w:div>
    <w:div w:id="1877505123">
      <w:bodyDiv w:val="1"/>
      <w:marLeft w:val="0"/>
      <w:marRight w:val="0"/>
      <w:marTop w:val="0"/>
      <w:marBottom w:val="0"/>
      <w:divBdr>
        <w:top w:val="none" w:sz="0" w:space="0" w:color="auto"/>
        <w:left w:val="none" w:sz="0" w:space="0" w:color="auto"/>
        <w:bottom w:val="none" w:sz="0" w:space="0" w:color="auto"/>
        <w:right w:val="none" w:sz="0" w:space="0" w:color="auto"/>
      </w:divBdr>
    </w:div>
    <w:div w:id="1923031266">
      <w:bodyDiv w:val="1"/>
      <w:marLeft w:val="0"/>
      <w:marRight w:val="0"/>
      <w:marTop w:val="0"/>
      <w:marBottom w:val="0"/>
      <w:divBdr>
        <w:top w:val="none" w:sz="0" w:space="0" w:color="auto"/>
        <w:left w:val="none" w:sz="0" w:space="0" w:color="auto"/>
        <w:bottom w:val="none" w:sz="0" w:space="0" w:color="auto"/>
        <w:right w:val="none" w:sz="0" w:space="0" w:color="auto"/>
      </w:divBdr>
      <w:divsChild>
        <w:div w:id="1139959581">
          <w:marLeft w:val="0"/>
          <w:marRight w:val="0"/>
          <w:marTop w:val="0"/>
          <w:marBottom w:val="0"/>
          <w:divBdr>
            <w:top w:val="none" w:sz="0" w:space="0" w:color="auto"/>
            <w:left w:val="none" w:sz="0" w:space="0" w:color="auto"/>
            <w:bottom w:val="none" w:sz="0" w:space="0" w:color="auto"/>
            <w:right w:val="none" w:sz="0" w:space="0" w:color="auto"/>
          </w:divBdr>
        </w:div>
      </w:divsChild>
    </w:div>
    <w:div w:id="2085684975">
      <w:bodyDiv w:val="1"/>
      <w:marLeft w:val="0"/>
      <w:marRight w:val="0"/>
      <w:marTop w:val="0"/>
      <w:marBottom w:val="0"/>
      <w:divBdr>
        <w:top w:val="none" w:sz="0" w:space="0" w:color="auto"/>
        <w:left w:val="none" w:sz="0" w:space="0" w:color="auto"/>
        <w:bottom w:val="none" w:sz="0" w:space="0" w:color="auto"/>
        <w:right w:val="none" w:sz="0" w:space="0" w:color="auto"/>
      </w:divBdr>
      <w:divsChild>
        <w:div w:id="1484657732">
          <w:marLeft w:val="0"/>
          <w:marRight w:val="0"/>
          <w:marTop w:val="0"/>
          <w:marBottom w:val="0"/>
          <w:divBdr>
            <w:top w:val="none" w:sz="0" w:space="0" w:color="auto"/>
            <w:left w:val="none" w:sz="0" w:space="0" w:color="auto"/>
            <w:bottom w:val="none" w:sz="0" w:space="0" w:color="auto"/>
            <w:right w:val="none" w:sz="0" w:space="0" w:color="auto"/>
          </w:divBdr>
        </w:div>
      </w:divsChild>
    </w:div>
    <w:div w:id="211632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8A0B7-BD04-4D41-92D3-23A5B3E0F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39</Pages>
  <Words>8529</Words>
  <Characters>48621</Characters>
  <Application>Microsoft Office Word</Application>
  <DocSecurity>0</DocSecurity>
  <Lines>405</Lines>
  <Paragraphs>114</Paragraphs>
  <ScaleCrop>false</ScaleCrop>
  <Company/>
  <LinksUpToDate>false</LinksUpToDate>
  <CharactersWithSpaces>57036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Alvin Lam</dc:creator>
  <cp:keywords/>
  <dc:description/>
  <cp:lastModifiedBy>Alvin Lam</cp:lastModifiedBy>
  <cp:revision>35</cp:revision>
  <dcterms:created xsi:type="dcterms:W3CDTF">2022-04-18T07:53:00Z</dcterms:created>
  <dcterms:modified xsi:type="dcterms:W3CDTF">2022-04-18T09:35:00Z</dcterms:modified>
</cp:coreProperties>
</file>