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6A39" w:rsidRPr="00545059" w:rsidRDefault="00545059">
      <w:pPr>
        <w:rPr>
          <w:b/>
          <w:sz w:val="28"/>
          <w:szCs w:val="28"/>
          <w:u w:val="single"/>
        </w:rPr>
      </w:pPr>
      <w:r w:rsidRPr="00545059">
        <w:rPr>
          <w:b/>
          <w:sz w:val="28"/>
          <w:szCs w:val="28"/>
          <w:u w:val="single"/>
        </w:rPr>
        <w:t>Laura’s bad day -</w:t>
      </w:r>
      <w:r w:rsidR="006F3E52" w:rsidRPr="00545059">
        <w:rPr>
          <w:b/>
          <w:sz w:val="28"/>
          <w:szCs w:val="28"/>
          <w:u w:val="single"/>
        </w:rPr>
        <w:t>Answers</w:t>
      </w:r>
    </w:p>
    <w:p w:rsidR="006F3E52" w:rsidRPr="00545059" w:rsidRDefault="006F3E52">
      <w:pPr>
        <w:rPr>
          <w:sz w:val="28"/>
          <w:szCs w:val="28"/>
        </w:rPr>
      </w:pPr>
      <w:r w:rsidRPr="00545059">
        <w:rPr>
          <w:sz w:val="28"/>
          <w:szCs w:val="28"/>
        </w:rPr>
        <w:t xml:space="preserve">In some of the events Laura is clearly the victim and a potential claimant.  In other aspects she may be the defendant in a future action.  </w:t>
      </w:r>
    </w:p>
    <w:p w:rsidR="006F3E52" w:rsidRPr="00545059" w:rsidRDefault="006F3E52">
      <w:pPr>
        <w:rPr>
          <w:sz w:val="28"/>
          <w:szCs w:val="28"/>
        </w:rPr>
      </w:pPr>
      <w:r w:rsidRPr="00545059">
        <w:rPr>
          <w:sz w:val="28"/>
          <w:szCs w:val="28"/>
        </w:rPr>
        <w:t>As you work through your study of tort, you will discover which interests the law protects and you will recognise individual torts and find what the claimant must prove and what remedies will be available.</w:t>
      </w:r>
    </w:p>
    <w:p w:rsidR="006F3E52" w:rsidRPr="00545059" w:rsidRDefault="006F3E52">
      <w:pPr>
        <w:rPr>
          <w:sz w:val="28"/>
          <w:szCs w:val="28"/>
        </w:rPr>
      </w:pPr>
      <w:r w:rsidRPr="00545059">
        <w:rPr>
          <w:sz w:val="28"/>
          <w:szCs w:val="28"/>
        </w:rPr>
        <w:t>Here is a quick list of the possible actions raised by events in Laura’s day:-</w:t>
      </w:r>
    </w:p>
    <w:p w:rsidR="006F3E52" w:rsidRPr="00545059" w:rsidRDefault="006F3E52" w:rsidP="006F3E52">
      <w:pPr>
        <w:pStyle w:val="ListParagraph"/>
        <w:numPr>
          <w:ilvl w:val="0"/>
          <w:numId w:val="1"/>
        </w:numPr>
        <w:rPr>
          <w:sz w:val="28"/>
          <w:szCs w:val="28"/>
        </w:rPr>
      </w:pPr>
      <w:r w:rsidRPr="00545059">
        <w:rPr>
          <w:sz w:val="28"/>
          <w:szCs w:val="28"/>
        </w:rPr>
        <w:t xml:space="preserve">Noisy party – this </w:t>
      </w:r>
      <w:r w:rsidRPr="00545059">
        <w:rPr>
          <w:b/>
          <w:sz w:val="28"/>
          <w:szCs w:val="28"/>
        </w:rPr>
        <w:t xml:space="preserve">may </w:t>
      </w:r>
      <w:r w:rsidRPr="00545059">
        <w:rPr>
          <w:sz w:val="28"/>
          <w:szCs w:val="28"/>
        </w:rPr>
        <w:t xml:space="preserve">be evidence of a </w:t>
      </w:r>
      <w:r w:rsidRPr="00545059">
        <w:rPr>
          <w:b/>
          <w:sz w:val="28"/>
          <w:szCs w:val="28"/>
        </w:rPr>
        <w:t xml:space="preserve">private nuisance </w:t>
      </w:r>
      <w:r w:rsidRPr="00545059">
        <w:rPr>
          <w:sz w:val="28"/>
          <w:szCs w:val="28"/>
        </w:rPr>
        <w:t>but Laura would normally be expected to show that there had been a disturbance to her sleep on several occasions; one rowdy party is unlikely to be enough.  This tort requires a judge to balance the interests of both Laura and her neighbours, who both want to use their premises for legitimate, but temporarily conflicting, purposes.</w:t>
      </w:r>
    </w:p>
    <w:p w:rsidR="006F3E52" w:rsidRPr="00545059" w:rsidRDefault="006F3E52" w:rsidP="006F3E52">
      <w:pPr>
        <w:pStyle w:val="ListParagraph"/>
        <w:numPr>
          <w:ilvl w:val="0"/>
          <w:numId w:val="1"/>
        </w:numPr>
        <w:rPr>
          <w:sz w:val="28"/>
          <w:szCs w:val="28"/>
        </w:rPr>
      </w:pPr>
      <w:r w:rsidRPr="00545059">
        <w:rPr>
          <w:sz w:val="28"/>
          <w:szCs w:val="28"/>
        </w:rPr>
        <w:t xml:space="preserve">Wine bottles in the garden – whoever threw the plastic bag containing them has committed the </w:t>
      </w:r>
      <w:r w:rsidRPr="00545059">
        <w:rPr>
          <w:b/>
          <w:sz w:val="28"/>
          <w:szCs w:val="28"/>
        </w:rPr>
        <w:t>tort of trespass to land</w:t>
      </w:r>
      <w:r w:rsidRPr="00545059">
        <w:rPr>
          <w:sz w:val="28"/>
          <w:szCs w:val="28"/>
        </w:rPr>
        <w:t>.  Trespass is a very old tort and is committed even if no damage is caused to the claimant.</w:t>
      </w:r>
    </w:p>
    <w:p w:rsidR="006F3E52" w:rsidRPr="00545059" w:rsidRDefault="006F3E52" w:rsidP="006F3E52">
      <w:pPr>
        <w:pStyle w:val="ListParagraph"/>
        <w:numPr>
          <w:ilvl w:val="0"/>
          <w:numId w:val="1"/>
        </w:numPr>
        <w:rPr>
          <w:sz w:val="28"/>
          <w:szCs w:val="28"/>
        </w:rPr>
      </w:pPr>
      <w:proofErr w:type="gramStart"/>
      <w:r w:rsidRPr="00545059">
        <w:rPr>
          <w:sz w:val="28"/>
          <w:szCs w:val="28"/>
        </w:rPr>
        <w:t>Slates falling from the roof of Laura’s house – Laura has</w:t>
      </w:r>
      <w:proofErr w:type="gramEnd"/>
      <w:r w:rsidRPr="00545059">
        <w:rPr>
          <w:sz w:val="28"/>
          <w:szCs w:val="28"/>
        </w:rPr>
        <w:t xml:space="preserve"> </w:t>
      </w:r>
      <w:r w:rsidRPr="00545059">
        <w:rPr>
          <w:b/>
          <w:sz w:val="28"/>
          <w:szCs w:val="28"/>
        </w:rPr>
        <w:t xml:space="preserve">occupier’s liability.  </w:t>
      </w:r>
      <w:r w:rsidRPr="00545059">
        <w:rPr>
          <w:sz w:val="28"/>
          <w:szCs w:val="28"/>
        </w:rPr>
        <w:t>She has a duty to take reasonable care for the postman, who is injured while lawfully on her property, and the source of this duty is found in legislation.  Unfortunately for Laura, it seems that she was aware of a problem with the slates before the day of the accident to the postman, which may mean that she has broken her duty of care by taking less than reasonable care.</w:t>
      </w:r>
    </w:p>
    <w:p w:rsidR="006F3E52" w:rsidRPr="00545059" w:rsidRDefault="006F3E52" w:rsidP="006F3E52">
      <w:pPr>
        <w:pStyle w:val="ListParagraph"/>
        <w:numPr>
          <w:ilvl w:val="0"/>
          <w:numId w:val="1"/>
        </w:numPr>
        <w:rPr>
          <w:sz w:val="28"/>
          <w:szCs w:val="28"/>
        </w:rPr>
      </w:pPr>
      <w:r w:rsidRPr="00545059">
        <w:rPr>
          <w:sz w:val="28"/>
          <w:szCs w:val="28"/>
        </w:rPr>
        <w:t xml:space="preserve">Collision with Josh’s van – lack of reasonable care is at the heart of the </w:t>
      </w:r>
      <w:r w:rsidRPr="00545059">
        <w:rPr>
          <w:b/>
          <w:sz w:val="28"/>
          <w:szCs w:val="28"/>
        </w:rPr>
        <w:t>tort of negligence</w:t>
      </w:r>
      <w:r w:rsidRPr="00545059">
        <w:rPr>
          <w:sz w:val="28"/>
          <w:szCs w:val="28"/>
        </w:rPr>
        <w:t xml:space="preserve"> and will apply to both Josh and Laura.  The facts are disputed and any discussion will include how any claimant goes about proving a lack of reasonable care in the circumstances</w:t>
      </w:r>
      <w:r w:rsidR="000C2E07" w:rsidRPr="00545059">
        <w:rPr>
          <w:sz w:val="28"/>
          <w:szCs w:val="28"/>
        </w:rPr>
        <w:t xml:space="preserve">.  Even if Josh is mostly at fault – because he drove into a stationary car – he may claim that Laura was partly to blame for the damage that she suffered.  This is the very common defence of </w:t>
      </w:r>
      <w:r w:rsidR="000C2E07" w:rsidRPr="00545059">
        <w:rPr>
          <w:b/>
          <w:sz w:val="28"/>
          <w:szCs w:val="28"/>
        </w:rPr>
        <w:t xml:space="preserve">contributory negligence.  </w:t>
      </w:r>
      <w:r w:rsidR="000C2E07" w:rsidRPr="00545059">
        <w:rPr>
          <w:sz w:val="28"/>
          <w:szCs w:val="28"/>
        </w:rPr>
        <w:t xml:space="preserve">  Although it seemed a trivial accident at the time, Laura is now suffering unpleasant after-effects, which may have been caused by the collision and may be evidence of </w:t>
      </w:r>
      <w:r w:rsidR="000C2E07" w:rsidRPr="00545059">
        <w:rPr>
          <w:b/>
          <w:sz w:val="28"/>
          <w:szCs w:val="28"/>
        </w:rPr>
        <w:t xml:space="preserve">psychiatric damage.  </w:t>
      </w:r>
      <w:r w:rsidR="000C2E07" w:rsidRPr="00545059">
        <w:rPr>
          <w:sz w:val="28"/>
          <w:szCs w:val="28"/>
        </w:rPr>
        <w:t xml:space="preserve">This may encourage her to consider </w:t>
      </w:r>
      <w:r w:rsidR="000C2E07" w:rsidRPr="00545059">
        <w:rPr>
          <w:sz w:val="28"/>
          <w:szCs w:val="28"/>
        </w:rPr>
        <w:lastRenderedPageBreak/>
        <w:t xml:space="preserve">whether to sue for compensation.  If she does, then she should regard Breadline as a potential defendant, because an employer is </w:t>
      </w:r>
      <w:r w:rsidR="000C2E07" w:rsidRPr="00545059">
        <w:rPr>
          <w:b/>
          <w:sz w:val="28"/>
          <w:szCs w:val="28"/>
        </w:rPr>
        <w:t xml:space="preserve">vicariously liable </w:t>
      </w:r>
      <w:r w:rsidR="000C2E07" w:rsidRPr="00545059">
        <w:rPr>
          <w:sz w:val="28"/>
          <w:szCs w:val="28"/>
        </w:rPr>
        <w:t>for the torts committed by an employee whilst working.</w:t>
      </w:r>
    </w:p>
    <w:p w:rsidR="000C2E07" w:rsidRPr="00545059" w:rsidRDefault="000C2E07" w:rsidP="006F3E52">
      <w:pPr>
        <w:pStyle w:val="ListParagraph"/>
        <w:numPr>
          <w:ilvl w:val="0"/>
          <w:numId w:val="1"/>
        </w:numPr>
        <w:rPr>
          <w:sz w:val="28"/>
          <w:szCs w:val="28"/>
        </w:rPr>
      </w:pPr>
      <w:r w:rsidRPr="00545059">
        <w:rPr>
          <w:sz w:val="28"/>
          <w:szCs w:val="28"/>
        </w:rPr>
        <w:t xml:space="preserve">Water cooler gossip – anyone who speaks about gossip may be committing slander – or libel if the allegation is written down – as may be the case in the memo.  Libel and slander are both ways in which the </w:t>
      </w:r>
      <w:r w:rsidRPr="00545059">
        <w:rPr>
          <w:b/>
          <w:sz w:val="28"/>
          <w:szCs w:val="28"/>
        </w:rPr>
        <w:t xml:space="preserve">tort of defamation </w:t>
      </w:r>
      <w:r w:rsidRPr="00545059">
        <w:rPr>
          <w:sz w:val="28"/>
          <w:szCs w:val="28"/>
        </w:rPr>
        <w:t xml:space="preserve">can be committed.  It does not matter how reliable the “source” of the gossip is – this tort is an example of </w:t>
      </w:r>
      <w:r w:rsidRPr="00545059">
        <w:rPr>
          <w:b/>
          <w:sz w:val="28"/>
          <w:szCs w:val="28"/>
        </w:rPr>
        <w:t xml:space="preserve">strict liability </w:t>
      </w:r>
      <w:r w:rsidRPr="00545059">
        <w:rPr>
          <w:sz w:val="28"/>
          <w:szCs w:val="28"/>
        </w:rPr>
        <w:t>and does not depend on proof of carelessness.</w:t>
      </w:r>
    </w:p>
    <w:p w:rsidR="000C2E07" w:rsidRPr="00545059" w:rsidRDefault="000C2E07" w:rsidP="006F3E52">
      <w:pPr>
        <w:pStyle w:val="ListParagraph"/>
        <w:numPr>
          <w:ilvl w:val="0"/>
          <w:numId w:val="1"/>
        </w:numPr>
        <w:rPr>
          <w:sz w:val="28"/>
          <w:szCs w:val="28"/>
        </w:rPr>
      </w:pPr>
      <w:r w:rsidRPr="00545059">
        <w:rPr>
          <w:sz w:val="28"/>
          <w:szCs w:val="28"/>
        </w:rPr>
        <w:t xml:space="preserve">Mugging incident – you have probably said this is a crime but it is also a tort and probably more than one tort.  Once again the principles are to be found in the tort of trespass but here the trespass is to Laura’s body – her person- and she is the victim of </w:t>
      </w:r>
      <w:r w:rsidRPr="00545059">
        <w:rPr>
          <w:b/>
          <w:sz w:val="28"/>
          <w:szCs w:val="28"/>
        </w:rPr>
        <w:t xml:space="preserve">trespass to the person </w:t>
      </w:r>
      <w:r w:rsidRPr="00545059">
        <w:rPr>
          <w:sz w:val="28"/>
          <w:szCs w:val="28"/>
        </w:rPr>
        <w:t xml:space="preserve">in the form of a </w:t>
      </w:r>
      <w:r w:rsidRPr="00545059">
        <w:rPr>
          <w:b/>
          <w:sz w:val="28"/>
          <w:szCs w:val="28"/>
        </w:rPr>
        <w:t>battery</w:t>
      </w:r>
      <w:r w:rsidRPr="00545059">
        <w:rPr>
          <w:sz w:val="28"/>
          <w:szCs w:val="28"/>
        </w:rPr>
        <w:t xml:space="preserve">.  When the mugger runs off with her handbag he is also committing the tort of </w:t>
      </w:r>
      <w:r w:rsidRPr="00545059">
        <w:rPr>
          <w:b/>
          <w:sz w:val="28"/>
          <w:szCs w:val="28"/>
        </w:rPr>
        <w:t xml:space="preserve">trespass to goods </w:t>
      </w:r>
      <w:r w:rsidRPr="00545059">
        <w:rPr>
          <w:sz w:val="28"/>
          <w:szCs w:val="28"/>
        </w:rPr>
        <w:t xml:space="preserve">and </w:t>
      </w:r>
      <w:r w:rsidRPr="00545059">
        <w:rPr>
          <w:b/>
          <w:sz w:val="28"/>
          <w:szCs w:val="28"/>
        </w:rPr>
        <w:t xml:space="preserve">conversion </w:t>
      </w:r>
      <w:r w:rsidRPr="00545059">
        <w:rPr>
          <w:sz w:val="28"/>
          <w:szCs w:val="28"/>
        </w:rPr>
        <w:t>of the goods.</w:t>
      </w:r>
    </w:p>
    <w:p w:rsidR="000C2E07" w:rsidRPr="00545059" w:rsidRDefault="000C2E07" w:rsidP="000C2E07">
      <w:pPr>
        <w:pStyle w:val="ListParagraph"/>
        <w:rPr>
          <w:sz w:val="28"/>
          <w:szCs w:val="28"/>
        </w:rPr>
      </w:pPr>
    </w:p>
    <w:p w:rsidR="000C2E07" w:rsidRPr="00545059" w:rsidRDefault="000C2E07" w:rsidP="000C2E07">
      <w:pPr>
        <w:pStyle w:val="ListParagraph"/>
        <w:rPr>
          <w:sz w:val="28"/>
          <w:szCs w:val="28"/>
        </w:rPr>
      </w:pPr>
      <w:r w:rsidRPr="00545059">
        <w:rPr>
          <w:sz w:val="28"/>
          <w:szCs w:val="28"/>
        </w:rPr>
        <w:t xml:space="preserve">As you study you will see that the law often changes in response to social circumstances.  You will come across arguments that are used to support development of the law of tort – and some that are raised to slow it down.  These are often described as </w:t>
      </w:r>
      <w:r w:rsidRPr="00545059">
        <w:rPr>
          <w:b/>
          <w:sz w:val="28"/>
          <w:szCs w:val="28"/>
        </w:rPr>
        <w:t xml:space="preserve">public policy </w:t>
      </w:r>
      <w:r w:rsidRPr="00545059">
        <w:rPr>
          <w:sz w:val="28"/>
          <w:szCs w:val="28"/>
        </w:rPr>
        <w:t>considerations</w:t>
      </w:r>
      <w:r w:rsidR="00545059" w:rsidRPr="00545059">
        <w:rPr>
          <w:sz w:val="28"/>
          <w:szCs w:val="28"/>
        </w:rPr>
        <w:t xml:space="preserve"> and will give you some fascinating insights in</w:t>
      </w:r>
      <w:bookmarkStart w:id="0" w:name="_GoBack"/>
      <w:bookmarkEnd w:id="0"/>
      <w:r w:rsidR="00545059" w:rsidRPr="00545059">
        <w:rPr>
          <w:sz w:val="28"/>
          <w:szCs w:val="28"/>
        </w:rPr>
        <w:t>to the role of Judges, particularly in the Supreme Court.</w:t>
      </w:r>
    </w:p>
    <w:sectPr w:rsidR="000C2E07" w:rsidRPr="00545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F64696"/>
    <w:multiLevelType w:val="hybridMultilevel"/>
    <w:tmpl w:val="DD827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3E52"/>
    <w:rsid w:val="000C2E07"/>
    <w:rsid w:val="001A52B4"/>
    <w:rsid w:val="00513E85"/>
    <w:rsid w:val="00545059"/>
    <w:rsid w:val="006F3E52"/>
    <w:rsid w:val="00ED0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E5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E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2</Pages>
  <Words>543</Words>
  <Characters>3097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Holmes</dc:creator>
  <cp:lastModifiedBy>Louise Holmes</cp:lastModifiedBy>
  <cp:revision>1</cp:revision>
  <cp:lastPrinted>2019-01-29T15:10:00Z</cp:lastPrinted>
  <dcterms:created xsi:type="dcterms:W3CDTF">2019-01-29T14:47:00Z</dcterms:created>
  <dcterms:modified xsi:type="dcterms:W3CDTF">2019-01-29T15:11:00Z</dcterms:modified>
</cp:coreProperties>
</file>