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6D7359" w14:textId="77777777" w:rsidR="005B237E" w:rsidRPr="005B237E" w:rsidRDefault="005B237E">
      <w:pPr>
        <w:spacing w:line="360" w:lineRule="auto"/>
        <w:jc w:val="center"/>
        <w:rPr>
          <w:b/>
          <w:bCs/>
          <w:sz w:val="32"/>
          <w:szCs w:val="32"/>
          <w:lang w:val="en-GB"/>
        </w:rPr>
      </w:pPr>
    </w:p>
    <w:p w14:paraId="62EF10A5" w14:textId="77777777" w:rsidR="00412914" w:rsidRPr="005B237E" w:rsidRDefault="00412914">
      <w:pPr>
        <w:spacing w:line="360" w:lineRule="auto"/>
        <w:jc w:val="center"/>
        <w:rPr>
          <w:b/>
          <w:bCs/>
          <w:sz w:val="32"/>
          <w:szCs w:val="32"/>
          <w:lang w:val="en-GB"/>
        </w:rPr>
      </w:pPr>
    </w:p>
    <w:p w14:paraId="085E8427" w14:textId="77777777" w:rsidR="00412914" w:rsidRPr="005B237E" w:rsidRDefault="00412914">
      <w:pPr>
        <w:spacing w:line="360" w:lineRule="auto"/>
        <w:jc w:val="center"/>
        <w:rPr>
          <w:b/>
          <w:bCs/>
          <w:sz w:val="32"/>
          <w:szCs w:val="32"/>
          <w:lang w:val="en-GB"/>
        </w:rPr>
      </w:pPr>
    </w:p>
    <w:p w14:paraId="2D008976" w14:textId="77777777" w:rsidR="00412914" w:rsidRPr="005B237E" w:rsidRDefault="00412914">
      <w:pPr>
        <w:spacing w:line="360" w:lineRule="auto"/>
        <w:jc w:val="center"/>
        <w:rPr>
          <w:b/>
          <w:bCs/>
          <w:sz w:val="32"/>
          <w:szCs w:val="32"/>
          <w:lang w:val="en-GB"/>
        </w:rPr>
      </w:pPr>
    </w:p>
    <w:p w14:paraId="08A63DAD" w14:textId="77777777" w:rsidR="00412914" w:rsidRPr="005B237E" w:rsidRDefault="00412914">
      <w:pPr>
        <w:spacing w:line="360" w:lineRule="auto"/>
        <w:jc w:val="center"/>
        <w:rPr>
          <w:b/>
          <w:bCs/>
          <w:sz w:val="32"/>
          <w:szCs w:val="32"/>
          <w:lang w:val="en-GB"/>
        </w:rPr>
      </w:pPr>
    </w:p>
    <w:p w14:paraId="6C98C619" w14:textId="77777777" w:rsidR="00412914" w:rsidRPr="005B237E" w:rsidRDefault="00412914">
      <w:pPr>
        <w:spacing w:line="360" w:lineRule="auto"/>
        <w:jc w:val="center"/>
        <w:rPr>
          <w:b/>
          <w:bCs/>
          <w:sz w:val="32"/>
          <w:szCs w:val="32"/>
          <w:lang w:val="en-GB"/>
        </w:rPr>
      </w:pPr>
    </w:p>
    <w:p w14:paraId="3BF4AC63" w14:textId="77777777" w:rsidR="00412914" w:rsidRPr="005B237E" w:rsidRDefault="00412914">
      <w:pPr>
        <w:spacing w:line="360" w:lineRule="auto"/>
        <w:jc w:val="center"/>
        <w:rPr>
          <w:b/>
          <w:bCs/>
          <w:sz w:val="32"/>
          <w:szCs w:val="32"/>
          <w:lang w:val="en-GB"/>
        </w:rPr>
      </w:pPr>
    </w:p>
    <w:p w14:paraId="34861CD2" w14:textId="77777777" w:rsidR="00412914" w:rsidRPr="005B237E" w:rsidRDefault="00412914">
      <w:pPr>
        <w:spacing w:line="360" w:lineRule="auto"/>
        <w:jc w:val="center"/>
        <w:rPr>
          <w:b/>
          <w:bCs/>
          <w:sz w:val="32"/>
          <w:szCs w:val="32"/>
          <w:lang w:val="en-GB"/>
        </w:rPr>
      </w:pPr>
    </w:p>
    <w:p w14:paraId="180C6960" w14:textId="77777777" w:rsidR="00412914" w:rsidRPr="005B237E" w:rsidRDefault="00023FDA">
      <w:pPr>
        <w:spacing w:line="360" w:lineRule="auto"/>
        <w:jc w:val="center"/>
        <w:rPr>
          <w:b/>
          <w:bCs/>
          <w:sz w:val="32"/>
          <w:szCs w:val="32"/>
          <w:lang w:val="en-GB"/>
        </w:rPr>
      </w:pPr>
      <w:r w:rsidRPr="005B237E">
        <w:rPr>
          <w:b/>
          <w:bCs/>
          <w:sz w:val="32"/>
          <w:szCs w:val="32"/>
          <w:lang w:val="en-GB"/>
        </w:rPr>
        <w:t>MANAGEMENT ACCOUNTING FOR MANAGERS</w:t>
      </w:r>
    </w:p>
    <w:p w14:paraId="2F334D7C" w14:textId="77777777" w:rsidR="00412914" w:rsidRPr="005B237E" w:rsidRDefault="00023FDA">
      <w:pPr>
        <w:spacing w:line="360" w:lineRule="auto"/>
        <w:jc w:val="center"/>
        <w:rPr>
          <w:b/>
          <w:bCs/>
          <w:sz w:val="28"/>
          <w:szCs w:val="28"/>
          <w:lang w:val="en-GB"/>
        </w:rPr>
      </w:pPr>
      <w:r w:rsidRPr="005B237E">
        <w:rPr>
          <w:b/>
          <w:bCs/>
          <w:sz w:val="28"/>
          <w:szCs w:val="28"/>
          <w:lang w:val="en-GB"/>
        </w:rPr>
        <w:t>Component 1: Coursework: Individual Report</w:t>
      </w:r>
    </w:p>
    <w:p w14:paraId="5E305E12" w14:textId="77777777" w:rsidR="00412914" w:rsidRPr="005B237E" w:rsidRDefault="00412914">
      <w:pPr>
        <w:spacing w:line="360" w:lineRule="auto"/>
        <w:jc w:val="center"/>
        <w:rPr>
          <w:lang w:val="en-GB"/>
        </w:rPr>
      </w:pPr>
    </w:p>
    <w:p w14:paraId="0095B215" w14:textId="77777777" w:rsidR="00412914" w:rsidRPr="005B237E" w:rsidRDefault="00412914">
      <w:pPr>
        <w:spacing w:line="360" w:lineRule="auto"/>
        <w:jc w:val="center"/>
        <w:rPr>
          <w:lang w:val="en-GB"/>
        </w:rPr>
      </w:pPr>
    </w:p>
    <w:p w14:paraId="09DD856E" w14:textId="31C88E63" w:rsidR="00412914" w:rsidRPr="005B237E" w:rsidRDefault="00023FDA">
      <w:pPr>
        <w:spacing w:line="360" w:lineRule="auto"/>
        <w:jc w:val="center"/>
        <w:rPr>
          <w:b/>
          <w:bCs/>
          <w:i/>
          <w:iCs/>
          <w:lang w:val="en-GB"/>
        </w:rPr>
      </w:pPr>
      <w:r w:rsidRPr="005B237E">
        <w:rPr>
          <w:b/>
          <w:bCs/>
          <w:i/>
          <w:iCs/>
          <w:lang w:val="en-GB"/>
        </w:rPr>
        <w:t xml:space="preserve">Student Name </w:t>
      </w:r>
      <w:r w:rsidR="000C7CAA">
        <w:rPr>
          <w:b/>
          <w:bCs/>
          <w:i/>
          <w:iCs/>
          <w:lang w:val="en-GB"/>
        </w:rPr>
        <w:t xml:space="preserve">– Razvan Zlate </w:t>
      </w:r>
    </w:p>
    <w:p w14:paraId="1254907A" w14:textId="5A0F1A7B" w:rsidR="00412914" w:rsidRPr="005B237E" w:rsidRDefault="00023FDA">
      <w:pPr>
        <w:spacing w:line="360" w:lineRule="auto"/>
        <w:jc w:val="center"/>
        <w:rPr>
          <w:b/>
          <w:bCs/>
          <w:i/>
          <w:iCs/>
          <w:lang w:val="en-GB"/>
        </w:rPr>
      </w:pPr>
      <w:r w:rsidRPr="005B237E">
        <w:rPr>
          <w:b/>
          <w:bCs/>
          <w:i/>
          <w:iCs/>
          <w:lang w:val="en-GB"/>
        </w:rPr>
        <w:t>Student ID -</w:t>
      </w:r>
      <w:r w:rsidR="000C7CAA" w:rsidRPr="000C7CAA">
        <w:rPr>
          <w:b/>
          <w:bCs/>
          <w:i/>
          <w:iCs/>
          <w:lang w:val="en-GB"/>
        </w:rPr>
        <w:t>2332164</w:t>
      </w:r>
    </w:p>
    <w:p w14:paraId="51374A2F" w14:textId="77777777" w:rsidR="00EC02D9" w:rsidRPr="005B237E" w:rsidRDefault="00023FDA" w:rsidP="005B237E">
      <w:pPr>
        <w:spacing w:line="360" w:lineRule="auto"/>
        <w:rPr>
          <w:b/>
          <w:bCs/>
          <w:i/>
          <w:iCs/>
          <w:lang w:val="en-GB"/>
        </w:rPr>
      </w:pPr>
      <w:r w:rsidRPr="005B237E">
        <w:rPr>
          <w:lang w:val="en-GB"/>
        </w:rPr>
        <w:br w:type="page"/>
      </w:r>
      <w:bookmarkStart w:id="0" w:name="_rhc6gim8mlii" w:colFirst="0" w:colLast="0"/>
      <w:bookmarkEnd w:id="0"/>
    </w:p>
    <w:sdt>
      <w:sdtPr>
        <w:rPr>
          <w:rFonts w:ascii="Arial" w:eastAsia="Arial" w:hAnsi="Arial" w:cs="Arial"/>
          <w:color w:val="auto"/>
          <w:sz w:val="22"/>
          <w:szCs w:val="22"/>
          <w:lang w:val="en-IN" w:eastAsia="en-IN"/>
        </w:rPr>
        <w:id w:val="-1585920285"/>
        <w:docPartObj>
          <w:docPartGallery w:val="Table of Contents"/>
          <w:docPartUnique/>
        </w:docPartObj>
      </w:sdtPr>
      <w:sdtEndPr>
        <w:rPr>
          <w:b/>
          <w:bCs/>
          <w:noProof/>
        </w:rPr>
      </w:sdtEndPr>
      <w:sdtContent>
        <w:p w14:paraId="5125D590" w14:textId="77777777" w:rsidR="00EC02D9" w:rsidRPr="00EC02D9" w:rsidRDefault="00EC02D9" w:rsidP="00EC02D9">
          <w:pPr>
            <w:pStyle w:val="TOCHeading"/>
            <w:spacing w:line="360" w:lineRule="auto"/>
            <w:jc w:val="center"/>
            <w:rPr>
              <w:rFonts w:ascii="Arial" w:hAnsi="Arial" w:cs="Arial"/>
              <w:b/>
              <w:color w:val="000000" w:themeColor="text1"/>
              <w:sz w:val="22"/>
              <w:szCs w:val="22"/>
            </w:rPr>
          </w:pPr>
          <w:r w:rsidRPr="00EC02D9">
            <w:rPr>
              <w:rFonts w:ascii="Arial" w:hAnsi="Arial" w:cs="Arial"/>
              <w:b/>
              <w:color w:val="000000" w:themeColor="text1"/>
              <w:sz w:val="22"/>
              <w:szCs w:val="22"/>
            </w:rPr>
            <w:t>Table of Contents</w:t>
          </w:r>
        </w:p>
        <w:p w14:paraId="337EC76F" w14:textId="77777777" w:rsidR="00EC02D9" w:rsidRPr="00EC02D9" w:rsidRDefault="00EC02D9" w:rsidP="00EC02D9">
          <w:pPr>
            <w:pStyle w:val="TOC1"/>
            <w:tabs>
              <w:tab w:val="right" w:leader="dot" w:pos="9019"/>
            </w:tabs>
            <w:spacing w:line="360" w:lineRule="auto"/>
            <w:jc w:val="both"/>
            <w:rPr>
              <w:noProof/>
            </w:rPr>
          </w:pPr>
          <w:r w:rsidRPr="00EC02D9">
            <w:rPr>
              <w:bCs/>
              <w:noProof/>
            </w:rPr>
            <w:t>1</w:t>
          </w:r>
          <w:r w:rsidRPr="00EC02D9">
            <w:rPr>
              <w:bCs/>
              <w:noProof/>
            </w:rPr>
            <w:fldChar w:fldCharType="begin"/>
          </w:r>
          <w:r w:rsidRPr="00EC02D9">
            <w:rPr>
              <w:bCs/>
              <w:noProof/>
            </w:rPr>
            <w:instrText xml:space="preserve"> TOC \o "1-3" \h \z \u </w:instrText>
          </w:r>
          <w:r w:rsidRPr="00EC02D9">
            <w:rPr>
              <w:bCs/>
              <w:noProof/>
            </w:rPr>
            <w:fldChar w:fldCharType="separate"/>
          </w:r>
          <w:hyperlink w:anchor="_Toc222402315" w:history="1">
            <w:r w:rsidRPr="00EC02D9">
              <w:rPr>
                <w:rStyle w:val="Hyperlink"/>
                <w:noProof/>
                <w:lang w:val="en-GB"/>
              </w:rPr>
              <w:t>. Introduction</w:t>
            </w:r>
            <w:r w:rsidRPr="00EC02D9">
              <w:rPr>
                <w:noProof/>
                <w:webHidden/>
              </w:rPr>
              <w:tab/>
            </w:r>
            <w:r w:rsidRPr="00EC02D9">
              <w:rPr>
                <w:noProof/>
                <w:webHidden/>
              </w:rPr>
              <w:fldChar w:fldCharType="begin"/>
            </w:r>
            <w:r w:rsidRPr="00EC02D9">
              <w:rPr>
                <w:noProof/>
                <w:webHidden/>
              </w:rPr>
              <w:instrText xml:space="preserve"> PAGEREF _Toc222402315 \h </w:instrText>
            </w:r>
            <w:r w:rsidRPr="00EC02D9">
              <w:rPr>
                <w:noProof/>
                <w:webHidden/>
              </w:rPr>
            </w:r>
            <w:r w:rsidRPr="00EC02D9">
              <w:rPr>
                <w:noProof/>
                <w:webHidden/>
              </w:rPr>
              <w:fldChar w:fldCharType="separate"/>
            </w:r>
            <w:r w:rsidRPr="00EC02D9">
              <w:rPr>
                <w:noProof/>
                <w:webHidden/>
              </w:rPr>
              <w:t>3</w:t>
            </w:r>
            <w:r w:rsidRPr="00EC02D9">
              <w:rPr>
                <w:noProof/>
                <w:webHidden/>
              </w:rPr>
              <w:fldChar w:fldCharType="end"/>
            </w:r>
          </w:hyperlink>
        </w:p>
        <w:p w14:paraId="21B5CA2A" w14:textId="77777777" w:rsidR="00EC02D9" w:rsidRPr="00EC02D9" w:rsidRDefault="00EC02D9" w:rsidP="00EC02D9">
          <w:pPr>
            <w:pStyle w:val="TOC1"/>
            <w:tabs>
              <w:tab w:val="right" w:leader="dot" w:pos="9019"/>
            </w:tabs>
            <w:spacing w:line="360" w:lineRule="auto"/>
            <w:jc w:val="both"/>
            <w:rPr>
              <w:noProof/>
            </w:rPr>
          </w:pPr>
          <w:hyperlink w:anchor="_Toc222402316" w:history="1">
            <w:r w:rsidRPr="00EC02D9">
              <w:rPr>
                <w:rStyle w:val="Hyperlink"/>
                <w:noProof/>
                <w:lang w:val="en-GB"/>
              </w:rPr>
              <w:t>2. Cost Analysis and Business Model</w:t>
            </w:r>
            <w:r w:rsidRPr="00EC02D9">
              <w:rPr>
                <w:noProof/>
                <w:webHidden/>
              </w:rPr>
              <w:tab/>
            </w:r>
            <w:r w:rsidRPr="00EC02D9">
              <w:rPr>
                <w:noProof/>
                <w:webHidden/>
              </w:rPr>
              <w:fldChar w:fldCharType="begin"/>
            </w:r>
            <w:r w:rsidRPr="00EC02D9">
              <w:rPr>
                <w:noProof/>
                <w:webHidden/>
              </w:rPr>
              <w:instrText xml:space="preserve"> PAGEREF _Toc222402316 \h </w:instrText>
            </w:r>
            <w:r w:rsidRPr="00EC02D9">
              <w:rPr>
                <w:noProof/>
                <w:webHidden/>
              </w:rPr>
            </w:r>
            <w:r w:rsidRPr="00EC02D9">
              <w:rPr>
                <w:noProof/>
                <w:webHidden/>
              </w:rPr>
              <w:fldChar w:fldCharType="separate"/>
            </w:r>
            <w:r w:rsidRPr="00EC02D9">
              <w:rPr>
                <w:noProof/>
                <w:webHidden/>
              </w:rPr>
              <w:t>4</w:t>
            </w:r>
            <w:r w:rsidRPr="00EC02D9">
              <w:rPr>
                <w:noProof/>
                <w:webHidden/>
              </w:rPr>
              <w:fldChar w:fldCharType="end"/>
            </w:r>
          </w:hyperlink>
        </w:p>
        <w:p w14:paraId="561962C1" w14:textId="77777777" w:rsidR="00EC02D9" w:rsidRPr="00EC02D9" w:rsidRDefault="00EC02D9" w:rsidP="00EC02D9">
          <w:pPr>
            <w:pStyle w:val="TOC1"/>
            <w:tabs>
              <w:tab w:val="right" w:leader="dot" w:pos="9019"/>
            </w:tabs>
            <w:spacing w:line="360" w:lineRule="auto"/>
            <w:jc w:val="both"/>
            <w:rPr>
              <w:noProof/>
            </w:rPr>
          </w:pPr>
          <w:hyperlink w:anchor="_Toc222402317" w:history="1">
            <w:r w:rsidRPr="00EC02D9">
              <w:rPr>
                <w:rStyle w:val="Hyperlink"/>
                <w:noProof/>
                <w:lang w:val="en-GB"/>
              </w:rPr>
              <w:t>3. Budgeting and Financial Planning</w:t>
            </w:r>
            <w:r w:rsidRPr="00EC02D9">
              <w:rPr>
                <w:noProof/>
                <w:webHidden/>
              </w:rPr>
              <w:tab/>
            </w:r>
            <w:r w:rsidRPr="00EC02D9">
              <w:rPr>
                <w:noProof/>
                <w:webHidden/>
              </w:rPr>
              <w:fldChar w:fldCharType="begin"/>
            </w:r>
            <w:r w:rsidRPr="00EC02D9">
              <w:rPr>
                <w:noProof/>
                <w:webHidden/>
              </w:rPr>
              <w:instrText xml:space="preserve"> PAGEREF _Toc222402317 \h </w:instrText>
            </w:r>
            <w:r w:rsidRPr="00EC02D9">
              <w:rPr>
                <w:noProof/>
                <w:webHidden/>
              </w:rPr>
            </w:r>
            <w:r w:rsidRPr="00EC02D9">
              <w:rPr>
                <w:noProof/>
                <w:webHidden/>
              </w:rPr>
              <w:fldChar w:fldCharType="separate"/>
            </w:r>
            <w:r w:rsidRPr="00EC02D9">
              <w:rPr>
                <w:noProof/>
                <w:webHidden/>
              </w:rPr>
              <w:t>5</w:t>
            </w:r>
            <w:r w:rsidRPr="00EC02D9">
              <w:rPr>
                <w:noProof/>
                <w:webHidden/>
              </w:rPr>
              <w:fldChar w:fldCharType="end"/>
            </w:r>
          </w:hyperlink>
        </w:p>
        <w:p w14:paraId="26EE7A7B" w14:textId="77777777" w:rsidR="00EC02D9" w:rsidRPr="00EC02D9" w:rsidRDefault="00EC02D9" w:rsidP="00EC02D9">
          <w:pPr>
            <w:pStyle w:val="TOC1"/>
            <w:tabs>
              <w:tab w:val="right" w:leader="dot" w:pos="9019"/>
            </w:tabs>
            <w:spacing w:line="360" w:lineRule="auto"/>
            <w:jc w:val="both"/>
            <w:rPr>
              <w:noProof/>
            </w:rPr>
          </w:pPr>
          <w:hyperlink w:anchor="_Toc222402318" w:history="1">
            <w:r w:rsidRPr="00EC02D9">
              <w:rPr>
                <w:rStyle w:val="Hyperlink"/>
                <w:noProof/>
                <w:lang w:val="en-GB"/>
              </w:rPr>
              <w:t>4. Performance Measurement and Decision-Making</w:t>
            </w:r>
            <w:r w:rsidRPr="00EC02D9">
              <w:rPr>
                <w:noProof/>
                <w:webHidden/>
              </w:rPr>
              <w:tab/>
            </w:r>
            <w:r w:rsidRPr="00EC02D9">
              <w:rPr>
                <w:noProof/>
                <w:webHidden/>
              </w:rPr>
              <w:fldChar w:fldCharType="begin"/>
            </w:r>
            <w:r w:rsidRPr="00EC02D9">
              <w:rPr>
                <w:noProof/>
                <w:webHidden/>
              </w:rPr>
              <w:instrText xml:space="preserve"> PAGEREF _Toc222402318 \h </w:instrText>
            </w:r>
            <w:r w:rsidRPr="00EC02D9">
              <w:rPr>
                <w:noProof/>
                <w:webHidden/>
              </w:rPr>
            </w:r>
            <w:r w:rsidRPr="00EC02D9">
              <w:rPr>
                <w:noProof/>
                <w:webHidden/>
              </w:rPr>
              <w:fldChar w:fldCharType="separate"/>
            </w:r>
            <w:r w:rsidRPr="00EC02D9">
              <w:rPr>
                <w:noProof/>
                <w:webHidden/>
              </w:rPr>
              <w:t>7</w:t>
            </w:r>
            <w:r w:rsidRPr="00EC02D9">
              <w:rPr>
                <w:noProof/>
                <w:webHidden/>
              </w:rPr>
              <w:fldChar w:fldCharType="end"/>
            </w:r>
          </w:hyperlink>
        </w:p>
        <w:p w14:paraId="25DD7788" w14:textId="77777777" w:rsidR="00EC02D9" w:rsidRPr="00EC02D9" w:rsidRDefault="00EC02D9" w:rsidP="00EC02D9">
          <w:pPr>
            <w:pStyle w:val="TOC1"/>
            <w:tabs>
              <w:tab w:val="right" w:leader="dot" w:pos="9019"/>
            </w:tabs>
            <w:spacing w:line="360" w:lineRule="auto"/>
            <w:jc w:val="both"/>
            <w:rPr>
              <w:noProof/>
            </w:rPr>
          </w:pPr>
          <w:hyperlink w:anchor="_Toc222402319" w:history="1">
            <w:r w:rsidRPr="00EC02D9">
              <w:rPr>
                <w:rStyle w:val="Hyperlink"/>
                <w:noProof/>
                <w:lang w:val="en-GB"/>
              </w:rPr>
              <w:t>5. Sustainability and Ethical Considerations</w:t>
            </w:r>
            <w:r w:rsidRPr="00EC02D9">
              <w:rPr>
                <w:noProof/>
                <w:webHidden/>
              </w:rPr>
              <w:tab/>
            </w:r>
            <w:r w:rsidRPr="00EC02D9">
              <w:rPr>
                <w:noProof/>
                <w:webHidden/>
              </w:rPr>
              <w:fldChar w:fldCharType="begin"/>
            </w:r>
            <w:r w:rsidRPr="00EC02D9">
              <w:rPr>
                <w:noProof/>
                <w:webHidden/>
              </w:rPr>
              <w:instrText xml:space="preserve"> PAGEREF _Toc222402319 \h </w:instrText>
            </w:r>
            <w:r w:rsidRPr="00EC02D9">
              <w:rPr>
                <w:noProof/>
                <w:webHidden/>
              </w:rPr>
            </w:r>
            <w:r w:rsidRPr="00EC02D9">
              <w:rPr>
                <w:noProof/>
                <w:webHidden/>
              </w:rPr>
              <w:fldChar w:fldCharType="separate"/>
            </w:r>
            <w:r w:rsidRPr="00EC02D9">
              <w:rPr>
                <w:noProof/>
                <w:webHidden/>
              </w:rPr>
              <w:t>10</w:t>
            </w:r>
            <w:r w:rsidRPr="00EC02D9">
              <w:rPr>
                <w:noProof/>
                <w:webHidden/>
              </w:rPr>
              <w:fldChar w:fldCharType="end"/>
            </w:r>
          </w:hyperlink>
        </w:p>
        <w:p w14:paraId="3C3F74BF" w14:textId="77777777" w:rsidR="00EC02D9" w:rsidRPr="00EC02D9" w:rsidRDefault="00EC02D9" w:rsidP="00EC02D9">
          <w:pPr>
            <w:pStyle w:val="TOC1"/>
            <w:tabs>
              <w:tab w:val="right" w:leader="dot" w:pos="9019"/>
            </w:tabs>
            <w:spacing w:line="360" w:lineRule="auto"/>
            <w:jc w:val="both"/>
            <w:rPr>
              <w:noProof/>
            </w:rPr>
          </w:pPr>
          <w:hyperlink w:anchor="_Toc222402320" w:history="1">
            <w:r w:rsidRPr="00EC02D9">
              <w:rPr>
                <w:rStyle w:val="Hyperlink"/>
                <w:noProof/>
                <w:lang w:val="en-GB"/>
              </w:rPr>
              <w:t>6. Conclusion and Recommendations</w:t>
            </w:r>
            <w:r w:rsidRPr="00EC02D9">
              <w:rPr>
                <w:noProof/>
                <w:webHidden/>
              </w:rPr>
              <w:tab/>
            </w:r>
            <w:r w:rsidRPr="00EC02D9">
              <w:rPr>
                <w:noProof/>
                <w:webHidden/>
              </w:rPr>
              <w:fldChar w:fldCharType="begin"/>
            </w:r>
            <w:r w:rsidRPr="00EC02D9">
              <w:rPr>
                <w:noProof/>
                <w:webHidden/>
              </w:rPr>
              <w:instrText xml:space="preserve"> PAGEREF _Toc222402320 \h </w:instrText>
            </w:r>
            <w:r w:rsidRPr="00EC02D9">
              <w:rPr>
                <w:noProof/>
                <w:webHidden/>
              </w:rPr>
            </w:r>
            <w:r w:rsidRPr="00EC02D9">
              <w:rPr>
                <w:noProof/>
                <w:webHidden/>
              </w:rPr>
              <w:fldChar w:fldCharType="separate"/>
            </w:r>
            <w:r w:rsidRPr="00EC02D9">
              <w:rPr>
                <w:noProof/>
                <w:webHidden/>
              </w:rPr>
              <w:t>12</w:t>
            </w:r>
            <w:r w:rsidRPr="00EC02D9">
              <w:rPr>
                <w:noProof/>
                <w:webHidden/>
              </w:rPr>
              <w:fldChar w:fldCharType="end"/>
            </w:r>
          </w:hyperlink>
        </w:p>
        <w:p w14:paraId="696EA325" w14:textId="77777777" w:rsidR="00EC02D9" w:rsidRPr="00EC02D9" w:rsidRDefault="00EC02D9" w:rsidP="00EC02D9">
          <w:pPr>
            <w:pStyle w:val="TOC1"/>
            <w:tabs>
              <w:tab w:val="right" w:leader="dot" w:pos="9019"/>
            </w:tabs>
            <w:spacing w:line="360" w:lineRule="auto"/>
            <w:jc w:val="both"/>
            <w:rPr>
              <w:noProof/>
            </w:rPr>
          </w:pPr>
          <w:hyperlink w:anchor="_Toc222402321" w:history="1">
            <w:r w:rsidRPr="00EC02D9">
              <w:rPr>
                <w:rStyle w:val="Hyperlink"/>
                <w:noProof/>
                <w:lang w:val="en-GB"/>
              </w:rPr>
              <w:t>7. Reference List</w:t>
            </w:r>
            <w:r w:rsidRPr="00EC02D9">
              <w:rPr>
                <w:noProof/>
                <w:webHidden/>
              </w:rPr>
              <w:tab/>
            </w:r>
            <w:r w:rsidRPr="00EC02D9">
              <w:rPr>
                <w:noProof/>
                <w:webHidden/>
              </w:rPr>
              <w:fldChar w:fldCharType="begin"/>
            </w:r>
            <w:r w:rsidRPr="00EC02D9">
              <w:rPr>
                <w:noProof/>
                <w:webHidden/>
              </w:rPr>
              <w:instrText xml:space="preserve"> PAGEREF _Toc222402321 \h </w:instrText>
            </w:r>
            <w:r w:rsidRPr="00EC02D9">
              <w:rPr>
                <w:noProof/>
                <w:webHidden/>
              </w:rPr>
            </w:r>
            <w:r w:rsidRPr="00EC02D9">
              <w:rPr>
                <w:noProof/>
                <w:webHidden/>
              </w:rPr>
              <w:fldChar w:fldCharType="separate"/>
            </w:r>
            <w:r w:rsidRPr="00EC02D9">
              <w:rPr>
                <w:noProof/>
                <w:webHidden/>
              </w:rPr>
              <w:t>13</w:t>
            </w:r>
            <w:r w:rsidRPr="00EC02D9">
              <w:rPr>
                <w:noProof/>
                <w:webHidden/>
              </w:rPr>
              <w:fldChar w:fldCharType="end"/>
            </w:r>
          </w:hyperlink>
        </w:p>
        <w:p w14:paraId="5475A186" w14:textId="77777777" w:rsidR="00EC02D9" w:rsidRDefault="00EC02D9" w:rsidP="00EC02D9">
          <w:pPr>
            <w:spacing w:line="360" w:lineRule="auto"/>
            <w:jc w:val="both"/>
          </w:pPr>
          <w:r w:rsidRPr="00EC02D9">
            <w:rPr>
              <w:bCs/>
              <w:noProof/>
            </w:rPr>
            <w:fldChar w:fldCharType="end"/>
          </w:r>
        </w:p>
      </w:sdtContent>
    </w:sdt>
    <w:p w14:paraId="3FC27EC7" w14:textId="77777777" w:rsidR="005B237E" w:rsidRPr="005B237E" w:rsidRDefault="005B237E" w:rsidP="005B237E">
      <w:pPr>
        <w:spacing w:line="360" w:lineRule="auto"/>
        <w:rPr>
          <w:b/>
          <w:bCs/>
          <w:i/>
          <w:iCs/>
          <w:lang w:val="en-GB"/>
        </w:rPr>
      </w:pPr>
      <w:r w:rsidRPr="005B237E">
        <w:rPr>
          <w:lang w:val="en-GB"/>
        </w:rPr>
        <w:br w:type="page"/>
      </w:r>
    </w:p>
    <w:p w14:paraId="23865DC1" w14:textId="77777777" w:rsidR="00412914" w:rsidRPr="005B237E" w:rsidRDefault="00EC02D9">
      <w:pPr>
        <w:pStyle w:val="Heading1"/>
        <w:rPr>
          <w:lang w:val="en-GB"/>
        </w:rPr>
      </w:pPr>
      <w:bookmarkStart w:id="1" w:name="_Toc222402315"/>
      <w:r>
        <w:rPr>
          <w:lang w:val="en-GB"/>
        </w:rPr>
        <w:lastRenderedPageBreak/>
        <w:t>1</w:t>
      </w:r>
      <w:r w:rsidR="00023FDA" w:rsidRPr="005B237E">
        <w:rPr>
          <w:lang w:val="en-GB"/>
        </w:rPr>
        <w:t>. Introduction</w:t>
      </w:r>
      <w:bookmarkEnd w:id="1"/>
      <w:r w:rsidR="00023FDA" w:rsidRPr="005B237E">
        <w:rPr>
          <w:lang w:val="en-GB"/>
        </w:rPr>
        <w:t xml:space="preserve"> </w:t>
      </w:r>
    </w:p>
    <w:p w14:paraId="74C77732" w14:textId="77777777" w:rsidR="00412914" w:rsidRPr="005B237E" w:rsidRDefault="00023FDA">
      <w:pPr>
        <w:spacing w:line="360" w:lineRule="auto"/>
        <w:rPr>
          <w:b/>
          <w:bCs/>
          <w:lang w:val="en-GB"/>
        </w:rPr>
      </w:pPr>
      <w:r w:rsidRPr="005B237E">
        <w:rPr>
          <w:b/>
          <w:bCs/>
          <w:lang w:val="en-GB"/>
        </w:rPr>
        <w:t>Background of the company</w:t>
      </w:r>
    </w:p>
    <w:p w14:paraId="2334C150" w14:textId="77777777" w:rsidR="00412914" w:rsidRPr="005B237E" w:rsidRDefault="00023FDA">
      <w:pPr>
        <w:spacing w:line="360" w:lineRule="auto"/>
        <w:jc w:val="both"/>
        <w:rPr>
          <w:lang w:val="en-GB"/>
        </w:rPr>
      </w:pPr>
      <w:r w:rsidRPr="005B237E">
        <w:rPr>
          <w:lang w:val="en-GB"/>
        </w:rPr>
        <w:t xml:space="preserve">Sainsbury’s is one of the renowned names in the UK retail </w:t>
      </w:r>
      <w:r w:rsidR="005B237E" w:rsidRPr="005B237E">
        <w:rPr>
          <w:lang w:val="en-GB"/>
        </w:rPr>
        <w:t>industry, which</w:t>
      </w:r>
      <w:r w:rsidRPr="005B237E">
        <w:rPr>
          <w:lang w:val="en-GB"/>
        </w:rPr>
        <w:t xml:space="preserve"> started </w:t>
      </w:r>
      <w:r w:rsidR="005B237E" w:rsidRPr="005B237E">
        <w:rPr>
          <w:lang w:val="en-GB"/>
        </w:rPr>
        <w:t>back in</w:t>
      </w:r>
      <w:r w:rsidRPr="005B237E">
        <w:rPr>
          <w:lang w:val="en-GB"/>
        </w:rPr>
        <w:t xml:space="preserve"> 1869. The band has a number of </w:t>
      </w:r>
      <w:r w:rsidRPr="005B237E">
        <w:rPr>
          <w:i/>
          <w:iCs/>
          <w:lang w:val="en-GB"/>
        </w:rPr>
        <w:t xml:space="preserve">supermarket, convenience stores </w:t>
      </w:r>
      <w:r w:rsidRPr="005B237E">
        <w:rPr>
          <w:lang w:val="en-GB"/>
        </w:rPr>
        <w:t xml:space="preserve">along with </w:t>
      </w:r>
      <w:r w:rsidRPr="005B237E">
        <w:rPr>
          <w:i/>
          <w:iCs/>
          <w:lang w:val="en-GB"/>
        </w:rPr>
        <w:t xml:space="preserve">forecourt shops </w:t>
      </w:r>
      <w:r w:rsidRPr="005B237E">
        <w:rPr>
          <w:lang w:val="en-GB"/>
        </w:rPr>
        <w:t xml:space="preserve">in different parts of the globe. It does have almost 145,000 employees working for it in different parts of the nation. As of FY 2025, it has accumulated a revenue margin of worth 32,812 million </w:t>
      </w:r>
      <w:r w:rsidR="005B237E" w:rsidRPr="005B237E">
        <w:rPr>
          <w:lang w:val="en-GB"/>
        </w:rPr>
        <w:t>GBP, which</w:t>
      </w:r>
      <w:r w:rsidRPr="005B237E">
        <w:rPr>
          <w:lang w:val="en-GB"/>
        </w:rPr>
        <w:t xml:space="preserve"> is arguably one of the highest in this segment (Corporate.sainsburys, 2026).</w:t>
      </w:r>
    </w:p>
    <w:p w14:paraId="39E8CF30" w14:textId="77777777" w:rsidR="00412914" w:rsidRPr="005B237E" w:rsidRDefault="00023FDA">
      <w:pPr>
        <w:spacing w:line="360" w:lineRule="auto"/>
        <w:jc w:val="center"/>
        <w:rPr>
          <w:lang w:val="en-GB"/>
        </w:rPr>
      </w:pPr>
      <w:r w:rsidRPr="005B237E">
        <w:rPr>
          <w:noProof/>
          <w:lang w:val="en-GB" w:eastAsia="en-GB"/>
        </w:rPr>
        <w:drawing>
          <wp:inline distT="114300" distB="114300" distL="114300" distR="114300" wp14:anchorId="310235F1" wp14:editId="3CDC3D8F">
            <wp:extent cx="1828800" cy="666750"/>
            <wp:effectExtent l="12700" t="12700" r="12700" b="127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1828800" cy="666750"/>
                    </a:xfrm>
                    <a:prstGeom prst="rect">
                      <a:avLst/>
                    </a:prstGeom>
                    <a:ln w="12700">
                      <a:solidFill>
                        <a:srgbClr val="000000"/>
                      </a:solidFill>
                      <a:prstDash val="solid"/>
                    </a:ln>
                  </pic:spPr>
                </pic:pic>
              </a:graphicData>
            </a:graphic>
          </wp:inline>
        </w:drawing>
      </w:r>
    </w:p>
    <w:p w14:paraId="336135F6" w14:textId="77777777" w:rsidR="00412914" w:rsidRPr="005B237E" w:rsidRDefault="005B237E">
      <w:pPr>
        <w:spacing w:line="360" w:lineRule="auto"/>
        <w:jc w:val="center"/>
        <w:rPr>
          <w:b/>
          <w:bCs/>
          <w:lang w:val="en-GB"/>
        </w:rPr>
      </w:pPr>
      <w:r>
        <w:rPr>
          <w:b/>
          <w:bCs/>
          <w:lang w:val="en-GB"/>
        </w:rPr>
        <w:t>Figure 1: Official Logo of Sainsbury’s</w:t>
      </w:r>
      <w:r w:rsidR="00023FDA" w:rsidRPr="005B237E">
        <w:rPr>
          <w:b/>
          <w:bCs/>
          <w:lang w:val="en-GB"/>
        </w:rPr>
        <w:t xml:space="preserve"> </w:t>
      </w:r>
    </w:p>
    <w:p w14:paraId="335FE9D2" w14:textId="77777777" w:rsidR="00412914" w:rsidRPr="005B237E" w:rsidRDefault="00023FDA">
      <w:pPr>
        <w:spacing w:line="360" w:lineRule="auto"/>
        <w:jc w:val="center"/>
        <w:rPr>
          <w:lang w:val="en-GB"/>
        </w:rPr>
      </w:pPr>
      <w:r w:rsidRPr="005B237E">
        <w:rPr>
          <w:lang w:val="en-GB"/>
        </w:rPr>
        <w:t>(Source: Sainsbury’s, 2026)</w:t>
      </w:r>
    </w:p>
    <w:p w14:paraId="0199F3C3" w14:textId="77777777" w:rsidR="00412914" w:rsidRPr="005B237E" w:rsidRDefault="00023FDA">
      <w:pPr>
        <w:spacing w:line="360" w:lineRule="auto"/>
        <w:rPr>
          <w:b/>
          <w:bCs/>
          <w:lang w:val="en-GB"/>
        </w:rPr>
      </w:pPr>
      <w:r w:rsidRPr="005B237E">
        <w:rPr>
          <w:b/>
          <w:bCs/>
          <w:lang w:val="en-GB"/>
        </w:rPr>
        <w:t>Importance of management accounting in decision-making</w:t>
      </w:r>
    </w:p>
    <w:p w14:paraId="0A29247C" w14:textId="77777777" w:rsidR="00412914" w:rsidRPr="005B237E" w:rsidRDefault="00023FDA">
      <w:pPr>
        <w:spacing w:line="360" w:lineRule="auto"/>
        <w:jc w:val="both"/>
        <w:rPr>
          <w:lang w:val="en-GB"/>
        </w:rPr>
      </w:pPr>
      <w:r w:rsidRPr="005B237E">
        <w:rPr>
          <w:i/>
          <w:iCs/>
          <w:lang w:val="en-GB"/>
        </w:rPr>
        <w:t xml:space="preserve">Management accounting </w:t>
      </w:r>
      <w:r w:rsidRPr="005B237E">
        <w:rPr>
          <w:lang w:val="en-GB"/>
        </w:rPr>
        <w:t xml:space="preserve">does play a critical role in providing concerned authorities of a brand about accurate fiscal information to manage and govern business operations (Atrill, and McLaney, 2021). Management accounting basically transforms raw data into actionable insights so that higher management of Sainsbury’s can make strategic decisions regarding cost control and accurate investments. </w:t>
      </w:r>
    </w:p>
    <w:p w14:paraId="676955B4" w14:textId="77777777" w:rsidR="00412914" w:rsidRPr="005B237E" w:rsidRDefault="00412914">
      <w:pPr>
        <w:spacing w:line="360" w:lineRule="auto"/>
        <w:rPr>
          <w:b/>
          <w:bCs/>
          <w:lang w:val="en-GB"/>
        </w:rPr>
      </w:pPr>
    </w:p>
    <w:p w14:paraId="4F09C99F" w14:textId="77777777" w:rsidR="00412914" w:rsidRPr="005B237E" w:rsidRDefault="00023FDA">
      <w:pPr>
        <w:spacing w:line="360" w:lineRule="auto"/>
        <w:rPr>
          <w:b/>
          <w:bCs/>
          <w:lang w:val="en-GB"/>
        </w:rPr>
      </w:pPr>
      <w:r w:rsidRPr="005B237E">
        <w:rPr>
          <w:lang w:val="en-GB"/>
        </w:rPr>
        <w:br w:type="page"/>
      </w:r>
    </w:p>
    <w:p w14:paraId="4588B838" w14:textId="77777777" w:rsidR="00412914" w:rsidRPr="005B237E" w:rsidRDefault="00023FDA">
      <w:pPr>
        <w:pStyle w:val="Heading1"/>
        <w:rPr>
          <w:lang w:val="en-GB"/>
        </w:rPr>
      </w:pPr>
      <w:bookmarkStart w:id="2" w:name="_wcfwja63fuhs" w:colFirst="0" w:colLast="0"/>
      <w:bookmarkStart w:id="3" w:name="_Toc222402316"/>
      <w:bookmarkEnd w:id="2"/>
      <w:r w:rsidRPr="005B237E">
        <w:rPr>
          <w:lang w:val="en-GB"/>
        </w:rPr>
        <w:lastRenderedPageBreak/>
        <w:t>2. Cost Analysis and Business Model</w:t>
      </w:r>
      <w:bookmarkEnd w:id="3"/>
    </w:p>
    <w:p w14:paraId="291025EB" w14:textId="77777777" w:rsidR="00412914" w:rsidRPr="005B237E" w:rsidRDefault="00023FDA">
      <w:pPr>
        <w:spacing w:line="360" w:lineRule="auto"/>
        <w:rPr>
          <w:b/>
          <w:bCs/>
          <w:i/>
          <w:iCs/>
          <w:lang w:val="en-GB"/>
        </w:rPr>
      </w:pPr>
      <w:r w:rsidRPr="005B237E">
        <w:rPr>
          <w:b/>
          <w:bCs/>
          <w:i/>
          <w:iCs/>
          <w:lang w:val="en-GB"/>
        </w:rPr>
        <w:t>Sainsbury’s revenue model</w:t>
      </w:r>
    </w:p>
    <w:p w14:paraId="6B8B7F96" w14:textId="77777777" w:rsidR="00412914" w:rsidRPr="005B237E" w:rsidRDefault="00023FDA">
      <w:pPr>
        <w:spacing w:line="360" w:lineRule="auto"/>
        <w:jc w:val="both"/>
        <w:rPr>
          <w:lang w:val="en-GB"/>
        </w:rPr>
      </w:pPr>
      <w:r w:rsidRPr="005B237E">
        <w:rPr>
          <w:i/>
          <w:iCs/>
          <w:lang w:val="en-GB"/>
        </w:rPr>
        <w:t xml:space="preserve">Revenue model </w:t>
      </w:r>
      <w:r w:rsidR="005B237E">
        <w:rPr>
          <w:lang w:val="en-GB"/>
        </w:rPr>
        <w:t>refers to</w:t>
      </w:r>
      <w:r w:rsidRPr="005B237E">
        <w:rPr>
          <w:lang w:val="en-GB"/>
        </w:rPr>
        <w:t xml:space="preserve"> a strategic </w:t>
      </w:r>
      <w:r w:rsidR="005B237E" w:rsidRPr="005B237E">
        <w:rPr>
          <w:lang w:val="en-GB"/>
        </w:rPr>
        <w:t>framework, which outlines the way a brand actually generates all its income through evaluating revenue streams, accurate pricing strategies,</w:t>
      </w:r>
      <w:r w:rsidRPr="005B237E">
        <w:rPr>
          <w:i/>
          <w:iCs/>
          <w:lang w:val="en-GB"/>
        </w:rPr>
        <w:t xml:space="preserve"> and identifying target consumers </w:t>
      </w:r>
      <w:r w:rsidRPr="005B237E">
        <w:rPr>
          <w:lang w:val="en-GB"/>
        </w:rPr>
        <w:t>(Weetman, 2013). Sainsbury’s uses a combination of subscription and ad-based revenue model for managing all its operations in the industry. The combined approach of</w:t>
      </w:r>
      <w:r w:rsidRPr="005B237E">
        <w:rPr>
          <w:i/>
          <w:iCs/>
          <w:lang w:val="en-GB"/>
        </w:rPr>
        <w:t xml:space="preserve"> subscription and ad-based revenue models</w:t>
      </w:r>
      <w:r w:rsidRPr="005B237E">
        <w:rPr>
          <w:lang w:val="en-GB"/>
        </w:rPr>
        <w:t xml:space="preserve"> has assisted the brand throughout in securing optimum profitability from the intended target market (Yahoo.Finance, 2026).</w:t>
      </w:r>
      <w:r w:rsidRPr="005B237E">
        <w:rPr>
          <w:i/>
          <w:iCs/>
          <w:lang w:val="en-GB"/>
        </w:rPr>
        <w:t xml:space="preserve"> Fiscal forecasting, sustainable growth along with resource optimisation </w:t>
      </w:r>
      <w:r w:rsidRPr="005B237E">
        <w:rPr>
          <w:lang w:val="en-GB"/>
        </w:rPr>
        <w:t xml:space="preserve">gets better for a brand like Sainsbury’s when a steady revenue model is there to generate profitability. As a brand Sainsbury's have started to use an </w:t>
      </w:r>
      <w:r w:rsidRPr="005B237E">
        <w:rPr>
          <w:i/>
          <w:iCs/>
          <w:lang w:val="en-GB"/>
        </w:rPr>
        <w:t>ad-based revenue model</w:t>
      </w:r>
      <w:r w:rsidRPr="005B237E">
        <w:rPr>
          <w:lang w:val="en-GB"/>
        </w:rPr>
        <w:t xml:space="preserve"> in the last few years along with a subscription</w:t>
      </w:r>
      <w:r w:rsidRPr="005B237E">
        <w:rPr>
          <w:i/>
          <w:iCs/>
          <w:lang w:val="en-GB"/>
        </w:rPr>
        <w:t xml:space="preserve"> based approach </w:t>
      </w:r>
      <w:r w:rsidRPr="005B237E">
        <w:rPr>
          <w:lang w:val="en-GB"/>
        </w:rPr>
        <w:t>which it has been using for quite a long time now.</w:t>
      </w:r>
      <w:r w:rsidRPr="005B237E">
        <w:rPr>
          <w:i/>
          <w:iCs/>
          <w:lang w:val="en-GB"/>
        </w:rPr>
        <w:t xml:space="preserve"> Subscription based revenue model</w:t>
      </w:r>
      <w:r w:rsidRPr="005B237E">
        <w:rPr>
          <w:lang w:val="en-GB"/>
        </w:rPr>
        <w:t xml:space="preserve"> emphasises on generating recurring incomes by charging new or existing consumers with a monthly or annual fee for having all the premium access. Sainsbury's uses </w:t>
      </w:r>
      <w:r w:rsidRPr="005B237E">
        <w:rPr>
          <w:i/>
          <w:iCs/>
          <w:lang w:val="en-GB"/>
        </w:rPr>
        <w:t>a fixed-rate subscription model</w:t>
      </w:r>
      <w:r w:rsidRPr="005B237E">
        <w:rPr>
          <w:lang w:val="en-GB"/>
        </w:rPr>
        <w:t xml:space="preserve"> to charge its consumers with a monthly or annual fee at the very beginning.</w:t>
      </w:r>
      <w:r w:rsidRPr="005B237E">
        <w:rPr>
          <w:i/>
          <w:iCs/>
          <w:lang w:val="en-GB"/>
        </w:rPr>
        <w:t xml:space="preserve"> Ad-based revenue model </w:t>
      </w:r>
      <w:r w:rsidRPr="005B237E">
        <w:rPr>
          <w:lang w:val="en-GB"/>
        </w:rPr>
        <w:t xml:space="preserve">on the other hand focuses on generating income by focusing on selling advertising spaces across online platforms to various third party organisations. Monetisation metrics such as </w:t>
      </w:r>
      <w:r w:rsidRPr="005B237E">
        <w:rPr>
          <w:i/>
          <w:iCs/>
          <w:lang w:val="en-GB"/>
        </w:rPr>
        <w:t xml:space="preserve">cost-per-click (CPC), native ads, sponsored content, video ads and cost-per-action (CPA) </w:t>
      </w:r>
      <w:r w:rsidRPr="005B237E">
        <w:rPr>
          <w:lang w:val="en-GB"/>
        </w:rPr>
        <w:t xml:space="preserve">are some of the key aspects through which Sainsbury’s generates revenue margin through ad-based models.  </w:t>
      </w:r>
    </w:p>
    <w:p w14:paraId="61AA87D0" w14:textId="77777777" w:rsidR="00412914" w:rsidRPr="005B237E" w:rsidRDefault="00023FDA">
      <w:pPr>
        <w:spacing w:line="360" w:lineRule="auto"/>
        <w:rPr>
          <w:b/>
          <w:bCs/>
          <w:i/>
          <w:iCs/>
          <w:lang w:val="en-GB"/>
        </w:rPr>
      </w:pPr>
      <w:r w:rsidRPr="005B237E">
        <w:rPr>
          <w:b/>
          <w:bCs/>
          <w:i/>
          <w:iCs/>
          <w:lang w:val="en-GB"/>
        </w:rPr>
        <w:t>Key cost structure of Sainsbury’s (fixed vs. variable costs)</w:t>
      </w:r>
    </w:p>
    <w:p w14:paraId="66292D2C" w14:textId="77777777" w:rsidR="00412914" w:rsidRPr="005B237E" w:rsidRDefault="00023FDA">
      <w:pPr>
        <w:spacing w:line="360" w:lineRule="auto"/>
        <w:jc w:val="both"/>
        <w:rPr>
          <w:lang w:val="en-GB"/>
        </w:rPr>
      </w:pPr>
      <w:r w:rsidRPr="005B237E">
        <w:rPr>
          <w:i/>
          <w:iCs/>
          <w:lang w:val="en-GB"/>
        </w:rPr>
        <w:t xml:space="preserve">Cost structure </w:t>
      </w:r>
      <w:r w:rsidRPr="005B237E">
        <w:rPr>
          <w:lang w:val="en-GB"/>
        </w:rPr>
        <w:t xml:space="preserve">associated with a brand refers to categorised expenses that a business mainly incurs to manage and operate daily business operations. Atrill, and McLaney (2019) argues that cost structure comprises both </w:t>
      </w:r>
      <w:r w:rsidRPr="005B237E">
        <w:rPr>
          <w:i/>
          <w:iCs/>
          <w:lang w:val="en-GB"/>
        </w:rPr>
        <w:t>fixed costs</w:t>
      </w:r>
      <w:r w:rsidRPr="005B237E">
        <w:rPr>
          <w:lang w:val="en-GB"/>
        </w:rPr>
        <w:t xml:space="preserve"> such as </w:t>
      </w:r>
      <w:r w:rsidRPr="005B237E">
        <w:rPr>
          <w:i/>
          <w:iCs/>
          <w:lang w:val="en-GB"/>
        </w:rPr>
        <w:t>rent or salaries</w:t>
      </w:r>
      <w:r w:rsidRPr="005B237E">
        <w:rPr>
          <w:lang w:val="en-GB"/>
        </w:rPr>
        <w:t xml:space="preserve"> along with </w:t>
      </w:r>
      <w:r w:rsidRPr="005B237E">
        <w:rPr>
          <w:i/>
          <w:iCs/>
          <w:lang w:val="en-GB"/>
        </w:rPr>
        <w:t>variable costs</w:t>
      </w:r>
      <w:r w:rsidRPr="005B237E">
        <w:rPr>
          <w:lang w:val="en-GB"/>
        </w:rPr>
        <w:t xml:space="preserve"> such as </w:t>
      </w:r>
      <w:r w:rsidRPr="005B237E">
        <w:rPr>
          <w:i/>
          <w:iCs/>
          <w:lang w:val="en-GB"/>
        </w:rPr>
        <w:t>raw materials and shipping charges</w:t>
      </w:r>
      <w:r w:rsidRPr="005B237E">
        <w:rPr>
          <w:lang w:val="en-GB"/>
        </w:rPr>
        <w:t xml:space="preserve">. </w:t>
      </w:r>
      <w:r w:rsidRPr="005B237E">
        <w:rPr>
          <w:i/>
          <w:iCs/>
          <w:lang w:val="en-GB"/>
        </w:rPr>
        <w:t xml:space="preserve">A combination of fixed and variable cost structure </w:t>
      </w:r>
      <w:r w:rsidRPr="005B237E">
        <w:rPr>
          <w:lang w:val="en-GB"/>
        </w:rPr>
        <w:t xml:space="preserve">have assisted the brand in determining pricing and identifying profitability in all these years. Adhering to both fixed </w:t>
      </w:r>
      <w:r w:rsidR="005B237E" w:rsidRPr="005B237E">
        <w:rPr>
          <w:lang w:val="en-GB"/>
        </w:rPr>
        <w:t>costs, which</w:t>
      </w:r>
      <w:r w:rsidRPr="005B237E">
        <w:rPr>
          <w:lang w:val="en-GB"/>
        </w:rPr>
        <w:t xml:space="preserve"> do not change with production capacity along with variable </w:t>
      </w:r>
      <w:r w:rsidR="005B237E" w:rsidRPr="005B237E">
        <w:rPr>
          <w:lang w:val="en-GB"/>
        </w:rPr>
        <w:t>costs, which</w:t>
      </w:r>
      <w:r w:rsidRPr="005B237E">
        <w:rPr>
          <w:lang w:val="en-GB"/>
        </w:rPr>
        <w:t xml:space="preserve"> fluctuates rapidly with manufacturing level, Sainsbury's have managed to focus setting price and identified areas for better efficiency. As Sainsbury's is a </w:t>
      </w:r>
      <w:r w:rsidR="005B237E" w:rsidRPr="005B237E">
        <w:rPr>
          <w:lang w:val="en-GB"/>
        </w:rPr>
        <w:t>labour-intensive</w:t>
      </w:r>
      <w:r w:rsidRPr="005B237E">
        <w:rPr>
          <w:lang w:val="en-GB"/>
        </w:rPr>
        <w:t xml:space="preserve"> brand, higher variable cost is one such element that has always been there for the entity as compared to fixed cost. Apart from that, a combination of both direct and indirect cost structure has also been there by the brand to evaluate profitability of different product lines. Direct costs for Sainsbury’s refers to the </w:t>
      </w:r>
      <w:r w:rsidRPr="005B237E">
        <w:rPr>
          <w:i/>
          <w:iCs/>
          <w:lang w:val="en-GB"/>
        </w:rPr>
        <w:t xml:space="preserve">labor expense, materials cost along with logistics expenditure </w:t>
      </w:r>
      <w:r w:rsidRPr="005B237E">
        <w:rPr>
          <w:lang w:val="en-GB"/>
        </w:rPr>
        <w:t xml:space="preserve">whereas direct costs are mainly </w:t>
      </w:r>
      <w:r w:rsidRPr="005B237E">
        <w:rPr>
          <w:i/>
          <w:iCs/>
          <w:lang w:val="en-GB"/>
        </w:rPr>
        <w:t>depreciation value, technical infrastructure and rents</w:t>
      </w:r>
      <w:r w:rsidRPr="005B237E">
        <w:rPr>
          <w:lang w:val="en-GB"/>
        </w:rPr>
        <w:t xml:space="preserve"> for managing business operations. Hence, apart from adhering to both fixed and variable cost structure, Sainsbury’s have also managed to focus on direct and indirect costing in its operation to ensure “</w:t>
      </w:r>
      <w:r w:rsidRPr="005B237E">
        <w:rPr>
          <w:i/>
          <w:iCs/>
          <w:lang w:val="en-GB"/>
        </w:rPr>
        <w:t>high volume and low margin”</w:t>
      </w:r>
      <w:r w:rsidRPr="005B237E">
        <w:rPr>
          <w:lang w:val="en-GB"/>
        </w:rPr>
        <w:t xml:space="preserve"> in case of retail sales. </w:t>
      </w:r>
    </w:p>
    <w:p w14:paraId="54B6DF6E" w14:textId="77777777" w:rsidR="00412914" w:rsidRPr="005B237E" w:rsidRDefault="00023FDA" w:rsidP="005B237E">
      <w:pPr>
        <w:pStyle w:val="Heading1"/>
        <w:rPr>
          <w:lang w:val="en-GB"/>
        </w:rPr>
      </w:pPr>
      <w:bookmarkStart w:id="4" w:name="_xiwwoyqvkg25" w:colFirst="0" w:colLast="0"/>
      <w:bookmarkStart w:id="5" w:name="_Toc222402317"/>
      <w:bookmarkEnd w:id="4"/>
      <w:r w:rsidRPr="005B237E">
        <w:rPr>
          <w:lang w:val="en-GB"/>
        </w:rPr>
        <w:lastRenderedPageBreak/>
        <w:t>3. Budgeting and Financial Planning</w:t>
      </w:r>
      <w:bookmarkEnd w:id="5"/>
    </w:p>
    <w:p w14:paraId="06A64EC3" w14:textId="77777777" w:rsidR="00412914" w:rsidRPr="005B237E" w:rsidRDefault="00023FDA">
      <w:pPr>
        <w:spacing w:line="360" w:lineRule="auto"/>
        <w:rPr>
          <w:b/>
          <w:bCs/>
          <w:i/>
          <w:iCs/>
          <w:lang w:val="en-GB"/>
        </w:rPr>
      </w:pPr>
      <w:r w:rsidRPr="005B237E">
        <w:rPr>
          <w:b/>
          <w:bCs/>
          <w:i/>
          <w:iCs/>
          <w:lang w:val="en-GB"/>
        </w:rPr>
        <w:t>Role of budgeting in the Sainsbury’s operations</w:t>
      </w:r>
    </w:p>
    <w:p w14:paraId="3528537A" w14:textId="77777777" w:rsidR="00412914" w:rsidRPr="005B237E" w:rsidRDefault="00023FDA">
      <w:pPr>
        <w:spacing w:line="360" w:lineRule="auto"/>
        <w:jc w:val="both"/>
        <w:rPr>
          <w:i/>
          <w:iCs/>
          <w:lang w:val="en-GB"/>
        </w:rPr>
      </w:pPr>
      <w:r w:rsidRPr="005B237E">
        <w:rPr>
          <w:lang w:val="en-GB"/>
        </w:rPr>
        <w:t xml:space="preserve">Accurate budgeting plays a significant role in governing operations management for an organisation in doing </w:t>
      </w:r>
      <w:r w:rsidRPr="005B237E">
        <w:rPr>
          <w:i/>
          <w:iCs/>
          <w:lang w:val="en-GB"/>
        </w:rPr>
        <w:t>accurate financial planning, strategic decision making along with cost control</w:t>
      </w:r>
      <w:r w:rsidRPr="005B237E">
        <w:rPr>
          <w:lang w:val="en-GB"/>
        </w:rPr>
        <w:t xml:space="preserve"> to ensure optimum functioning (Drury, 2015). </w:t>
      </w:r>
      <w:r w:rsidRPr="005B237E">
        <w:rPr>
          <w:i/>
          <w:iCs/>
          <w:lang w:val="en-GB"/>
        </w:rPr>
        <w:t>Operational planning, effective control, quality decision making and optimum resource utilisation</w:t>
      </w:r>
      <w:r w:rsidRPr="005B237E">
        <w:rPr>
          <w:lang w:val="en-GB"/>
        </w:rPr>
        <w:t xml:space="preserve"> has been some of the by-products of budgeting that has helped Sainsbury's in streamlining all its business operations throughout these years. Moreover, budgeting has also assisted the venture Sainsbury’s in doing </w:t>
      </w:r>
      <w:r w:rsidRPr="005B237E">
        <w:rPr>
          <w:i/>
          <w:iCs/>
          <w:lang w:val="en-GB"/>
        </w:rPr>
        <w:t>accurate cost management, performance evaluation and identifying market volatility accurately</w:t>
      </w:r>
      <w:r w:rsidRPr="005B237E">
        <w:rPr>
          <w:lang w:val="en-GB"/>
        </w:rPr>
        <w:t xml:space="preserve"> to make fiscal decisions in the industry. Assessment of performance evaluation and cost management through budgeting have helped the higher management of Sainsbury’s in doing accurate operational planning to have optimum control over business operations. Most importantly, accurate budgeting has also assisted the venture in doing </w:t>
      </w:r>
      <w:r w:rsidRPr="005B237E">
        <w:rPr>
          <w:i/>
          <w:iCs/>
          <w:lang w:val="en-GB"/>
        </w:rPr>
        <w:t xml:space="preserve">deviation analysis </w:t>
      </w:r>
      <w:r w:rsidRPr="005B237E">
        <w:rPr>
          <w:lang w:val="en-GB"/>
        </w:rPr>
        <w:t xml:space="preserve">for controlling operational cost to have better output in terms of profitability by focusing on </w:t>
      </w:r>
      <w:r w:rsidRPr="005B237E">
        <w:rPr>
          <w:i/>
          <w:iCs/>
          <w:lang w:val="en-GB"/>
        </w:rPr>
        <w:t xml:space="preserve">“Next Level” strategies. </w:t>
      </w:r>
    </w:p>
    <w:p w14:paraId="6717317B" w14:textId="77777777" w:rsidR="00412914" w:rsidRPr="005B237E" w:rsidRDefault="00023FDA">
      <w:pPr>
        <w:spacing w:line="360" w:lineRule="auto"/>
        <w:jc w:val="center"/>
        <w:rPr>
          <w:i/>
          <w:iCs/>
          <w:lang w:val="en-GB"/>
        </w:rPr>
      </w:pPr>
      <w:r w:rsidRPr="005B237E">
        <w:rPr>
          <w:i/>
          <w:iCs/>
          <w:noProof/>
          <w:lang w:val="en-GB" w:eastAsia="en-GB"/>
        </w:rPr>
        <w:drawing>
          <wp:inline distT="114300" distB="114300" distL="114300" distR="114300" wp14:anchorId="68327D13" wp14:editId="73F531D8">
            <wp:extent cx="5158626" cy="3114982"/>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158626" cy="3114982"/>
                    </a:xfrm>
                    <a:prstGeom prst="rect">
                      <a:avLst/>
                    </a:prstGeom>
                    <a:ln w="12700">
                      <a:solidFill>
                        <a:srgbClr val="000000"/>
                      </a:solidFill>
                      <a:prstDash val="solid"/>
                    </a:ln>
                  </pic:spPr>
                </pic:pic>
              </a:graphicData>
            </a:graphic>
          </wp:inline>
        </w:drawing>
      </w:r>
    </w:p>
    <w:p w14:paraId="7FD2246E" w14:textId="77777777" w:rsidR="00412914" w:rsidRPr="005B237E" w:rsidRDefault="00023FDA">
      <w:pPr>
        <w:spacing w:line="360" w:lineRule="auto"/>
        <w:jc w:val="center"/>
        <w:rPr>
          <w:b/>
          <w:bCs/>
          <w:lang w:val="en-GB"/>
        </w:rPr>
      </w:pPr>
      <w:r w:rsidRPr="005B237E">
        <w:rPr>
          <w:b/>
          <w:bCs/>
          <w:lang w:val="en-GB"/>
        </w:rPr>
        <w:t>Figure 2: Fundamentals related to the working of budgeting systems</w:t>
      </w:r>
    </w:p>
    <w:p w14:paraId="3BCC8D9E" w14:textId="77777777" w:rsidR="0044514C" w:rsidRDefault="0044514C">
      <w:pPr>
        <w:rPr>
          <w:b/>
          <w:bCs/>
          <w:lang w:val="en-GB"/>
        </w:rPr>
      </w:pPr>
      <w:r>
        <w:rPr>
          <w:b/>
          <w:bCs/>
          <w:lang w:val="en-GB"/>
        </w:rPr>
        <w:br w:type="page"/>
      </w:r>
    </w:p>
    <w:p w14:paraId="3161B167" w14:textId="77777777" w:rsidR="00412914" w:rsidRPr="005B237E" w:rsidRDefault="00023FDA">
      <w:pPr>
        <w:spacing w:line="360" w:lineRule="auto"/>
        <w:jc w:val="both"/>
        <w:rPr>
          <w:b/>
          <w:bCs/>
          <w:lang w:val="en-GB"/>
        </w:rPr>
      </w:pPr>
      <w:r w:rsidRPr="005B237E">
        <w:rPr>
          <w:b/>
          <w:bCs/>
          <w:lang w:val="en-GB"/>
        </w:rPr>
        <w:lastRenderedPageBreak/>
        <w:t>Review current year on year change for operating expenses for Sainsbury’s</w:t>
      </w:r>
    </w:p>
    <w:p w14:paraId="0BDF8F71" w14:textId="77777777" w:rsidR="00412914" w:rsidRPr="005B237E" w:rsidRDefault="00023FDA">
      <w:pPr>
        <w:spacing w:line="360" w:lineRule="auto"/>
        <w:jc w:val="both"/>
        <w:rPr>
          <w:i/>
          <w:iCs/>
          <w:lang w:val="en-GB"/>
        </w:rPr>
      </w:pPr>
      <w:r w:rsidRPr="005B237E">
        <w:rPr>
          <w:lang w:val="en-GB"/>
        </w:rPr>
        <w:t xml:space="preserve">Operating expense for Sainsbury's includes </w:t>
      </w:r>
      <w:r w:rsidRPr="005B237E">
        <w:rPr>
          <w:i/>
          <w:iCs/>
          <w:lang w:val="en-GB"/>
        </w:rPr>
        <w:t xml:space="preserve">capital expenditure (CapEx) along with non-operating </w:t>
      </w:r>
      <w:r w:rsidR="005B237E" w:rsidRPr="005B237E">
        <w:rPr>
          <w:i/>
          <w:iCs/>
          <w:lang w:val="en-GB"/>
        </w:rPr>
        <w:t>costs</w:t>
      </w:r>
      <w:r w:rsidR="005B237E" w:rsidRPr="005B237E">
        <w:rPr>
          <w:lang w:val="en-GB"/>
        </w:rPr>
        <w:t>, which</w:t>
      </w:r>
      <w:r w:rsidRPr="005B237E">
        <w:rPr>
          <w:lang w:val="en-GB"/>
        </w:rPr>
        <w:t xml:space="preserve"> are listed below in the income statement of the venture. Rhode and Garrison (2019) clarifies that </w:t>
      </w:r>
      <w:r w:rsidRPr="005B237E">
        <w:rPr>
          <w:i/>
          <w:iCs/>
          <w:lang w:val="en-GB"/>
        </w:rPr>
        <w:t>operating expense</w:t>
      </w:r>
      <w:r w:rsidRPr="005B237E">
        <w:rPr>
          <w:lang w:val="en-GB"/>
        </w:rPr>
        <w:t xml:space="preserve"> refers to the daily expense that a brand incurs to manage and govern core functions to meet consumer needs. Based on the assessment of the income statement, the operating expenses for the brand have gradually decreased from </w:t>
      </w:r>
      <w:r w:rsidRPr="005B237E">
        <w:rPr>
          <w:highlight w:val="white"/>
          <w:lang w:val="en-GB"/>
        </w:rPr>
        <w:t>£</w:t>
      </w:r>
      <w:r w:rsidRPr="005B237E">
        <w:rPr>
          <w:lang w:val="en-GB"/>
        </w:rPr>
        <w:t xml:space="preserve">1,442,000 in 2023 to </w:t>
      </w:r>
      <w:r w:rsidRPr="005B237E">
        <w:rPr>
          <w:highlight w:val="white"/>
          <w:lang w:val="en-GB"/>
        </w:rPr>
        <w:t>£1,281,000 in 2024 and £1,270,000 in 2023 (</w:t>
      </w:r>
      <w:r w:rsidRPr="005B237E">
        <w:rPr>
          <w:lang w:val="en-GB"/>
        </w:rPr>
        <w:t>Yahoo.Finance, 2026)</w:t>
      </w:r>
      <w:r w:rsidRPr="005B237E">
        <w:rPr>
          <w:highlight w:val="white"/>
          <w:lang w:val="en-GB"/>
        </w:rPr>
        <w:t xml:space="preserve">. On the other hand, the operating income for the brand has also grown steadily from £562,000 in 2023 to £809,000 in 2024 and £951,000 in 2025 (Refer to Figure 2). Thus, </w:t>
      </w:r>
      <w:r w:rsidR="005B237E">
        <w:rPr>
          <w:highlight w:val="white"/>
          <w:lang w:val="en-GB"/>
        </w:rPr>
        <w:t>analysing</w:t>
      </w:r>
      <w:r w:rsidRPr="005B237E">
        <w:rPr>
          <w:highlight w:val="white"/>
          <w:lang w:val="en-GB"/>
        </w:rPr>
        <w:t xml:space="preserve"> year on year change in operating expense for Sainsbury’s, it is clear that the brand has performed better every single year in terms of </w:t>
      </w:r>
      <w:r w:rsidRPr="005B237E">
        <w:rPr>
          <w:i/>
          <w:iCs/>
          <w:highlight w:val="white"/>
          <w:lang w:val="en-GB"/>
        </w:rPr>
        <w:t xml:space="preserve">reducing its operating expense and uplifting its operating income.  </w:t>
      </w:r>
    </w:p>
    <w:p w14:paraId="1A8E9F6B" w14:textId="77777777" w:rsidR="00412914" w:rsidRPr="005B237E" w:rsidRDefault="00023FDA">
      <w:pPr>
        <w:spacing w:line="360" w:lineRule="auto"/>
        <w:jc w:val="center"/>
        <w:rPr>
          <w:b/>
          <w:bCs/>
          <w:lang w:val="en-GB"/>
        </w:rPr>
      </w:pPr>
      <w:r w:rsidRPr="005B237E">
        <w:rPr>
          <w:b/>
          <w:bCs/>
          <w:noProof/>
          <w:lang w:val="en-GB" w:eastAsia="en-GB"/>
        </w:rPr>
        <w:drawing>
          <wp:inline distT="114300" distB="114300" distL="114300" distR="114300" wp14:anchorId="2086138C" wp14:editId="52A8A0E0">
            <wp:extent cx="5586413" cy="3637664"/>
            <wp:effectExtent l="12700" t="12700" r="12700" b="127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586413" cy="3637664"/>
                    </a:xfrm>
                    <a:prstGeom prst="rect">
                      <a:avLst/>
                    </a:prstGeom>
                    <a:ln w="12700">
                      <a:solidFill>
                        <a:srgbClr val="000000"/>
                      </a:solidFill>
                      <a:prstDash val="solid"/>
                    </a:ln>
                  </pic:spPr>
                </pic:pic>
              </a:graphicData>
            </a:graphic>
          </wp:inline>
        </w:drawing>
      </w:r>
    </w:p>
    <w:p w14:paraId="6C869CA4" w14:textId="77777777" w:rsidR="00412914" w:rsidRPr="005B237E" w:rsidRDefault="00023FDA">
      <w:pPr>
        <w:spacing w:line="360" w:lineRule="auto"/>
        <w:jc w:val="center"/>
        <w:rPr>
          <w:b/>
          <w:bCs/>
          <w:lang w:val="en-GB"/>
        </w:rPr>
      </w:pPr>
      <w:r w:rsidRPr="005B237E">
        <w:rPr>
          <w:b/>
          <w:bCs/>
          <w:lang w:val="en-GB"/>
        </w:rPr>
        <w:t>Figure 3: Income statement for Sainsbury’s to review the change in operating expense</w:t>
      </w:r>
    </w:p>
    <w:p w14:paraId="03343871" w14:textId="77777777" w:rsidR="00412914" w:rsidRPr="005B237E" w:rsidRDefault="00023FDA">
      <w:pPr>
        <w:spacing w:line="360" w:lineRule="auto"/>
        <w:jc w:val="center"/>
        <w:rPr>
          <w:lang w:val="en-GB"/>
        </w:rPr>
      </w:pPr>
      <w:r w:rsidRPr="005B237E">
        <w:rPr>
          <w:lang w:val="en-GB"/>
        </w:rPr>
        <w:t>(Source: Yahoo.Finance, 2026)</w:t>
      </w:r>
    </w:p>
    <w:p w14:paraId="0565FA15" w14:textId="77777777" w:rsidR="0044514C" w:rsidRDefault="0044514C">
      <w:pPr>
        <w:rPr>
          <w:b/>
          <w:bCs/>
          <w:lang w:val="en-GB"/>
        </w:rPr>
      </w:pPr>
      <w:r>
        <w:rPr>
          <w:b/>
          <w:bCs/>
          <w:lang w:val="en-GB"/>
        </w:rPr>
        <w:br w:type="page"/>
      </w:r>
    </w:p>
    <w:p w14:paraId="34379F7F" w14:textId="77777777" w:rsidR="00412914" w:rsidRPr="005B237E" w:rsidRDefault="00023FDA">
      <w:pPr>
        <w:spacing w:line="360" w:lineRule="auto"/>
        <w:jc w:val="both"/>
        <w:rPr>
          <w:b/>
          <w:bCs/>
          <w:lang w:val="en-GB"/>
        </w:rPr>
      </w:pPr>
      <w:r w:rsidRPr="005B237E">
        <w:rPr>
          <w:b/>
          <w:bCs/>
          <w:lang w:val="en-GB"/>
        </w:rPr>
        <w:lastRenderedPageBreak/>
        <w:t>Decisions made by management or macroeconomic factors to influence this change</w:t>
      </w:r>
    </w:p>
    <w:p w14:paraId="54EE8785" w14:textId="77777777" w:rsidR="00412914" w:rsidRPr="005B237E" w:rsidRDefault="00023FDA">
      <w:pPr>
        <w:spacing w:line="360" w:lineRule="auto"/>
        <w:jc w:val="both"/>
        <w:rPr>
          <w:lang w:val="en-GB"/>
        </w:rPr>
      </w:pPr>
      <w:r w:rsidRPr="005B237E">
        <w:rPr>
          <w:lang w:val="en-GB"/>
        </w:rPr>
        <w:t xml:space="preserve">The </w:t>
      </w:r>
      <w:r w:rsidR="00EC02D9" w:rsidRPr="005B237E">
        <w:rPr>
          <w:lang w:val="en-GB"/>
        </w:rPr>
        <w:t>combination of both internal and external influence has</w:t>
      </w:r>
      <w:r w:rsidRPr="005B237E">
        <w:rPr>
          <w:lang w:val="en-GB"/>
        </w:rPr>
        <w:t xml:space="preserve"> assisted the brand in reducing its operating expenses throughout the last few years. </w:t>
      </w:r>
      <w:r w:rsidRPr="005B237E">
        <w:rPr>
          <w:i/>
          <w:iCs/>
          <w:lang w:val="en-GB"/>
        </w:rPr>
        <w:t>Optimisation of workforce management, fostering a cost-conscious culture, introducing automation in some of the operations and negotiating vendor contracts</w:t>
      </w:r>
      <w:r w:rsidRPr="005B237E">
        <w:rPr>
          <w:lang w:val="en-GB"/>
        </w:rPr>
        <w:t xml:space="preserve"> have been some of the decisions made by the management internally, which has assisted the venture to influence change in operating expense. Moreover, </w:t>
      </w:r>
      <w:r w:rsidRPr="005B237E">
        <w:rPr>
          <w:i/>
          <w:iCs/>
          <w:lang w:val="en-GB"/>
        </w:rPr>
        <w:t xml:space="preserve">vendor-suppliers management, capitalising on early payment discounts and outsourcing non-core functions to support payroll and technical infrastructure </w:t>
      </w:r>
      <w:r w:rsidRPr="005B237E">
        <w:rPr>
          <w:lang w:val="en-GB"/>
        </w:rPr>
        <w:t xml:space="preserve">has been some of the key external factors that has assisted the brand to influence such changes in operating expense. </w:t>
      </w:r>
    </w:p>
    <w:p w14:paraId="5DD1D357" w14:textId="77777777" w:rsidR="00412914" w:rsidRPr="005B237E" w:rsidRDefault="00023FDA">
      <w:pPr>
        <w:spacing w:line="360" w:lineRule="auto"/>
        <w:rPr>
          <w:b/>
          <w:bCs/>
          <w:lang w:val="en-GB"/>
        </w:rPr>
      </w:pPr>
      <w:r w:rsidRPr="005B237E">
        <w:rPr>
          <w:lang w:val="en-GB"/>
        </w:rPr>
        <w:br w:type="page"/>
      </w:r>
    </w:p>
    <w:p w14:paraId="55A5A6D7" w14:textId="77777777" w:rsidR="00412914" w:rsidRPr="005B237E" w:rsidRDefault="00023FDA">
      <w:pPr>
        <w:pStyle w:val="Heading1"/>
        <w:rPr>
          <w:lang w:val="en-GB"/>
        </w:rPr>
      </w:pPr>
      <w:bookmarkStart w:id="6" w:name="_a8yz3wz0khu8" w:colFirst="0" w:colLast="0"/>
      <w:bookmarkStart w:id="7" w:name="_Toc222402318"/>
      <w:bookmarkEnd w:id="6"/>
      <w:r w:rsidRPr="005B237E">
        <w:rPr>
          <w:lang w:val="en-GB"/>
        </w:rPr>
        <w:lastRenderedPageBreak/>
        <w:t>4. Performance Measurement and Decision-Making</w:t>
      </w:r>
      <w:bookmarkEnd w:id="7"/>
    </w:p>
    <w:p w14:paraId="4EFE7812" w14:textId="77777777" w:rsidR="00412914" w:rsidRPr="005B237E" w:rsidRDefault="00023FDA">
      <w:pPr>
        <w:spacing w:line="360" w:lineRule="auto"/>
        <w:jc w:val="both"/>
        <w:rPr>
          <w:b/>
          <w:bCs/>
          <w:lang w:val="en-GB"/>
        </w:rPr>
      </w:pPr>
      <w:r w:rsidRPr="005B237E">
        <w:rPr>
          <w:b/>
          <w:bCs/>
          <w:lang w:val="en-GB"/>
        </w:rPr>
        <w:t xml:space="preserve">Five financial or non-financial KPI’s of Sainsbury’s </w:t>
      </w:r>
    </w:p>
    <w:p w14:paraId="13512EF2" w14:textId="77777777" w:rsidR="00412914" w:rsidRPr="005B237E" w:rsidRDefault="00023FDA">
      <w:pPr>
        <w:spacing w:line="360" w:lineRule="auto"/>
        <w:jc w:val="both"/>
        <w:rPr>
          <w:lang w:val="en-GB"/>
        </w:rPr>
      </w:pPr>
      <w:r w:rsidRPr="005B237E">
        <w:rPr>
          <w:b/>
          <w:bCs/>
          <w:lang w:val="en-GB"/>
        </w:rPr>
        <w:t xml:space="preserve">Grocery market share performance: </w:t>
      </w:r>
      <w:r w:rsidRPr="005B237E">
        <w:rPr>
          <w:lang w:val="en-GB"/>
        </w:rPr>
        <w:t>Sainsbury’s have been a dominant name in the UK grocery retail market with having almost 16.3% of the market share, making the brand the second largest retail chain of the country. Based on the market dynamics, Sainsbury's has managed to grow almost 5.4/% in sales as compared to the last year due to its robust value proposition (Radojev, 2026).</w:t>
      </w:r>
    </w:p>
    <w:p w14:paraId="2C82BCAD" w14:textId="77777777" w:rsidR="00412914" w:rsidRPr="005B237E" w:rsidRDefault="00023FDA">
      <w:pPr>
        <w:spacing w:line="360" w:lineRule="auto"/>
        <w:jc w:val="both"/>
        <w:rPr>
          <w:lang w:val="en-GB"/>
        </w:rPr>
      </w:pPr>
      <w:r w:rsidRPr="005B237E">
        <w:rPr>
          <w:b/>
          <w:bCs/>
          <w:lang w:val="en-GB"/>
        </w:rPr>
        <w:t xml:space="preserve">Customer satisfaction score: </w:t>
      </w:r>
      <w:r w:rsidRPr="005B237E">
        <w:rPr>
          <w:lang w:val="en-GB"/>
        </w:rPr>
        <w:t xml:space="preserve">Sainsbury's as an organisation does hold a strong customer satisfaction positioning, with a NPS score of 20 (Statista, 2025). A strong performance in NPS shows how the brand has improved its value proposition along the product quality in recent years. </w:t>
      </w:r>
    </w:p>
    <w:p w14:paraId="2E8D0C9E" w14:textId="77777777" w:rsidR="00412914" w:rsidRPr="005B237E" w:rsidRDefault="00023FDA">
      <w:pPr>
        <w:spacing w:line="360" w:lineRule="auto"/>
        <w:jc w:val="center"/>
        <w:rPr>
          <w:b/>
          <w:bCs/>
          <w:lang w:val="en-GB"/>
        </w:rPr>
      </w:pPr>
      <w:r w:rsidRPr="005B237E">
        <w:rPr>
          <w:b/>
          <w:bCs/>
          <w:noProof/>
          <w:lang w:val="en-GB" w:eastAsia="en-GB"/>
        </w:rPr>
        <w:drawing>
          <wp:inline distT="114300" distB="114300" distL="114300" distR="114300" wp14:anchorId="2A308200" wp14:editId="21F7FE90">
            <wp:extent cx="5257800" cy="3619500"/>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257800" cy="3619500"/>
                    </a:xfrm>
                    <a:prstGeom prst="rect">
                      <a:avLst/>
                    </a:prstGeom>
                    <a:ln w="12700">
                      <a:solidFill>
                        <a:srgbClr val="000000"/>
                      </a:solidFill>
                      <a:prstDash val="solid"/>
                    </a:ln>
                  </pic:spPr>
                </pic:pic>
              </a:graphicData>
            </a:graphic>
          </wp:inline>
        </w:drawing>
      </w:r>
    </w:p>
    <w:p w14:paraId="7429E615" w14:textId="77777777" w:rsidR="00412914" w:rsidRPr="005B237E" w:rsidRDefault="00023FDA">
      <w:pPr>
        <w:spacing w:line="360" w:lineRule="auto"/>
        <w:jc w:val="center"/>
        <w:rPr>
          <w:b/>
          <w:bCs/>
          <w:lang w:val="en-GB"/>
        </w:rPr>
      </w:pPr>
      <w:r w:rsidRPr="005B237E">
        <w:rPr>
          <w:b/>
          <w:bCs/>
          <w:lang w:val="en-GB"/>
        </w:rPr>
        <w:t>Figure 4: Consolidated balance sheet for Sainsbury’s</w:t>
      </w:r>
    </w:p>
    <w:p w14:paraId="066CA7EC" w14:textId="77777777" w:rsidR="00412914" w:rsidRPr="005B237E" w:rsidRDefault="00023FDA">
      <w:pPr>
        <w:spacing w:line="360" w:lineRule="auto"/>
        <w:jc w:val="center"/>
        <w:rPr>
          <w:lang w:val="en-GB"/>
        </w:rPr>
      </w:pPr>
      <w:r w:rsidRPr="005B237E">
        <w:rPr>
          <w:lang w:val="en-GB"/>
        </w:rPr>
        <w:t>(Source: Google.Finance, 2026)</w:t>
      </w:r>
    </w:p>
    <w:p w14:paraId="1172B89E" w14:textId="77777777" w:rsidR="00412914" w:rsidRPr="005B237E" w:rsidRDefault="00023FDA">
      <w:pPr>
        <w:spacing w:line="360" w:lineRule="auto"/>
        <w:jc w:val="both"/>
        <w:rPr>
          <w:b/>
          <w:bCs/>
          <w:lang w:val="en-GB"/>
        </w:rPr>
      </w:pPr>
      <w:r w:rsidRPr="005B237E">
        <w:rPr>
          <w:b/>
          <w:bCs/>
          <w:lang w:val="en-GB"/>
        </w:rPr>
        <w:t>Return on capital employed:</w:t>
      </w:r>
      <w:r w:rsidRPr="005B237E">
        <w:rPr>
          <w:b/>
          <w:bCs/>
          <w:i/>
          <w:iCs/>
          <w:lang w:val="en-GB"/>
        </w:rPr>
        <w:t xml:space="preserve"> </w:t>
      </w:r>
      <w:r w:rsidRPr="005B237E">
        <w:rPr>
          <w:i/>
          <w:iCs/>
          <w:lang w:val="en-GB"/>
        </w:rPr>
        <w:t xml:space="preserve">Return on capital employed </w:t>
      </w:r>
      <w:r w:rsidRPr="005B237E">
        <w:rPr>
          <w:lang w:val="en-GB"/>
        </w:rPr>
        <w:t xml:space="preserve">is denoted as a key fiscal </w:t>
      </w:r>
      <w:r w:rsidR="00EC02D9" w:rsidRPr="005B237E">
        <w:rPr>
          <w:lang w:val="en-GB"/>
        </w:rPr>
        <w:t>ratio, which</w:t>
      </w:r>
      <w:r w:rsidRPr="005B237E">
        <w:rPr>
          <w:lang w:val="en-GB"/>
        </w:rPr>
        <w:t xml:space="preserve"> measures the efficiency of a brand to generate profitability from its capital. Based on the annual report, the ROCE value for Sainsbury’s has been 9% for the FY 2025 (Corporate.sainsburys, 2026).</w:t>
      </w:r>
    </w:p>
    <w:p w14:paraId="79213B7E" w14:textId="77777777" w:rsidR="00412914" w:rsidRPr="005B237E" w:rsidRDefault="00023FDA">
      <w:pPr>
        <w:spacing w:line="360" w:lineRule="auto"/>
        <w:jc w:val="center"/>
        <w:rPr>
          <w:b/>
          <w:bCs/>
          <w:lang w:val="en-GB"/>
        </w:rPr>
      </w:pPr>
      <w:r w:rsidRPr="005B237E">
        <w:rPr>
          <w:b/>
          <w:bCs/>
          <w:noProof/>
          <w:lang w:val="en-GB" w:eastAsia="en-GB"/>
        </w:rPr>
        <w:lastRenderedPageBreak/>
        <w:drawing>
          <wp:inline distT="114300" distB="114300" distL="114300" distR="114300" wp14:anchorId="41ED9582" wp14:editId="528D62BC">
            <wp:extent cx="5652877" cy="3577651"/>
            <wp:effectExtent l="12700" t="12700" r="12700" b="1270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652877" cy="3577651"/>
                    </a:xfrm>
                    <a:prstGeom prst="rect">
                      <a:avLst/>
                    </a:prstGeom>
                    <a:ln w="12700">
                      <a:solidFill>
                        <a:srgbClr val="000000"/>
                      </a:solidFill>
                      <a:prstDash val="solid"/>
                    </a:ln>
                  </pic:spPr>
                </pic:pic>
              </a:graphicData>
            </a:graphic>
          </wp:inline>
        </w:drawing>
      </w:r>
    </w:p>
    <w:p w14:paraId="0AF45686" w14:textId="77777777" w:rsidR="00412914" w:rsidRPr="005B237E" w:rsidRDefault="00023FDA">
      <w:pPr>
        <w:spacing w:line="360" w:lineRule="auto"/>
        <w:jc w:val="center"/>
        <w:rPr>
          <w:b/>
          <w:bCs/>
          <w:lang w:val="en-GB"/>
        </w:rPr>
      </w:pPr>
      <w:r w:rsidRPr="005B237E">
        <w:rPr>
          <w:b/>
          <w:bCs/>
          <w:lang w:val="en-GB"/>
        </w:rPr>
        <w:t xml:space="preserve">Figure 5: Cash flow analysis for Sainsbury’s </w:t>
      </w:r>
    </w:p>
    <w:p w14:paraId="5AA80EFF" w14:textId="77777777" w:rsidR="00412914" w:rsidRPr="005B237E" w:rsidRDefault="00023FDA">
      <w:pPr>
        <w:spacing w:line="360" w:lineRule="auto"/>
        <w:jc w:val="center"/>
        <w:rPr>
          <w:lang w:val="en-GB"/>
        </w:rPr>
      </w:pPr>
      <w:r w:rsidRPr="005B237E">
        <w:rPr>
          <w:lang w:val="en-GB"/>
        </w:rPr>
        <w:t>(Source: Google.Finance, 2026)</w:t>
      </w:r>
    </w:p>
    <w:p w14:paraId="7C542EF0" w14:textId="77777777" w:rsidR="00412914" w:rsidRPr="005B237E" w:rsidRDefault="00023FDA">
      <w:pPr>
        <w:spacing w:line="360" w:lineRule="auto"/>
        <w:jc w:val="both"/>
        <w:rPr>
          <w:lang w:val="en-GB"/>
        </w:rPr>
      </w:pPr>
      <w:r w:rsidRPr="005B237E">
        <w:rPr>
          <w:b/>
          <w:bCs/>
          <w:lang w:val="en-GB"/>
        </w:rPr>
        <w:t xml:space="preserve">Underlying profit before tax: </w:t>
      </w:r>
      <w:r w:rsidRPr="005B237E">
        <w:rPr>
          <w:lang w:val="en-GB"/>
        </w:rPr>
        <w:t xml:space="preserve">Underlying profit before tax is mainly a non-GAAP fiscal </w:t>
      </w:r>
      <w:r w:rsidR="00EC02D9" w:rsidRPr="005B237E">
        <w:rPr>
          <w:lang w:val="en-GB"/>
        </w:rPr>
        <w:t>metric, which</w:t>
      </w:r>
      <w:r w:rsidRPr="005B237E">
        <w:rPr>
          <w:lang w:val="en-GB"/>
        </w:rPr>
        <w:t xml:space="preserve"> evaluates the core operating performance of a brand by eliminating different non-recurring costs accordingly. Underlying profit before tax stands at £761 million for the brand as of FY </w:t>
      </w:r>
      <w:r w:rsidR="00EC02D9" w:rsidRPr="005B237E">
        <w:rPr>
          <w:lang w:val="en-GB"/>
        </w:rPr>
        <w:t>2025, which</w:t>
      </w:r>
      <w:r w:rsidRPr="005B237E">
        <w:rPr>
          <w:lang w:val="en-GB"/>
        </w:rPr>
        <w:t xml:space="preserve"> is 8.6% better as compared to FY 2024 (Corporate.sainsburys, 2026).</w:t>
      </w:r>
    </w:p>
    <w:p w14:paraId="4499B961" w14:textId="77777777" w:rsidR="00412914" w:rsidRPr="005B237E" w:rsidRDefault="00023FDA">
      <w:pPr>
        <w:spacing w:line="360" w:lineRule="auto"/>
        <w:jc w:val="both"/>
        <w:rPr>
          <w:lang w:val="en-GB"/>
        </w:rPr>
      </w:pPr>
      <w:r w:rsidRPr="005B237E">
        <w:rPr>
          <w:b/>
          <w:bCs/>
          <w:lang w:val="en-GB"/>
        </w:rPr>
        <w:t>Colleague engagement score:</w:t>
      </w:r>
      <w:r w:rsidRPr="005B237E">
        <w:rPr>
          <w:b/>
          <w:bCs/>
          <w:i/>
          <w:iCs/>
          <w:lang w:val="en-GB"/>
        </w:rPr>
        <w:t xml:space="preserve"> </w:t>
      </w:r>
      <w:r w:rsidRPr="005B237E">
        <w:rPr>
          <w:i/>
          <w:iCs/>
          <w:lang w:val="en-GB"/>
        </w:rPr>
        <w:t>Colleague engagement score</w:t>
      </w:r>
      <w:r w:rsidRPr="005B237E">
        <w:rPr>
          <w:lang w:val="en-GB"/>
        </w:rPr>
        <w:t xml:space="preserve"> refers to a data driven value published by a brand to demonstrate how actively all the employees are connected with each other to perform daily operations for the brand. Based on the below graphical representation, it is clear that the colleague engagement score has been upwards for the brand in 2025 as compared to the last few years (Refer to Figure 5). </w:t>
      </w:r>
    </w:p>
    <w:p w14:paraId="58699262" w14:textId="77777777" w:rsidR="00412914" w:rsidRPr="005B237E" w:rsidRDefault="00023FDA">
      <w:pPr>
        <w:spacing w:line="360" w:lineRule="auto"/>
        <w:jc w:val="center"/>
        <w:rPr>
          <w:b/>
          <w:bCs/>
          <w:lang w:val="en-GB"/>
        </w:rPr>
      </w:pPr>
      <w:r w:rsidRPr="005B237E">
        <w:rPr>
          <w:b/>
          <w:bCs/>
          <w:noProof/>
          <w:lang w:val="en-GB" w:eastAsia="en-GB"/>
        </w:rPr>
        <w:lastRenderedPageBreak/>
        <w:drawing>
          <wp:inline distT="114300" distB="114300" distL="114300" distR="114300" wp14:anchorId="15119D37" wp14:editId="5FC9156E">
            <wp:extent cx="3724275" cy="2962275"/>
            <wp:effectExtent l="12700" t="12700" r="12700" b="1270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3724275" cy="2962275"/>
                    </a:xfrm>
                    <a:prstGeom prst="rect">
                      <a:avLst/>
                    </a:prstGeom>
                    <a:ln w="12700">
                      <a:solidFill>
                        <a:srgbClr val="000000"/>
                      </a:solidFill>
                      <a:prstDash val="solid"/>
                    </a:ln>
                  </pic:spPr>
                </pic:pic>
              </a:graphicData>
            </a:graphic>
          </wp:inline>
        </w:drawing>
      </w:r>
      <w:r w:rsidRPr="005B237E">
        <w:rPr>
          <w:b/>
          <w:bCs/>
          <w:lang w:val="en-GB"/>
        </w:rPr>
        <w:t xml:space="preserve"> </w:t>
      </w:r>
    </w:p>
    <w:p w14:paraId="652192C4" w14:textId="77777777" w:rsidR="00412914" w:rsidRPr="005B237E" w:rsidRDefault="00023FDA">
      <w:pPr>
        <w:spacing w:line="360" w:lineRule="auto"/>
        <w:jc w:val="center"/>
        <w:rPr>
          <w:b/>
          <w:bCs/>
          <w:lang w:val="en-GB"/>
        </w:rPr>
      </w:pPr>
      <w:r w:rsidRPr="005B237E">
        <w:rPr>
          <w:b/>
          <w:bCs/>
          <w:lang w:val="en-GB"/>
        </w:rPr>
        <w:t xml:space="preserve">Figure 6: Colleague engagement score </w:t>
      </w:r>
    </w:p>
    <w:p w14:paraId="540848E3" w14:textId="77777777" w:rsidR="00412914" w:rsidRPr="005B237E" w:rsidRDefault="00023FDA">
      <w:pPr>
        <w:spacing w:line="360" w:lineRule="auto"/>
        <w:jc w:val="center"/>
        <w:rPr>
          <w:b/>
          <w:bCs/>
          <w:lang w:val="en-GB"/>
        </w:rPr>
      </w:pPr>
      <w:r w:rsidRPr="005B237E">
        <w:rPr>
          <w:lang w:val="en-GB"/>
        </w:rPr>
        <w:t>(Source: Corporate.sainsburys, 2026).</w:t>
      </w:r>
    </w:p>
    <w:p w14:paraId="5CE10494" w14:textId="77777777" w:rsidR="00412914" w:rsidRPr="005B237E" w:rsidRDefault="00023FDA">
      <w:pPr>
        <w:spacing w:line="360" w:lineRule="auto"/>
        <w:jc w:val="both"/>
        <w:rPr>
          <w:b/>
          <w:bCs/>
          <w:lang w:val="en-GB"/>
        </w:rPr>
      </w:pPr>
      <w:r w:rsidRPr="005B237E">
        <w:rPr>
          <w:b/>
          <w:bCs/>
          <w:lang w:val="en-GB"/>
        </w:rPr>
        <w:t xml:space="preserve">Strategic decisions made by Sainsbury’s based on financial and non- financial data </w:t>
      </w:r>
    </w:p>
    <w:p w14:paraId="3F7992FC" w14:textId="77777777" w:rsidR="00412914" w:rsidRPr="005B237E" w:rsidRDefault="00023FDA">
      <w:pPr>
        <w:spacing w:line="360" w:lineRule="auto"/>
        <w:jc w:val="both"/>
        <w:rPr>
          <w:lang w:val="en-GB"/>
        </w:rPr>
      </w:pPr>
      <w:r w:rsidRPr="005B237E">
        <w:rPr>
          <w:lang w:val="en-GB"/>
        </w:rPr>
        <w:t xml:space="preserve">Strategising long term actionable steps based on industry opportunities can determine </w:t>
      </w:r>
      <w:r w:rsidR="00EC02D9" w:rsidRPr="005B237E">
        <w:rPr>
          <w:lang w:val="en-GB"/>
        </w:rPr>
        <w:t>how a</w:t>
      </w:r>
      <w:r w:rsidRPr="005B237E">
        <w:rPr>
          <w:lang w:val="en-GB"/>
        </w:rPr>
        <w:t xml:space="preserve"> brand is going to perform in a competitive marketplace as compared to </w:t>
      </w:r>
      <w:r w:rsidR="00EC02D9" w:rsidRPr="005B237E">
        <w:rPr>
          <w:lang w:val="en-GB"/>
        </w:rPr>
        <w:t>others (</w:t>
      </w:r>
      <w:r w:rsidRPr="005B237E">
        <w:rPr>
          <w:lang w:val="en-GB"/>
        </w:rPr>
        <w:t xml:space="preserve">Drury, 2015). Cost cutting in reducing the operating expense and enhancing the operating income has been one such massive decision that the company has made based on both financial and non-financial data. Apart from that, setting product pricing to ensure a decent gross profit has been one such massive change that the brand has done after illustrating different industry relevant data. Most importantly, expansion strategies in different areas be it physical expansion or infrastructural expansion has been done by the brand by evaluating key fiscal metrics accordingly. </w:t>
      </w:r>
    </w:p>
    <w:p w14:paraId="360892A2" w14:textId="77777777" w:rsidR="00412914" w:rsidRPr="005B237E" w:rsidRDefault="00412914">
      <w:pPr>
        <w:spacing w:line="360" w:lineRule="auto"/>
        <w:rPr>
          <w:b/>
          <w:bCs/>
          <w:lang w:val="en-GB"/>
        </w:rPr>
      </w:pPr>
    </w:p>
    <w:p w14:paraId="01EE1677" w14:textId="77777777" w:rsidR="00412914" w:rsidRPr="005B237E" w:rsidRDefault="00023FDA">
      <w:pPr>
        <w:spacing w:line="360" w:lineRule="auto"/>
        <w:rPr>
          <w:b/>
          <w:bCs/>
          <w:lang w:val="en-GB"/>
        </w:rPr>
      </w:pPr>
      <w:r w:rsidRPr="005B237E">
        <w:rPr>
          <w:lang w:val="en-GB"/>
        </w:rPr>
        <w:br w:type="page"/>
      </w:r>
    </w:p>
    <w:p w14:paraId="25E07CE4" w14:textId="77777777" w:rsidR="00412914" w:rsidRPr="005B237E" w:rsidRDefault="00023FDA">
      <w:pPr>
        <w:pStyle w:val="Heading1"/>
        <w:rPr>
          <w:lang w:val="en-GB"/>
        </w:rPr>
      </w:pPr>
      <w:bookmarkStart w:id="8" w:name="_ymap1pdffcc6" w:colFirst="0" w:colLast="0"/>
      <w:bookmarkStart w:id="9" w:name="_Toc222402319"/>
      <w:bookmarkEnd w:id="8"/>
      <w:r w:rsidRPr="005B237E">
        <w:rPr>
          <w:lang w:val="en-GB"/>
        </w:rPr>
        <w:lastRenderedPageBreak/>
        <w:t>5. Sustainability and Ethical Considerations</w:t>
      </w:r>
      <w:bookmarkEnd w:id="9"/>
      <w:r w:rsidRPr="005B237E">
        <w:rPr>
          <w:lang w:val="en-GB"/>
        </w:rPr>
        <w:t xml:space="preserve"> </w:t>
      </w:r>
    </w:p>
    <w:p w14:paraId="3024105F" w14:textId="77777777" w:rsidR="00412914" w:rsidRPr="005B237E" w:rsidRDefault="00023FDA">
      <w:pPr>
        <w:spacing w:line="360" w:lineRule="auto"/>
        <w:jc w:val="both"/>
        <w:rPr>
          <w:b/>
          <w:bCs/>
          <w:lang w:val="en-GB"/>
        </w:rPr>
      </w:pPr>
      <w:r w:rsidRPr="005B237E">
        <w:rPr>
          <w:b/>
          <w:bCs/>
          <w:lang w:val="en-GB"/>
        </w:rPr>
        <w:t>The way Sainsbury’s integrates sustainability into its financial decision-making</w:t>
      </w:r>
    </w:p>
    <w:p w14:paraId="7294D94F" w14:textId="77777777" w:rsidR="00412914" w:rsidRPr="005B237E" w:rsidRDefault="00023FDA">
      <w:pPr>
        <w:spacing w:line="360" w:lineRule="auto"/>
        <w:jc w:val="both"/>
        <w:rPr>
          <w:lang w:val="en-GB"/>
        </w:rPr>
      </w:pPr>
      <w:r w:rsidRPr="005B237E">
        <w:rPr>
          <w:lang w:val="en-GB"/>
        </w:rPr>
        <w:t>The pr</w:t>
      </w:r>
      <w:r w:rsidR="00EC02D9">
        <w:rPr>
          <w:lang w:val="en-GB"/>
        </w:rPr>
        <w:t>actice</w:t>
      </w:r>
      <w:r w:rsidRPr="005B237E">
        <w:rPr>
          <w:lang w:val="en-GB"/>
        </w:rPr>
        <w:t xml:space="preserve"> of integrating sustainable measures in managing core business operations enhances the functional credibility of a business venture in securing positive perception in the industry. Sainsbury’s primarily integrates sustainability into its financial decision making based on its </w:t>
      </w:r>
      <w:r w:rsidRPr="005B237E">
        <w:rPr>
          <w:i/>
          <w:iCs/>
          <w:lang w:val="en-GB"/>
        </w:rPr>
        <w:t>“Plan for Better”</w:t>
      </w:r>
      <w:r w:rsidRPr="005B237E">
        <w:rPr>
          <w:lang w:val="en-GB"/>
        </w:rPr>
        <w:t xml:space="preserve"> strategies. As a result of this, the brand has invested a staggering £1 billion in its operational governance for achieving </w:t>
      </w:r>
      <w:r w:rsidRPr="005B237E">
        <w:rPr>
          <w:i/>
          <w:iCs/>
          <w:lang w:val="en-GB"/>
        </w:rPr>
        <w:t>“Net Zero emissions”</w:t>
      </w:r>
      <w:r w:rsidRPr="005B237E">
        <w:rPr>
          <w:lang w:val="en-GB"/>
        </w:rPr>
        <w:t xml:space="preserve"> by 2035 (Corporate.sainsburys, 2025). Moreover, the brand has invested £25 million during FY 2025 for developing “Smart Charge” EV network to ensure energy efficiency. </w:t>
      </w:r>
    </w:p>
    <w:p w14:paraId="5361B2DE" w14:textId="77777777" w:rsidR="00412914" w:rsidRPr="005B237E" w:rsidRDefault="00023FDA">
      <w:pPr>
        <w:spacing w:line="360" w:lineRule="auto"/>
        <w:jc w:val="both"/>
        <w:rPr>
          <w:lang w:val="en-GB"/>
        </w:rPr>
      </w:pPr>
      <w:r w:rsidRPr="005B237E">
        <w:rPr>
          <w:noProof/>
          <w:lang w:val="en-GB" w:eastAsia="en-GB"/>
        </w:rPr>
        <w:drawing>
          <wp:inline distT="114300" distB="114300" distL="114300" distR="114300" wp14:anchorId="4047FD9E" wp14:editId="24D97C61">
            <wp:extent cx="5731200" cy="23368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200" cy="2336800"/>
                    </a:xfrm>
                    <a:prstGeom prst="rect">
                      <a:avLst/>
                    </a:prstGeom>
                    <a:ln w="12700">
                      <a:solidFill>
                        <a:srgbClr val="000000"/>
                      </a:solidFill>
                      <a:prstDash val="solid"/>
                    </a:ln>
                  </pic:spPr>
                </pic:pic>
              </a:graphicData>
            </a:graphic>
          </wp:inline>
        </w:drawing>
      </w:r>
    </w:p>
    <w:p w14:paraId="6617E28F" w14:textId="77777777" w:rsidR="00412914" w:rsidRPr="005B237E" w:rsidRDefault="00023FDA">
      <w:pPr>
        <w:spacing w:line="360" w:lineRule="auto"/>
        <w:jc w:val="center"/>
        <w:rPr>
          <w:b/>
          <w:bCs/>
          <w:lang w:val="en-GB"/>
        </w:rPr>
      </w:pPr>
      <w:r w:rsidRPr="005B237E">
        <w:rPr>
          <w:b/>
          <w:bCs/>
          <w:lang w:val="en-GB"/>
        </w:rPr>
        <w:t xml:space="preserve">Figure 7: Sustainability targets for Sainsbury’s </w:t>
      </w:r>
    </w:p>
    <w:p w14:paraId="3D5B8814" w14:textId="77777777" w:rsidR="00412914" w:rsidRPr="005B237E" w:rsidRDefault="00023FDA">
      <w:pPr>
        <w:spacing w:line="360" w:lineRule="auto"/>
        <w:jc w:val="center"/>
        <w:rPr>
          <w:lang w:val="en-GB"/>
        </w:rPr>
      </w:pPr>
      <w:r w:rsidRPr="005B237E">
        <w:rPr>
          <w:lang w:val="en-GB"/>
        </w:rPr>
        <w:t>(Source: Corporate.sainsburys, 2025)</w:t>
      </w:r>
    </w:p>
    <w:p w14:paraId="7B8031F7" w14:textId="77777777" w:rsidR="00412914" w:rsidRPr="005B237E" w:rsidRDefault="00023FDA">
      <w:pPr>
        <w:spacing w:line="360" w:lineRule="auto"/>
        <w:jc w:val="both"/>
        <w:rPr>
          <w:lang w:val="en-GB"/>
        </w:rPr>
      </w:pPr>
      <w:r w:rsidRPr="005B237E">
        <w:rPr>
          <w:i/>
          <w:iCs/>
          <w:lang w:val="en-GB"/>
        </w:rPr>
        <w:t>Reduction in overall emission, eliminating the plastic packaging and reducing the overall food waste</w:t>
      </w:r>
      <w:r w:rsidRPr="005B237E">
        <w:rPr>
          <w:lang w:val="en-GB"/>
        </w:rPr>
        <w:t xml:space="preserve"> are considered to be some of the major elements that </w:t>
      </w:r>
      <w:r w:rsidR="00EC02D9" w:rsidRPr="005B237E">
        <w:rPr>
          <w:lang w:val="en-GB"/>
        </w:rPr>
        <w:t>Sainsbury’s</w:t>
      </w:r>
      <w:r w:rsidRPr="005B237E">
        <w:rPr>
          <w:lang w:val="en-GB"/>
        </w:rPr>
        <w:t xml:space="preserve"> are targeting to achieve in the industry. Thus, investments are being made as a part of </w:t>
      </w:r>
      <w:r w:rsidRPr="005B237E">
        <w:rPr>
          <w:i/>
          <w:iCs/>
          <w:lang w:val="en-GB"/>
        </w:rPr>
        <w:t xml:space="preserve">“Plan for Better” </w:t>
      </w:r>
      <w:r w:rsidRPr="005B237E">
        <w:rPr>
          <w:lang w:val="en-GB"/>
        </w:rPr>
        <w:t xml:space="preserve">strategies so that integrating sustainable standards can be there to ensure accurate financial decision making. Apart from that, Sainsbury’s have started to invest heavily on automation nowadays to ensure 100% recyclable or reusable packaging for eliminating the usage of single use plastic from its global operations as a part of meeting ESG standards. </w:t>
      </w:r>
    </w:p>
    <w:p w14:paraId="0009D49C" w14:textId="77777777" w:rsidR="00412914" w:rsidRPr="005B237E" w:rsidRDefault="00023FDA">
      <w:pPr>
        <w:spacing w:line="360" w:lineRule="auto"/>
        <w:jc w:val="center"/>
        <w:rPr>
          <w:b/>
          <w:bCs/>
          <w:lang w:val="en-GB"/>
        </w:rPr>
      </w:pPr>
      <w:r w:rsidRPr="005B237E">
        <w:rPr>
          <w:b/>
          <w:bCs/>
          <w:noProof/>
          <w:lang w:val="en-GB" w:eastAsia="en-GB"/>
        </w:rPr>
        <w:lastRenderedPageBreak/>
        <w:drawing>
          <wp:inline distT="114300" distB="114300" distL="114300" distR="114300" wp14:anchorId="468550E2" wp14:editId="037CB80F">
            <wp:extent cx="5731200" cy="3403600"/>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731200" cy="3403600"/>
                    </a:xfrm>
                    <a:prstGeom prst="rect">
                      <a:avLst/>
                    </a:prstGeom>
                    <a:ln w="12700">
                      <a:solidFill>
                        <a:srgbClr val="000000"/>
                      </a:solidFill>
                      <a:prstDash val="solid"/>
                    </a:ln>
                  </pic:spPr>
                </pic:pic>
              </a:graphicData>
            </a:graphic>
          </wp:inline>
        </w:drawing>
      </w:r>
    </w:p>
    <w:p w14:paraId="142E0C29" w14:textId="77777777" w:rsidR="00412914" w:rsidRPr="005B237E" w:rsidRDefault="00023FDA">
      <w:pPr>
        <w:spacing w:line="360" w:lineRule="auto"/>
        <w:jc w:val="center"/>
        <w:rPr>
          <w:b/>
          <w:bCs/>
          <w:lang w:val="en-GB"/>
        </w:rPr>
      </w:pPr>
      <w:r w:rsidRPr="005B237E">
        <w:rPr>
          <w:b/>
          <w:bCs/>
          <w:lang w:val="en-GB"/>
        </w:rPr>
        <w:t xml:space="preserve">Figure 8: Strategies for meeting ESG standards by Sainsbury’s </w:t>
      </w:r>
    </w:p>
    <w:p w14:paraId="4595502C" w14:textId="77777777" w:rsidR="00412914" w:rsidRPr="005B237E" w:rsidRDefault="00023FDA">
      <w:pPr>
        <w:spacing w:line="360" w:lineRule="auto"/>
        <w:jc w:val="center"/>
        <w:rPr>
          <w:b/>
          <w:bCs/>
          <w:lang w:val="en-GB"/>
        </w:rPr>
      </w:pPr>
      <w:r w:rsidRPr="005B237E">
        <w:rPr>
          <w:lang w:val="en-GB"/>
        </w:rPr>
        <w:t>(Source: Corporate.sainsburys, 2025)</w:t>
      </w:r>
    </w:p>
    <w:p w14:paraId="0C316FDD" w14:textId="77777777" w:rsidR="00412914" w:rsidRPr="005B237E" w:rsidRDefault="00023FDA">
      <w:pPr>
        <w:spacing w:line="360" w:lineRule="auto"/>
        <w:rPr>
          <w:b/>
          <w:bCs/>
          <w:lang w:val="en-GB"/>
        </w:rPr>
      </w:pPr>
      <w:r w:rsidRPr="005B237E">
        <w:rPr>
          <w:b/>
          <w:bCs/>
          <w:lang w:val="en-GB"/>
        </w:rPr>
        <w:t>Ethical considerations in cost management and pricing strategies</w:t>
      </w:r>
    </w:p>
    <w:p w14:paraId="5F9D244F" w14:textId="77777777" w:rsidR="00412914" w:rsidRPr="005B237E" w:rsidRDefault="00023FDA">
      <w:pPr>
        <w:spacing w:line="360" w:lineRule="auto"/>
        <w:jc w:val="both"/>
        <w:rPr>
          <w:lang w:val="en-GB"/>
        </w:rPr>
      </w:pPr>
      <w:r w:rsidRPr="005B237E">
        <w:rPr>
          <w:lang w:val="en-GB"/>
        </w:rPr>
        <w:t>Ethical practices in determining pricing strategies must focus on balancing overall transparency along with social accountability from a brand’s perspective. As a part of ethical measures in cost management and pricing strategies, Sainsbury’s must focus on avoiding “</w:t>
      </w:r>
      <w:r w:rsidRPr="005B237E">
        <w:rPr>
          <w:i/>
          <w:iCs/>
          <w:lang w:val="en-GB"/>
        </w:rPr>
        <w:t>predatory pricing and price gouging”</w:t>
      </w:r>
      <w:r w:rsidRPr="005B237E">
        <w:rPr>
          <w:lang w:val="en-GB"/>
        </w:rPr>
        <w:t xml:space="preserve"> to ensure transparency and honesty to keep the balance intact. </w:t>
      </w:r>
      <w:r w:rsidRPr="005B237E">
        <w:rPr>
          <w:i/>
          <w:iCs/>
          <w:lang w:val="en-GB"/>
        </w:rPr>
        <w:t>Price gouging</w:t>
      </w:r>
      <w:r w:rsidRPr="005B237E">
        <w:rPr>
          <w:lang w:val="en-GB"/>
        </w:rPr>
        <w:t xml:space="preserve"> is all about setting high price points for any product during shortages, which often lead to consumer exploitation at times. Apart from that, </w:t>
      </w:r>
      <w:r w:rsidRPr="005B237E">
        <w:rPr>
          <w:i/>
          <w:iCs/>
          <w:lang w:val="en-GB"/>
        </w:rPr>
        <w:t>predatory pricing</w:t>
      </w:r>
      <w:r w:rsidRPr="005B237E">
        <w:rPr>
          <w:lang w:val="en-GB"/>
        </w:rPr>
        <w:t xml:space="preserve"> is about setting the selling price below the production costs to nullify the market competition. Both of these measures often lead to market monopoly at times. Hence, </w:t>
      </w:r>
      <w:r w:rsidRPr="005B237E">
        <w:rPr>
          <w:i/>
          <w:iCs/>
          <w:lang w:val="en-GB"/>
        </w:rPr>
        <w:t xml:space="preserve">honesty, </w:t>
      </w:r>
      <w:r w:rsidR="00EC02D9" w:rsidRPr="005B237E">
        <w:rPr>
          <w:i/>
          <w:iCs/>
          <w:lang w:val="en-GB"/>
        </w:rPr>
        <w:t>accountability,</w:t>
      </w:r>
      <w:r w:rsidRPr="005B237E">
        <w:rPr>
          <w:i/>
          <w:iCs/>
          <w:lang w:val="en-GB"/>
        </w:rPr>
        <w:t xml:space="preserve"> and transparency </w:t>
      </w:r>
      <w:r w:rsidRPr="005B237E">
        <w:rPr>
          <w:lang w:val="en-GB"/>
        </w:rPr>
        <w:t xml:space="preserve">should be there as a part of ethical consideration to avoid such measures in cost management and pricing strategies. </w:t>
      </w:r>
    </w:p>
    <w:p w14:paraId="2A86DF4A" w14:textId="77777777" w:rsidR="00412914" w:rsidRPr="005B237E" w:rsidRDefault="00412914">
      <w:pPr>
        <w:spacing w:line="360" w:lineRule="auto"/>
        <w:rPr>
          <w:b/>
          <w:bCs/>
          <w:lang w:val="en-GB"/>
        </w:rPr>
      </w:pPr>
    </w:p>
    <w:p w14:paraId="1330E5A3" w14:textId="77777777" w:rsidR="00412914" w:rsidRPr="005B237E" w:rsidRDefault="00412914">
      <w:pPr>
        <w:spacing w:line="360" w:lineRule="auto"/>
        <w:rPr>
          <w:b/>
          <w:bCs/>
          <w:lang w:val="en-GB"/>
        </w:rPr>
      </w:pPr>
    </w:p>
    <w:p w14:paraId="55E66A31" w14:textId="77777777" w:rsidR="00412914" w:rsidRPr="005B237E" w:rsidRDefault="00023FDA">
      <w:pPr>
        <w:spacing w:line="360" w:lineRule="auto"/>
        <w:rPr>
          <w:b/>
          <w:bCs/>
          <w:lang w:val="en-GB"/>
        </w:rPr>
      </w:pPr>
      <w:r w:rsidRPr="005B237E">
        <w:rPr>
          <w:lang w:val="en-GB"/>
        </w:rPr>
        <w:br w:type="page"/>
      </w:r>
    </w:p>
    <w:p w14:paraId="0384BAB0" w14:textId="77777777" w:rsidR="00412914" w:rsidRPr="005B237E" w:rsidRDefault="00023FDA">
      <w:pPr>
        <w:pStyle w:val="Heading1"/>
        <w:rPr>
          <w:lang w:val="en-GB"/>
        </w:rPr>
      </w:pPr>
      <w:bookmarkStart w:id="10" w:name="_73arsb3i3i7w" w:colFirst="0" w:colLast="0"/>
      <w:bookmarkStart w:id="11" w:name="_Toc222402320"/>
      <w:bookmarkEnd w:id="10"/>
      <w:r w:rsidRPr="005B237E">
        <w:rPr>
          <w:lang w:val="en-GB"/>
        </w:rPr>
        <w:lastRenderedPageBreak/>
        <w:t>6. Conclusion and Recommendations</w:t>
      </w:r>
      <w:bookmarkEnd w:id="11"/>
      <w:r w:rsidRPr="005B237E">
        <w:rPr>
          <w:lang w:val="en-GB"/>
        </w:rPr>
        <w:t xml:space="preserve"> </w:t>
      </w:r>
    </w:p>
    <w:p w14:paraId="15FAA019" w14:textId="77777777" w:rsidR="00412914" w:rsidRPr="005B237E" w:rsidRDefault="00023FDA">
      <w:pPr>
        <w:spacing w:line="360" w:lineRule="auto"/>
        <w:rPr>
          <w:b/>
          <w:bCs/>
          <w:i/>
          <w:iCs/>
          <w:lang w:val="en-GB"/>
        </w:rPr>
      </w:pPr>
      <w:r w:rsidRPr="005B237E">
        <w:rPr>
          <w:b/>
          <w:bCs/>
          <w:i/>
          <w:iCs/>
          <w:lang w:val="en-GB"/>
        </w:rPr>
        <w:t>Summarise findings</w:t>
      </w:r>
    </w:p>
    <w:p w14:paraId="4ADC8E5D" w14:textId="77777777" w:rsidR="00412914" w:rsidRPr="005B237E" w:rsidRDefault="00023FDA">
      <w:pPr>
        <w:spacing w:line="360" w:lineRule="auto"/>
        <w:jc w:val="both"/>
        <w:rPr>
          <w:lang w:val="en-GB"/>
        </w:rPr>
      </w:pPr>
      <w:r w:rsidRPr="005B237E">
        <w:rPr>
          <w:lang w:val="en-GB"/>
        </w:rPr>
        <w:t xml:space="preserve">This entire report has illustrated key elements regarding the financial metrics for Sainsbury’s in evaluating the way fiscal analysis influences the overall strategic decision making for the brand. The practice of identifying key budgeting needs and operational requirements helps a brand in determining financial needs beforehand. Apart from that, budgeting plays a crucial role for Sainsbury’s in aligning all its daily operations with </w:t>
      </w:r>
      <w:r w:rsidR="004C6E6F" w:rsidRPr="005B237E">
        <w:rPr>
          <w:lang w:val="en-GB"/>
        </w:rPr>
        <w:t>long-term</w:t>
      </w:r>
      <w:r w:rsidRPr="005B237E">
        <w:rPr>
          <w:lang w:val="en-GB"/>
        </w:rPr>
        <w:t xml:space="preserve"> strategic decisions so that better efficiency can be achieved. Hence, detailed illustration regarding the financial budgeting, role of </w:t>
      </w:r>
      <w:r w:rsidR="00EC02D9" w:rsidRPr="005B237E">
        <w:rPr>
          <w:lang w:val="en-GB"/>
        </w:rPr>
        <w:t>accounting,</w:t>
      </w:r>
      <w:r w:rsidRPr="005B237E">
        <w:rPr>
          <w:lang w:val="en-GB"/>
        </w:rPr>
        <w:t xml:space="preserve"> and certain KPIs have been mentioned over here as well. Moreover, various sustainable standards that Sainsbury’s prefers to integrate while managing daily operations have also been emphasised here as well. </w:t>
      </w:r>
    </w:p>
    <w:p w14:paraId="0A4E50DE" w14:textId="77777777" w:rsidR="00412914" w:rsidRPr="005B237E" w:rsidRDefault="00023FDA">
      <w:pPr>
        <w:spacing w:line="360" w:lineRule="auto"/>
        <w:rPr>
          <w:b/>
          <w:bCs/>
          <w:i/>
          <w:iCs/>
          <w:lang w:val="en-GB"/>
        </w:rPr>
      </w:pPr>
      <w:r w:rsidRPr="005B237E">
        <w:rPr>
          <w:b/>
          <w:bCs/>
          <w:i/>
          <w:iCs/>
          <w:lang w:val="en-GB"/>
        </w:rPr>
        <w:t>Recommendations based on management accounting principles</w:t>
      </w:r>
    </w:p>
    <w:p w14:paraId="79810845" w14:textId="77777777" w:rsidR="00412914" w:rsidRPr="005B237E" w:rsidRDefault="00023FDA">
      <w:pPr>
        <w:spacing w:line="360" w:lineRule="auto"/>
        <w:jc w:val="both"/>
        <w:rPr>
          <w:lang w:val="en-GB"/>
        </w:rPr>
      </w:pPr>
      <w:r w:rsidRPr="005B237E">
        <w:rPr>
          <w:b/>
          <w:bCs/>
          <w:lang w:val="en-GB"/>
        </w:rPr>
        <w:t xml:space="preserve">R1: </w:t>
      </w:r>
      <w:r w:rsidRPr="005B237E">
        <w:rPr>
          <w:lang w:val="en-GB"/>
        </w:rPr>
        <w:t xml:space="preserve">The practice of automating different tasks by using </w:t>
      </w:r>
      <w:r w:rsidRPr="005B237E">
        <w:rPr>
          <w:i/>
          <w:iCs/>
          <w:lang w:val="en-GB"/>
        </w:rPr>
        <w:t xml:space="preserve">Robotic Process Automation or RPA </w:t>
      </w:r>
      <w:r w:rsidRPr="005B237E">
        <w:rPr>
          <w:lang w:val="en-GB"/>
        </w:rPr>
        <w:t xml:space="preserve">is going to lower the overhead expenses for the brand. This is going to ensure low operating expense for the venture in improving overall efficiency to ensure process optimisation. RPA is going to be helpful for the venture in reducing human error to track all the expenditure and doing accurate inventory management. </w:t>
      </w:r>
    </w:p>
    <w:p w14:paraId="66274509" w14:textId="77777777" w:rsidR="00412914" w:rsidRPr="005B237E" w:rsidRDefault="00023FDA">
      <w:pPr>
        <w:spacing w:line="360" w:lineRule="auto"/>
        <w:jc w:val="both"/>
        <w:rPr>
          <w:lang w:val="en-GB"/>
        </w:rPr>
      </w:pPr>
      <w:r w:rsidRPr="005B237E">
        <w:rPr>
          <w:b/>
          <w:bCs/>
          <w:lang w:val="en-GB"/>
        </w:rPr>
        <w:t xml:space="preserve">R2: </w:t>
      </w:r>
      <w:r w:rsidRPr="005B237E">
        <w:rPr>
          <w:lang w:val="en-GB"/>
        </w:rPr>
        <w:t>Outsourc</w:t>
      </w:r>
      <w:r w:rsidR="00EC02D9">
        <w:rPr>
          <w:lang w:val="en-GB"/>
        </w:rPr>
        <w:t>ing non-</w:t>
      </w:r>
      <w:r w:rsidRPr="005B237E">
        <w:rPr>
          <w:lang w:val="en-GB"/>
        </w:rPr>
        <w:t xml:space="preserve">core functions such as payroll and infrastructural development along with consolidation of vendor contracts are going to be helpful for the venture in uplifting its overall gross margin in the industry. Adherence to different standards to outsource non-core functions are hoping to be fruitful for Sainsbury's in consolidating its operating income.  </w:t>
      </w:r>
    </w:p>
    <w:p w14:paraId="0B9061C9" w14:textId="77777777" w:rsidR="00412914" w:rsidRPr="005B237E" w:rsidRDefault="00412914">
      <w:pPr>
        <w:spacing w:line="360" w:lineRule="auto"/>
        <w:rPr>
          <w:b/>
          <w:bCs/>
          <w:lang w:val="en-GB"/>
        </w:rPr>
      </w:pPr>
    </w:p>
    <w:p w14:paraId="3D0404A2" w14:textId="77777777" w:rsidR="00412914" w:rsidRPr="005B237E" w:rsidRDefault="00023FDA">
      <w:pPr>
        <w:spacing w:line="360" w:lineRule="auto"/>
        <w:rPr>
          <w:b/>
          <w:bCs/>
          <w:lang w:val="en-GB"/>
        </w:rPr>
      </w:pPr>
      <w:r w:rsidRPr="005B237E">
        <w:rPr>
          <w:lang w:val="en-GB"/>
        </w:rPr>
        <w:br w:type="page"/>
      </w:r>
    </w:p>
    <w:p w14:paraId="5E327F8F" w14:textId="77777777" w:rsidR="00412914" w:rsidRPr="005B237E" w:rsidRDefault="00023FDA" w:rsidP="00EC02D9">
      <w:pPr>
        <w:pStyle w:val="Heading1"/>
        <w:rPr>
          <w:lang w:val="en-GB"/>
        </w:rPr>
      </w:pPr>
      <w:bookmarkStart w:id="12" w:name="_vf1symcos1nt" w:colFirst="0" w:colLast="0"/>
      <w:bookmarkStart w:id="13" w:name="_Toc222402321"/>
      <w:bookmarkEnd w:id="12"/>
      <w:r w:rsidRPr="005B237E">
        <w:rPr>
          <w:lang w:val="en-GB"/>
        </w:rPr>
        <w:lastRenderedPageBreak/>
        <w:t>7. Reference List</w:t>
      </w:r>
      <w:bookmarkEnd w:id="13"/>
    </w:p>
    <w:p w14:paraId="52548071" w14:textId="77777777" w:rsidR="00EC02D9" w:rsidRPr="00EC02D9" w:rsidRDefault="00EC02D9" w:rsidP="00EC02D9">
      <w:pPr>
        <w:spacing w:line="360" w:lineRule="auto"/>
        <w:jc w:val="both"/>
        <w:rPr>
          <w:sz w:val="24"/>
          <w:szCs w:val="24"/>
          <w:lang w:val="en-GB"/>
        </w:rPr>
      </w:pPr>
      <w:r w:rsidRPr="00EC02D9">
        <w:rPr>
          <w:lang w:val="en-GB"/>
        </w:rPr>
        <w:t xml:space="preserve">Atrill, P. and McLaney, E.J. (2019). </w:t>
      </w:r>
      <w:r w:rsidRPr="004C6E6F">
        <w:rPr>
          <w:i/>
          <w:lang w:val="en-GB"/>
        </w:rPr>
        <w:t>Accounting and finance for non-specialists.</w:t>
      </w:r>
      <w:r>
        <w:rPr>
          <w:lang w:val="en-GB"/>
        </w:rPr>
        <w:t xml:space="preserve"> 11th ed. </w:t>
      </w:r>
      <w:r w:rsidRPr="00EC02D9">
        <w:rPr>
          <w:lang w:val="en-GB"/>
        </w:rPr>
        <w:t>Harlow: Pearson.</w:t>
      </w:r>
    </w:p>
    <w:p w14:paraId="0ED053AF" w14:textId="77777777" w:rsidR="00EC02D9" w:rsidRPr="00EC02D9" w:rsidRDefault="00EC02D9" w:rsidP="00EC02D9">
      <w:pPr>
        <w:spacing w:line="360" w:lineRule="auto"/>
        <w:jc w:val="both"/>
        <w:rPr>
          <w:lang w:val="en-GB"/>
        </w:rPr>
      </w:pPr>
      <w:r w:rsidRPr="00EC02D9">
        <w:rPr>
          <w:lang w:val="en-GB"/>
        </w:rPr>
        <w:t xml:space="preserve">Atrill, P. and McLaney, E.J. (2021). </w:t>
      </w:r>
      <w:r w:rsidRPr="004C6E6F">
        <w:rPr>
          <w:i/>
          <w:lang w:val="en-GB"/>
        </w:rPr>
        <w:t>Management accounting for decision makers.</w:t>
      </w:r>
      <w:r w:rsidRPr="00EC02D9">
        <w:rPr>
          <w:lang w:val="en-GB"/>
        </w:rPr>
        <w:t xml:space="preserve"> 10th ed. Harlow: Pearson.</w:t>
      </w:r>
    </w:p>
    <w:p w14:paraId="692711E0" w14:textId="77777777" w:rsidR="00EC02D9" w:rsidRPr="00EC02D9" w:rsidRDefault="00EC02D9" w:rsidP="00EC02D9">
      <w:pPr>
        <w:spacing w:line="360" w:lineRule="auto"/>
        <w:jc w:val="both"/>
        <w:rPr>
          <w:lang w:val="en-GB"/>
        </w:rPr>
      </w:pPr>
      <w:r w:rsidRPr="00EC02D9">
        <w:rPr>
          <w:lang w:val="en-GB"/>
        </w:rPr>
        <w:t>Corporate.sainsburys. (2025).Available at: https://corporate.sainsburys.co.uk/media/dfkfh1jr/sainsburys-plan-for-better-report-2024-25.pdf. [Accessed 19 Feb. 2026].</w:t>
      </w:r>
    </w:p>
    <w:p w14:paraId="1AE5AC26" w14:textId="77777777" w:rsidR="00EC02D9" w:rsidRPr="00EC02D9" w:rsidRDefault="00EC02D9" w:rsidP="00EC02D9">
      <w:pPr>
        <w:spacing w:line="360" w:lineRule="auto"/>
        <w:jc w:val="both"/>
        <w:rPr>
          <w:lang w:val="en-GB"/>
        </w:rPr>
      </w:pPr>
      <w:r w:rsidRPr="00EC02D9">
        <w:rPr>
          <w:lang w:val="en-GB"/>
        </w:rPr>
        <w:t>Corporate.sainsburys. (2026). Available at: https://corporate.sainsburys.co.uk/media/e1lfnybd/sainsbury-annual-report-and-financial-statements-2025.pdf. [Accessed 19 Feb. 2026].</w:t>
      </w:r>
    </w:p>
    <w:p w14:paraId="7809E540" w14:textId="77777777" w:rsidR="00EC02D9" w:rsidRPr="00EC02D9" w:rsidRDefault="00EC02D9" w:rsidP="00EC02D9">
      <w:pPr>
        <w:spacing w:line="360" w:lineRule="auto"/>
        <w:jc w:val="both"/>
        <w:rPr>
          <w:lang w:val="en-GB"/>
        </w:rPr>
      </w:pPr>
      <w:r w:rsidRPr="00EC02D9">
        <w:rPr>
          <w:lang w:val="en-GB"/>
        </w:rPr>
        <w:t xml:space="preserve">Drury, C. (2015). </w:t>
      </w:r>
      <w:r w:rsidRPr="004C6E6F">
        <w:rPr>
          <w:i/>
          <w:lang w:val="en-GB"/>
        </w:rPr>
        <w:t>Management and cost accounting Student manual.</w:t>
      </w:r>
      <w:r w:rsidRPr="00EC02D9">
        <w:rPr>
          <w:lang w:val="en-GB"/>
        </w:rPr>
        <w:t xml:space="preserve"> 9th ed. Andover: Cengage Learning.</w:t>
      </w:r>
    </w:p>
    <w:p w14:paraId="2EACB1FA" w14:textId="77777777" w:rsidR="00EC02D9" w:rsidRPr="00EC02D9" w:rsidRDefault="00EC02D9" w:rsidP="00EC02D9">
      <w:pPr>
        <w:spacing w:line="360" w:lineRule="auto"/>
        <w:jc w:val="both"/>
        <w:rPr>
          <w:lang w:val="en-GB"/>
        </w:rPr>
      </w:pPr>
      <w:r w:rsidRPr="00EC02D9">
        <w:rPr>
          <w:lang w:val="en-GB"/>
        </w:rPr>
        <w:t xml:space="preserve">Google.Finance. (2026). </w:t>
      </w:r>
      <w:r w:rsidRPr="00EC02D9">
        <w:rPr>
          <w:i/>
          <w:iCs/>
          <w:lang w:val="en-GB"/>
        </w:rPr>
        <w:t>J Sainsbury PLC (SUY) Stock price and news – Google Finance</w:t>
      </w:r>
      <w:r w:rsidRPr="00EC02D9">
        <w:rPr>
          <w:lang w:val="en-GB"/>
        </w:rPr>
        <w:t>. [online] Available at: https://www.google.com/finance/beta/quote/SUY:FRA?tab=financials [Accessed 19 Feb. 2026].</w:t>
      </w:r>
    </w:p>
    <w:p w14:paraId="323482B0" w14:textId="77777777" w:rsidR="00EC02D9" w:rsidRPr="00EC02D9" w:rsidRDefault="00EC02D9" w:rsidP="00EC02D9">
      <w:pPr>
        <w:spacing w:line="360" w:lineRule="auto"/>
        <w:jc w:val="both"/>
        <w:rPr>
          <w:lang w:val="en-GB"/>
        </w:rPr>
      </w:pPr>
      <w:r w:rsidRPr="00EC02D9">
        <w:rPr>
          <w:lang w:val="en-GB"/>
        </w:rPr>
        <w:t xml:space="preserve">Radojev, H. (2026). </w:t>
      </w:r>
      <w:r w:rsidRPr="00EC02D9">
        <w:rPr>
          <w:i/>
          <w:iCs/>
          <w:lang w:val="en-GB"/>
        </w:rPr>
        <w:t>Sainsbury’s Taste the Difference range tops £2bn in sales</w:t>
      </w:r>
      <w:r w:rsidRPr="00EC02D9">
        <w:rPr>
          <w:lang w:val="en-GB"/>
        </w:rPr>
        <w:t>. [online] Retail Week. Available at: https://www.retail-week.com/grocery/sainsburys-taste-the-difference-range-tops-2bn-in-sales/7050566.article [Accessed 19 Feb. 2026].</w:t>
      </w:r>
    </w:p>
    <w:p w14:paraId="23865CA0" w14:textId="77777777" w:rsidR="00EC02D9" w:rsidRPr="00EC02D9" w:rsidRDefault="00EC02D9" w:rsidP="00EC02D9">
      <w:pPr>
        <w:spacing w:line="360" w:lineRule="auto"/>
        <w:jc w:val="both"/>
        <w:rPr>
          <w:lang w:val="en-GB"/>
        </w:rPr>
      </w:pPr>
      <w:r w:rsidRPr="00EC02D9">
        <w:rPr>
          <w:lang w:val="en-GB"/>
        </w:rPr>
        <w:t xml:space="preserve">Rhode, S. and Garrison, N. (2019) </w:t>
      </w:r>
      <w:r w:rsidRPr="004C6E6F">
        <w:rPr>
          <w:i/>
          <w:lang w:val="en-GB"/>
        </w:rPr>
        <w:t>Management Accounting.</w:t>
      </w:r>
      <w:r w:rsidRPr="00EC02D9">
        <w:rPr>
          <w:lang w:val="en-GB"/>
        </w:rPr>
        <w:t xml:space="preserve"> Sixth edition. London, England: McGraw Hill</w:t>
      </w:r>
    </w:p>
    <w:p w14:paraId="749C32EC" w14:textId="77777777" w:rsidR="00EC02D9" w:rsidRPr="00EC02D9" w:rsidRDefault="00EC02D9" w:rsidP="00EC02D9">
      <w:pPr>
        <w:spacing w:line="360" w:lineRule="auto"/>
        <w:jc w:val="both"/>
        <w:rPr>
          <w:lang w:val="en-GB"/>
        </w:rPr>
      </w:pPr>
      <w:r w:rsidRPr="00EC02D9">
        <w:rPr>
          <w:lang w:val="en-GB"/>
        </w:rPr>
        <w:t xml:space="preserve">Sainsburys (2026). </w:t>
      </w:r>
      <w:r w:rsidRPr="00EC02D9">
        <w:rPr>
          <w:i/>
          <w:iCs/>
          <w:lang w:val="en-GB"/>
        </w:rPr>
        <w:t>Sainsbury’s</w:t>
      </w:r>
      <w:r w:rsidRPr="00EC02D9">
        <w:rPr>
          <w:lang w:val="en-GB"/>
        </w:rPr>
        <w:t>. [online] Available at: https://www.sainsburys.co.uk/ [Accessed 19 Feb. 2026].</w:t>
      </w:r>
    </w:p>
    <w:p w14:paraId="275A8EE8" w14:textId="77777777" w:rsidR="00EC02D9" w:rsidRPr="00EC02D9" w:rsidRDefault="00EC02D9" w:rsidP="00EC02D9">
      <w:pPr>
        <w:spacing w:line="360" w:lineRule="auto"/>
        <w:jc w:val="both"/>
        <w:rPr>
          <w:lang w:val="en-GB"/>
        </w:rPr>
      </w:pPr>
      <w:r w:rsidRPr="00EC02D9">
        <w:rPr>
          <w:lang w:val="en-GB"/>
        </w:rPr>
        <w:t xml:space="preserve">Statista. (2025). </w:t>
      </w:r>
      <w:r w:rsidRPr="00EC02D9">
        <w:rPr>
          <w:i/>
          <w:iCs/>
          <w:lang w:val="en-GB"/>
        </w:rPr>
        <w:t>Sainsbury’s performance: customer evaluation UK 2015| Statista</w:t>
      </w:r>
      <w:r w:rsidRPr="00EC02D9">
        <w:rPr>
          <w:lang w:val="en-GB"/>
        </w:rPr>
        <w:t>. [online] Available at: https://www.statista.com/statistics/534508/uk-sainsburys-supermarket-performances-customer-evaluation/#:~:text=Sainsbury's:%20customer%20evaluation%20of%20performance,or%20five%20for%20product%20availability. [Accessed 19 Feb. 2026].</w:t>
      </w:r>
    </w:p>
    <w:p w14:paraId="582927D5" w14:textId="77777777" w:rsidR="00EC02D9" w:rsidRPr="00EC02D9" w:rsidRDefault="00EC02D9" w:rsidP="00EC02D9">
      <w:pPr>
        <w:spacing w:line="360" w:lineRule="auto"/>
        <w:jc w:val="both"/>
        <w:rPr>
          <w:lang w:val="en-GB"/>
        </w:rPr>
      </w:pPr>
      <w:r w:rsidRPr="00EC02D9">
        <w:rPr>
          <w:lang w:val="en-GB"/>
        </w:rPr>
        <w:t xml:space="preserve">Weetman, P. (2013). </w:t>
      </w:r>
      <w:r w:rsidRPr="004C6E6F">
        <w:rPr>
          <w:i/>
          <w:lang w:val="en-GB"/>
        </w:rPr>
        <w:t>Financial and management accounting: an introduction.</w:t>
      </w:r>
      <w:r w:rsidRPr="00EC02D9">
        <w:rPr>
          <w:lang w:val="en-GB"/>
        </w:rPr>
        <w:t xml:space="preserve"> 6th ed. Harlow: Pearson Education.</w:t>
      </w:r>
    </w:p>
    <w:p w14:paraId="3DE9F025" w14:textId="77777777" w:rsidR="00412914" w:rsidRPr="00EC02D9" w:rsidRDefault="00EC02D9" w:rsidP="00EC02D9">
      <w:pPr>
        <w:spacing w:line="360" w:lineRule="auto"/>
        <w:jc w:val="both"/>
        <w:rPr>
          <w:lang w:val="en-GB"/>
        </w:rPr>
      </w:pPr>
      <w:r w:rsidRPr="00EC02D9">
        <w:rPr>
          <w:lang w:val="en-GB"/>
        </w:rPr>
        <w:t xml:space="preserve">Yahoo Finance. (2026). </w:t>
      </w:r>
      <w:r w:rsidRPr="00EC02D9">
        <w:rPr>
          <w:i/>
          <w:iCs/>
          <w:lang w:val="en-GB"/>
        </w:rPr>
        <w:t>J Sainsbury plc (SBRY.L) Income Statement - Yahoo Finance</w:t>
      </w:r>
      <w:r w:rsidRPr="00EC02D9">
        <w:rPr>
          <w:lang w:val="en-GB"/>
        </w:rPr>
        <w:t>. [online] Available at: https://finance.yahoo.com/quote/SBRY.L/financials/ [Accessed 19 Feb. 2026].</w:t>
      </w:r>
    </w:p>
    <w:p w14:paraId="52AE8625" w14:textId="77777777" w:rsidR="00412914" w:rsidRPr="005B237E" w:rsidRDefault="00023FDA" w:rsidP="00EC02D9">
      <w:pPr>
        <w:spacing w:line="360" w:lineRule="auto"/>
        <w:rPr>
          <w:sz w:val="24"/>
          <w:szCs w:val="24"/>
          <w:lang w:val="en-GB"/>
        </w:rPr>
      </w:pPr>
      <w:r w:rsidRPr="005B237E">
        <w:rPr>
          <w:sz w:val="24"/>
          <w:szCs w:val="24"/>
          <w:lang w:val="en-GB"/>
        </w:rPr>
        <w:t>‌</w:t>
      </w:r>
    </w:p>
    <w:p w14:paraId="0C5D16F5" w14:textId="77777777" w:rsidR="00412914" w:rsidRPr="005B237E" w:rsidRDefault="00412914" w:rsidP="00EC02D9">
      <w:pPr>
        <w:spacing w:line="360" w:lineRule="auto"/>
        <w:rPr>
          <w:sz w:val="24"/>
          <w:szCs w:val="24"/>
          <w:lang w:val="en-GB"/>
        </w:rPr>
      </w:pPr>
    </w:p>
    <w:p w14:paraId="6A465C7D" w14:textId="77777777" w:rsidR="00412914" w:rsidRPr="005B237E" w:rsidRDefault="00412914" w:rsidP="00EC02D9">
      <w:pPr>
        <w:spacing w:line="360" w:lineRule="auto"/>
        <w:jc w:val="both"/>
        <w:rPr>
          <w:sz w:val="24"/>
          <w:szCs w:val="24"/>
          <w:lang w:val="en-GB"/>
        </w:rPr>
      </w:pPr>
    </w:p>
    <w:p w14:paraId="28571D0D" w14:textId="77777777" w:rsidR="00412914" w:rsidRPr="005B237E" w:rsidRDefault="00023FDA" w:rsidP="004C6E6F">
      <w:pPr>
        <w:spacing w:before="240" w:after="240" w:line="360" w:lineRule="auto"/>
        <w:jc w:val="both"/>
        <w:rPr>
          <w:lang w:val="en-GB"/>
        </w:rPr>
      </w:pPr>
      <w:r w:rsidRPr="005B237E">
        <w:rPr>
          <w:sz w:val="24"/>
          <w:szCs w:val="24"/>
          <w:lang w:val="en-GB"/>
        </w:rPr>
        <w:t>‌</w:t>
      </w:r>
    </w:p>
    <w:sectPr w:rsidR="00412914" w:rsidRPr="005B237E" w:rsidSect="005B237E">
      <w:footerReference w:type="default" r:id="rId15"/>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51FE97" w14:textId="77777777" w:rsidR="002A3DB4" w:rsidRDefault="002A3DB4" w:rsidP="005B237E">
      <w:pPr>
        <w:spacing w:line="240" w:lineRule="auto"/>
      </w:pPr>
      <w:r>
        <w:separator/>
      </w:r>
    </w:p>
  </w:endnote>
  <w:endnote w:type="continuationSeparator" w:id="0">
    <w:p w14:paraId="3644E0F1" w14:textId="77777777" w:rsidR="002A3DB4" w:rsidRDefault="002A3DB4" w:rsidP="005B23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DD58BFC4-66F8-44E9-A1E3-BC1A4566A33F}"/>
  </w:font>
  <w:font w:name="Cambria">
    <w:panose1 w:val="02040503050406030204"/>
    <w:charset w:val="00"/>
    <w:family w:val="roman"/>
    <w:pitch w:val="variable"/>
    <w:sig w:usb0="E00006FF" w:usb1="420024FF" w:usb2="02000000" w:usb3="00000000" w:csb0="0000019F" w:csb1="00000000"/>
    <w:embedRegular r:id="rId2" w:fontKey="{94E1FF2B-754C-402F-8D0D-AFE49822A1D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9588185"/>
      <w:docPartObj>
        <w:docPartGallery w:val="Page Numbers (Bottom of Page)"/>
        <w:docPartUnique/>
      </w:docPartObj>
    </w:sdtPr>
    <w:sdtEndPr>
      <w:rPr>
        <w:noProof/>
      </w:rPr>
    </w:sdtEndPr>
    <w:sdtContent>
      <w:p w14:paraId="7BD8B890" w14:textId="77777777" w:rsidR="005B237E" w:rsidRDefault="005B237E">
        <w:pPr>
          <w:pStyle w:val="Footer"/>
          <w:jc w:val="right"/>
        </w:pPr>
        <w:r>
          <w:fldChar w:fldCharType="begin"/>
        </w:r>
        <w:r>
          <w:instrText xml:space="preserve"> PAGE   \* MERGEFORMAT </w:instrText>
        </w:r>
        <w:r>
          <w:fldChar w:fldCharType="separate"/>
        </w:r>
        <w:r w:rsidR="004C6E6F">
          <w:rPr>
            <w:noProof/>
          </w:rPr>
          <w:t>14</w:t>
        </w:r>
        <w:r>
          <w:rPr>
            <w:noProof/>
          </w:rPr>
          <w:fldChar w:fldCharType="end"/>
        </w:r>
      </w:p>
    </w:sdtContent>
  </w:sdt>
  <w:p w14:paraId="442D5A88" w14:textId="77777777" w:rsidR="005B237E" w:rsidRDefault="005B23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4C8A6C" w14:textId="77777777" w:rsidR="002A3DB4" w:rsidRDefault="002A3DB4" w:rsidP="005B237E">
      <w:pPr>
        <w:spacing w:line="240" w:lineRule="auto"/>
      </w:pPr>
      <w:r>
        <w:separator/>
      </w:r>
    </w:p>
  </w:footnote>
  <w:footnote w:type="continuationSeparator" w:id="0">
    <w:p w14:paraId="6E8C944A" w14:textId="77777777" w:rsidR="002A3DB4" w:rsidRDefault="002A3DB4" w:rsidP="005B237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2914"/>
    <w:rsid w:val="00023FDA"/>
    <w:rsid w:val="000C7CAA"/>
    <w:rsid w:val="002A3DB4"/>
    <w:rsid w:val="00412914"/>
    <w:rsid w:val="00430FE0"/>
    <w:rsid w:val="0044514C"/>
    <w:rsid w:val="004C6E6F"/>
    <w:rsid w:val="005B237E"/>
    <w:rsid w:val="007D5CD3"/>
    <w:rsid w:val="009D540B"/>
    <w:rsid w:val="00EC02D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56A1C"/>
  <w15:docId w15:val="{34BD812A-BA39-4256-9FF1-5901BA547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outlineLvl w:val="0"/>
    </w:pPr>
    <w:rPr>
      <w:b/>
      <w:bCs/>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5B237E"/>
    <w:pPr>
      <w:tabs>
        <w:tab w:val="center" w:pos="4513"/>
        <w:tab w:val="right" w:pos="9026"/>
      </w:tabs>
      <w:spacing w:line="240" w:lineRule="auto"/>
    </w:pPr>
  </w:style>
  <w:style w:type="character" w:customStyle="1" w:styleId="HeaderChar">
    <w:name w:val="Header Char"/>
    <w:basedOn w:val="DefaultParagraphFont"/>
    <w:link w:val="Header"/>
    <w:uiPriority w:val="99"/>
    <w:rsid w:val="005B237E"/>
  </w:style>
  <w:style w:type="paragraph" w:styleId="Footer">
    <w:name w:val="footer"/>
    <w:basedOn w:val="Normal"/>
    <w:link w:val="FooterChar"/>
    <w:uiPriority w:val="99"/>
    <w:unhideWhenUsed/>
    <w:rsid w:val="005B237E"/>
    <w:pPr>
      <w:tabs>
        <w:tab w:val="center" w:pos="4513"/>
        <w:tab w:val="right" w:pos="9026"/>
      </w:tabs>
      <w:spacing w:line="240" w:lineRule="auto"/>
    </w:pPr>
  </w:style>
  <w:style w:type="character" w:customStyle="1" w:styleId="FooterChar">
    <w:name w:val="Footer Char"/>
    <w:basedOn w:val="DefaultParagraphFont"/>
    <w:link w:val="Footer"/>
    <w:uiPriority w:val="99"/>
    <w:rsid w:val="005B237E"/>
  </w:style>
  <w:style w:type="paragraph" w:styleId="TOCHeading">
    <w:name w:val="TOC Heading"/>
    <w:basedOn w:val="Heading1"/>
    <w:next w:val="Normal"/>
    <w:uiPriority w:val="39"/>
    <w:unhideWhenUsed/>
    <w:qFormat/>
    <w:rsid w:val="00EC02D9"/>
    <w:pPr>
      <w:spacing w:before="240" w:line="259"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C02D9"/>
    <w:pPr>
      <w:spacing w:after="100"/>
    </w:pPr>
  </w:style>
  <w:style w:type="character" w:styleId="Hyperlink">
    <w:name w:val="Hyperlink"/>
    <w:basedOn w:val="DefaultParagraphFont"/>
    <w:uiPriority w:val="99"/>
    <w:unhideWhenUsed/>
    <w:rsid w:val="00EC02D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C0FEDE-6BA5-4E4C-B064-775D5B153C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2590</Words>
  <Characters>14769</Characters>
  <Application>Microsoft Office Word</Application>
  <DocSecurity>0</DocSecurity>
  <Lines>123</Lines>
  <Paragraphs>34</Paragraphs>
  <ScaleCrop>false</ScaleCrop>
  <Company/>
  <LinksUpToDate>false</LinksUpToDate>
  <CharactersWithSpaces>17325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Dorina-Elena Zlate HE34055</cp:lastModifiedBy>
  <cp:revision>2</cp:revision>
  <dcterms:created xsi:type="dcterms:W3CDTF">2026-02-20T13:27:00Z</dcterms:created>
  <dcterms:modified xsi:type="dcterms:W3CDTF">2026-02-20T13:27:00Z</dcterms:modified>
</cp:coreProperties>
</file>