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480" w:lineRule="auto"/>
        <w:jc w:val="center"/>
        <w:rPr>
          <w:rFonts w:hint="default" w:ascii="Verdana" w:hAnsi="Verdana"/>
          <w:b/>
          <w:i w:val="0"/>
          <w:iCs/>
          <w:color w:val="auto"/>
          <w:sz w:val="40"/>
          <w:szCs w:val="22"/>
        </w:rPr>
      </w:pPr>
    </w:p>
    <w:p>
      <w:pPr>
        <w:spacing w:after="160" w:line="480" w:lineRule="auto"/>
        <w:jc w:val="center"/>
        <w:rPr>
          <w:rFonts w:hint="default" w:ascii="Verdana" w:hAnsi="Verdana"/>
          <w:b/>
          <w:i w:val="0"/>
          <w:iCs/>
          <w:color w:val="auto"/>
          <w:sz w:val="40"/>
          <w:szCs w:val="22"/>
        </w:rPr>
      </w:pPr>
      <w:r>
        <w:rPr>
          <w:rFonts w:hint="default" w:ascii="Verdana" w:hAnsi="Verdana"/>
          <w:b/>
          <w:i w:val="0"/>
          <w:iCs/>
          <w:color w:val="auto"/>
          <w:sz w:val="40"/>
          <w:szCs w:val="22"/>
        </w:rPr>
        <w:t>The Challenges of Employee Reward</w:t>
      </w:r>
    </w:p>
    <w:p>
      <w:pPr>
        <w:pageBreakBefore w:val="0"/>
        <w:kinsoku/>
        <w:wordWrap/>
        <w:overflowPunct/>
        <w:topLinePunct w:val="0"/>
        <w:autoSpaceDE/>
        <w:autoSpaceDN/>
        <w:bidi w:val="0"/>
        <w:adjustRightInd/>
        <w:snapToGrid/>
        <w:spacing w:line="480" w:lineRule="auto"/>
        <w:ind w:right="0" w:rightChars="0"/>
        <w:textAlignment w:val="auto"/>
        <w:rPr>
          <w:rFonts w:hint="default" w:ascii="Times New Roman" w:hAnsi="Times New Roman" w:cs="Times New Roman"/>
          <w:sz w:val="24"/>
          <w:szCs w:val="24"/>
        </w:rPr>
      </w:pPr>
    </w:p>
    <w:p>
      <w:pPr>
        <w:pageBreakBefore w:val="0"/>
        <w:kinsoku/>
        <w:wordWrap/>
        <w:overflowPunct/>
        <w:topLinePunct w:val="0"/>
        <w:autoSpaceDE/>
        <w:autoSpaceDN/>
        <w:bidi w:val="0"/>
        <w:adjustRightInd/>
        <w:snapToGrid/>
        <w:spacing w:line="480" w:lineRule="auto"/>
        <w:ind w:right="0" w:rightChars="0"/>
        <w:jc w:val="center"/>
        <w:textAlignment w:val="auto"/>
        <w:rPr>
          <w:lang w:eastAsia="en-GB"/>
        </w:rPr>
      </w:pPr>
      <w:r>
        <w:rPr>
          <w:lang w:eastAsia="en-GB"/>
        </w:rPr>
        <w:drawing>
          <wp:inline distT="0" distB="0" distL="0" distR="0">
            <wp:extent cx="1844675" cy="2046605"/>
            <wp:effectExtent l="0" t="0" r="9525" b="1079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44675" cy="2046605"/>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480" w:lineRule="auto"/>
        <w:ind w:right="0" w:rightChars="0"/>
        <w:jc w:val="center"/>
        <w:textAlignment w:val="auto"/>
        <w:rPr>
          <w:rFonts w:hint="default"/>
          <w:lang w:eastAsia="en-GB"/>
        </w:rPr>
      </w:pPr>
    </w:p>
    <w:p>
      <w:pPr>
        <w:pageBreakBefore w:val="0"/>
        <w:kinsoku/>
        <w:wordWrap/>
        <w:overflowPunct/>
        <w:topLinePunct w:val="0"/>
        <w:autoSpaceDE/>
        <w:autoSpaceDN/>
        <w:bidi w:val="0"/>
        <w:adjustRightInd/>
        <w:snapToGrid/>
        <w:spacing w:line="480" w:lineRule="auto"/>
        <w:ind w:right="0" w:rightChars="0"/>
        <w:jc w:val="center"/>
        <w:textAlignment w:val="auto"/>
        <w:rPr>
          <w:rFonts w:hint="default"/>
          <w:lang w:eastAsia="en-GB"/>
        </w:rPr>
      </w:pPr>
    </w:p>
    <w:p>
      <w:pPr>
        <w:spacing w:after="160" w:line="480" w:lineRule="auto"/>
        <w:jc w:val="center"/>
        <w:rPr>
          <w:rFonts w:ascii="Verdana" w:hAnsi="Verdana"/>
          <w:b w:val="0"/>
          <w:bCs/>
          <w:caps/>
          <w:sz w:val="18"/>
          <w:szCs w:val="18"/>
        </w:rPr>
      </w:pPr>
      <w:r>
        <w:rPr>
          <w:rFonts w:hint="default" w:ascii="Verdana" w:hAnsi="Verdana"/>
          <w:b w:val="0"/>
          <w:bCs/>
          <w:sz w:val="44"/>
        </w:rPr>
        <w:t>May 2020</w:t>
      </w:r>
    </w:p>
    <w:p>
      <w:pPr>
        <w:spacing w:after="160" w:line="480" w:lineRule="auto"/>
        <w:rPr>
          <w:rFonts w:ascii="Verdana" w:hAnsi="Verdana"/>
          <w:b/>
          <w:caps/>
          <w:sz w:val="18"/>
          <w:szCs w:val="18"/>
        </w:rPr>
      </w:pPr>
    </w:p>
    <w:p>
      <w:pPr>
        <w:spacing w:after="160" w:line="480" w:lineRule="auto"/>
        <w:rPr>
          <w:rFonts w:ascii="Verdana" w:hAnsi="Verdana"/>
          <w:b/>
          <w:caps/>
          <w:sz w:val="18"/>
          <w:szCs w:val="18"/>
        </w:rPr>
      </w:pPr>
    </w:p>
    <w:tbl>
      <w:tblPr>
        <w:tblStyle w:val="12"/>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6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rPr>
              <w:t>MODULE NAME</w:t>
            </w:r>
          </w:p>
        </w:tc>
        <w:tc>
          <w:tcPr>
            <w:tcW w:w="6335" w:type="dxa"/>
          </w:tcPr>
          <w:p>
            <w:pPr>
              <w:spacing w:after="160" w:line="480" w:lineRule="auto"/>
              <w:rPr>
                <w:rFonts w:ascii="Verdana" w:hAnsi="Verdana"/>
                <w:b w:val="0"/>
                <w:bCs/>
                <w:caps/>
                <w:color w:val="auto"/>
                <w:sz w:val="18"/>
                <w:szCs w:val="18"/>
                <w:vertAlign w:val="baseline"/>
              </w:rPr>
            </w:pPr>
            <w:r>
              <w:rPr>
                <w:rFonts w:hint="default" w:ascii="Verdana" w:hAnsi="Verdana"/>
                <w:b w:val="0"/>
                <w:bCs/>
                <w:caps/>
                <w:color w:val="auto"/>
                <w:sz w:val="18"/>
                <w:szCs w:val="18"/>
                <w:vertAlign w:val="baseline"/>
              </w:rPr>
              <w:t>Employment relations &amp; Reward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MODULE CODE</w:t>
            </w:r>
          </w:p>
        </w:tc>
        <w:tc>
          <w:tcPr>
            <w:tcW w:w="6335" w:type="dxa"/>
          </w:tcPr>
          <w:p>
            <w:pPr>
              <w:spacing w:after="160" w:line="480" w:lineRule="auto"/>
              <w:rPr>
                <w:rFonts w:hint="eastAsia" w:ascii="Verdana" w:hAnsi="Verdana"/>
                <w:b w:val="0"/>
                <w:bCs/>
                <w:caps/>
                <w:color w:val="auto"/>
                <w:sz w:val="18"/>
                <w:szCs w:val="18"/>
              </w:rPr>
            </w:pPr>
            <w:r>
              <w:rPr>
                <w:rFonts w:hint="eastAsia" w:ascii="Verdana" w:hAnsi="Verdana"/>
                <w:b w:val="0"/>
                <w:bCs/>
                <w:caps/>
                <w:color w:val="auto"/>
                <w:sz w:val="18"/>
                <w:szCs w:val="18"/>
              </w:rPr>
              <w:t>M6X008</w:t>
            </w:r>
            <w:r>
              <w:rPr>
                <w:rFonts w:hint="default" w:ascii="Verdana" w:hAnsi="Verdana"/>
                <w:b w:val="0"/>
                <w:bCs/>
                <w:caps/>
                <w:color w:val="auto"/>
                <w:sz w:val="18"/>
                <w:szCs w:val="18"/>
              </w:rPr>
              <w:t>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NAME</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ZIPING WANG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53" w:type="dxa"/>
          </w:tcPr>
          <w:p>
            <w:pPr>
              <w:spacing w:after="160" w:line="480" w:lineRule="auto"/>
              <w:rPr>
                <w:rFonts w:ascii="Verdana" w:hAnsi="Verdana"/>
                <w:b/>
                <w:bCs w:val="0"/>
                <w:caps/>
                <w:color w:val="auto"/>
                <w:sz w:val="18"/>
                <w:szCs w:val="18"/>
                <w:vertAlign w:val="baseline"/>
              </w:rPr>
            </w:pPr>
            <w:r>
              <w:rPr>
                <w:rFonts w:ascii="Verdana" w:hAnsi="Verdana"/>
                <w:b/>
                <w:bCs w:val="0"/>
                <w:caps/>
                <w:color w:val="auto"/>
                <w:sz w:val="18"/>
                <w:szCs w:val="18"/>
                <w:vertAlign w:val="baseline"/>
              </w:rPr>
              <w:t>STUDENT NUMBER</w:t>
            </w:r>
          </w:p>
        </w:tc>
        <w:tc>
          <w:tcPr>
            <w:tcW w:w="6335" w:type="dxa"/>
          </w:tcPr>
          <w:p>
            <w:pPr>
              <w:spacing w:after="160" w:line="480" w:lineRule="auto"/>
              <w:rPr>
                <w:rFonts w:hint="eastAsia" w:ascii="Verdana" w:hAnsi="Verdana"/>
                <w:b w:val="0"/>
                <w:bCs/>
                <w:caps/>
                <w:color w:val="auto"/>
                <w:sz w:val="18"/>
                <w:szCs w:val="18"/>
              </w:rPr>
            </w:pPr>
            <w:r>
              <w:rPr>
                <w:rFonts w:hint="default" w:ascii="Verdana" w:hAnsi="Verdana"/>
                <w:b w:val="0"/>
                <w:bCs/>
                <w:caps/>
                <w:color w:val="auto"/>
                <w:sz w:val="18"/>
                <w:szCs w:val="18"/>
              </w:rPr>
              <w:t>1900407</w:t>
            </w:r>
          </w:p>
        </w:tc>
      </w:tr>
    </w:tbl>
    <w:p>
      <w:pPr>
        <w:spacing w:line="48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start="1" w:chapStyle="1" w:chapSep="hyphen"/>
          <w:cols w:space="425" w:num="1"/>
          <w:docGrid w:type="lines" w:linePitch="312" w:charSpace="0"/>
        </w:sectPr>
      </w:pPr>
    </w:p>
    <w:p>
      <w:pPr>
        <w:pStyle w:val="2"/>
        <w:bidi w:val="0"/>
        <w:spacing w:line="360" w:lineRule="auto"/>
        <w:rPr>
          <w:rFonts w:hint="default" w:ascii="Times New Roman" w:hAnsi="Times New Roman" w:cs="Times New Roman"/>
          <w:sz w:val="32"/>
          <w:szCs w:val="32"/>
        </w:rPr>
      </w:pPr>
      <w:bookmarkStart w:id="0" w:name="_Toc1612082415"/>
      <w:r>
        <w:rPr>
          <w:rFonts w:hint="default" w:ascii="Times New Roman" w:hAnsi="Times New Roman" w:cs="Times New Roman"/>
          <w:sz w:val="32"/>
          <w:szCs w:val="32"/>
        </w:rPr>
        <w:t>Executive Summary</w:t>
      </w:r>
      <w:bookmarkEnd w:id="0"/>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21st century is characterised </w:t>
      </w:r>
      <w:r>
        <w:rPr>
          <w:rFonts w:hint="default" w:ascii="Times New Roman" w:hAnsi="Times New Roman" w:cs="Times New Roman"/>
          <w:sz w:val="24"/>
          <w:szCs w:val="24"/>
        </w:rPr>
        <w:t xml:space="preserve">as </w:t>
      </w:r>
      <w:r>
        <w:rPr>
          <w:rFonts w:hint="default" w:ascii="Times New Roman" w:hAnsi="Times New Roman" w:cs="Times New Roman"/>
          <w:sz w:val="24"/>
          <w:szCs w:val="24"/>
        </w:rPr>
        <w:t>volatility, uncertainty, ambiguity and complexity, the fluctuation of the external environment and rapid development of social economy also lead to the changes within the organisation, which result in the attentions of employee reward shift from financial reward to non-financial reward, that is, intrinsic incentives. Employee rewards should be valued by the organisation since it could affect the talent recruitment, innovation development, and the improvement of the core competitiveness of the organisations.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Nevertheless, the relationship between pilots and British Airways (BA) has recently become rigid as a lock of consensus on the employee rewards, which has affected the operation of the company as well as been reported with much negative news. Therefore, based on the analysis, the recommendation will be:</w:t>
      </w:r>
    </w:p>
    <w:p>
      <w:pPr>
        <w:spacing w:line="360" w:lineRule="auto"/>
        <w:rPr>
          <w:rFonts w:hint="default" w:ascii="Times New Roman" w:hAnsi="Times New Roman" w:cs="Times New Roman"/>
          <w:sz w:val="24"/>
          <w:szCs w:val="24"/>
        </w:rPr>
      </w:pP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Short</w:t>
      </w:r>
      <w:r>
        <w:rPr>
          <w:rFonts w:hint="default" w:ascii="Times New Roman" w:hAnsi="Times New Roman" w:cs="Times New Roman"/>
          <w:sz w:val="24"/>
          <w:szCs w:val="24"/>
        </w:rPr>
        <w:t>-</w:t>
      </w:r>
      <w:r>
        <w:rPr>
          <w:rFonts w:hint="default" w:ascii="Times New Roman" w:hAnsi="Times New Roman" w:cs="Times New Roman"/>
          <w:sz w:val="24"/>
          <w:szCs w:val="24"/>
        </w:rPr>
        <w:t>term</w:t>
      </w:r>
      <w:r>
        <w:rPr>
          <w:rFonts w:hint="default" w:ascii="Times New Roman" w:hAnsi="Times New Roman" w:cs="Times New Roman"/>
          <w:sz w:val="24"/>
          <w:szCs w:val="24"/>
        </w:rPr>
        <w:t xml:space="preserve">: </w:t>
      </w:r>
      <w:r>
        <w:rPr>
          <w:rFonts w:hint="default" w:ascii="Times New Roman" w:hAnsi="Times New Roman" w:cs="Times New Roman"/>
          <w:sz w:val="24"/>
          <w:szCs w:val="24"/>
        </w:rPr>
        <w:t>establishing two-way communication channel and providing reward packages</w:t>
      </w: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Medium</w:t>
      </w:r>
      <w:r>
        <w:rPr>
          <w:rFonts w:hint="default" w:ascii="Times New Roman" w:hAnsi="Times New Roman" w:cs="Times New Roman"/>
          <w:sz w:val="24"/>
          <w:szCs w:val="24"/>
        </w:rPr>
        <w:t>-</w:t>
      </w:r>
      <w:r>
        <w:rPr>
          <w:rFonts w:hint="default" w:ascii="Times New Roman" w:hAnsi="Times New Roman" w:cs="Times New Roman"/>
          <w:sz w:val="24"/>
          <w:szCs w:val="24"/>
        </w:rPr>
        <w:t>term</w:t>
      </w:r>
      <w:r>
        <w:rPr>
          <w:rFonts w:hint="default" w:ascii="Times New Roman" w:hAnsi="Times New Roman" w:cs="Times New Roman"/>
          <w:sz w:val="24"/>
          <w:szCs w:val="24"/>
        </w:rPr>
        <w:t xml:space="preserve">: </w:t>
      </w:r>
      <w:r>
        <w:rPr>
          <w:rFonts w:hint="default" w:ascii="Times New Roman" w:hAnsi="Times New Roman" w:cs="Times New Roman"/>
          <w:sz w:val="24"/>
          <w:szCs w:val="24"/>
        </w:rPr>
        <w:t>pay increase</w:t>
      </w:r>
    </w:p>
    <w:p>
      <w:pPr>
        <w:numPr>
          <w:ilvl w:val="0"/>
          <w:numId w:val="2"/>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Long</w:t>
      </w:r>
      <w:r>
        <w:rPr>
          <w:rFonts w:hint="default" w:ascii="Times New Roman" w:hAnsi="Times New Roman" w:cs="Times New Roman"/>
          <w:sz w:val="24"/>
          <w:szCs w:val="24"/>
        </w:rPr>
        <w:t>-</w:t>
      </w:r>
      <w:r>
        <w:rPr>
          <w:rFonts w:hint="default" w:ascii="Times New Roman" w:hAnsi="Times New Roman" w:cs="Times New Roman"/>
          <w:sz w:val="24"/>
          <w:szCs w:val="24"/>
        </w:rPr>
        <w:t>term</w:t>
      </w:r>
      <w:r>
        <w:rPr>
          <w:rFonts w:hint="default" w:ascii="Times New Roman" w:hAnsi="Times New Roman" w:cs="Times New Roman"/>
          <w:sz w:val="24"/>
          <w:szCs w:val="24"/>
        </w:rPr>
        <w:t xml:space="preserve">: </w:t>
      </w:r>
      <w:r>
        <w:rPr>
          <w:rFonts w:hint="default" w:ascii="Times New Roman" w:hAnsi="Times New Roman" w:cs="Times New Roman"/>
          <w:sz w:val="24"/>
          <w:szCs w:val="24"/>
        </w:rPr>
        <w:t>adapting total reward management that could support sustainable development of business strategies.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footerReference r:id="rId3" w:type="default"/>
          <w:pgSz w:w="11906" w:h="16838"/>
          <w:pgMar w:top="1134" w:right="1134" w:bottom="1134" w:left="1134" w:header="851" w:footer="992" w:gutter="0"/>
          <w:pgNumType w:fmt="upperRoman" w:start="1"/>
          <w:cols w:space="425" w:num="1"/>
          <w:docGrid w:type="lines" w:linePitch="312" w:charSpace="0"/>
        </w:sectPr>
      </w:pPr>
    </w:p>
    <w:sdt>
      <w:sdtPr>
        <w:rPr>
          <w:rFonts w:hint="default" w:ascii="Times New Roman" w:hAnsi="Times New Roman" w:eastAsia="宋体" w:cs="Times New Roman"/>
          <w:kern w:val="2"/>
          <w:sz w:val="28"/>
          <w:szCs w:val="28"/>
          <w:lang w:val="en-US" w:eastAsia="zh-CN" w:bidi="ar-SA"/>
        </w:rPr>
        <w:id w:val="823841076"/>
        <w15:color w:val="DBDBDB"/>
      </w:sdtPr>
      <w:sdtEndPr>
        <w:rPr>
          <w:rFonts w:hint="default" w:ascii="Times New Roman" w:hAnsi="Times New Roman" w:cs="Times New Roman" w:eastAsiaTheme="minorEastAsia"/>
          <w:kern w:val="2"/>
          <w:sz w:val="21"/>
          <w:szCs w:val="24"/>
          <w:lang w:val="en-US" w:eastAsia="zh-CN" w:bidi="ar-SA"/>
        </w:rPr>
      </w:sdtEndPr>
      <w:sdtContent>
        <w:p>
          <w:pPr>
            <w:spacing w:before="0" w:beforeLines="0" w:after="0" w:afterLines="0" w:line="480" w:lineRule="auto"/>
            <w:ind w:left="0" w:leftChars="0" w:right="0" w:rightChars="0" w:firstLine="0" w:firstLineChars="0"/>
            <w:jc w:val="center"/>
            <w:rPr>
              <w:rFonts w:hint="default" w:ascii="Times New Roman" w:hAnsi="Times New Roman" w:cs="Times New Roman"/>
              <w:sz w:val="28"/>
              <w:szCs w:val="28"/>
            </w:rPr>
          </w:pPr>
          <w:r>
            <w:rPr>
              <w:rFonts w:hint="default" w:ascii="Times New Roman" w:hAnsi="Times New Roman" w:eastAsia="宋体" w:cs="Times New Roman"/>
              <w:b/>
              <w:bCs/>
              <w:kern w:val="2"/>
              <w:sz w:val="28"/>
              <w:szCs w:val="28"/>
              <w:lang w:eastAsia="zh-CN" w:bidi="ar-SA"/>
            </w:rPr>
            <w:t>Table of Contents</w:t>
          </w:r>
        </w:p>
        <w:p>
          <w:pPr>
            <w:pStyle w:val="8"/>
            <w:tabs>
              <w:tab w:val="right" w:leader="dot" w:pos="9638"/>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_Toc1612082415 </w:instrText>
          </w:r>
          <w:r>
            <w:rPr>
              <w:rFonts w:hint="default" w:ascii="Times New Roman" w:hAnsi="Times New Roman" w:cs="Times New Roman"/>
              <w:szCs w:val="24"/>
            </w:rPr>
            <w:fldChar w:fldCharType="separate"/>
          </w:r>
          <w:r>
            <w:rPr>
              <w:rFonts w:hint="default" w:ascii="Times New Roman" w:hAnsi="Times New Roman" w:cs="Times New Roman"/>
              <w:szCs w:val="32"/>
            </w:rPr>
            <w:t>Executive Summary</w:t>
          </w:r>
          <w:r>
            <w:tab/>
          </w:r>
          <w:r>
            <w:fldChar w:fldCharType="begin"/>
          </w:r>
          <w:r>
            <w:instrText xml:space="preserve"> PAGEREF _Toc1612082415 </w:instrText>
          </w:r>
          <w:r>
            <w:fldChar w:fldCharType="separate"/>
          </w:r>
          <w:r>
            <w:t>I</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_Toc1615458353 </w:instrText>
          </w:r>
          <w:r>
            <w:rPr>
              <w:rFonts w:hint="default" w:ascii="Times New Roman" w:hAnsi="Times New Roman" w:cs="Times New Roman"/>
              <w:szCs w:val="24"/>
            </w:rPr>
            <w:fldChar w:fldCharType="separate"/>
          </w:r>
          <w:r>
            <w:rPr>
              <w:rFonts w:hint="default" w:ascii="Times New Roman" w:hAnsi="Times New Roman" w:cs="Times New Roman"/>
              <w:szCs w:val="32"/>
            </w:rPr>
            <w:t>1.0 Introduction</w:t>
          </w:r>
          <w:r>
            <w:tab/>
          </w:r>
          <w:r>
            <w:fldChar w:fldCharType="begin"/>
          </w:r>
          <w:r>
            <w:instrText xml:space="preserve"> PAGEREF _Toc1615458353 </w:instrText>
          </w:r>
          <w:r>
            <w:fldChar w:fldCharType="separate"/>
          </w:r>
          <w:r>
            <w:t>1</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_Toc372789850 </w:instrText>
          </w:r>
          <w:r>
            <w:rPr>
              <w:rFonts w:hint="default" w:ascii="Times New Roman" w:hAnsi="Times New Roman" w:cs="Times New Roman"/>
              <w:szCs w:val="24"/>
            </w:rPr>
            <w:fldChar w:fldCharType="separate"/>
          </w:r>
          <w:r>
            <w:rPr>
              <w:rFonts w:hint="default" w:ascii="Times New Roman" w:hAnsi="Times New Roman" w:cs="Times New Roman"/>
              <w:szCs w:val="32"/>
            </w:rPr>
            <w:t>2.0 Literature Review and Findings</w:t>
          </w:r>
          <w:r>
            <w:tab/>
          </w:r>
          <w:r>
            <w:fldChar w:fldCharType="begin"/>
          </w:r>
          <w:r>
            <w:instrText xml:space="preserve"> PAGEREF _Toc372789850 </w:instrText>
          </w:r>
          <w:r>
            <w:fldChar w:fldCharType="separate"/>
          </w:r>
          <w:r>
            <w:t>2</w:t>
          </w:r>
          <w:r>
            <w:fldChar w:fldCharType="end"/>
          </w:r>
          <w:r>
            <w:rPr>
              <w:rFonts w:hint="default" w:ascii="Times New Roman" w:hAnsi="Times New Roman" w:cs="Times New Roman"/>
              <w:szCs w:val="24"/>
            </w:rPr>
            <w:fldChar w:fldCharType="end"/>
          </w:r>
        </w:p>
        <w:p>
          <w:pPr>
            <w:pStyle w:val="9"/>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_Toc1269210651 </w:instrText>
          </w:r>
          <w:r>
            <w:rPr>
              <w:rFonts w:hint="default" w:ascii="Times New Roman" w:hAnsi="Times New Roman" w:cs="Times New Roman"/>
              <w:szCs w:val="24"/>
            </w:rPr>
            <w:fldChar w:fldCharType="separate"/>
          </w:r>
          <w:r>
            <w:rPr>
              <w:rFonts w:hint="default" w:ascii="Times New Roman" w:hAnsi="Times New Roman" w:cs="Times New Roman"/>
              <w:szCs w:val="28"/>
            </w:rPr>
            <w:t>2.1 Employee Reward</w:t>
          </w:r>
          <w:r>
            <w:tab/>
          </w:r>
          <w:r>
            <w:fldChar w:fldCharType="begin"/>
          </w:r>
          <w:r>
            <w:instrText xml:space="preserve"> PAGEREF _Toc1269210651 </w:instrText>
          </w:r>
          <w:r>
            <w:fldChar w:fldCharType="separate"/>
          </w:r>
          <w:r>
            <w:t>2</w:t>
          </w:r>
          <w:r>
            <w:fldChar w:fldCharType="end"/>
          </w:r>
          <w:r>
            <w:rPr>
              <w:rFonts w:hint="default" w:ascii="Times New Roman" w:hAnsi="Times New Roman" w:cs="Times New Roman"/>
              <w:szCs w:val="24"/>
            </w:rPr>
            <w:fldChar w:fldCharType="end"/>
          </w:r>
        </w:p>
        <w:p>
          <w:pPr>
            <w:pStyle w:val="5"/>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_Toc668345706 </w:instrText>
          </w:r>
          <w:r>
            <w:rPr>
              <w:rFonts w:hint="default" w:ascii="Times New Roman" w:hAnsi="Times New Roman" w:cs="Times New Roman"/>
              <w:szCs w:val="24"/>
            </w:rPr>
            <w:fldChar w:fldCharType="separate"/>
          </w:r>
          <w:r>
            <w:rPr>
              <w:rFonts w:hint="default" w:ascii="Times New Roman" w:hAnsi="Times New Roman" w:cs="Times New Roman"/>
              <w:szCs w:val="24"/>
            </w:rPr>
            <w:t>2.1.1 The Changes</w:t>
          </w:r>
          <w:r>
            <w:tab/>
          </w:r>
          <w:r>
            <w:fldChar w:fldCharType="begin"/>
          </w:r>
          <w:r>
            <w:instrText xml:space="preserve"> PAGEREF _Toc668345706 </w:instrText>
          </w:r>
          <w:r>
            <w:fldChar w:fldCharType="separate"/>
          </w:r>
          <w:r>
            <w:t>3</w:t>
          </w:r>
          <w:r>
            <w:fldChar w:fldCharType="end"/>
          </w:r>
          <w:r>
            <w:rPr>
              <w:rFonts w:hint="default" w:ascii="Times New Roman" w:hAnsi="Times New Roman" w:cs="Times New Roman"/>
              <w:szCs w:val="24"/>
            </w:rPr>
            <w:fldChar w:fldCharType="end"/>
          </w:r>
        </w:p>
        <w:p>
          <w:pPr>
            <w:pStyle w:val="5"/>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_Toc1546806932 </w:instrText>
          </w:r>
          <w:r>
            <w:rPr>
              <w:rFonts w:hint="default" w:ascii="Times New Roman" w:hAnsi="Times New Roman" w:cs="Times New Roman"/>
              <w:szCs w:val="24"/>
            </w:rPr>
            <w:fldChar w:fldCharType="separate"/>
          </w:r>
          <w:r>
            <w:rPr>
              <w:rFonts w:hint="default" w:ascii="Times New Roman" w:hAnsi="Times New Roman" w:cs="Times New Roman"/>
              <w:szCs w:val="24"/>
            </w:rPr>
            <w:t>2.1.2 The Importance of Employee Reward</w:t>
          </w:r>
          <w:r>
            <w:tab/>
          </w:r>
          <w:r>
            <w:fldChar w:fldCharType="begin"/>
          </w:r>
          <w:r>
            <w:instrText xml:space="preserve"> PAGEREF _Toc1546806932 </w:instrText>
          </w:r>
          <w:r>
            <w:fldChar w:fldCharType="separate"/>
          </w:r>
          <w:r>
            <w:t>4</w:t>
          </w:r>
          <w:r>
            <w:fldChar w:fldCharType="end"/>
          </w:r>
          <w:r>
            <w:rPr>
              <w:rFonts w:hint="default" w:ascii="Times New Roman" w:hAnsi="Times New Roman" w:cs="Times New Roman"/>
              <w:szCs w:val="24"/>
            </w:rPr>
            <w:fldChar w:fldCharType="end"/>
          </w:r>
        </w:p>
        <w:p>
          <w:pPr>
            <w:pStyle w:val="9"/>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_Toc1894559189 </w:instrText>
          </w:r>
          <w:r>
            <w:rPr>
              <w:rFonts w:hint="default" w:ascii="Times New Roman" w:hAnsi="Times New Roman" w:cs="Times New Roman"/>
              <w:szCs w:val="24"/>
            </w:rPr>
            <w:fldChar w:fldCharType="separate"/>
          </w:r>
          <w:r>
            <w:rPr>
              <w:rFonts w:hint="default" w:ascii="Times New Roman" w:hAnsi="Times New Roman" w:cs="Times New Roman"/>
              <w:szCs w:val="28"/>
            </w:rPr>
            <w:t>2.2 Problems with Reward Strategy</w:t>
          </w:r>
          <w:r>
            <w:tab/>
          </w:r>
          <w:r>
            <w:fldChar w:fldCharType="begin"/>
          </w:r>
          <w:r>
            <w:instrText xml:space="preserve"> PAGEREF _Toc1894559189 </w:instrText>
          </w:r>
          <w:r>
            <w:fldChar w:fldCharType="separate"/>
          </w:r>
          <w:r>
            <w:t>5</w:t>
          </w:r>
          <w:r>
            <w:fldChar w:fldCharType="end"/>
          </w:r>
          <w:r>
            <w:rPr>
              <w:rFonts w:hint="default" w:ascii="Times New Roman" w:hAnsi="Times New Roman" w:cs="Times New Roman"/>
              <w:szCs w:val="24"/>
            </w:rPr>
            <w:fldChar w:fldCharType="end"/>
          </w:r>
        </w:p>
        <w:p>
          <w:pPr>
            <w:pStyle w:val="9"/>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_Toc1116255454 </w:instrText>
          </w:r>
          <w:r>
            <w:rPr>
              <w:rFonts w:hint="default" w:ascii="Times New Roman" w:hAnsi="Times New Roman" w:cs="Times New Roman"/>
              <w:szCs w:val="24"/>
            </w:rPr>
            <w:fldChar w:fldCharType="separate"/>
          </w:r>
          <w:r>
            <w:rPr>
              <w:rFonts w:hint="default" w:ascii="Times New Roman" w:hAnsi="Times New Roman" w:cs="Times New Roman"/>
              <w:szCs w:val="28"/>
            </w:rPr>
            <w:t>2.3 Improvement of Reward Strategy</w:t>
          </w:r>
          <w:r>
            <w:tab/>
          </w:r>
          <w:r>
            <w:fldChar w:fldCharType="begin"/>
          </w:r>
          <w:r>
            <w:instrText xml:space="preserve"> PAGEREF _Toc1116255454 </w:instrText>
          </w:r>
          <w:r>
            <w:fldChar w:fldCharType="separate"/>
          </w:r>
          <w:r>
            <w:t>6</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_Toc488275186 </w:instrText>
          </w:r>
          <w:r>
            <w:rPr>
              <w:rFonts w:hint="default" w:ascii="Times New Roman" w:hAnsi="Times New Roman" w:cs="Times New Roman"/>
              <w:szCs w:val="24"/>
            </w:rPr>
            <w:fldChar w:fldCharType="separate"/>
          </w:r>
          <w:r>
            <w:rPr>
              <w:rFonts w:hint="default" w:ascii="Times New Roman" w:hAnsi="Times New Roman" w:cs="Times New Roman"/>
              <w:szCs w:val="32"/>
            </w:rPr>
            <w:t>3.0 Conclusion and Recommendations</w:t>
          </w:r>
          <w:r>
            <w:tab/>
          </w:r>
          <w:r>
            <w:fldChar w:fldCharType="begin"/>
          </w:r>
          <w:r>
            <w:instrText xml:space="preserve"> PAGEREF _Toc488275186 </w:instrText>
          </w:r>
          <w:r>
            <w:fldChar w:fldCharType="separate"/>
          </w:r>
          <w:r>
            <w:t>8</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_Toc906035915 </w:instrText>
          </w:r>
          <w:r>
            <w:rPr>
              <w:rFonts w:hint="default" w:ascii="Times New Roman" w:hAnsi="Times New Roman" w:cs="Times New Roman"/>
              <w:szCs w:val="24"/>
            </w:rPr>
            <w:fldChar w:fldCharType="separate"/>
          </w:r>
          <w:r>
            <w:rPr>
              <w:rFonts w:hint="default" w:ascii="Times New Roman" w:hAnsi="Times New Roman" w:cs="Times New Roman"/>
              <w:szCs w:val="32"/>
            </w:rPr>
            <w:t>4.0 References</w:t>
          </w:r>
          <w:r>
            <w:tab/>
          </w:r>
          <w:r>
            <w:fldChar w:fldCharType="begin"/>
          </w:r>
          <w:r>
            <w:instrText xml:space="preserve"> PAGEREF _Toc906035915 </w:instrText>
          </w:r>
          <w:r>
            <w:fldChar w:fldCharType="separate"/>
          </w:r>
          <w:r>
            <w:t>9</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_Toc2086566175 </w:instrText>
          </w:r>
          <w:r>
            <w:rPr>
              <w:rFonts w:hint="default" w:ascii="Times New Roman" w:hAnsi="Times New Roman" w:cs="Times New Roman"/>
              <w:szCs w:val="24"/>
            </w:rPr>
            <w:fldChar w:fldCharType="separate"/>
          </w:r>
          <w:r>
            <w:rPr>
              <w:rFonts w:hint="default" w:ascii="Times New Roman" w:hAnsi="Times New Roman" w:cs="Times New Roman"/>
              <w:szCs w:val="32"/>
            </w:rPr>
            <w:t>Appendix - Factors that Affect the Employee Reward</w:t>
          </w:r>
          <w:r>
            <w:tab/>
          </w:r>
          <w:r>
            <w:fldChar w:fldCharType="begin"/>
          </w:r>
          <w:r>
            <w:instrText xml:space="preserve"> PAGEREF _Toc2086566175 </w:instrText>
          </w:r>
          <w:r>
            <w:fldChar w:fldCharType="separate"/>
          </w:r>
          <w:r>
            <w:t>17</w:t>
          </w:r>
          <w:r>
            <w:fldChar w:fldCharType="end"/>
          </w:r>
          <w:r>
            <w:rPr>
              <w:rFonts w:hint="default" w:ascii="Times New Roman" w:hAnsi="Times New Roman" w:cs="Times New Roman"/>
              <w:szCs w:val="24"/>
            </w:rPr>
            <w:fldChar w:fldCharType="end"/>
          </w:r>
        </w:p>
        <w:p>
          <w:pPr>
            <w:pStyle w:val="8"/>
            <w:tabs>
              <w:tab w:val="right" w:leader="dot" w:pos="9638"/>
            </w:tabs>
            <w:spacing w:line="480" w:lineRule="auto"/>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_Toc509747715 </w:instrText>
          </w:r>
          <w:r>
            <w:rPr>
              <w:rFonts w:hint="default" w:ascii="Times New Roman" w:hAnsi="Times New Roman" w:cs="Times New Roman"/>
              <w:szCs w:val="24"/>
            </w:rPr>
            <w:fldChar w:fldCharType="separate"/>
          </w:r>
          <w:r>
            <w:rPr>
              <w:rFonts w:hint="default" w:ascii="Times New Roman" w:hAnsi="Times New Roman" w:cs="Times New Roman"/>
              <w:szCs w:val="32"/>
            </w:rPr>
            <w:t>Appendix II - Characteristics of Generation in the Workplace</w:t>
          </w:r>
          <w:r>
            <w:tab/>
          </w:r>
          <w:r>
            <w:fldChar w:fldCharType="begin"/>
          </w:r>
          <w:r>
            <w:instrText xml:space="preserve"> PAGEREF _Toc509747715 </w:instrText>
          </w:r>
          <w:r>
            <w:fldChar w:fldCharType="separate"/>
          </w:r>
          <w:r>
            <w:t>18</w:t>
          </w:r>
          <w:r>
            <w:fldChar w:fldCharType="end"/>
          </w:r>
          <w:r>
            <w:rPr>
              <w:rFonts w:hint="default" w:ascii="Times New Roman" w:hAnsi="Times New Roman" w:cs="Times New Roman"/>
              <w:szCs w:val="24"/>
            </w:rPr>
            <w:fldChar w:fldCharType="end"/>
          </w:r>
        </w:p>
        <w:p>
          <w:pPr>
            <w:spacing w:line="480" w:lineRule="auto"/>
            <w:rPr>
              <w:rFonts w:hint="default" w:ascii="Times New Roman" w:hAnsi="Times New Roman" w:cs="Times New Roman"/>
              <w:sz w:val="24"/>
              <w:szCs w:val="24"/>
            </w:rPr>
          </w:pPr>
          <w:r>
            <w:rPr>
              <w:rFonts w:hint="default" w:ascii="Times New Roman" w:hAnsi="Times New Roman" w:cs="Times New Roman"/>
              <w:szCs w:val="24"/>
            </w:rPr>
            <w:fldChar w:fldCharType="end"/>
          </w:r>
        </w:p>
      </w:sdtContent>
    </w:sdt>
    <w:p>
      <w:pPr>
        <w:spacing w:line="360" w:lineRule="auto"/>
        <w:rPr>
          <w:rFonts w:hint="default" w:ascii="Times New Roman" w:hAnsi="Times New Roman" w:cs="Times New Roman"/>
          <w:sz w:val="24"/>
          <w:szCs w:val="24"/>
        </w:rPr>
        <w:sectPr>
          <w:footerReference r:id="rId4" w:type="default"/>
          <w:pgSz w:w="11906" w:h="16838"/>
          <w:pgMar w:top="1134" w:right="1134" w:bottom="1134" w:left="1134" w:header="851" w:footer="992" w:gutter="0"/>
          <w:pgNumType w:fmt="decimal" w:chapStyle="1" w:chapSep="hyphen"/>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1" w:name="_Toc1615458353"/>
      <w:r>
        <w:rPr>
          <w:rFonts w:hint="default" w:ascii="Times New Roman" w:hAnsi="Times New Roman" w:cs="Times New Roman"/>
          <w:b/>
          <w:sz w:val="32"/>
          <w:szCs w:val="32"/>
        </w:rPr>
        <w:t>1.0 Introduction</w:t>
      </w:r>
      <w:bookmarkEnd w:id="1"/>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According to Armstrong (2007), employee rewards can be interpreted as rewarding people according to their contributions; aligning incentives with business goals and employees’ values and needs. While the concept of employee reward has changed with the development of social trends.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As a result of demographic changes, the workplace has become increasingly diverse, and employees need to get used to working with different generation colleagues, and employers need to master the characteristics of different generations to better manage the organisation. Besides, the rise of technology and the development of globalisation have changed the development orientation of global value chains and organisations, intangible assets are increasingly valued, while labour-intensive manufacturing is also declining.</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However, when considering the employee reward of the organization, employers should not only consider the change of the external environment but also the internal environment of the organisation is essential, such as the relationship between employees. As for BA, the rigid relationship between employers and pilots since the pay problems has affected the </w:t>
      </w:r>
      <w:r>
        <w:rPr>
          <w:rFonts w:hint="default" w:ascii="Times New Roman" w:hAnsi="Times New Roman" w:cs="Times New Roman"/>
          <w:sz w:val="24"/>
          <w:szCs w:val="24"/>
        </w:rPr>
        <w:t>regular</w:t>
      </w:r>
      <w:r>
        <w:rPr>
          <w:rFonts w:hint="default" w:ascii="Times New Roman" w:hAnsi="Times New Roman" w:cs="Times New Roman"/>
          <w:sz w:val="24"/>
          <w:szCs w:val="24"/>
        </w:rPr>
        <w:t xml:space="preserve"> operation of the enterprise.</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Therefore, the purpose of this report is to investigate what employee rewards are based on BA case studies, the changes in employee reward in the last decade and its impact on the organization. Eventually, analysing and explaining the relevant recommendations according to the problems with BA employee reward.</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footerReference r:id="rId5" w:type="default"/>
          <w:pgSz w:w="11906" w:h="16838"/>
          <w:pgMar w:top="1134" w:right="1134" w:bottom="1134" w:left="1134" w:header="851" w:footer="992" w:gutter="0"/>
          <w:pgNumType w:fmt="decimal" w:start="1"/>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2" w:name="_Toc372789850"/>
      <w:r>
        <w:rPr>
          <w:rFonts w:hint="default" w:ascii="Times New Roman" w:hAnsi="Times New Roman" w:cs="Times New Roman"/>
          <w:b/>
          <w:sz w:val="32"/>
          <w:szCs w:val="32"/>
        </w:rPr>
        <w:t>2.0 Literature Review and Findings</w:t>
      </w:r>
      <w:bookmarkEnd w:id="2"/>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Generally, reward and pay to form a side of the employment of contract, and it can be defined as the remuneration and compensation to employees (Armstrong, 2007; Dibben, 2011; Gennard et al., 2016; Khalid &amp; Nawab, 2018; Cotton, 2019). With the development of the social economy, there is a wider concept of ‘total reward’ in which composed by compensation, benefits work-life balance, performance &amp; recognition and personal &amp; professional development, indicating the increasing importance of non-financial incentives (Manas &amp; Graham, 2003; Hoole &amp; Hotz, 2016; Worldatwork, 2020).</w:t>
      </w: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b/>
          <w:sz w:val="28"/>
          <w:szCs w:val="28"/>
        </w:rPr>
      </w:pPr>
      <w:bookmarkStart w:id="3" w:name="_Toc1269210651"/>
      <w:r>
        <w:rPr>
          <w:rFonts w:hint="default" w:ascii="Times New Roman" w:hAnsi="Times New Roman" w:cs="Times New Roman"/>
          <w:b/>
          <w:sz w:val="28"/>
          <w:szCs w:val="28"/>
        </w:rPr>
        <w:t>2.1 Employee Reward</w:t>
      </w:r>
      <w:bookmarkEnd w:id="3"/>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 are diverse arguments of employee rewards from different perspectives. Some concept tends to explain the employee reward as the compensation for work done by employees (CIPD, n.d.), while others have a broader definition of reward that all the financial preparation as well as involves the non-financial reward (Thompson, 2002; Armstrong, 2007; Cotton, 2019). But, these scholars have a consistent consensus on the aim and objective of employee reward, that is, supporting the achievement of organisational strategy through meet the expectation of employees and promoting the performance (Dibben, Klerck &amp; Wood, 2011; Cotton,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Likewise, the concept evolution of employee rewards was influenced by historical development as well. Traditionally, the focus of employee rewards was attracting, maintaining and motivating employees to satisfy the requirement of employers (Wilkinson&amp; Johnstone, 2016; Antoni et al., 2017). While employees demand greater flexibility and transfer attention to customised reward such as recognition in the contemporary organisation with the advent of the post-management era (Chakhoyan, 2017; Marriott et al., 2019; Okros, 2019; Shields et al., 2020). Dan Pink (2009) further review and proposed a new concept, i.e., intrinsic and extrinsic motivation, and points out that simply motivate people with commissions and bonus would be counterproductive and hinder their creativity, the future business operational system should be autonomy, mastery and purpose. The conceptual changes also reflect the taken place in society since the 4th industrial revolution.</w:t>
      </w:r>
    </w:p>
    <w:p>
      <w:pPr>
        <w:spacing w:line="360" w:lineRule="auto"/>
        <w:rPr>
          <w:rFonts w:hint="default" w:ascii="Times New Roman" w:hAnsi="Times New Roman" w:cs="Times New Roman"/>
          <w:sz w:val="24"/>
          <w:szCs w:val="24"/>
        </w:rPr>
      </w:pPr>
    </w:p>
    <w:p>
      <w:pPr>
        <w:pStyle w:val="4"/>
        <w:bidi w:val="0"/>
        <w:spacing w:line="360" w:lineRule="auto"/>
        <w:rPr>
          <w:rFonts w:hint="default" w:ascii="Times New Roman" w:hAnsi="Times New Roman" w:cs="Times New Roman"/>
          <w:sz w:val="24"/>
          <w:szCs w:val="24"/>
        </w:rPr>
      </w:pPr>
      <w:bookmarkStart w:id="4" w:name="_Toc668345706"/>
      <w:r>
        <w:rPr>
          <w:rFonts w:hint="default" w:ascii="Times New Roman" w:hAnsi="Times New Roman" w:cs="Times New Roman"/>
          <w:sz w:val="24"/>
          <w:szCs w:val="24"/>
        </w:rPr>
        <w:t>2.1.1 The Changes</w:t>
      </w:r>
      <w:bookmarkEnd w:id="4"/>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Employees of different generations in contemporary workplace needed to collaborate together due to changes within the labour force over the decade, while multigeneration present diverse characteristics and driven by different incentives. Helyer &amp; Lee (2012) report that one of the most obvious trends is the ageing of the workforce. According to ONS (2016), the proportion of older workers in the workplace has doubled from 6.6% in 2006 to 10.4% in 2016. Meanwhile, the number of graduates is growing as well, with 14 million in Britain (ONS, 2017), which means increasing new generations pour into the workplace (Bratton, 2007; Malcolm et al., 2015; Sattar, 2016). Youth generation usually defined as achievement-oriented, tech-savvy and eager to be noticed (Twenge et al., 2008; Lowe et al., 2008; Kane, 2011), the meaning of work, the challenges of growth and personal and professional development are particularly crucial for the younger generation (Giancola, 2010; Hannay and Fretwell, 2010; Helyer and Lee, 2012). For these older workers, the main drivers are pensions and self-worth at work (Ayling and Miller, 2019). A workforce of generations embodies a variety of different attitudes, values, motivations and beliefs, as well as indicates that the labour market will continue to evolve and become more diversified and complicated in the present, and future (Anantatmula &amp; Shrivastav, 2012; Stuart, 2015; Sakdiyakorn &amp; Wattanacharoensil, 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The importance of high-tech talents and intangible assets are increasing dramatically as a result of globalisation and the rise of technology. Sako (2009) and Wright et al (2010) support this notion that enterprises are increasingly focusing on advanced skills as a prerequisite for the knowledge-based era, including the UK. Meanwhile, automation reduces the importance of labour cost (Labor-intensive manufacturing fell from 55% in 2015 to 43% in 2017), therefore, global value chains are becoming more knowledge-intensive as well (Antonelli &amp; Fassio, 2016; Lund et al., 2019; Sousa, 2019). </w:t>
      </w:r>
      <w:r>
        <w:rPr>
          <w:rFonts w:hint="default" w:ascii="Times New Roman" w:hAnsi="Times New Roman" w:cs="Times New Roman"/>
          <w:sz w:val="24"/>
          <w:szCs w:val="24"/>
        </w:rPr>
        <w:t>Also</w:t>
      </w:r>
      <w:r>
        <w:rPr>
          <w:rFonts w:hint="default" w:ascii="Times New Roman" w:hAnsi="Times New Roman" w:cs="Times New Roman"/>
          <w:sz w:val="24"/>
          <w:szCs w:val="24"/>
        </w:rPr>
        <w:t>, employees have more options in terms of employment as technology enabling them to work anywhere and anytime (Bain, 2016; Churchill, 2019), which means this will be a challenge for employers since they need to consider how to attract and retain talents so as to improve the competitiveness of enterprise (Bond, 2015; Cannon, 2015).</w:t>
      </w:r>
    </w:p>
    <w:p>
      <w:pPr>
        <w:spacing w:line="360" w:lineRule="auto"/>
        <w:rPr>
          <w:rFonts w:hint="default" w:ascii="Times New Roman" w:hAnsi="Times New Roman" w:cs="Times New Roman"/>
          <w:sz w:val="24"/>
          <w:szCs w:val="24"/>
        </w:rPr>
      </w:pPr>
    </w:p>
    <w:p>
      <w:pPr>
        <w:pStyle w:val="4"/>
        <w:bidi w:val="0"/>
        <w:spacing w:line="360" w:lineRule="auto"/>
        <w:rPr>
          <w:rFonts w:hint="default" w:ascii="Times New Roman" w:hAnsi="Times New Roman" w:cs="Times New Roman"/>
          <w:b/>
          <w:sz w:val="24"/>
          <w:szCs w:val="24"/>
        </w:rPr>
      </w:pPr>
      <w:bookmarkStart w:id="5" w:name="_Toc1546806932"/>
      <w:r>
        <w:rPr>
          <w:rFonts w:hint="default" w:ascii="Times New Roman" w:hAnsi="Times New Roman" w:cs="Times New Roman"/>
          <w:b/>
          <w:sz w:val="24"/>
          <w:szCs w:val="24"/>
        </w:rPr>
        <w:t>2.1.2 The Importance of Employee Reward</w:t>
      </w:r>
      <w:bookmarkEnd w:id="5"/>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An appropriate reward system can support the organisation to attract and maintain talents so as to stimulate innovation and gain core competitiveness. It is not wise to imitate others in order to stand out from the competitive globalised world (Brondoni, 2012). Pisano (2015) support this notion that no fixed system can be suitable for all companies and normally operate in all situations, yet innovation can help organisations to design systems that meet specific competitive needs. Brash et al (2008) and Mickahail (2015) demonstrate that innovation has become a major driver factor of performance, growth and valuation since the development of globalisation, while the team and individual incentive could effectively promote innovation (Christiansen, 2000; Craig, 2018; Darmaki et al., 2019). By 2030, the number of jobs/positions is projected to be greater than the number of people, therefore, incentive strategy will become particularly essential to help companies attract and retain talent in this labour market where talent is scarce (Senna, 2008; Martindale, 2014; Schlechter et al., 2014; CIPD, 2015).</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Moreover, reward systems could support the organisation to enhance employee satisfaction and engagement through establishing a channel for communication. Communication is a key factor in organisational effectiveness (Dickson, Rainey &amp; Hargie, 2003; Quinn and Hargie, 2004; Downs and Adrian, 2004; Robson and Tourish, 2005; Ruck et al., 2017). Two-way communication not only enabling employee voice been received, but provides an opportunity with managers and employees to exchange views on issues, and thus improve the performance (Wilkinson et al., 2004; Tourish &amp; Robson, 2006). Additionally, employees can have a better understanding of the operation principle of the reward system during communication. Heneman (2004) highlight that there is higher satisfaction with the reward system when employees have more understanding about the operation principle, while greater satisfaction can bring more contribution to the company.</w:t>
      </w: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sz w:val="24"/>
          <w:szCs w:val="24"/>
        </w:rPr>
      </w:pPr>
      <w:bookmarkStart w:id="6" w:name="_Toc1894559189"/>
      <w:r>
        <w:rPr>
          <w:rFonts w:hint="default" w:ascii="Times New Roman" w:hAnsi="Times New Roman" w:cs="Times New Roman"/>
          <w:b/>
          <w:sz w:val="28"/>
          <w:szCs w:val="28"/>
        </w:rPr>
        <w:t>2.2 Problems with Reward Strategy</w:t>
      </w:r>
      <w:bookmarkEnd w:id="6"/>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Primarily, the significant damage that awful reward system brings to owners is to affect the capability of the organisation to respond to the external environment fluctuation. Recently, British Airways (BA) has lost legal action against pilot strikes, and the reason for the strike is that employees claimed equal and reasonable pay (Mahmood, 2019; Topham, 2019). BBC News (2019) discuss that could cost airlines as much as £40 million a day, and unfortunately, airlines cannot predict how many employees will be involved in the strike so have to cancel nearly 100% of flights (Nelson, 2019). Meanwhile, if BA wants to address the disputation caused by the strike, it will need to respond to the employee’s pay increase requirement that undoubtedly anther substantial expense for BA, which means the budget of BA for investing in other fields of the business will be reduced, technology changes, for instance, is the majority competitiveness for the organisation to campaign with the peer industry (Greitemann et al., 2014; Mian et al., 2016; Clark et al., 2018; Jain, 2019). While the decline in the budget is one of the key factors in slowing technology innovation.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As for the employees, dissatisfaction and depression might be caused by the reward system. Armstrong (2017) has defined the psychological contracts as the foundation of employee relations that express certain assumptions and expectations about what managers and employees must and are willing to provide. However, a report by Mahmood (2019) and Topham (2019) reveals that BA constant cost-cutting and reduced sincerity in treating employees have led pilots to lose trust and confidence in the organisation, meanwhile, the CEO gave himself a pay rise over £500,000, which exacerbated employee dissatisfaction. Wayne et al (2007) and Rozario (2012) argue that the violation (i.e. a breach of the psychological contract) would result in the withdrawal of individuals from the organisation, inability to perform or lack of productivity. The eventual impact on BA might be that they lose competitiveness in competition as a lack of talent.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Regarding the impact of the trade union, the membership would be decreased when they did not receive the expected salary and further exacerbating inequality. The existence of trade union is for the equality of employees (Gennard et al., 2016), therefore, when the number of trade union members in organisations decreases, it also means reducing the scale of the group that speaks to employees who are unfairly treated. Dibben et al (2011) point out that inequality has worsened over the past three decades, which from 0.28 in the 1970s to 0.34 on mid-2000s in the UK (OECD, 2010) (Higher value with the greater inequality). In highly unequal societies, mental health and stress are terrible. And it also means that managers have less understanding of the material conditions of employees, thus weakening unity and cohesion within the organisation. More serious might form a vicious circle, thus reducing the economic growth of the whole society (Lopez et al., 2016; Mumtaz et al., 2017; Chi-Chuan &amp; Chien-Chiang, 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From the customer perspective, if the end result of the strike is a BA increase in pay for employees, then they worry about whether the increase in salary will lead to higher ticket price; if BA does not eventually raise their pay for pilots, they may experience a reduced quality of service experience. Staten (2019) said BA lost the trust and confidence of pilots due to cost reductions and awkward branding. Shareholders want to squeeze out the last penny from customers and employees. Another news reported by Salmon (2018), the BA cut back on the customer’s allowance, so that customers have to pay for M&amp;S meals on their own, which indicates that consumer benefits are shrinking as well.</w:t>
      </w:r>
    </w:p>
    <w:p>
      <w:pPr>
        <w:spacing w:line="360" w:lineRule="auto"/>
        <w:rPr>
          <w:rFonts w:hint="default" w:ascii="Times New Roman" w:hAnsi="Times New Roman" w:cs="Times New Roman"/>
          <w:sz w:val="24"/>
          <w:szCs w:val="24"/>
        </w:rPr>
      </w:pPr>
    </w:p>
    <w:p>
      <w:pPr>
        <w:pStyle w:val="3"/>
        <w:bidi w:val="0"/>
        <w:spacing w:line="360" w:lineRule="auto"/>
        <w:rPr>
          <w:rFonts w:hint="default" w:ascii="Times New Roman" w:hAnsi="Times New Roman" w:cs="Times New Roman"/>
          <w:b/>
          <w:sz w:val="28"/>
          <w:szCs w:val="28"/>
        </w:rPr>
      </w:pPr>
      <w:bookmarkStart w:id="7" w:name="_Toc1116255454"/>
      <w:r>
        <w:rPr>
          <w:rFonts w:hint="default" w:ascii="Times New Roman" w:hAnsi="Times New Roman" w:cs="Times New Roman"/>
          <w:b/>
          <w:sz w:val="28"/>
          <w:szCs w:val="28"/>
        </w:rPr>
        <w:t>2.3 Improvement of Reward Strategy</w:t>
      </w:r>
      <w:bookmarkEnd w:id="7"/>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problems with BA employee rewards on the basis of section 2.2 analysis can be summarised as unequal pay and discontent with management. A range of evidence demonstrates rigid relations between BA and pilots, frequent negative reports on BA, for instance, recent strikes, and reviews on the website (Such as Glassdoor, and BA recently dropped its rating on the site to 3.4). According to Dan Pink (2007), the reward should not only stay in the extrinsic incentives but as well as should pay attention to the intrinsic incentives. Therefore, considering the turbulent external environment, the reward strategy would be elaborated in the short-, medium- and long-term, corresponding to non-financial incentives, pay increase and total reward management.</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Firstly, owing to the fund shortage of BA caused by losses from strikes and sudden outbreaks of coronavirus, the non-financial benefit might be a suitable choice to rescue for lost employee trust. Specifically, managers could build a two-way communication channel to frankly inform that the enterprise might face a </w:t>
      </w:r>
      <w:r>
        <w:rPr>
          <w:rFonts w:hint="default" w:ascii="Times New Roman" w:hAnsi="Times New Roman" w:cs="Times New Roman"/>
          <w:sz w:val="24"/>
          <w:szCs w:val="24"/>
        </w:rPr>
        <w:t>considerable</w:t>
      </w:r>
      <w:bookmarkStart w:id="12" w:name="_GoBack"/>
      <w:bookmarkEnd w:id="12"/>
      <w:r>
        <w:rPr>
          <w:rFonts w:hint="default" w:ascii="Times New Roman" w:hAnsi="Times New Roman" w:cs="Times New Roman"/>
          <w:sz w:val="24"/>
          <w:szCs w:val="24"/>
        </w:rPr>
        <w:t xml:space="preserve"> fund shortage and therefore cannot immediately satisfy the pay increase needs of all employees. While they can provide employees with diverse reward packages, such as flexible working and work/life balance, to appease employees. Meanwhile combining with the recognition of employees. Peterson &amp; Luthans (2006) highlight that recognition could have the same effect as financial incentives in terms of positive impact on productivity. Furthermore, BA could begin to consider the issues of how big a pay increase when the funding gap is closed in the medium term. Research by Heneman (2004) finds that the general pay increases are fluctuating between 4% - 12%, and the minimum pay increase in which positively influence the behaviour and attitude of employees are 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Eventually, reward systems should not be treated as an isolated part in the turbulent and unpredictable change world. Heneman (2004) have suggested that the ‘New Pay’ does not just awards for salary increases and other incentives, rather link them to the achievement of the organisation’s strategic objectives. Further, Dibben et al (2011) also found that ‘New Pay’ not only should indicate the external labour market but also be required to involve the actual contribution of employees to the enterprise. Research by Uhl-Bien et al (2007) and Nonaka &amp; Nishiguchi (2001) finds that the operation form of the new era is to realise the aggregation of intellectual assets through distributed intelligence and cellular network, which present the characteristics of dynamic and interaction (Cilliers, 2001). Therefore, the reward strategies should be adaptable to changes in the external environment if the organisation want to develop reward strategies that can be applied for a long term. That is, reward strategies required the capability that can support the organisation’s sustainable business goals over the long term and readily adapted to changes in external environmental policies and social trends (Cotton, 2019).</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Generally, the advantage of adopting the above approaches is that it can help enterprises adapt to external changes and make adjustments at any time, yet, meanwhile, it also requires a huge cost on employee rewards. In addition, if the organisation heavy relies on non-financial rewards, it may be counterproductive because the non-financial rewards will be regarded by employees as a move to cut corners to avoid financial rewards.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8" w:name="_Toc488275186"/>
      <w:r>
        <w:rPr>
          <w:rFonts w:hint="default" w:ascii="Times New Roman" w:hAnsi="Times New Roman" w:cs="Times New Roman"/>
          <w:b/>
          <w:sz w:val="32"/>
          <w:szCs w:val="32"/>
        </w:rPr>
        <w:t>3.0 Conclusion and Recommendations</w:t>
      </w:r>
      <w:bookmarkEnd w:id="8"/>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With the development of social economy, the term ‘employee reward’ has been replaced by ‘total reward’ in which involving basic salary, pay increase, benefits, and non-financial rewards, each element of total reward are linked together and viewed as a holistic whole (Manus and Graham,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According to a case study of BA strikes, employee rewards play a crucial role in the enterprise since it has wide influences on the organisation involving the external talent attraction of organizations, internal business operations, innovation and the atmosphere of relationships with employers and employees.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Therefore, based on the survey and analysis, it is understood that the total reward management does not rely any independent operating reward mechanisms, but considers various approaches in which people can be awarded diverse ways and felt valued during working. ‘Incentive policies can not be considered, designed or operated independently of their context, so incentive management needs to be carried out in the context of internal (corporate) and external environments’ (Armstrong, 2007).</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Considering the scheduled of the employee reward system, the recommendations will be illustrated in three stages as follows:</w:t>
      </w: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Short-term - establishing a two-way communication channel and providing reward packages</w:t>
      </w:r>
    </w:p>
    <w:p>
      <w:pPr>
        <w:widowControl w:val="0"/>
        <w:numPr>
          <w:ilvl w:val="0"/>
          <w:numId w:val="1"/>
        </w:numPr>
        <w:spacing w:line="360" w:lineRule="auto"/>
        <w:ind w:left="420" w:leftChars="0" w:hanging="420" w:firstLineChars="0"/>
        <w:jc w:val="both"/>
        <w:rPr>
          <w:rFonts w:hint="default" w:ascii="Times New Roman" w:hAnsi="Times New Roman" w:cs="Times New Roman"/>
          <w:sz w:val="24"/>
          <w:szCs w:val="24"/>
        </w:rPr>
      </w:pPr>
      <w:r>
        <w:rPr>
          <w:rFonts w:hint="default" w:ascii="Times New Roman" w:hAnsi="Times New Roman" w:cs="Times New Roman"/>
          <w:sz w:val="24"/>
          <w:szCs w:val="24"/>
        </w:rPr>
        <w:t>Medium-term - a pay increase</w:t>
      </w:r>
    </w:p>
    <w:p>
      <w:pPr>
        <w:numPr>
          <w:ilvl w:val="0"/>
          <w:numId w:val="3"/>
        </w:numPr>
        <w:spacing w:line="360" w:lineRule="auto"/>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Long term - adapting total reward management that could support the sustainable development of business strategies.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9" w:name="_Toc906035915"/>
      <w:r>
        <w:rPr>
          <w:rFonts w:hint="default" w:ascii="Times New Roman" w:hAnsi="Times New Roman" w:cs="Times New Roman"/>
          <w:b/>
          <w:sz w:val="32"/>
          <w:szCs w:val="32"/>
        </w:rPr>
        <w:t>4.0 References</w:t>
      </w:r>
      <w:bookmarkEnd w:id="9"/>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Armstrong, M. (2007) </w:t>
      </w:r>
      <w:r>
        <w:rPr>
          <w:rFonts w:hint="default" w:ascii="Times New Roman" w:hAnsi="Times New Roman" w:cs="Times New Roman"/>
          <w:i/>
          <w:iCs/>
          <w:sz w:val="24"/>
          <w:szCs w:val="24"/>
        </w:rPr>
        <w:t>A handbook of employee reward management and practice</w:t>
      </w:r>
      <w:r>
        <w:rPr>
          <w:rFonts w:hint="default" w:ascii="Times New Roman" w:hAnsi="Times New Roman" w:cs="Times New Roman"/>
          <w:sz w:val="24"/>
          <w:szCs w:val="24"/>
        </w:rPr>
        <w:t xml:space="preserve"> 2nd ed., London: Kogan Page.</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Anantatmula, V. &amp; Shrivastav, B. (2012) Evolution of project teams for Generation Y workforce. </w:t>
      </w:r>
      <w:r>
        <w:rPr>
          <w:rFonts w:hint="default" w:ascii="Times New Roman" w:hAnsi="Times New Roman" w:cs="Times New Roman"/>
          <w:i/>
          <w:iCs/>
          <w:sz w:val="24"/>
          <w:szCs w:val="24"/>
        </w:rPr>
        <w:t>International Journal of Managing Projects in Business</w:t>
      </w:r>
      <w:r>
        <w:rPr>
          <w:rFonts w:hint="default" w:ascii="Times New Roman" w:hAnsi="Times New Roman" w:cs="Times New Roman"/>
          <w:sz w:val="24"/>
          <w:szCs w:val="24"/>
        </w:rPr>
        <w:t>, 5(1), pp.9–26.</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Antonelli, C. &amp; Fassio, C. (2016) Globalization and the Knowledge-Driven Economy. </w:t>
      </w:r>
      <w:r>
        <w:rPr>
          <w:rFonts w:hint="default" w:ascii="Times New Roman" w:hAnsi="Times New Roman" w:cs="Times New Roman"/>
          <w:i/>
          <w:iCs/>
          <w:sz w:val="24"/>
          <w:szCs w:val="24"/>
        </w:rPr>
        <w:t>Economic Development Quarterly</w:t>
      </w:r>
      <w:r>
        <w:rPr>
          <w:rFonts w:hint="default" w:ascii="Times New Roman" w:hAnsi="Times New Roman" w:cs="Times New Roman"/>
          <w:sz w:val="24"/>
          <w:szCs w:val="24"/>
        </w:rPr>
        <w:t>, 30(1), pp.3–14.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Antoni, C., Baeten, X., Perkins, S., Shaw, J. and Vartiainen, M. (2017) Reward Management. </w:t>
      </w:r>
      <w:r>
        <w:rPr>
          <w:rFonts w:hint="default" w:ascii="Times New Roman" w:hAnsi="Times New Roman" w:cs="Times New Roman"/>
          <w:i/>
          <w:iCs/>
          <w:sz w:val="24"/>
          <w:szCs w:val="24"/>
        </w:rPr>
        <w:t>Journal of Personnel Psychology</w:t>
      </w:r>
      <w:r>
        <w:rPr>
          <w:rFonts w:hint="default" w:ascii="Times New Roman" w:hAnsi="Times New Roman" w:cs="Times New Roman"/>
          <w:sz w:val="24"/>
          <w:szCs w:val="24"/>
        </w:rPr>
        <w:t>, 16(2), pp.57-60.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Ayling, L. and Miller, J. (2019) </w:t>
      </w:r>
      <w:r>
        <w:rPr>
          <w:rFonts w:hint="default" w:ascii="Times New Roman" w:hAnsi="Times New Roman" w:cs="Times New Roman"/>
          <w:i/>
          <w:iCs/>
          <w:sz w:val="24"/>
          <w:szCs w:val="24"/>
        </w:rPr>
        <w:t>Age And Employment.</w:t>
      </w:r>
      <w:r>
        <w:rPr>
          <w:rFonts w:hint="default" w:ascii="Times New Roman" w:hAnsi="Times New Roman" w:cs="Times New Roman"/>
          <w:sz w:val="24"/>
          <w:szCs w:val="24"/>
        </w:rPr>
        <w:t xml:space="preserve"> [online] CIPD. Available at: https://www.cipd.co.uk/knowledge/fundamentals/emp-law/age-discrimination/factsheet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BBC News. (2019) </w:t>
      </w:r>
      <w:r>
        <w:rPr>
          <w:rFonts w:hint="default" w:ascii="Times New Roman" w:hAnsi="Times New Roman" w:cs="Times New Roman"/>
          <w:i/>
          <w:iCs/>
          <w:sz w:val="24"/>
          <w:szCs w:val="24"/>
        </w:rPr>
        <w:t>BA Pilots Strike For Second Day Over Pay.</w:t>
      </w:r>
      <w:r>
        <w:rPr>
          <w:rFonts w:hint="default" w:ascii="Times New Roman" w:hAnsi="Times New Roman" w:cs="Times New Roman"/>
          <w:sz w:val="24"/>
          <w:szCs w:val="24"/>
        </w:rPr>
        <w:t xml:space="preserve"> [online] Available at: https://www.bbc.co.uk/news/business-49625303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Bond, J. (2015) Talent shortage grows as a key risk for the manufacturing industry. </w:t>
      </w:r>
      <w:r>
        <w:rPr>
          <w:rFonts w:hint="default" w:ascii="Times New Roman" w:hAnsi="Times New Roman" w:cs="Times New Roman"/>
          <w:i/>
          <w:iCs/>
          <w:sz w:val="24"/>
          <w:szCs w:val="24"/>
        </w:rPr>
        <w:t>Modern Materials Handling</w:t>
      </w:r>
      <w:r>
        <w:rPr>
          <w:rFonts w:hint="default" w:ascii="Times New Roman" w:hAnsi="Times New Roman" w:cs="Times New Roman"/>
          <w:sz w:val="24"/>
          <w:szCs w:val="24"/>
        </w:rPr>
        <w:t>, 70(7), p.9.</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Bratton, J. (2007) </w:t>
      </w:r>
      <w:r>
        <w:rPr>
          <w:rFonts w:hint="default" w:ascii="Times New Roman" w:hAnsi="Times New Roman" w:cs="Times New Roman"/>
          <w:i/>
          <w:iCs/>
          <w:sz w:val="24"/>
          <w:szCs w:val="24"/>
        </w:rPr>
        <w:t>Work and organizational behaviour : understanding the workplace</w:t>
      </w:r>
      <w:r>
        <w:rPr>
          <w:rFonts w:hint="default" w:ascii="Times New Roman" w:hAnsi="Times New Roman" w:cs="Times New Roman"/>
          <w:sz w:val="24"/>
          <w:szCs w:val="24"/>
        </w:rPr>
        <w:t>, Basingstoke: Palgrave Macmillan.</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Brondoni, S. (2012) Innovation and Imitation: Corporate Strategies for Global Competition. Symphonya. </w:t>
      </w:r>
      <w:r>
        <w:rPr>
          <w:rFonts w:hint="default" w:ascii="Times New Roman" w:hAnsi="Times New Roman" w:cs="Times New Roman"/>
          <w:i/>
          <w:iCs/>
          <w:sz w:val="24"/>
          <w:szCs w:val="24"/>
        </w:rPr>
        <w:t>Emerging Issues in Management,</w:t>
      </w:r>
      <w:r>
        <w:rPr>
          <w:rFonts w:hint="default" w:ascii="Times New Roman" w:hAnsi="Times New Roman" w:cs="Times New Roman"/>
          <w:sz w:val="24"/>
          <w:szCs w:val="24"/>
        </w:rPr>
        <w:t xml:space="preserve"> (1).</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Cannon, J. (2015) Three Key Challenges for the CHRO.</w:t>
      </w:r>
      <w:r>
        <w:rPr>
          <w:rFonts w:hint="default" w:ascii="Times New Roman" w:hAnsi="Times New Roman" w:cs="Times New Roman"/>
          <w:i/>
          <w:iCs/>
          <w:sz w:val="24"/>
          <w:szCs w:val="24"/>
        </w:rPr>
        <w:t xml:space="preserve"> People and Strategy,</w:t>
      </w:r>
      <w:r>
        <w:rPr>
          <w:rFonts w:hint="default" w:ascii="Times New Roman" w:hAnsi="Times New Roman" w:cs="Times New Roman"/>
          <w:sz w:val="24"/>
          <w:szCs w:val="24"/>
        </w:rPr>
        <w:t xml:space="preserve"> 38(2), pp.11–12.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Chakhoyan, A. (2017)</w:t>
      </w:r>
      <w:r>
        <w:rPr>
          <w:rFonts w:hint="default" w:ascii="Times New Roman" w:hAnsi="Times New Roman" w:cs="Times New Roman"/>
          <w:i/>
          <w:iCs/>
          <w:color w:val="auto"/>
          <w:sz w:val="24"/>
          <w:szCs w:val="24"/>
        </w:rPr>
        <w:t xml:space="preserve"> Is the era of management over?</w:t>
      </w:r>
      <w:r>
        <w:rPr>
          <w:rFonts w:hint="default" w:ascii="Times New Roman" w:hAnsi="Times New Roman" w:cs="Times New Roman"/>
          <w:color w:val="auto"/>
          <w:sz w:val="24"/>
          <w:szCs w:val="24"/>
        </w:rPr>
        <w:t xml:space="preserve"> [online] World Economic Forum. Available at: https://www.weforum.org/agenda/2017/12/is-management-era-over/ [Accessed 1 May. 2020].</w:t>
      </w:r>
    </w:p>
    <w:p>
      <w:pPr>
        <w:spacing w:line="360" w:lineRule="auto"/>
        <w:rPr>
          <w:rFonts w:hint="default" w:ascii="Times New Roman" w:hAnsi="Times New Roman" w:cs="Times New Roman"/>
          <w:color w:val="auto"/>
          <w:sz w:val="24"/>
          <w:szCs w:val="24"/>
        </w:rPr>
      </w:pPr>
    </w:p>
    <w:p>
      <w:pPr>
        <w:spacing w:line="360" w:lineRule="auto"/>
        <w:rPr>
          <w:rFonts w:hint="default" w:ascii="Times New Roman" w:hAnsi="Times New Roman" w:cs="Times New Roman"/>
          <w:color w:val="auto"/>
          <w:sz w:val="24"/>
          <w:szCs w:val="24"/>
        </w:rPr>
      </w:pPr>
      <w:r>
        <w:rPr>
          <w:rFonts w:hint="default" w:ascii="Times New Roman" w:hAnsi="Times New Roman" w:cs="Times New Roman"/>
          <w:sz w:val="24"/>
          <w:szCs w:val="24"/>
        </w:rPr>
        <w:t xml:space="preserve">Christiansen, J. (2000) </w:t>
      </w:r>
      <w:r>
        <w:rPr>
          <w:rFonts w:hint="default" w:ascii="Times New Roman" w:hAnsi="Times New Roman" w:cs="Times New Roman"/>
          <w:i/>
          <w:iCs/>
          <w:sz w:val="24"/>
          <w:szCs w:val="24"/>
        </w:rPr>
        <w:t>Building The Innovative Organization</w:t>
      </w:r>
      <w:r>
        <w:rPr>
          <w:rFonts w:hint="default" w:ascii="Times New Roman" w:hAnsi="Times New Roman" w:cs="Times New Roman"/>
          <w:sz w:val="24"/>
          <w:szCs w:val="24"/>
        </w:rPr>
        <w:t>. Basingstoke: Macmillan.</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CIPD. (2018) </w:t>
      </w:r>
      <w:r>
        <w:rPr>
          <w:rFonts w:hint="default" w:ascii="Times New Roman" w:hAnsi="Times New Roman" w:cs="Times New Roman"/>
          <w:i/>
          <w:iCs/>
          <w:sz w:val="24"/>
          <w:szCs w:val="24"/>
        </w:rPr>
        <w:t>CIPD Submission To BIES - Executive Pay.</w:t>
      </w:r>
      <w:r>
        <w:rPr>
          <w:rFonts w:hint="default" w:ascii="Times New Roman" w:hAnsi="Times New Roman" w:cs="Times New Roman"/>
          <w:sz w:val="24"/>
          <w:szCs w:val="24"/>
        </w:rPr>
        <w:t xml:space="preserve"> [online] Available at: https://www.cipd.co.uk/Images/cipd-submission-to-beis-select-committee-on-executive-pay_tcm18-41919.pdf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Clark, T., Li, S. and Sillince, J. (2018) Constructing a strategy on the creation of core competencies for African companies. </w:t>
      </w:r>
      <w:r>
        <w:rPr>
          <w:rFonts w:hint="default" w:ascii="Times New Roman" w:hAnsi="Times New Roman" w:cs="Times New Roman"/>
          <w:i/>
          <w:iCs/>
          <w:sz w:val="24"/>
          <w:szCs w:val="24"/>
        </w:rPr>
        <w:t>Technological Forecasting and Social Change</w:t>
      </w:r>
      <w:r>
        <w:rPr>
          <w:rFonts w:hint="default" w:ascii="Times New Roman" w:hAnsi="Times New Roman" w:cs="Times New Roman"/>
          <w:sz w:val="24"/>
          <w:szCs w:val="24"/>
        </w:rPr>
        <w:t>, 131, pp.204-213.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Cotton, C. (2019) </w:t>
      </w:r>
      <w:r>
        <w:rPr>
          <w:rFonts w:hint="default" w:ascii="Times New Roman" w:hAnsi="Times New Roman" w:cs="Times New Roman"/>
          <w:i/>
          <w:iCs/>
          <w:sz w:val="24"/>
          <w:szCs w:val="24"/>
        </w:rPr>
        <w:t>Reward &amp; Pay | Factsheets | CIPD.</w:t>
      </w:r>
      <w:r>
        <w:rPr>
          <w:rFonts w:hint="default" w:ascii="Times New Roman" w:hAnsi="Times New Roman" w:cs="Times New Roman"/>
          <w:sz w:val="24"/>
          <w:szCs w:val="24"/>
        </w:rPr>
        <w:t xml:space="preserve"> [online] CIPD. Available at: https://www.cipd.co.uk/knowledge/fundamentals/people/pay/reward-factsheet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Craig, W. (2018) </w:t>
      </w:r>
      <w:r>
        <w:rPr>
          <w:rFonts w:hint="default" w:ascii="Times New Roman" w:hAnsi="Times New Roman" w:cs="Times New Roman"/>
          <w:i/>
          <w:iCs/>
          <w:sz w:val="24"/>
          <w:szCs w:val="24"/>
        </w:rPr>
        <w:t>10 Ways To Encourage Company Innovation In Your Employees.</w:t>
      </w:r>
      <w:r>
        <w:rPr>
          <w:rFonts w:hint="default" w:ascii="Times New Roman" w:hAnsi="Times New Roman" w:cs="Times New Roman"/>
          <w:sz w:val="24"/>
          <w:szCs w:val="24"/>
        </w:rPr>
        <w:t xml:space="preserve"> [online] Forbes. Available at: https://www.forbes.com/sites/williamcraig/2018/11/13/10-ways-to-encourage-company-innovation-in-your-employees/#26f18bb43a22 [Accessed 28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Darmaki, S., Omar, R. and Ismail, W. (2019) Driving Innovation: Reviewing the Role of Rewards. </w:t>
      </w:r>
      <w:r>
        <w:rPr>
          <w:rFonts w:hint="default" w:ascii="Times New Roman" w:hAnsi="Times New Roman" w:cs="Times New Roman"/>
          <w:i/>
          <w:iCs/>
          <w:sz w:val="24"/>
          <w:szCs w:val="24"/>
        </w:rPr>
        <w:t>Journal of Human Resource and Sustainability Studies</w:t>
      </w:r>
      <w:r>
        <w:rPr>
          <w:rFonts w:hint="default" w:ascii="Times New Roman" w:hAnsi="Times New Roman" w:cs="Times New Roman"/>
          <w:sz w:val="24"/>
          <w:szCs w:val="24"/>
        </w:rPr>
        <w:t>, 07(03), pp.406-415.</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Dibben, P., Klerch, G. and Wood, G. (2011) </w:t>
      </w:r>
      <w:r>
        <w:rPr>
          <w:rFonts w:hint="default" w:ascii="Times New Roman" w:hAnsi="Times New Roman" w:cs="Times New Roman"/>
          <w:i/>
          <w:iCs/>
          <w:sz w:val="24"/>
          <w:szCs w:val="24"/>
        </w:rPr>
        <w:t>Employment relations: A critical and international approach. | Pauline Dibben, Gilton Klerck and Geoffrey Wood</w:t>
      </w:r>
      <w:r>
        <w:rPr>
          <w:rFonts w:hint="default" w:ascii="Times New Roman" w:hAnsi="Times New Roman" w:cs="Times New Roman"/>
          <w:sz w:val="24"/>
          <w:szCs w:val="24"/>
        </w:rPr>
        <w:t>., London: Chartered Institute of Personnel and Development.</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Dickson, D., Rainey, S. &amp; Hargie, O. (2003) Communicating sensitive business issues: Part 1. </w:t>
      </w:r>
      <w:r>
        <w:rPr>
          <w:rFonts w:hint="default" w:ascii="Times New Roman" w:hAnsi="Times New Roman" w:cs="Times New Roman"/>
          <w:i/>
          <w:iCs/>
          <w:sz w:val="24"/>
          <w:szCs w:val="24"/>
        </w:rPr>
        <w:t>Corporate Communications,</w:t>
      </w:r>
      <w:r>
        <w:rPr>
          <w:rFonts w:hint="default" w:ascii="Times New Roman" w:hAnsi="Times New Roman" w:cs="Times New Roman"/>
          <w:sz w:val="24"/>
          <w:szCs w:val="24"/>
        </w:rPr>
        <w:t xml:space="preserve"> 8(1), pp.35–43.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Downs, C., Adrian, A. and Downs, C. (2004) </w:t>
      </w:r>
      <w:r>
        <w:rPr>
          <w:rFonts w:hint="default" w:ascii="Times New Roman" w:hAnsi="Times New Roman" w:cs="Times New Roman"/>
          <w:i/>
          <w:iCs/>
          <w:sz w:val="24"/>
          <w:szCs w:val="24"/>
        </w:rPr>
        <w:t>Assessing Organizational Communication</w:t>
      </w:r>
      <w:r>
        <w:rPr>
          <w:rFonts w:hint="default" w:ascii="Times New Roman" w:hAnsi="Times New Roman" w:cs="Times New Roman"/>
          <w:sz w:val="24"/>
          <w:szCs w:val="24"/>
        </w:rPr>
        <w:t>. New York: Guilford Press.</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Dromey, J. (2018) </w:t>
      </w:r>
      <w:r>
        <w:rPr>
          <w:rFonts w:hint="default" w:ascii="Times New Roman" w:hAnsi="Times New Roman" w:cs="Times New Roman"/>
          <w:i/>
          <w:iCs/>
          <w:sz w:val="24"/>
          <w:szCs w:val="24"/>
        </w:rPr>
        <w:t>Don’t Blame Trade Unions For Their Declining Membership.</w:t>
      </w:r>
      <w:r>
        <w:rPr>
          <w:rFonts w:hint="default" w:ascii="Times New Roman" w:hAnsi="Times New Roman" w:cs="Times New Roman"/>
          <w:sz w:val="24"/>
          <w:szCs w:val="24"/>
        </w:rPr>
        <w:t xml:space="preserve"> [online] Newstatesman.com. Available at: https://www.newstatesman.com/politics/staggers/2018/06/don-t-blame-trade-unions-their-declining-membership [Accessed 29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Gennard, J., Judge, G. Bennett, T and Saundry, R. (2016) </w:t>
      </w:r>
      <w:r>
        <w:rPr>
          <w:rFonts w:hint="default" w:ascii="Times New Roman" w:hAnsi="Times New Roman" w:cs="Times New Roman"/>
          <w:i/>
          <w:iCs/>
          <w:sz w:val="24"/>
          <w:szCs w:val="24"/>
        </w:rPr>
        <w:t>Managing Employment Relations</w:t>
      </w:r>
      <w:r>
        <w:rPr>
          <w:rFonts w:hint="default" w:ascii="Times New Roman" w:hAnsi="Times New Roman" w:cs="Times New Roman"/>
          <w:sz w:val="24"/>
          <w:szCs w:val="24"/>
        </w:rPr>
        <w:t xml:space="preserve"> 2nd Ed. London: Chartered Institute of Personnel and Development.</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Greitemann, J., Christ, E., Matzat, A. and Reinhart, G. (2014) Strategic Evaluation of Technological Capabilities, Competencies and Core-Competencies of Manufacturing Companies. </w:t>
      </w:r>
      <w:r>
        <w:rPr>
          <w:rFonts w:hint="default" w:ascii="Times New Roman" w:hAnsi="Times New Roman" w:cs="Times New Roman"/>
          <w:i/>
          <w:iCs/>
          <w:sz w:val="24"/>
          <w:szCs w:val="24"/>
        </w:rPr>
        <w:t>Procedia CIRP</w:t>
      </w:r>
      <w:r>
        <w:rPr>
          <w:rFonts w:hint="default" w:ascii="Times New Roman" w:hAnsi="Times New Roman" w:cs="Times New Roman"/>
          <w:sz w:val="24"/>
          <w:szCs w:val="24"/>
        </w:rPr>
        <w:t>, 19, pp.57-62.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Gupta, N. &amp; Shaw, J.D. (2014) Employee compensation: The neglected area of HRM research. </w:t>
      </w:r>
      <w:r>
        <w:rPr>
          <w:rFonts w:hint="default" w:ascii="Times New Roman" w:hAnsi="Times New Roman" w:cs="Times New Roman"/>
          <w:i/>
          <w:iCs/>
          <w:sz w:val="24"/>
          <w:szCs w:val="24"/>
        </w:rPr>
        <w:t>Human Resource Management Review</w:t>
      </w:r>
      <w:r>
        <w:rPr>
          <w:rFonts w:hint="default" w:ascii="Times New Roman" w:hAnsi="Times New Roman" w:cs="Times New Roman"/>
          <w:sz w:val="24"/>
          <w:szCs w:val="24"/>
        </w:rPr>
        <w:t>, 24(1), pp.1-4.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Helyer, R. and Lee, D. (2012) The twenty‐first century multiple generation workforce. </w:t>
      </w:r>
      <w:r>
        <w:rPr>
          <w:rFonts w:hint="default" w:ascii="Times New Roman" w:hAnsi="Times New Roman" w:cs="Times New Roman"/>
          <w:i/>
          <w:iCs/>
          <w:sz w:val="24"/>
          <w:szCs w:val="24"/>
        </w:rPr>
        <w:t>Education + Training</w:t>
      </w:r>
      <w:r>
        <w:rPr>
          <w:rFonts w:hint="default" w:ascii="Times New Roman" w:hAnsi="Times New Roman" w:cs="Times New Roman"/>
          <w:sz w:val="24"/>
          <w:szCs w:val="24"/>
        </w:rPr>
        <w:t>, 54(7), pp.565-578.</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Hoole, C. &amp; Hotz, G. (2016) The impact of a total reward system of work engagement. </w:t>
      </w:r>
      <w:r>
        <w:rPr>
          <w:rFonts w:hint="default" w:ascii="Times New Roman" w:hAnsi="Times New Roman" w:cs="Times New Roman"/>
          <w:i/>
          <w:iCs/>
          <w:sz w:val="24"/>
          <w:szCs w:val="24"/>
        </w:rPr>
        <w:t>SA Journal of Industrial Psychology</w:t>
      </w:r>
      <w:r>
        <w:rPr>
          <w:rFonts w:hint="default" w:ascii="Times New Roman" w:hAnsi="Times New Roman" w:cs="Times New Roman"/>
          <w:sz w:val="24"/>
          <w:szCs w:val="24"/>
        </w:rPr>
        <w:t>, 42(1), pp.1–14.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Houses of Parliament, Parliamentary Office for Science &amp; Technology. (2011) </w:t>
      </w:r>
      <w:r>
        <w:rPr>
          <w:rFonts w:hint="default" w:ascii="Times New Roman" w:hAnsi="Times New Roman" w:cs="Times New Roman"/>
          <w:i/>
          <w:iCs/>
          <w:sz w:val="24"/>
          <w:szCs w:val="24"/>
        </w:rPr>
        <w:t>An Ageing Workforce</w:t>
      </w:r>
      <w:r>
        <w:rPr>
          <w:rFonts w:hint="default" w:ascii="Times New Roman" w:hAnsi="Times New Roman" w:cs="Times New Roman"/>
          <w:sz w:val="24"/>
          <w:szCs w:val="24"/>
        </w:rPr>
        <w:t>. [online] Available at: http://www.parliament.uk/briefing-papers/POST-PN-391.pdf [Accessed 27 April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Jain, S. (2019) Technology Management: Strategic Model for Developing Nations. </w:t>
      </w:r>
      <w:r>
        <w:rPr>
          <w:rFonts w:hint="default" w:ascii="Times New Roman" w:hAnsi="Times New Roman" w:cs="Times New Roman"/>
          <w:i/>
          <w:iCs/>
          <w:sz w:val="24"/>
          <w:szCs w:val="24"/>
        </w:rPr>
        <w:t>International Journal of Recent Technology and Engineering</w:t>
      </w:r>
      <w:r>
        <w:rPr>
          <w:rFonts w:hint="default" w:ascii="Times New Roman" w:hAnsi="Times New Roman" w:cs="Times New Roman"/>
          <w:sz w:val="24"/>
          <w:szCs w:val="24"/>
        </w:rPr>
        <w:t>, 8(4), pp.910-913.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Kane, S. (2011) </w:t>
      </w:r>
      <w:r>
        <w:rPr>
          <w:rFonts w:hint="default" w:ascii="Times New Roman" w:hAnsi="Times New Roman" w:cs="Times New Roman"/>
          <w:i/>
          <w:iCs/>
          <w:sz w:val="24"/>
          <w:szCs w:val="24"/>
        </w:rPr>
        <w:t>The Common Characteristics Of Millenial Professionals</w:t>
      </w:r>
      <w:r>
        <w:rPr>
          <w:rFonts w:hint="default" w:ascii="Times New Roman" w:hAnsi="Times New Roman" w:cs="Times New Roman"/>
          <w:sz w:val="24"/>
          <w:szCs w:val="24"/>
        </w:rPr>
        <w:t>. [online] thebalancecareers. Available at: http://legalcareers.about.com/od/ practicetips/a/GenerationY.htm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Khalid, K. &amp; Nawab, S. (2018) Employee Participation and Employee Retention in View of Compensation. </w:t>
      </w:r>
      <w:r>
        <w:rPr>
          <w:rFonts w:hint="default" w:ascii="Times New Roman" w:hAnsi="Times New Roman" w:cs="Times New Roman"/>
          <w:i/>
          <w:iCs/>
          <w:sz w:val="24"/>
          <w:szCs w:val="24"/>
        </w:rPr>
        <w:t>SAGE Open</w:t>
      </w:r>
      <w:r>
        <w:rPr>
          <w:rFonts w:hint="default" w:ascii="Times New Roman" w:hAnsi="Times New Roman" w:cs="Times New Roman"/>
          <w:sz w:val="24"/>
          <w:szCs w:val="24"/>
        </w:rPr>
        <w:t>, 8(4), pp.SAGE Open, October 2018, Vol.8(4).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Korsh, J. and Gilmartin, M. (2019) </w:t>
      </w:r>
      <w:r>
        <w:rPr>
          <w:rFonts w:hint="default" w:ascii="Times New Roman" w:hAnsi="Times New Roman" w:cs="Times New Roman"/>
          <w:i/>
          <w:iCs/>
          <w:sz w:val="24"/>
          <w:szCs w:val="24"/>
        </w:rPr>
        <w:t>Total Rewards</w:t>
      </w:r>
      <w:r>
        <w:rPr>
          <w:rFonts w:hint="default" w:ascii="Times New Roman" w:hAnsi="Times New Roman" w:cs="Times New Roman"/>
          <w:sz w:val="24"/>
          <w:szCs w:val="24"/>
        </w:rPr>
        <w:t>. Deloitte.</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Lamb, P., Morrison, N. and Cotton, C. (2015) </w:t>
      </w:r>
      <w:r>
        <w:rPr>
          <w:rFonts w:hint="default" w:ascii="Times New Roman" w:hAnsi="Times New Roman" w:cs="Times New Roman"/>
          <w:i/>
          <w:iCs/>
          <w:sz w:val="24"/>
          <w:szCs w:val="24"/>
        </w:rPr>
        <w:t>Changing Landscape Of Employee Reward | Podcasts | CIPD.</w:t>
      </w:r>
      <w:r>
        <w:rPr>
          <w:rFonts w:hint="default" w:ascii="Times New Roman" w:hAnsi="Times New Roman" w:cs="Times New Roman"/>
          <w:sz w:val="24"/>
          <w:szCs w:val="24"/>
        </w:rPr>
        <w:t xml:space="preserve"> [online] CIPD. Available at: https://www.cipd.co.uk/podcasts/changing-landscape-of-reward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Lee, Chi-Chuan &amp; Lee, Chien-Chiang. (2018) The Impact of Country Risk on Income Inequality: A Multilevel Analysis. </w:t>
      </w:r>
      <w:r>
        <w:rPr>
          <w:rFonts w:hint="default" w:ascii="Times New Roman" w:hAnsi="Times New Roman" w:cs="Times New Roman"/>
          <w:i/>
          <w:iCs/>
          <w:sz w:val="24"/>
          <w:szCs w:val="24"/>
        </w:rPr>
        <w:t>Social Indicators Research</w:t>
      </w:r>
      <w:r>
        <w:rPr>
          <w:rFonts w:hint="default" w:ascii="Times New Roman" w:hAnsi="Times New Roman" w:cs="Times New Roman"/>
          <w:sz w:val="24"/>
          <w:szCs w:val="24"/>
        </w:rPr>
        <w:t>, 136(1), pp.139–162.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Lopez, D.B., Loehrer, A.P. &amp; Chang, D.C. (2016) Impact of Income Inequality on the Nation's Health. </w:t>
      </w:r>
      <w:r>
        <w:rPr>
          <w:rFonts w:hint="default" w:ascii="Times New Roman" w:hAnsi="Times New Roman" w:cs="Times New Roman"/>
          <w:i/>
          <w:iCs/>
          <w:sz w:val="24"/>
          <w:szCs w:val="24"/>
        </w:rPr>
        <w:t>Journal of the American College of Surgeons</w:t>
      </w:r>
      <w:r>
        <w:rPr>
          <w:rFonts w:hint="default" w:ascii="Times New Roman" w:hAnsi="Times New Roman" w:cs="Times New Roman"/>
          <w:sz w:val="24"/>
          <w:szCs w:val="24"/>
        </w:rPr>
        <w:t>, 223(4), pp.587–594.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Malcolm, W., Ying, Z., Yuhua, X., &amp; Yongxing, G. (2015) Employee participation and the influence on job satisfaction of the 'new generation' of Chinese employees. </w:t>
      </w:r>
      <w:r>
        <w:rPr>
          <w:rFonts w:hint="default" w:ascii="Times New Roman" w:hAnsi="Times New Roman" w:cs="Times New Roman"/>
          <w:i/>
          <w:iCs/>
          <w:sz w:val="24"/>
          <w:szCs w:val="24"/>
        </w:rPr>
        <w:t>The International Journal of Human Resource Management</w:t>
      </w:r>
      <w:r>
        <w:rPr>
          <w:rFonts w:hint="default" w:ascii="Times New Roman" w:hAnsi="Times New Roman" w:cs="Times New Roman"/>
          <w:sz w:val="24"/>
          <w:szCs w:val="24"/>
        </w:rPr>
        <w:t>, 26(19), pp.2395–2411.</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Manas, T. and Graham, M. (2003) </w:t>
      </w:r>
      <w:r>
        <w:rPr>
          <w:rFonts w:hint="default" w:ascii="Times New Roman" w:hAnsi="Times New Roman" w:cs="Times New Roman"/>
          <w:i/>
          <w:iCs/>
          <w:sz w:val="24"/>
          <w:szCs w:val="24"/>
        </w:rPr>
        <w:t>Creating A Total Rewards Strategy</w:t>
      </w:r>
      <w:r>
        <w:rPr>
          <w:rFonts w:hint="default" w:ascii="Times New Roman" w:hAnsi="Times New Roman" w:cs="Times New Roman"/>
          <w:sz w:val="24"/>
          <w:szCs w:val="24"/>
        </w:rPr>
        <w:t>. New York: American Management Association.</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Martindale, N. (2014) </w:t>
      </w:r>
      <w:r>
        <w:rPr>
          <w:rFonts w:hint="default" w:ascii="Times New Roman" w:hAnsi="Times New Roman" w:cs="Times New Roman"/>
          <w:i/>
          <w:iCs/>
          <w:sz w:val="24"/>
          <w:szCs w:val="24"/>
        </w:rPr>
        <w:t>Talent Wars: How To Use Reward Effectively - Employee Benefits.</w:t>
      </w:r>
      <w:r>
        <w:rPr>
          <w:rFonts w:hint="default" w:ascii="Times New Roman" w:hAnsi="Times New Roman" w:cs="Times New Roman"/>
          <w:sz w:val="24"/>
          <w:szCs w:val="24"/>
        </w:rPr>
        <w:t xml:space="preserve"> [online] Employee Benefits. Available at: https://employeebenefits.co.uk/issues/november-2014/talent-wars-how-to-use-reward-effectively/ [Accessed 29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Marriott, L., Perkins, S. and Cotton, C. (2019) </w:t>
      </w:r>
      <w:r>
        <w:rPr>
          <w:rFonts w:hint="default" w:ascii="Times New Roman" w:hAnsi="Times New Roman" w:cs="Times New Roman"/>
          <w:i/>
          <w:iCs/>
          <w:sz w:val="24"/>
          <w:szCs w:val="24"/>
        </w:rPr>
        <w:t>Reward Management: Focus On Pay.</w:t>
      </w:r>
      <w:r>
        <w:rPr>
          <w:rFonts w:hint="default" w:ascii="Times New Roman" w:hAnsi="Times New Roman" w:cs="Times New Roman"/>
          <w:sz w:val="24"/>
          <w:szCs w:val="24"/>
        </w:rPr>
        <w:t xml:space="preserve"> [online] CIPD. Available at: https://www.cipd.co.uk/Images/reward-management-report-2019-2_tcm18-68009.pdf [Accessed 23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McNulty, J. (2018) High-tech workplace tools are key to winning the war for talent. </w:t>
      </w:r>
      <w:r>
        <w:rPr>
          <w:rFonts w:hint="default" w:ascii="Times New Roman" w:hAnsi="Times New Roman" w:cs="Times New Roman"/>
          <w:i/>
          <w:iCs/>
          <w:sz w:val="24"/>
          <w:szCs w:val="24"/>
        </w:rPr>
        <w:t>Strategic HR Review</w:t>
      </w:r>
      <w:r>
        <w:rPr>
          <w:rFonts w:hint="default" w:ascii="Times New Roman" w:hAnsi="Times New Roman" w:cs="Times New Roman"/>
          <w:sz w:val="24"/>
          <w:szCs w:val="24"/>
        </w:rPr>
        <w:t>, 17(4), pp.176–180.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Mumtaz, H. &amp; Theophilopoulou, A. (2017) The impact of monetary policy on inequality in the UK. An empirical analysis. </w:t>
      </w:r>
      <w:r>
        <w:rPr>
          <w:rFonts w:hint="default" w:ascii="Times New Roman" w:hAnsi="Times New Roman" w:cs="Times New Roman"/>
          <w:i/>
          <w:iCs/>
          <w:sz w:val="24"/>
          <w:szCs w:val="24"/>
        </w:rPr>
        <w:t>European Economic Review</w:t>
      </w:r>
      <w:r>
        <w:rPr>
          <w:rFonts w:hint="default" w:ascii="Times New Roman" w:hAnsi="Times New Roman" w:cs="Times New Roman"/>
          <w:sz w:val="24"/>
          <w:szCs w:val="24"/>
        </w:rPr>
        <w:t>, 98(C), pp.410–423.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Nelson, A. (2019) </w:t>
      </w:r>
      <w:r>
        <w:rPr>
          <w:rFonts w:hint="default" w:ascii="Times New Roman" w:hAnsi="Times New Roman" w:cs="Times New Roman"/>
          <w:i/>
          <w:iCs/>
          <w:sz w:val="24"/>
          <w:szCs w:val="24"/>
        </w:rPr>
        <w:t>BA Strike: Latest Advice To British Airways Passengers.</w:t>
      </w:r>
      <w:r>
        <w:rPr>
          <w:rFonts w:hint="default" w:ascii="Times New Roman" w:hAnsi="Times New Roman" w:cs="Times New Roman"/>
          <w:sz w:val="24"/>
          <w:szCs w:val="24"/>
        </w:rPr>
        <w:t xml:space="preserve"> [online] Inews.co.uk. Available at: https://inews.co.uk/inews-lifestyle/travel/ba-strike-pilot-british-airways-industrial-action-walkout-flights-affected-rights-tickets-494487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Mahmood, B. (2019) </w:t>
      </w:r>
      <w:r>
        <w:rPr>
          <w:rFonts w:hint="default" w:ascii="Times New Roman" w:hAnsi="Times New Roman" w:cs="Times New Roman"/>
          <w:i/>
          <w:iCs/>
          <w:sz w:val="24"/>
          <w:szCs w:val="24"/>
        </w:rPr>
        <w:t>BA Chief Exec Slammed For Taking ‘£530,000 Pay Rise’ As Pilots Strike | Metro News.</w:t>
      </w:r>
      <w:r>
        <w:rPr>
          <w:rFonts w:hint="default" w:ascii="Times New Roman" w:hAnsi="Times New Roman" w:cs="Times New Roman"/>
          <w:sz w:val="24"/>
          <w:szCs w:val="24"/>
        </w:rPr>
        <w:t xml:space="preserve"> [online] Metro.co.uk. Available at: https://metro.co.uk/2019/09/09/ba-chief-exec-slammed-taking-530000-pay-rise-cutting-pilot-salaries-10712855/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Mian, S., Lamine, W. &amp; Fayolle, A. (2016) Technology Business Incubation: An overview of the state of knowledge. </w:t>
      </w:r>
      <w:r>
        <w:rPr>
          <w:rFonts w:hint="default" w:ascii="Times New Roman" w:hAnsi="Times New Roman" w:cs="Times New Roman"/>
          <w:i/>
          <w:iCs/>
          <w:sz w:val="24"/>
          <w:szCs w:val="24"/>
        </w:rPr>
        <w:t>Technovation</w:t>
      </w:r>
      <w:r>
        <w:rPr>
          <w:rFonts w:hint="default" w:ascii="Times New Roman" w:hAnsi="Times New Roman" w:cs="Times New Roman"/>
          <w:sz w:val="24"/>
          <w:szCs w:val="24"/>
        </w:rPr>
        <w:t>, 50-51, pp.1–12.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Nelson, A. (2019) </w:t>
      </w:r>
      <w:r>
        <w:rPr>
          <w:rFonts w:hint="default" w:ascii="Times New Roman" w:hAnsi="Times New Roman" w:cs="Times New Roman"/>
          <w:i/>
          <w:iCs/>
          <w:sz w:val="24"/>
          <w:szCs w:val="24"/>
        </w:rPr>
        <w:t>BA Strike: Latest Advice To British Airways Passengers.</w:t>
      </w:r>
      <w:r>
        <w:rPr>
          <w:rFonts w:hint="default" w:ascii="Times New Roman" w:hAnsi="Times New Roman" w:cs="Times New Roman"/>
          <w:sz w:val="24"/>
          <w:szCs w:val="24"/>
        </w:rPr>
        <w:t xml:space="preserve"> [online] Inews.co.uk. Available at: https://inews.co.uk/inews-lifestyle/travel/ba-strike-pilot-british-airways-industrial-action-walkout-flights-affected-rights-tickets-494487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Okros, A. (2019) </w:t>
      </w:r>
      <w:r>
        <w:rPr>
          <w:rFonts w:hint="default" w:ascii="Times New Roman" w:hAnsi="Times New Roman" w:cs="Times New Roman"/>
          <w:i/>
          <w:iCs/>
          <w:sz w:val="24"/>
          <w:szCs w:val="24"/>
        </w:rPr>
        <w:t>Harnessing the Potential of Digital Post-Millennials in the Future Workplace</w:t>
      </w:r>
      <w:r>
        <w:rPr>
          <w:rFonts w:hint="default" w:ascii="Times New Roman" w:hAnsi="Times New Roman" w:cs="Times New Roman"/>
          <w:sz w:val="24"/>
          <w:szCs w:val="24"/>
        </w:rPr>
        <w:t>. Springer.</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Office for National Statistics (ONS). (2016) </w:t>
      </w:r>
      <w:r>
        <w:rPr>
          <w:rFonts w:hint="default" w:ascii="Times New Roman" w:hAnsi="Times New Roman" w:cs="Times New Roman"/>
          <w:i/>
          <w:iCs/>
          <w:sz w:val="24"/>
          <w:szCs w:val="24"/>
        </w:rPr>
        <w:t xml:space="preserve">Five Facts About… Older People At Work - Office For National Statistics. </w:t>
      </w:r>
      <w:r>
        <w:rPr>
          <w:rFonts w:hint="default" w:ascii="Times New Roman" w:hAnsi="Times New Roman" w:cs="Times New Roman"/>
          <w:sz w:val="24"/>
          <w:szCs w:val="24"/>
        </w:rPr>
        <w:t>[online] Available at: https://www.ons.gov.uk/employmentandlabourmarket/peopleinwork/employmentandemployeetypes/articles/fivefactsaboutolderpeopleatwork/2016-10-01 [Accessed 28 April 2020].</w:t>
      </w:r>
    </w:p>
    <w:p>
      <w:pPr>
        <w:spacing w:line="360" w:lineRule="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Office for National Statistics (ONS). (2017) </w:t>
      </w:r>
      <w:r>
        <w:rPr>
          <w:rFonts w:hint="default" w:ascii="Times New Roman" w:hAnsi="Times New Roman" w:cs="Times New Roman"/>
          <w:i/>
          <w:iCs/>
          <w:sz w:val="24"/>
          <w:szCs w:val="24"/>
        </w:rPr>
        <w:t>Graduates In The UK Labour Market - Office For National Statistics.</w:t>
      </w:r>
      <w:r>
        <w:rPr>
          <w:rFonts w:hint="default" w:ascii="Times New Roman" w:hAnsi="Times New Roman" w:cs="Times New Roman"/>
          <w:sz w:val="24"/>
          <w:szCs w:val="24"/>
        </w:rPr>
        <w:t xml:space="preserve"> [online] Available at: https://www.ons.gov.uk/employmentandlabourmarket/peopleinwork/employmentandemployeetypes/articles/graduatesintheuklabourmarket/2017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Pink, D. (2009) </w:t>
      </w:r>
      <w:r>
        <w:rPr>
          <w:rFonts w:hint="default" w:ascii="Times New Roman" w:hAnsi="Times New Roman" w:cs="Times New Roman"/>
          <w:i/>
          <w:iCs/>
          <w:sz w:val="24"/>
          <w:szCs w:val="24"/>
        </w:rPr>
        <w:t>The Puzzle Of Motivation</w:t>
      </w:r>
      <w:r>
        <w:rPr>
          <w:rFonts w:hint="default" w:ascii="Times New Roman" w:hAnsi="Times New Roman" w:cs="Times New Roman"/>
          <w:sz w:val="24"/>
          <w:szCs w:val="24"/>
        </w:rPr>
        <w:t>. [online] TED. Available at: https://www.ted.com/talks/dan_pink_the_puzzle_of_motivation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Pisano, G. (2015) </w:t>
      </w:r>
      <w:r>
        <w:rPr>
          <w:rFonts w:hint="default" w:ascii="Times New Roman" w:hAnsi="Times New Roman" w:cs="Times New Roman"/>
          <w:i/>
          <w:iCs/>
          <w:sz w:val="24"/>
          <w:szCs w:val="24"/>
        </w:rPr>
        <w:t>You Need An Innovation Strategy.</w:t>
      </w:r>
      <w:r>
        <w:rPr>
          <w:rFonts w:hint="default" w:ascii="Times New Roman" w:hAnsi="Times New Roman" w:cs="Times New Roman"/>
          <w:sz w:val="24"/>
          <w:szCs w:val="24"/>
        </w:rPr>
        <w:t xml:space="preserve"> [online] Harvard Business Review. Available at: https://hbr.org/2015/06/you-need-an-innovation-strategy [Accessed 28 April 2020].</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Quinn, D. &amp; Hargie, O. (2004) Internal communication audits: a case study. </w:t>
      </w:r>
      <w:r>
        <w:rPr>
          <w:rFonts w:hint="default" w:ascii="Times New Roman" w:hAnsi="Times New Roman" w:cs="Times New Roman"/>
          <w:i/>
          <w:iCs/>
          <w:sz w:val="24"/>
          <w:szCs w:val="24"/>
        </w:rPr>
        <w:t>Corporate Communications,</w:t>
      </w:r>
      <w:r>
        <w:rPr>
          <w:rFonts w:hint="default" w:ascii="Times New Roman" w:hAnsi="Times New Roman" w:cs="Times New Roman"/>
          <w:sz w:val="24"/>
          <w:szCs w:val="24"/>
        </w:rPr>
        <w:t xml:space="preserve"> 9(2), pp.146–158.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Robson, P. and Tourish, D. (2005) Managing internal communication: an organizational case study. </w:t>
      </w:r>
      <w:r>
        <w:rPr>
          <w:rFonts w:hint="default" w:ascii="Times New Roman" w:hAnsi="Times New Roman" w:cs="Times New Roman"/>
          <w:i/>
          <w:iCs/>
          <w:sz w:val="24"/>
          <w:szCs w:val="24"/>
        </w:rPr>
        <w:t>Corporate Communications: An International Journal</w:t>
      </w:r>
      <w:r>
        <w:rPr>
          <w:rFonts w:hint="default" w:ascii="Times New Roman" w:hAnsi="Times New Roman" w:cs="Times New Roman"/>
          <w:sz w:val="24"/>
          <w:szCs w:val="24"/>
        </w:rPr>
        <w:t>, 10(3), pp.213-222.</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Rozario, D.P. (2012) The metric exhaustion of the psychological contract. </w:t>
      </w:r>
      <w:r>
        <w:rPr>
          <w:rFonts w:hint="default" w:ascii="Times New Roman" w:hAnsi="Times New Roman" w:cs="Times New Roman"/>
          <w:i/>
          <w:iCs/>
          <w:sz w:val="24"/>
          <w:szCs w:val="24"/>
        </w:rPr>
        <w:t>Society and Business Review</w:t>
      </w:r>
      <w:r>
        <w:rPr>
          <w:rFonts w:hint="default" w:ascii="Times New Roman" w:hAnsi="Times New Roman" w:cs="Times New Roman"/>
          <w:sz w:val="24"/>
          <w:szCs w:val="24"/>
        </w:rPr>
        <w:t xml:space="preserve"> 7(1): 65-83.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Ruck, K., Welch, M. &amp; Menara, B. (2017) Employee voice: An antecedent to organisational engagement? </w:t>
      </w:r>
      <w:r>
        <w:rPr>
          <w:rFonts w:hint="default" w:ascii="Times New Roman" w:hAnsi="Times New Roman" w:cs="Times New Roman"/>
          <w:i/>
          <w:iCs/>
          <w:sz w:val="24"/>
          <w:szCs w:val="24"/>
        </w:rPr>
        <w:t>Public Relations Review</w:t>
      </w:r>
      <w:r>
        <w:rPr>
          <w:rFonts w:hint="default" w:ascii="Times New Roman" w:hAnsi="Times New Roman" w:cs="Times New Roman"/>
          <w:sz w:val="24"/>
          <w:szCs w:val="24"/>
        </w:rPr>
        <w:t>, 43(5), pp.904–914.</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Sakdiyakorn, M. &amp; Wattanacharoensil, W. (2018) Generational Diversity in the Workplace: A Systematic Review in the Hospitality Context. </w:t>
      </w:r>
      <w:r>
        <w:rPr>
          <w:rFonts w:hint="default" w:ascii="Times New Roman" w:hAnsi="Times New Roman" w:cs="Times New Roman"/>
          <w:i/>
          <w:iCs/>
          <w:sz w:val="24"/>
          <w:szCs w:val="24"/>
        </w:rPr>
        <w:t>Cornell Hospitality Quarterly</w:t>
      </w:r>
      <w:r>
        <w:rPr>
          <w:rFonts w:hint="default" w:ascii="Times New Roman" w:hAnsi="Times New Roman" w:cs="Times New Roman"/>
          <w:sz w:val="24"/>
          <w:szCs w:val="24"/>
        </w:rPr>
        <w:t>, 59(2), pp.135–159.</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Sako, M. (2009) Technology strategy and management: Globalization of knowledge-intensive professional services. </w:t>
      </w:r>
      <w:r>
        <w:rPr>
          <w:rFonts w:hint="default" w:ascii="Times New Roman" w:hAnsi="Times New Roman" w:cs="Times New Roman"/>
          <w:i/>
          <w:iCs/>
          <w:sz w:val="24"/>
          <w:szCs w:val="24"/>
        </w:rPr>
        <w:t>Communications of the ACM</w:t>
      </w:r>
      <w:r>
        <w:rPr>
          <w:rFonts w:hint="default" w:ascii="Times New Roman" w:hAnsi="Times New Roman" w:cs="Times New Roman"/>
          <w:sz w:val="24"/>
          <w:szCs w:val="24"/>
        </w:rPr>
        <w:t>, 52(7), pp.31–33.</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Salmon, J. (2018) </w:t>
      </w:r>
      <w:r>
        <w:rPr>
          <w:rFonts w:hint="default" w:ascii="Times New Roman" w:hAnsi="Times New Roman" w:cs="Times New Roman"/>
          <w:i/>
          <w:iCs/>
          <w:sz w:val="24"/>
          <w:szCs w:val="24"/>
        </w:rPr>
        <w:t>Bumper Pay Rises For British Airways Bosses After Firm Shrinks Legroom.</w:t>
      </w:r>
      <w:r>
        <w:rPr>
          <w:rFonts w:hint="default" w:ascii="Times New Roman" w:hAnsi="Times New Roman" w:cs="Times New Roman"/>
          <w:sz w:val="24"/>
          <w:szCs w:val="24"/>
        </w:rPr>
        <w:t xml:space="preserve"> [online] Mail Online. Available at: https://www.dailymail.co.uk/news/article-5452505/Bumper-pay-rises-British-Airways-bosses.html [Accessed 22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Sattar, B. (2016) A Brave New Workplace: Strategies for new generation of workforce. </w:t>
      </w:r>
      <w:r>
        <w:rPr>
          <w:rFonts w:hint="default" w:ascii="Times New Roman" w:hAnsi="Times New Roman" w:cs="Times New Roman"/>
          <w:i/>
          <w:iCs/>
          <w:sz w:val="24"/>
          <w:szCs w:val="24"/>
        </w:rPr>
        <w:t>Workforce Management (Time and Attendance) Excellence Essentials</w:t>
      </w:r>
      <w:r>
        <w:rPr>
          <w:rFonts w:hint="default" w:ascii="Times New Roman" w:hAnsi="Times New Roman" w:cs="Times New Roman"/>
          <w:sz w:val="24"/>
          <w:szCs w:val="24"/>
        </w:rPr>
        <w:t>, pp.Workforce Management (Time and Attendance) Excellence Essentials, Feb 2016.</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Schlechter, A., Hung, A. &amp; Bussin, M. (2014) Understanding talent attraction: The influence of financial rewards elements on perceived job attractiveness. </w:t>
      </w:r>
      <w:r>
        <w:rPr>
          <w:rFonts w:hint="default" w:ascii="Times New Roman" w:hAnsi="Times New Roman" w:cs="Times New Roman"/>
          <w:i/>
          <w:iCs/>
          <w:sz w:val="24"/>
          <w:szCs w:val="24"/>
        </w:rPr>
        <w:t>SA Journal of Human Resource Management</w:t>
      </w:r>
      <w:r>
        <w:rPr>
          <w:rFonts w:hint="default" w:ascii="Times New Roman" w:hAnsi="Times New Roman" w:cs="Times New Roman"/>
          <w:sz w:val="24"/>
          <w:szCs w:val="24"/>
        </w:rPr>
        <w:t>, 12(1), pp.1–13.</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Senna, D. (2008) Global financial talent shortage. </w:t>
      </w:r>
      <w:r>
        <w:rPr>
          <w:rFonts w:hint="default" w:ascii="Times New Roman" w:hAnsi="Times New Roman" w:cs="Times New Roman"/>
          <w:i/>
          <w:iCs/>
          <w:sz w:val="24"/>
          <w:szCs w:val="24"/>
        </w:rPr>
        <w:t>Corporate Finance Review</w:t>
      </w:r>
      <w:r>
        <w:rPr>
          <w:rFonts w:hint="default" w:ascii="Times New Roman" w:hAnsi="Times New Roman" w:cs="Times New Roman"/>
          <w:sz w:val="24"/>
          <w:szCs w:val="24"/>
        </w:rPr>
        <w:t>, 13(3), pp.5–6,8–10.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Shields, J., Rooney, J., Brown, M. and Kaine, S. (2020) </w:t>
      </w:r>
      <w:r>
        <w:rPr>
          <w:rFonts w:hint="default" w:ascii="Times New Roman" w:hAnsi="Times New Roman" w:cs="Times New Roman"/>
          <w:i/>
          <w:iCs/>
          <w:sz w:val="24"/>
          <w:szCs w:val="24"/>
        </w:rPr>
        <w:t>Managing Employee Performance And Reward</w:t>
      </w:r>
      <w:r>
        <w:rPr>
          <w:rFonts w:hint="default" w:ascii="Times New Roman" w:hAnsi="Times New Roman" w:cs="Times New Roman"/>
          <w:sz w:val="24"/>
          <w:szCs w:val="24"/>
        </w:rPr>
        <w:t>. London: Cambridge University Press.</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Sousa, C. (2019) Knowledge-intensive entrepreneurship: a systematic review and future directions. </w:t>
      </w:r>
      <w:r>
        <w:rPr>
          <w:rFonts w:hint="default" w:ascii="Times New Roman" w:hAnsi="Times New Roman" w:cs="Times New Roman"/>
          <w:i/>
          <w:iCs/>
          <w:sz w:val="24"/>
          <w:szCs w:val="24"/>
        </w:rPr>
        <w:t>Management Research</w:t>
      </w:r>
      <w:r>
        <w:rPr>
          <w:rFonts w:hint="default" w:ascii="Times New Roman" w:hAnsi="Times New Roman" w:cs="Times New Roman"/>
          <w:sz w:val="24"/>
          <w:szCs w:val="24"/>
        </w:rPr>
        <w:t>, 17(1), pp.50–67.</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Stuart, R. (2015) </w:t>
      </w:r>
      <w:r>
        <w:rPr>
          <w:rFonts w:hint="default" w:ascii="Times New Roman" w:hAnsi="Times New Roman" w:cs="Times New Roman"/>
          <w:i/>
          <w:iCs/>
          <w:sz w:val="24"/>
          <w:szCs w:val="24"/>
        </w:rPr>
        <w:t>Developing The Next Generation.</w:t>
      </w:r>
      <w:r>
        <w:rPr>
          <w:rFonts w:hint="default" w:ascii="Times New Roman" w:hAnsi="Times New Roman" w:cs="Times New Roman"/>
          <w:sz w:val="24"/>
          <w:szCs w:val="24"/>
        </w:rPr>
        <w:t xml:space="preserve"> [online] CIPD. Available at: https://www.cipd.co.uk/Images/developing-next-generation_tcm18-10268.pdf [Accessed 28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Suchandra, P. (2018) An Analysis of the Skill Shortage Problems in Indian IT Companies. </w:t>
      </w:r>
      <w:r>
        <w:rPr>
          <w:rFonts w:hint="default" w:ascii="Times New Roman" w:hAnsi="Times New Roman" w:cs="Times New Roman"/>
          <w:i/>
          <w:iCs/>
          <w:sz w:val="24"/>
          <w:szCs w:val="24"/>
        </w:rPr>
        <w:t>Social Sciences</w:t>
      </w:r>
      <w:r>
        <w:rPr>
          <w:rFonts w:hint="default" w:ascii="Times New Roman" w:hAnsi="Times New Roman" w:cs="Times New Roman"/>
          <w:sz w:val="24"/>
          <w:szCs w:val="24"/>
        </w:rPr>
        <w:t>, 7(9), p.2018.</w:t>
      </w: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Taylor, M., Marsh, G., Nicol, D. and Broadbent, P. (2017) </w:t>
      </w:r>
      <w:r>
        <w:rPr>
          <w:rFonts w:hint="default" w:ascii="Times New Roman" w:hAnsi="Times New Roman" w:cs="Times New Roman"/>
          <w:i/>
          <w:iCs/>
          <w:sz w:val="24"/>
          <w:szCs w:val="24"/>
        </w:rPr>
        <w:t>Good work: the Taylor review of modern working practices.</w:t>
      </w:r>
      <w:r>
        <w:rPr>
          <w:rFonts w:hint="default" w:ascii="Times New Roman" w:hAnsi="Times New Roman" w:cs="Times New Roman"/>
          <w:sz w:val="24"/>
          <w:szCs w:val="24"/>
        </w:rPr>
        <w:t xml:space="preserve"> London: Department for Business, Energy and Industrial Strategy.</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Thompson, P. (2002) </w:t>
      </w:r>
      <w:r>
        <w:rPr>
          <w:rFonts w:hint="default" w:ascii="Times New Roman" w:hAnsi="Times New Roman" w:cs="Times New Roman"/>
          <w:i/>
          <w:iCs/>
          <w:sz w:val="24"/>
          <w:szCs w:val="24"/>
        </w:rPr>
        <w:t>Total reward</w:t>
      </w:r>
      <w:r>
        <w:rPr>
          <w:rFonts w:hint="default" w:ascii="Times New Roman" w:hAnsi="Times New Roman" w:cs="Times New Roman"/>
          <w:sz w:val="24"/>
          <w:szCs w:val="24"/>
        </w:rPr>
        <w:t>. CIPD Publishing.</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Topham, G. (2019) </w:t>
      </w:r>
      <w:r>
        <w:rPr>
          <w:rFonts w:hint="default" w:ascii="Times New Roman" w:hAnsi="Times New Roman" w:cs="Times New Roman"/>
          <w:i/>
          <w:iCs/>
          <w:sz w:val="24"/>
          <w:szCs w:val="24"/>
        </w:rPr>
        <w:t>BA Pilots' Strike: Airline Agrees Provisional Pay Settlement.</w:t>
      </w:r>
      <w:r>
        <w:rPr>
          <w:rFonts w:hint="default" w:ascii="Times New Roman" w:hAnsi="Times New Roman" w:cs="Times New Roman"/>
          <w:sz w:val="24"/>
          <w:szCs w:val="24"/>
        </w:rPr>
        <w:t xml:space="preserve"> [online] the Guardian. Available at: https://www.theguardian.com/business/2019/nov/22/ba-pilots-strike-airline-agrees-provisional-pay-settlement [Accessed 30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Tourish, D. and Robson, P. (2006) Sensemaking and the Distortion of Critical Upward Communication in Organizations. </w:t>
      </w:r>
      <w:r>
        <w:rPr>
          <w:rFonts w:hint="default" w:ascii="Times New Roman" w:hAnsi="Times New Roman" w:cs="Times New Roman"/>
          <w:i/>
          <w:iCs/>
          <w:sz w:val="24"/>
          <w:szCs w:val="24"/>
        </w:rPr>
        <w:t>Journal of Management Studies</w:t>
      </w:r>
      <w:r>
        <w:rPr>
          <w:rFonts w:hint="default" w:ascii="Times New Roman" w:hAnsi="Times New Roman" w:cs="Times New Roman"/>
          <w:sz w:val="24"/>
          <w:szCs w:val="24"/>
        </w:rPr>
        <w:t>, 43(4), pp.711-730.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480" w:lineRule="auto"/>
        <w:ind w:left="0" w:leftChars="0" w:right="0" w:rightChars="0" w:firstLine="0" w:firstLineChars="0"/>
        <w:jc w:val="both"/>
        <w:textAlignment w:val="auto"/>
        <w:rPr>
          <w:rFonts w:hint="default" w:ascii="Times New Roman" w:hAnsi="Times New Roman" w:cs="Times New Roman"/>
          <w:sz w:val="24"/>
          <w:szCs w:val="24"/>
        </w:rPr>
      </w:pPr>
      <w:r>
        <w:rPr>
          <w:rFonts w:hint="default" w:ascii="Times New Roman" w:hAnsi="Times New Roman" w:cs="Times New Roman"/>
          <w:color w:val="auto"/>
          <w:sz w:val="24"/>
          <w:szCs w:val="24"/>
        </w:rPr>
        <w:t xml:space="preserve">Uhl-Bien, M., Marion, R. &amp; McKelvey, B. (2007) Complexity Leadership Theory: Shifting leadership from the industrial age to the knowledge era. </w:t>
      </w:r>
      <w:r>
        <w:rPr>
          <w:rFonts w:hint="default" w:ascii="Times New Roman" w:hAnsi="Times New Roman" w:cs="Times New Roman"/>
          <w:i/>
          <w:iCs/>
          <w:color w:val="auto"/>
          <w:sz w:val="24"/>
          <w:szCs w:val="24"/>
        </w:rPr>
        <w:t>The Leadership Quarterly</w:t>
      </w:r>
      <w:r>
        <w:rPr>
          <w:rFonts w:hint="default" w:ascii="Times New Roman" w:hAnsi="Times New Roman" w:cs="Times New Roman"/>
          <w:color w:val="auto"/>
          <w:sz w:val="24"/>
          <w:szCs w:val="24"/>
        </w:rPr>
        <w:t>, 18(4), pp. 298-318.</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Wayne, S., Zhao, H., Glibkowski, B. and Bravo, J. (2007) The impact of psychological contract breach on work-related outcomes: A meta-analysis. </w:t>
      </w:r>
      <w:r>
        <w:rPr>
          <w:rFonts w:hint="default" w:ascii="Times New Roman" w:hAnsi="Times New Roman" w:cs="Times New Roman"/>
          <w:i/>
          <w:iCs/>
          <w:sz w:val="24"/>
          <w:szCs w:val="24"/>
        </w:rPr>
        <w:t>Personnel Psychology</w:t>
      </w:r>
      <w:r>
        <w:rPr>
          <w:rFonts w:hint="default" w:ascii="Times New Roman" w:hAnsi="Times New Roman" w:cs="Times New Roman"/>
          <w:sz w:val="24"/>
          <w:szCs w:val="24"/>
        </w:rPr>
        <w:t>, 60(3), pp.647-680.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Wilkinson, A., Dundon, T., Marchington, M. and Ackers, P. (2004) Changing Patterns of Employee Voice: Case Studies from the UK and Republic of Ireland. </w:t>
      </w:r>
      <w:r>
        <w:rPr>
          <w:rFonts w:hint="default" w:ascii="Times New Roman" w:hAnsi="Times New Roman" w:cs="Times New Roman"/>
          <w:i/>
          <w:iCs/>
          <w:sz w:val="24"/>
          <w:szCs w:val="24"/>
        </w:rPr>
        <w:t>Journal of Industrial Relations</w:t>
      </w:r>
      <w:r>
        <w:rPr>
          <w:rFonts w:hint="default" w:ascii="Times New Roman" w:hAnsi="Times New Roman" w:cs="Times New Roman"/>
          <w:sz w:val="24"/>
          <w:szCs w:val="24"/>
        </w:rPr>
        <w:t>, 46(3), pp.298-322.</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Wilkinson, A. and Johnstone, S. (2016) </w:t>
      </w:r>
      <w:r>
        <w:rPr>
          <w:rFonts w:hint="default" w:ascii="Times New Roman" w:hAnsi="Times New Roman" w:cs="Times New Roman"/>
          <w:i/>
          <w:iCs/>
          <w:sz w:val="24"/>
          <w:szCs w:val="24"/>
        </w:rPr>
        <w:t>Encyclopedia Of Human Resource Management.</w:t>
      </w:r>
      <w:r>
        <w:rPr>
          <w:rFonts w:hint="default" w:ascii="Times New Roman" w:hAnsi="Times New Roman" w:cs="Times New Roman"/>
          <w:sz w:val="24"/>
          <w:szCs w:val="24"/>
        </w:rPr>
        <w:t xml:space="preserve"> Edward Elgar Publishing Limited.</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Worldatwork. (2020) </w:t>
      </w:r>
      <w:r>
        <w:rPr>
          <w:rFonts w:hint="default" w:ascii="Times New Roman" w:hAnsi="Times New Roman" w:cs="Times New Roman"/>
          <w:i/>
          <w:iCs/>
          <w:sz w:val="24"/>
          <w:szCs w:val="24"/>
        </w:rPr>
        <w:t>Total Rewards Model.</w:t>
      </w:r>
      <w:r>
        <w:rPr>
          <w:rFonts w:hint="default" w:ascii="Times New Roman" w:hAnsi="Times New Roman" w:cs="Times New Roman"/>
          <w:sz w:val="24"/>
          <w:szCs w:val="24"/>
        </w:rPr>
        <w:t xml:space="preserve"> [online] Available at: https://www.worldatwork.org/docs/marketing/1610_BRO_TRModel_Update_J5613_FNL.pdf [Accessed 27 April 2020].</w:t>
      </w: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pPr>
    </w:p>
    <w:p>
      <w:pPr>
        <w:spacing w:line="360" w:lineRule="auto"/>
        <w:rPr>
          <w:rFonts w:hint="default" w:ascii="Times New Roman" w:hAnsi="Times New Roman" w:cs="Times New Roman"/>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10" w:name="_Toc2086566175"/>
      <w:r>
        <w:rPr>
          <w:rFonts w:hint="default" w:ascii="Times New Roman" w:hAnsi="Times New Roman" w:cs="Times New Roman"/>
          <w:b/>
          <w:sz w:val="32"/>
          <w:szCs w:val="32"/>
        </w:rPr>
        <w:t>Appendix - Factors that Affect the Employee Reward</w:t>
      </w:r>
      <w:bookmarkEnd w:id="10"/>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0"/>
        <w:gridCol w:w="4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trPr>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Political Factors</w:t>
            </w:r>
          </w:p>
        </w:tc>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Economic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7" w:hRule="atLeast"/>
        </w:trPr>
        <w:tc>
          <w:tcPr>
            <w:tcW w:w="4840" w:type="dxa"/>
          </w:tcPr>
          <w:p>
            <w:pPr>
              <w:numPr>
                <w:ilvl w:val="0"/>
                <w:numId w:val="4"/>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Brexit</w:t>
            </w:r>
          </w:p>
        </w:tc>
        <w:tc>
          <w:tcPr>
            <w:tcW w:w="4840" w:type="dxa"/>
          </w:tcPr>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Exchange Rate</w:t>
            </w:r>
          </w:p>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Rates of Pay in the Marketplace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trPr>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Social Factors</w:t>
            </w:r>
          </w:p>
        </w:tc>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Technology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40" w:hRule="atLeast"/>
        </w:trPr>
        <w:tc>
          <w:tcPr>
            <w:tcW w:w="4840" w:type="dxa"/>
          </w:tcPr>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Demographic Shifts - Multigeneration</w:t>
            </w:r>
          </w:p>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Employment Trends</w:t>
            </w:r>
          </w:p>
          <w:p>
            <w:pPr>
              <w:numPr>
                <w:ilvl w:val="0"/>
                <w:numId w:val="5"/>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Coronavirus</w:t>
            </w:r>
          </w:p>
        </w:tc>
        <w:tc>
          <w:tcPr>
            <w:tcW w:w="4840" w:type="dxa"/>
          </w:tcPr>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Globalisation</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Social Media - Communication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trPr>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Legal Factors</w:t>
            </w:r>
          </w:p>
        </w:tc>
        <w:tc>
          <w:tcPr>
            <w:tcW w:w="4840" w:type="dxa"/>
          </w:tcPr>
          <w:p>
            <w:pPr>
              <w:spacing w:line="360" w:lineRule="auto"/>
              <w:rPr>
                <w:rFonts w:hint="default" w:ascii="Times New Roman" w:hAnsi="Times New Roman" w:cs="Times New Roman"/>
                <w:b/>
                <w:bCs w:val="0"/>
                <w:sz w:val="24"/>
                <w:szCs w:val="24"/>
                <w:shd w:val="clear" w:color="FFFFFF" w:fill="D9D9D9"/>
                <w:vertAlign w:val="baseline"/>
              </w:rPr>
            </w:pPr>
            <w:r>
              <w:rPr>
                <w:rFonts w:hint="default" w:ascii="Times New Roman" w:hAnsi="Times New Roman" w:cs="Times New Roman"/>
                <w:b/>
                <w:bCs w:val="0"/>
                <w:sz w:val="24"/>
                <w:szCs w:val="24"/>
                <w:shd w:val="clear" w:color="FFFFFF" w:fill="D9D9D9"/>
                <w:vertAlign w:val="baseline"/>
              </w:rPr>
              <w:t>Environment/Eth</w:t>
            </w:r>
            <w:r>
              <w:rPr>
                <w:rFonts w:hint="default" w:ascii="Times New Roman" w:hAnsi="Times New Roman" w:cs="Times New Roman"/>
                <w:b/>
                <w:bCs w:val="0"/>
                <w:sz w:val="24"/>
                <w:szCs w:val="24"/>
                <w:shd w:val="clear" w:color="FFFFFF" w:fill="D9D9D9"/>
                <w:vertAlign w:val="baseline"/>
              </w:rPr>
              <w:t>n</w:t>
            </w:r>
            <w:r>
              <w:rPr>
                <w:rFonts w:hint="default" w:ascii="Times New Roman" w:hAnsi="Times New Roman" w:cs="Times New Roman"/>
                <w:b/>
                <w:bCs w:val="0"/>
                <w:sz w:val="24"/>
                <w:szCs w:val="24"/>
                <w:shd w:val="clear" w:color="FFFFFF" w:fill="D9D9D9"/>
                <w:vertAlign w:val="baseline"/>
              </w:rPr>
              <w:t>ic Factors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52" w:hRule="atLeast"/>
        </w:trPr>
        <w:tc>
          <w:tcPr>
            <w:tcW w:w="4840" w:type="dxa"/>
          </w:tcPr>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Equal Pay Act 1970 and Equal Pay (Amendment) Regulations 1983</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Employment Equality (Age) Regulations 2006</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National Minimum Wage Act 1998</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Working Time Regulations 1998</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Data Protection Act 1998</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Transfer of Undertakings (Protection of Employment) Regulations 1981</w:t>
            </w:r>
          </w:p>
          <w:p>
            <w:pPr>
              <w:numPr>
                <w:ilvl w:val="0"/>
                <w:numId w:val="6"/>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Financial Services Act 1986</w:t>
            </w:r>
          </w:p>
        </w:tc>
        <w:tc>
          <w:tcPr>
            <w:tcW w:w="4840" w:type="dxa"/>
          </w:tcPr>
          <w:p>
            <w:pPr>
              <w:numPr>
                <w:ilvl w:val="0"/>
                <w:numId w:val="7"/>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Capitalism v.s. Socialism</w:t>
            </w:r>
          </w:p>
          <w:p>
            <w:pPr>
              <w:numPr>
                <w:ilvl w:val="0"/>
                <w:numId w:val="7"/>
              </w:numPr>
              <w:spacing w:line="360" w:lineRule="auto"/>
              <w:ind w:left="420" w:leftChars="0" w:hanging="420" w:firstLineChars="0"/>
              <w:rPr>
                <w:rFonts w:hint="default" w:ascii="Times New Roman" w:hAnsi="Times New Roman" w:cs="Times New Roman"/>
                <w:b w:val="0"/>
                <w:bCs/>
                <w:sz w:val="24"/>
                <w:szCs w:val="24"/>
                <w:vertAlign w:val="baseline"/>
              </w:rPr>
            </w:pPr>
            <w:r>
              <w:rPr>
                <w:rFonts w:hint="default" w:ascii="Times New Roman" w:hAnsi="Times New Roman" w:cs="Times New Roman"/>
                <w:b w:val="0"/>
                <w:bCs/>
                <w:sz w:val="24"/>
                <w:szCs w:val="24"/>
                <w:vertAlign w:val="baseline"/>
              </w:rPr>
              <w:t xml:space="preserve">Corporate Social Responsibility </w:t>
            </w:r>
          </w:p>
        </w:tc>
      </w:tr>
    </w:tbl>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sectPr>
          <w:pgSz w:w="11906" w:h="16838"/>
          <w:pgMar w:top="1134" w:right="1134" w:bottom="1134" w:left="1134" w:header="851" w:footer="992" w:gutter="0"/>
          <w:pgNumType w:fmt="decimal"/>
          <w:cols w:space="425" w:num="1"/>
          <w:docGrid w:type="lines" w:linePitch="312" w:charSpace="0"/>
        </w:sectPr>
      </w:pPr>
    </w:p>
    <w:p>
      <w:pPr>
        <w:pStyle w:val="2"/>
        <w:bidi w:val="0"/>
        <w:spacing w:line="360" w:lineRule="auto"/>
        <w:rPr>
          <w:rFonts w:hint="default" w:ascii="Times New Roman" w:hAnsi="Times New Roman" w:cs="Times New Roman"/>
          <w:b/>
          <w:sz w:val="32"/>
          <w:szCs w:val="32"/>
        </w:rPr>
      </w:pPr>
      <w:bookmarkStart w:id="11" w:name="_Toc509747715"/>
      <w:r>
        <w:rPr>
          <w:rFonts w:hint="default" w:ascii="Times New Roman" w:hAnsi="Times New Roman" w:cs="Times New Roman"/>
          <w:b/>
          <w:sz w:val="32"/>
          <w:szCs w:val="32"/>
        </w:rPr>
        <w:t>Appendix II - Characteristics of Generation in the Workplace</w:t>
      </w:r>
      <w:bookmarkEnd w:id="11"/>
    </w:p>
    <w:p>
      <w:pPr>
        <w:spacing w:line="360" w:lineRule="auto"/>
      </w:pPr>
      <w:r>
        <w:drawing>
          <wp:inline distT="0" distB="0" distL="114300" distR="114300">
            <wp:extent cx="6067425" cy="2264410"/>
            <wp:effectExtent l="0" t="0" r="3175" b="215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rcRect r="820"/>
                    <a:stretch>
                      <a:fillRect/>
                    </a:stretch>
                  </pic:blipFill>
                  <pic:spPr>
                    <a:xfrm>
                      <a:off x="0" y="0"/>
                      <a:ext cx="6067425" cy="2264410"/>
                    </a:xfrm>
                    <a:prstGeom prst="rect">
                      <a:avLst/>
                    </a:prstGeom>
                    <a:noFill/>
                    <a:ln w="9525">
                      <a:noFill/>
                    </a:ln>
                  </pic:spPr>
                </pic:pic>
              </a:graphicData>
            </a:graphic>
          </wp:inline>
        </w:drawing>
      </w: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p>
      <w:pPr>
        <w:spacing w:line="360" w:lineRule="auto"/>
        <w:rPr>
          <w:rFonts w:hint="default" w:ascii="Times New Roman" w:hAnsi="Times New Roman" w:cs="Times New Roman"/>
          <w:b w:val="0"/>
          <w:bCs/>
          <w:sz w:val="24"/>
          <w:szCs w:val="24"/>
        </w:rPr>
      </w:pPr>
    </w:p>
    <w:sectPr>
      <w:pgSz w:w="11906" w:h="16838"/>
      <w:pgMar w:top="1134" w:right="1134" w:bottom="1134" w:left="1134"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0"/>
    <w:family w:val="auto"/>
    <w:pitch w:val="default"/>
    <w:sig w:usb0="00000000" w:usb1="00000000" w:usb2="00000000" w:usb3="00000000" w:csb0="80000000" w:csb1="00000000"/>
  </w:font>
  <w:font w:name="Open Sans">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proxima-nova">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Source Sans Pro">
    <w:altName w:val="苹方-简"/>
    <w:panose1 w:val="00000000000000000000"/>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GothamNarrow">
    <w:altName w:val="苹方-简"/>
    <w:panose1 w:val="00000000000000000000"/>
    <w:charset w:val="00"/>
    <w:family w:val="auto"/>
    <w:pitch w:val="default"/>
    <w:sig w:usb0="00000000" w:usb1="00000000" w:usb2="00000000" w:usb3="00000000" w:csb0="00000000" w:csb1="00000000"/>
  </w:font>
  <w:font w:name="Merriweather">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GT America">
    <w:altName w:val="苹方-简"/>
    <w:panose1 w:val="00000000000000000000"/>
    <w:charset w:val="00"/>
    <w:family w:val="auto"/>
    <w:pitch w:val="default"/>
    <w:sig w:usb0="00000000" w:usb1="00000000" w:usb2="00000000" w:usb3="00000000" w:csb0="00000000" w:csb1="00000000"/>
  </w:font>
  <w:font w:name="Georgia">
    <w:panose1 w:val="02040802050405020203"/>
    <w:charset w:val="00"/>
    <w:family w:val="auto"/>
    <w:pitch w:val="default"/>
    <w:sig w:usb0="00000287" w:usb1="00000000" w:usb2="00000000" w:usb3="00000000" w:csb0="2000009F" w:csb1="00000000"/>
  </w:font>
  <w:font w:name="Apple Chancery">
    <w:panose1 w:val="03020702040506060504"/>
    <w:charset w:val="00"/>
    <w:family w:val="auto"/>
    <w:pitch w:val="default"/>
    <w:sig w:usb0="80000067" w:usb1="00000003" w:usb2="00000000" w:usb3="00000000" w:csb0="200001F3" w:csb1="CDFC0000"/>
  </w:font>
  <w:font w:name="HelveticaNeue">
    <w:altName w:val="苹方-简"/>
    <w:panose1 w:val="00000000000000000000"/>
    <w:charset w:val="00"/>
    <w:family w:val="auto"/>
    <w:pitch w:val="default"/>
    <w:sig w:usb0="00000000" w:usb1="00000000" w:usb2="00000000" w:usb3="00000000" w:csb0="00000000" w:csb1="00000000"/>
  </w:font>
  <w:font w:name=".pingfang sc">
    <w:altName w:val="苹方-简"/>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兰亭黑-简">
    <w:panose1 w:val="02000000000000000000"/>
    <w:charset w:val="86"/>
    <w:family w:val="auto"/>
    <w:pitch w:val="default"/>
    <w:sig w:usb0="00000001" w:usb1="08000000" w:usb2="00000000" w:usb3="00000000" w:csb0="00040000" w:csb1="00000000"/>
  </w:font>
  <w:font w:name="RobotoRegular">
    <w:altName w:val="苹方-简"/>
    <w:panose1 w:val="00000000000000000000"/>
    <w:charset w:val="00"/>
    <w:family w:val="auto"/>
    <w:pitch w:val="default"/>
    <w:sig w:usb0="00000000" w:usb1="00000000" w:usb2="00000000" w:usb3="00000000" w:csb0="00000000" w:csb1="00000000"/>
  </w:font>
  <w:font w:name="Avenir Next Condensed">
    <w:panose1 w:val="020B0806020202020204"/>
    <w:charset w:val="00"/>
    <w:family w:val="auto"/>
    <w:pitch w:val="default"/>
    <w:sig w:usb0="8000002F" w:usb1="5000204A" w:usb2="00000000" w:usb3="00000000" w:csb0="0000009B" w:csb1="00000000"/>
  </w:font>
  <w:font w:name="-webkit-standard">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Symbol">
    <w:panose1 w:val="05050102010706020507"/>
    <w:charset w:val="00"/>
    <w:family w:val="auto"/>
    <w:pitch w:val="default"/>
    <w:sig w:usb0="00000000" w:usb1="00000000" w:usb2="00000000" w:usb3="00000000" w:csb0="80000000" w:csb1="00000000"/>
  </w:font>
  <w:font w:name="Noto Sans Symbols">
    <w:altName w:val="苹方-简"/>
    <w:panose1 w:val="00000000000000000000"/>
    <w:charset w:val="00"/>
    <w:family w:val="auto"/>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Helvetica Neue">
    <w:panose1 w:val="02000503000000020004"/>
    <w:charset w:val="86"/>
    <w:family w:val="swiss"/>
    <w:pitch w:val="default"/>
    <w:sig w:usb0="E50002FF" w:usb1="500079DB" w:usb2="00000010" w:usb3="00000000" w:csb0="00000000" w:csb1="00000000"/>
  </w:font>
  <w:font w:name="AdvTT6120e2aa">
    <w:altName w:val="苹方-简"/>
    <w:panose1 w:val="00000000000000000000"/>
    <w:charset w:val="00"/>
    <w:family w:val="auto"/>
    <w:pitch w:val="default"/>
    <w:sig w:usb0="00000000" w:usb1="00000000" w:usb2="00000000" w:usb3="00000000" w:csb0="00000000" w:csb1="00000000"/>
  </w:font>
  <w:font w:name="AdvTT50a2f13e . I">
    <w:altName w:val="苹方-简"/>
    <w:panose1 w:val="00000000000000000000"/>
    <w:charset w:val="00"/>
    <w:family w:val="auto"/>
    <w:pitch w:val="default"/>
    <w:sig w:usb0="00000000" w:usb1="00000000" w:usb2="00000000" w:usb3="00000000" w:csb0="00000000" w:csb1="00000000"/>
  </w:font>
  <w:font w:name="Apple Color Emoji">
    <w:panose1 w:val="00000000000000000000"/>
    <w:charset w:val="00"/>
    <w:family w:val="auto"/>
    <w:pitch w:val="default"/>
    <w:sig w:usb0="00000003" w:usb1="18000000" w:usb2="14000000" w:usb3="00000000" w:csb0="00000001" w:csb1="00000000"/>
  </w:font>
  <w:font w:name="NexusSerif">
    <w:altName w:val="苹方-简"/>
    <w:panose1 w:val="00000000000000000000"/>
    <w:charset w:val="00"/>
    <w:family w:val="auto"/>
    <w:pitch w:val="default"/>
    <w:sig w:usb0="00000000" w:usb1="00000000" w:usb2="00000000" w:usb3="00000000" w:csb0="00000000" w:csb1="00000000"/>
  </w:font>
  <w:font w:name="Century Gothic">
    <w:altName w:val="苹方-简"/>
    <w:panose1 w:val="020B0502020202020204"/>
    <w:charset w:val="00"/>
    <w:family w:val="swiss"/>
    <w:pitch w:val="default"/>
    <w:sig w:usb0="00000000" w:usb1="00000000" w:usb2="00000000" w:usb3="00000000" w:csb0="0000009F"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MT Extra">
    <w:panose1 w:val="05050102010205020202"/>
    <w:charset w:val="00"/>
    <w:family w:val="auto"/>
    <w:pitch w:val="default"/>
    <w:sig w:usb0="80000000" w:usb1="00000000" w:usb2="00000000" w:usb3="00000000" w:csb0="00000000" w:csb1="00000000"/>
  </w:font>
  <w:font w:name="system-ui">
    <w:altName w:val="苹方-简"/>
    <w:panose1 w:val="00000000000000000000"/>
    <w:charset w:val="00"/>
    <w:family w:val="auto"/>
    <w:pitch w:val="default"/>
    <w:sig w:usb0="00000000" w:usb1="00000000" w:usb2="00000000" w:usb3="00000000" w:csb0="00000000" w:csb1="00000000"/>
  </w:font>
  <w:font w:name="BlinkMacSystemFont">
    <w:altName w:val="苹方-简"/>
    <w:panose1 w:val="00000000000000000000"/>
    <w:charset w:val="00"/>
    <w:family w:val="auto"/>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Constantia">
    <w:altName w:val="苹方-简"/>
    <w:panose1 w:val="02030602050306030303"/>
    <w:charset w:val="00"/>
    <w:family w:val="roman"/>
    <w:pitch w:val="default"/>
    <w:sig w:usb0="00000000" w:usb1="00000000" w:usb2="00000000" w:usb3="00000000" w:csb0="0000019F" w:csb1="00000000"/>
  </w:font>
  <w:font w:name="MiloPro-Text">
    <w:altName w:val="苹方-简"/>
    <w:panose1 w:val="00000000000000000000"/>
    <w:charset w:val="00"/>
    <w:family w:val="auto"/>
    <w:pitch w:val="default"/>
    <w:sig w:usb0="00000000" w:usb1="00000000" w:usb2="00000000" w:usb3="00000000" w:csb0="00000000" w:csb1="00000000"/>
  </w:font>
  <w:font w:name="MiloPro-Light">
    <w:altName w:val="苹方-简"/>
    <w:panose1 w:val="00000000000000000000"/>
    <w:charset w:val="00"/>
    <w:family w:val="auto"/>
    <w:pitch w:val="default"/>
    <w:sig w:usb0="00000000" w:usb1="00000000" w:usb2="00000000" w:usb3="00000000" w:csb0="00000000" w:csb1="00000000"/>
  </w:font>
  <w:font w:name="Helvetica">
    <w:panose1 w:val="00000000000000000000"/>
    <w:charset w:val="00"/>
    <w:family w:val="auto"/>
    <w:pitch w:val="default"/>
    <w:sig w:usb0="E00002FF" w:usb1="5000785B" w:usb2="00000000" w:usb3="00000000" w:csb0="2000019F" w:csb1="4F010000"/>
  </w:font>
  <w:font w:name="Oxygen">
    <w:altName w:val="苹方-简"/>
    <w:panose1 w:val="00000000000000000000"/>
    <w:charset w:val="00"/>
    <w:family w:val="auto"/>
    <w:pitch w:val="default"/>
    <w:sig w:usb0="00000000" w:usb1="00000000" w:usb2="00000000" w:usb3="00000000" w:csb0="00000000" w:csb1="00000000"/>
  </w:font>
  <w:font w:name="Arial-BoldMT">
    <w:altName w:val="苹方-简"/>
    <w:panose1 w:val="00000000000000000000"/>
    <w:charset w:val="00"/>
    <w:family w:val="auto"/>
    <w:pitch w:val="default"/>
    <w:sig w:usb0="00000000" w:usb1="00000000" w:usb2="00000000" w:usb3="00000000" w:csb0="00000000" w:csb1="00000000"/>
  </w:font>
  <w:font w:name="Avenir">
    <w:panose1 w:val="02000503020000020003"/>
    <w:charset w:val="00"/>
    <w:family w:val="auto"/>
    <w:pitch w:val="default"/>
    <w:sig w:usb0="800000AF" w:usb1="5000204A" w:usb2="00000000" w:usb3="00000000" w:csb0="0000009B" w:csb1="00000000"/>
  </w:font>
  <w:font w:name="-apple-system">
    <w:altName w:val="苹方-简"/>
    <w:panose1 w:val="00000000000000000000"/>
    <w:charset w:val="00"/>
    <w:family w:val="auto"/>
    <w:pitch w:val="default"/>
    <w:sig w:usb0="00000000" w:usb1="00000000" w:usb2="00000000" w:usb3="00000000" w:csb0="00000000" w:csb1="00000000"/>
  </w:font>
  <w:font w:name="AvenirNextW05-Regular">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0JkVFAIAABMEAAAOAAAAZHJz&#10;L2Uyb0RvYy54bWytU02O0zAU3iNxB8t7mrSo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X0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F7QmRUUAgAAEwQAAA4AAAAAAAAAAQAgAAAANQEAAGRycy9lMm9Eb2MueG1sUEsFBgAAAAAGAAYA&#10;WQEAALs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A49291"/>
    <w:multiLevelType w:val="singleLevel"/>
    <w:tmpl w:val="5EA49291"/>
    <w:lvl w:ilvl="0" w:tentative="0">
      <w:start w:val="1"/>
      <w:numFmt w:val="bullet"/>
      <w:lvlText w:val=""/>
      <w:lvlJc w:val="left"/>
      <w:pPr>
        <w:ind w:left="420" w:leftChars="0" w:hanging="420" w:firstLineChars="0"/>
      </w:pPr>
      <w:rPr>
        <w:rFonts w:hint="default" w:ascii="Wingdings" w:hAnsi="Wingdings"/>
      </w:rPr>
    </w:lvl>
  </w:abstractNum>
  <w:abstractNum w:abstractNumId="1">
    <w:nsid w:val="5EA4929F"/>
    <w:multiLevelType w:val="singleLevel"/>
    <w:tmpl w:val="5EA4929F"/>
    <w:lvl w:ilvl="0" w:tentative="0">
      <w:start w:val="1"/>
      <w:numFmt w:val="bullet"/>
      <w:lvlText w:val=""/>
      <w:lvlJc w:val="left"/>
      <w:pPr>
        <w:ind w:left="420" w:leftChars="0" w:hanging="420" w:firstLineChars="0"/>
      </w:pPr>
      <w:rPr>
        <w:rFonts w:hint="default" w:ascii="Wingdings" w:hAnsi="Wingdings"/>
      </w:rPr>
    </w:lvl>
  </w:abstractNum>
  <w:abstractNum w:abstractNumId="2">
    <w:nsid w:val="5EA492AC"/>
    <w:multiLevelType w:val="singleLevel"/>
    <w:tmpl w:val="5EA492AC"/>
    <w:lvl w:ilvl="0" w:tentative="0">
      <w:start w:val="1"/>
      <w:numFmt w:val="bullet"/>
      <w:lvlText w:val=""/>
      <w:lvlJc w:val="left"/>
      <w:pPr>
        <w:ind w:left="420" w:leftChars="0" w:hanging="420" w:firstLineChars="0"/>
      </w:pPr>
      <w:rPr>
        <w:rFonts w:hint="default" w:ascii="Wingdings" w:hAnsi="Wingdings"/>
      </w:rPr>
    </w:lvl>
  </w:abstractNum>
  <w:abstractNum w:abstractNumId="3">
    <w:nsid w:val="5EA492B9"/>
    <w:multiLevelType w:val="singleLevel"/>
    <w:tmpl w:val="5EA492B9"/>
    <w:lvl w:ilvl="0" w:tentative="0">
      <w:start w:val="1"/>
      <w:numFmt w:val="bullet"/>
      <w:lvlText w:val=""/>
      <w:lvlJc w:val="left"/>
      <w:pPr>
        <w:ind w:left="420" w:leftChars="0" w:hanging="420" w:firstLineChars="0"/>
      </w:pPr>
      <w:rPr>
        <w:rFonts w:hint="default" w:ascii="Wingdings" w:hAnsi="Wingdings"/>
      </w:rPr>
    </w:lvl>
  </w:abstractNum>
  <w:abstractNum w:abstractNumId="4">
    <w:nsid w:val="5EAB7335"/>
    <w:multiLevelType w:val="singleLevel"/>
    <w:tmpl w:val="5EAB7335"/>
    <w:lvl w:ilvl="0" w:tentative="0">
      <w:start w:val="1"/>
      <w:numFmt w:val="bullet"/>
      <w:lvlText w:val=""/>
      <w:lvlJc w:val="left"/>
      <w:pPr>
        <w:ind w:left="420" w:leftChars="0" w:hanging="420" w:firstLineChars="0"/>
      </w:pPr>
      <w:rPr>
        <w:rFonts w:hint="default" w:ascii="Wingdings" w:hAnsi="Wingdings"/>
      </w:rPr>
    </w:lvl>
  </w:abstractNum>
  <w:abstractNum w:abstractNumId="5">
    <w:nsid w:val="5EAB750D"/>
    <w:multiLevelType w:val="singleLevel"/>
    <w:tmpl w:val="5EAB750D"/>
    <w:lvl w:ilvl="0" w:tentative="0">
      <w:start w:val="1"/>
      <w:numFmt w:val="bullet"/>
      <w:lvlText w:val=""/>
      <w:lvlJc w:val="left"/>
      <w:pPr>
        <w:ind w:left="420" w:leftChars="0" w:hanging="420" w:firstLineChars="0"/>
      </w:pPr>
      <w:rPr>
        <w:rFonts w:hint="default" w:ascii="Wingdings" w:hAnsi="Wingdings"/>
      </w:rPr>
    </w:lvl>
  </w:abstractNum>
  <w:abstractNum w:abstractNumId="6">
    <w:nsid w:val="5EABFFC5"/>
    <w:multiLevelType w:val="singleLevel"/>
    <w:tmpl w:val="5EABFFC5"/>
    <w:lvl w:ilvl="0" w:tentative="0">
      <w:start w:val="1"/>
      <w:numFmt w:val="bullet"/>
      <w:lvlText w:val=""/>
      <w:lvlJc w:val="left"/>
      <w:pPr>
        <w:ind w:left="420" w:leftChars="0" w:hanging="420" w:firstLineChars="0"/>
      </w:pPr>
      <w:rPr>
        <w:rFonts w:hint="default" w:ascii="Wingdings" w:hAnsi="Wingdings"/>
      </w:rPr>
    </w:lvl>
  </w:abstractNum>
  <w:num w:numId="1">
    <w:abstractNumId w:val="5"/>
  </w:num>
  <w:num w:numId="2">
    <w:abstractNumId w:val="6"/>
  </w:num>
  <w:num w:numId="3">
    <w:abstractNumId w:val="4"/>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2D6BCA"/>
    <w:rsid w:val="027F2F34"/>
    <w:rsid w:val="077796DB"/>
    <w:rsid w:val="07BD88C8"/>
    <w:rsid w:val="07EFEFD3"/>
    <w:rsid w:val="0BFE60DC"/>
    <w:rsid w:val="0EDB1DF2"/>
    <w:rsid w:val="0EFEFB30"/>
    <w:rsid w:val="0FAF3179"/>
    <w:rsid w:val="0FDC944C"/>
    <w:rsid w:val="0FF24112"/>
    <w:rsid w:val="0FFB84DE"/>
    <w:rsid w:val="10FDA752"/>
    <w:rsid w:val="12FE4B08"/>
    <w:rsid w:val="15AEAC13"/>
    <w:rsid w:val="15F92B42"/>
    <w:rsid w:val="16BF4057"/>
    <w:rsid w:val="16FF51BC"/>
    <w:rsid w:val="17EE1926"/>
    <w:rsid w:val="17F7FDEE"/>
    <w:rsid w:val="17FDE476"/>
    <w:rsid w:val="17FFC1A8"/>
    <w:rsid w:val="1AFE9102"/>
    <w:rsid w:val="1AFF2D16"/>
    <w:rsid w:val="1BB5A519"/>
    <w:rsid w:val="1BFBB716"/>
    <w:rsid w:val="1DB7E5AE"/>
    <w:rsid w:val="1DDB15B1"/>
    <w:rsid w:val="1EFB8AEE"/>
    <w:rsid w:val="1EFD95DA"/>
    <w:rsid w:val="1FAF5720"/>
    <w:rsid w:val="1FDF606B"/>
    <w:rsid w:val="1FE12758"/>
    <w:rsid w:val="1FEF3907"/>
    <w:rsid w:val="1FF735C1"/>
    <w:rsid w:val="1FF759C7"/>
    <w:rsid w:val="1FF7C7DB"/>
    <w:rsid w:val="1FF7EDC1"/>
    <w:rsid w:val="1FFEEE74"/>
    <w:rsid w:val="1FFF74FF"/>
    <w:rsid w:val="22FFDEAC"/>
    <w:rsid w:val="247FC9DE"/>
    <w:rsid w:val="259BA11B"/>
    <w:rsid w:val="25F7F85F"/>
    <w:rsid w:val="272F9D97"/>
    <w:rsid w:val="27573166"/>
    <w:rsid w:val="27F6BC4C"/>
    <w:rsid w:val="29AF181D"/>
    <w:rsid w:val="29DB9DC9"/>
    <w:rsid w:val="29FACC33"/>
    <w:rsid w:val="29FE2A9E"/>
    <w:rsid w:val="2AFDF442"/>
    <w:rsid w:val="2B3B19F5"/>
    <w:rsid w:val="2B7F3AC4"/>
    <w:rsid w:val="2BEE2EFA"/>
    <w:rsid w:val="2CFDBBFE"/>
    <w:rsid w:val="2D3FC2B5"/>
    <w:rsid w:val="2D766EB1"/>
    <w:rsid w:val="2E78B39D"/>
    <w:rsid w:val="2E8F2BDE"/>
    <w:rsid w:val="2F59A498"/>
    <w:rsid w:val="2F77D625"/>
    <w:rsid w:val="2F9EF71F"/>
    <w:rsid w:val="2F9F6899"/>
    <w:rsid w:val="2FA371C4"/>
    <w:rsid w:val="2FAF7F05"/>
    <w:rsid w:val="2FBFA7B4"/>
    <w:rsid w:val="2FE7AFE6"/>
    <w:rsid w:val="2FE7E0A0"/>
    <w:rsid w:val="2FEE9D77"/>
    <w:rsid w:val="2FFEB395"/>
    <w:rsid w:val="2FFF04F0"/>
    <w:rsid w:val="316BDC8F"/>
    <w:rsid w:val="317DEAB9"/>
    <w:rsid w:val="325F65F6"/>
    <w:rsid w:val="336DF7E2"/>
    <w:rsid w:val="337E40D0"/>
    <w:rsid w:val="33FFC7A5"/>
    <w:rsid w:val="35FF6DDA"/>
    <w:rsid w:val="362C73F6"/>
    <w:rsid w:val="36DE5E0E"/>
    <w:rsid w:val="376DA21D"/>
    <w:rsid w:val="379FE77A"/>
    <w:rsid w:val="37BE3FFD"/>
    <w:rsid w:val="37DB4852"/>
    <w:rsid w:val="37DDC342"/>
    <w:rsid w:val="37DF1A2F"/>
    <w:rsid w:val="37E7D5B8"/>
    <w:rsid w:val="37F801B9"/>
    <w:rsid w:val="37FAE62F"/>
    <w:rsid w:val="37FB0043"/>
    <w:rsid w:val="37FD85C8"/>
    <w:rsid w:val="37FE825F"/>
    <w:rsid w:val="39BBD302"/>
    <w:rsid w:val="39FA037D"/>
    <w:rsid w:val="3AC56D65"/>
    <w:rsid w:val="3AFF6AB3"/>
    <w:rsid w:val="3B55B35B"/>
    <w:rsid w:val="3B7F2919"/>
    <w:rsid w:val="3B7F2A70"/>
    <w:rsid w:val="3B9BE685"/>
    <w:rsid w:val="3BC746E0"/>
    <w:rsid w:val="3BD70541"/>
    <w:rsid w:val="3BF33378"/>
    <w:rsid w:val="3BFEA965"/>
    <w:rsid w:val="3C6DC4B4"/>
    <w:rsid w:val="3CBF7F4B"/>
    <w:rsid w:val="3CC2CDCC"/>
    <w:rsid w:val="3CFDA71C"/>
    <w:rsid w:val="3D7D5143"/>
    <w:rsid w:val="3D9A1E96"/>
    <w:rsid w:val="3D9FBF7F"/>
    <w:rsid w:val="3DA582F7"/>
    <w:rsid w:val="3DBFC1E3"/>
    <w:rsid w:val="3DBFD8C7"/>
    <w:rsid w:val="3DEFC0E9"/>
    <w:rsid w:val="3DFFFA62"/>
    <w:rsid w:val="3E6F6475"/>
    <w:rsid w:val="3EDD1743"/>
    <w:rsid w:val="3EF7C9BB"/>
    <w:rsid w:val="3EFEBC8A"/>
    <w:rsid w:val="3F3E497F"/>
    <w:rsid w:val="3F449318"/>
    <w:rsid w:val="3F47C2F0"/>
    <w:rsid w:val="3F5CE7DC"/>
    <w:rsid w:val="3F5EA501"/>
    <w:rsid w:val="3F6C3EBE"/>
    <w:rsid w:val="3F7784B3"/>
    <w:rsid w:val="3F7FA049"/>
    <w:rsid w:val="3F8FADAC"/>
    <w:rsid w:val="3F99A2E4"/>
    <w:rsid w:val="3F9F279B"/>
    <w:rsid w:val="3FB9A7F6"/>
    <w:rsid w:val="3FBC78D2"/>
    <w:rsid w:val="3FBF57B1"/>
    <w:rsid w:val="3FCD54EF"/>
    <w:rsid w:val="3FD3D298"/>
    <w:rsid w:val="3FDD451B"/>
    <w:rsid w:val="3FDF6DAB"/>
    <w:rsid w:val="3FDF825B"/>
    <w:rsid w:val="3FEF1997"/>
    <w:rsid w:val="3FF98F74"/>
    <w:rsid w:val="3FFDC656"/>
    <w:rsid w:val="3FFF1AE3"/>
    <w:rsid w:val="3FFF1D5A"/>
    <w:rsid w:val="3FFF37D7"/>
    <w:rsid w:val="3FFF4589"/>
    <w:rsid w:val="3FFFCC71"/>
    <w:rsid w:val="459D6282"/>
    <w:rsid w:val="46C7EB0F"/>
    <w:rsid w:val="472B98CF"/>
    <w:rsid w:val="48BEB62D"/>
    <w:rsid w:val="49FD33AF"/>
    <w:rsid w:val="4ABB8078"/>
    <w:rsid w:val="4B7D2610"/>
    <w:rsid w:val="4B7F20FB"/>
    <w:rsid w:val="4B871178"/>
    <w:rsid w:val="4BBD8C17"/>
    <w:rsid w:val="4BD36964"/>
    <w:rsid w:val="4BD4C6BE"/>
    <w:rsid w:val="4C397290"/>
    <w:rsid w:val="4C6FE8F4"/>
    <w:rsid w:val="4EEB1DDF"/>
    <w:rsid w:val="4F3E3A6F"/>
    <w:rsid w:val="4F5F0B71"/>
    <w:rsid w:val="4FADE7A2"/>
    <w:rsid w:val="4FBF9764"/>
    <w:rsid w:val="4FBFCF6E"/>
    <w:rsid w:val="4FCE5F6A"/>
    <w:rsid w:val="4FE7430E"/>
    <w:rsid w:val="4FEDF7E9"/>
    <w:rsid w:val="4FFF6345"/>
    <w:rsid w:val="4FFFB777"/>
    <w:rsid w:val="50EFCC59"/>
    <w:rsid w:val="50FCF857"/>
    <w:rsid w:val="51BF18DF"/>
    <w:rsid w:val="52EE68F3"/>
    <w:rsid w:val="53CBF37F"/>
    <w:rsid w:val="53FFD37B"/>
    <w:rsid w:val="545E09A1"/>
    <w:rsid w:val="5569A8F8"/>
    <w:rsid w:val="55CF7E81"/>
    <w:rsid w:val="55F3EA02"/>
    <w:rsid w:val="56761CB2"/>
    <w:rsid w:val="56FD9E62"/>
    <w:rsid w:val="56FFC715"/>
    <w:rsid w:val="5775B924"/>
    <w:rsid w:val="57E7B6BC"/>
    <w:rsid w:val="57EB3637"/>
    <w:rsid w:val="57F7B451"/>
    <w:rsid w:val="57FBBC4F"/>
    <w:rsid w:val="587F56E9"/>
    <w:rsid w:val="59755D2C"/>
    <w:rsid w:val="59BF8B01"/>
    <w:rsid w:val="59C7F90B"/>
    <w:rsid w:val="59F677A9"/>
    <w:rsid w:val="5B59D36B"/>
    <w:rsid w:val="5B6F3ECE"/>
    <w:rsid w:val="5BDF0129"/>
    <w:rsid w:val="5BE73B0B"/>
    <w:rsid w:val="5BF7C955"/>
    <w:rsid w:val="5BFAC6C6"/>
    <w:rsid w:val="5BFB95DA"/>
    <w:rsid w:val="5BFBD201"/>
    <w:rsid w:val="5BFEFA03"/>
    <w:rsid w:val="5BFF9504"/>
    <w:rsid w:val="5BFFB35F"/>
    <w:rsid w:val="5C9C45DB"/>
    <w:rsid w:val="5CB8E5F1"/>
    <w:rsid w:val="5CEFC4C0"/>
    <w:rsid w:val="5CF732A9"/>
    <w:rsid w:val="5CFD2532"/>
    <w:rsid w:val="5CFDBEBF"/>
    <w:rsid w:val="5D376291"/>
    <w:rsid w:val="5D3EAC18"/>
    <w:rsid w:val="5DFD4D41"/>
    <w:rsid w:val="5DFE68B0"/>
    <w:rsid w:val="5DFF3782"/>
    <w:rsid w:val="5DFFBCA1"/>
    <w:rsid w:val="5E79C645"/>
    <w:rsid w:val="5E7B2C4B"/>
    <w:rsid w:val="5E7F72D6"/>
    <w:rsid w:val="5E9F684C"/>
    <w:rsid w:val="5EABB6AE"/>
    <w:rsid w:val="5ED28B16"/>
    <w:rsid w:val="5EDC5AE4"/>
    <w:rsid w:val="5EF71F2B"/>
    <w:rsid w:val="5EF7F227"/>
    <w:rsid w:val="5EF988B0"/>
    <w:rsid w:val="5EFE0ECA"/>
    <w:rsid w:val="5EFF9C3F"/>
    <w:rsid w:val="5EFFD455"/>
    <w:rsid w:val="5EFFDCDC"/>
    <w:rsid w:val="5F33D190"/>
    <w:rsid w:val="5F5BD3B8"/>
    <w:rsid w:val="5F5FE32A"/>
    <w:rsid w:val="5F6E29DC"/>
    <w:rsid w:val="5F756828"/>
    <w:rsid w:val="5F7FDBC3"/>
    <w:rsid w:val="5F7FFB43"/>
    <w:rsid w:val="5F9B0C81"/>
    <w:rsid w:val="5F9E174F"/>
    <w:rsid w:val="5F9EFC51"/>
    <w:rsid w:val="5FAE6FA7"/>
    <w:rsid w:val="5FBD8603"/>
    <w:rsid w:val="5FBFA90C"/>
    <w:rsid w:val="5FCFD242"/>
    <w:rsid w:val="5FCFE8A3"/>
    <w:rsid w:val="5FD5A1B8"/>
    <w:rsid w:val="5FD741E9"/>
    <w:rsid w:val="5FD78A84"/>
    <w:rsid w:val="5FD8CA82"/>
    <w:rsid w:val="5FDA3FF9"/>
    <w:rsid w:val="5FDBB082"/>
    <w:rsid w:val="5FDF1DE0"/>
    <w:rsid w:val="5FDFC7B1"/>
    <w:rsid w:val="5FED6D0F"/>
    <w:rsid w:val="5FEE7232"/>
    <w:rsid w:val="5FEF3EFD"/>
    <w:rsid w:val="5FF343D7"/>
    <w:rsid w:val="5FF37512"/>
    <w:rsid w:val="5FF3A656"/>
    <w:rsid w:val="5FF53613"/>
    <w:rsid w:val="5FF5B9B4"/>
    <w:rsid w:val="5FFF0A1E"/>
    <w:rsid w:val="5FFF60AD"/>
    <w:rsid w:val="63AD9D51"/>
    <w:rsid w:val="63B81355"/>
    <w:rsid w:val="63DE601C"/>
    <w:rsid w:val="63E6D1F8"/>
    <w:rsid w:val="63EFAB16"/>
    <w:rsid w:val="63FB4385"/>
    <w:rsid w:val="64CC7A24"/>
    <w:rsid w:val="64E7ADD0"/>
    <w:rsid w:val="64FE468D"/>
    <w:rsid w:val="65ED126F"/>
    <w:rsid w:val="65F933C7"/>
    <w:rsid w:val="65FBEC7E"/>
    <w:rsid w:val="669F63C0"/>
    <w:rsid w:val="66BECFBC"/>
    <w:rsid w:val="66F758DA"/>
    <w:rsid w:val="677EEA2C"/>
    <w:rsid w:val="67B747D6"/>
    <w:rsid w:val="67E5CF42"/>
    <w:rsid w:val="67EDD404"/>
    <w:rsid w:val="67EEDC41"/>
    <w:rsid w:val="67FFE3D2"/>
    <w:rsid w:val="68F55DB6"/>
    <w:rsid w:val="691F69A7"/>
    <w:rsid w:val="69DF5393"/>
    <w:rsid w:val="69E37C6B"/>
    <w:rsid w:val="69FDE206"/>
    <w:rsid w:val="6AB76703"/>
    <w:rsid w:val="6AEFACEA"/>
    <w:rsid w:val="6B7B00D4"/>
    <w:rsid w:val="6BB91E6F"/>
    <w:rsid w:val="6BB9813F"/>
    <w:rsid w:val="6BBD26B9"/>
    <w:rsid w:val="6BC3787D"/>
    <w:rsid w:val="6BDD35F8"/>
    <w:rsid w:val="6BDFCECE"/>
    <w:rsid w:val="6BEF9B22"/>
    <w:rsid w:val="6BF9478C"/>
    <w:rsid w:val="6BFA0419"/>
    <w:rsid w:val="6BFBBAA4"/>
    <w:rsid w:val="6BFBE943"/>
    <w:rsid w:val="6C896FF1"/>
    <w:rsid w:val="6CBDA90B"/>
    <w:rsid w:val="6CFF360E"/>
    <w:rsid w:val="6D39344C"/>
    <w:rsid w:val="6D62536C"/>
    <w:rsid w:val="6DEF10D4"/>
    <w:rsid w:val="6DEF1D8A"/>
    <w:rsid w:val="6DF89595"/>
    <w:rsid w:val="6DFD5F5F"/>
    <w:rsid w:val="6DFFBF1D"/>
    <w:rsid w:val="6EAB0305"/>
    <w:rsid w:val="6EDC58EC"/>
    <w:rsid w:val="6EDF4F7F"/>
    <w:rsid w:val="6EFA13CE"/>
    <w:rsid w:val="6EFF2A84"/>
    <w:rsid w:val="6EFFBCB9"/>
    <w:rsid w:val="6F2B1978"/>
    <w:rsid w:val="6F3FBDAF"/>
    <w:rsid w:val="6F5F7E7C"/>
    <w:rsid w:val="6F771DA4"/>
    <w:rsid w:val="6F9FB69E"/>
    <w:rsid w:val="6FB79788"/>
    <w:rsid w:val="6FB80F64"/>
    <w:rsid w:val="6FBC355B"/>
    <w:rsid w:val="6FBF102D"/>
    <w:rsid w:val="6FDBA5AA"/>
    <w:rsid w:val="6FDF1078"/>
    <w:rsid w:val="6FE2A2D1"/>
    <w:rsid w:val="6FE6EF85"/>
    <w:rsid w:val="6FE747DD"/>
    <w:rsid w:val="6FF0C0AC"/>
    <w:rsid w:val="6FF57E0F"/>
    <w:rsid w:val="6FF77BEE"/>
    <w:rsid w:val="6FFBF55A"/>
    <w:rsid w:val="6FFDEA34"/>
    <w:rsid w:val="7107BBC8"/>
    <w:rsid w:val="71DE65D8"/>
    <w:rsid w:val="71F59CD3"/>
    <w:rsid w:val="71F72E81"/>
    <w:rsid w:val="726B80E4"/>
    <w:rsid w:val="727FDEF6"/>
    <w:rsid w:val="728FE7B8"/>
    <w:rsid w:val="72BF52BE"/>
    <w:rsid w:val="72FF22A0"/>
    <w:rsid w:val="731EE5F5"/>
    <w:rsid w:val="735D8E39"/>
    <w:rsid w:val="736F8FA3"/>
    <w:rsid w:val="7371CA4E"/>
    <w:rsid w:val="737CE573"/>
    <w:rsid w:val="73AED5D8"/>
    <w:rsid w:val="73CEC17B"/>
    <w:rsid w:val="73E6BB07"/>
    <w:rsid w:val="73FBE338"/>
    <w:rsid w:val="73FF3B2C"/>
    <w:rsid w:val="746FDFAB"/>
    <w:rsid w:val="747F7DE5"/>
    <w:rsid w:val="753799B2"/>
    <w:rsid w:val="755B333D"/>
    <w:rsid w:val="756E3588"/>
    <w:rsid w:val="757F029B"/>
    <w:rsid w:val="75BD8E3F"/>
    <w:rsid w:val="75DF7580"/>
    <w:rsid w:val="75DF94AE"/>
    <w:rsid w:val="75EF6CD5"/>
    <w:rsid w:val="75F33434"/>
    <w:rsid w:val="75FBECF7"/>
    <w:rsid w:val="75FF0893"/>
    <w:rsid w:val="75FF0E8D"/>
    <w:rsid w:val="75FF6DD6"/>
    <w:rsid w:val="7634B07A"/>
    <w:rsid w:val="76BEEF14"/>
    <w:rsid w:val="76DE96AC"/>
    <w:rsid w:val="76EF13CB"/>
    <w:rsid w:val="76EF1A0D"/>
    <w:rsid w:val="76FE1567"/>
    <w:rsid w:val="76FEA7B4"/>
    <w:rsid w:val="76FEC7EE"/>
    <w:rsid w:val="7733174A"/>
    <w:rsid w:val="773D68B8"/>
    <w:rsid w:val="77568D2C"/>
    <w:rsid w:val="775EE4A6"/>
    <w:rsid w:val="776BF47D"/>
    <w:rsid w:val="7777710D"/>
    <w:rsid w:val="777F76E7"/>
    <w:rsid w:val="778729DD"/>
    <w:rsid w:val="77966DF3"/>
    <w:rsid w:val="77B6911D"/>
    <w:rsid w:val="77BC303E"/>
    <w:rsid w:val="77BF612A"/>
    <w:rsid w:val="77D96B67"/>
    <w:rsid w:val="77DF17D2"/>
    <w:rsid w:val="77EF31CB"/>
    <w:rsid w:val="77F74935"/>
    <w:rsid w:val="77FCEA5C"/>
    <w:rsid w:val="77FD14A4"/>
    <w:rsid w:val="77FFC64B"/>
    <w:rsid w:val="77FFE3C4"/>
    <w:rsid w:val="78A9325D"/>
    <w:rsid w:val="78E28DF7"/>
    <w:rsid w:val="78FF0893"/>
    <w:rsid w:val="797B249B"/>
    <w:rsid w:val="79BF4658"/>
    <w:rsid w:val="79EE4FC5"/>
    <w:rsid w:val="7A7B9A3E"/>
    <w:rsid w:val="7A99B882"/>
    <w:rsid w:val="7AAFA20E"/>
    <w:rsid w:val="7ABFEF40"/>
    <w:rsid w:val="7ADB688E"/>
    <w:rsid w:val="7AEF34FB"/>
    <w:rsid w:val="7AF56C58"/>
    <w:rsid w:val="7AFF16CD"/>
    <w:rsid w:val="7AFFD253"/>
    <w:rsid w:val="7B5D9536"/>
    <w:rsid w:val="7B5FF6CC"/>
    <w:rsid w:val="7B64AC69"/>
    <w:rsid w:val="7B6DBDB7"/>
    <w:rsid w:val="7B77F09A"/>
    <w:rsid w:val="7B7EF6BB"/>
    <w:rsid w:val="7B7F2DE6"/>
    <w:rsid w:val="7B7F6F84"/>
    <w:rsid w:val="7BB505A6"/>
    <w:rsid w:val="7BB65313"/>
    <w:rsid w:val="7BB75C7A"/>
    <w:rsid w:val="7BBB3ED5"/>
    <w:rsid w:val="7BBEAA6D"/>
    <w:rsid w:val="7BBF7698"/>
    <w:rsid w:val="7BD89621"/>
    <w:rsid w:val="7BDB794C"/>
    <w:rsid w:val="7BDC67AB"/>
    <w:rsid w:val="7BDC9D32"/>
    <w:rsid w:val="7BDF25E9"/>
    <w:rsid w:val="7BEB9614"/>
    <w:rsid w:val="7BEBA7C1"/>
    <w:rsid w:val="7BEF5989"/>
    <w:rsid w:val="7BEFFA20"/>
    <w:rsid w:val="7BF8CAC0"/>
    <w:rsid w:val="7BFBA1EE"/>
    <w:rsid w:val="7BFEBADE"/>
    <w:rsid w:val="7BFF0539"/>
    <w:rsid w:val="7BFF5600"/>
    <w:rsid w:val="7BFFE078"/>
    <w:rsid w:val="7C7B0D41"/>
    <w:rsid w:val="7C7FDDCF"/>
    <w:rsid w:val="7C7FF63A"/>
    <w:rsid w:val="7CADFB8A"/>
    <w:rsid w:val="7CAEBA0C"/>
    <w:rsid w:val="7CDDE439"/>
    <w:rsid w:val="7CFE7420"/>
    <w:rsid w:val="7CFEEA41"/>
    <w:rsid w:val="7CFF4FE1"/>
    <w:rsid w:val="7CFF8D38"/>
    <w:rsid w:val="7D431612"/>
    <w:rsid w:val="7D5C3FB7"/>
    <w:rsid w:val="7D835BD6"/>
    <w:rsid w:val="7D9CE7C9"/>
    <w:rsid w:val="7DAF187E"/>
    <w:rsid w:val="7DB4E69D"/>
    <w:rsid w:val="7DBE2D0C"/>
    <w:rsid w:val="7DBF558C"/>
    <w:rsid w:val="7DC9CFCE"/>
    <w:rsid w:val="7DE1123D"/>
    <w:rsid w:val="7DEDD1AB"/>
    <w:rsid w:val="7DF311AB"/>
    <w:rsid w:val="7DF55827"/>
    <w:rsid w:val="7DF7975D"/>
    <w:rsid w:val="7DF96427"/>
    <w:rsid w:val="7DFDCE22"/>
    <w:rsid w:val="7DFF29E0"/>
    <w:rsid w:val="7DFF8E6A"/>
    <w:rsid w:val="7E1FEABA"/>
    <w:rsid w:val="7E2BE685"/>
    <w:rsid w:val="7E3FFAB0"/>
    <w:rsid w:val="7E5E2E43"/>
    <w:rsid w:val="7E67284A"/>
    <w:rsid w:val="7E67D5F2"/>
    <w:rsid w:val="7E774699"/>
    <w:rsid w:val="7EB782A1"/>
    <w:rsid w:val="7EBCDC35"/>
    <w:rsid w:val="7EBFFC29"/>
    <w:rsid w:val="7ECEEB1B"/>
    <w:rsid w:val="7EDD823B"/>
    <w:rsid w:val="7EEE2F05"/>
    <w:rsid w:val="7EF3B115"/>
    <w:rsid w:val="7EF7FD46"/>
    <w:rsid w:val="7EFBE3A0"/>
    <w:rsid w:val="7EFEF1F9"/>
    <w:rsid w:val="7EFF88F0"/>
    <w:rsid w:val="7F29A892"/>
    <w:rsid w:val="7F2F479B"/>
    <w:rsid w:val="7F552196"/>
    <w:rsid w:val="7F5ED88A"/>
    <w:rsid w:val="7F67F7A4"/>
    <w:rsid w:val="7F6ABE9C"/>
    <w:rsid w:val="7F6B8F22"/>
    <w:rsid w:val="7F6BCE15"/>
    <w:rsid w:val="7F762144"/>
    <w:rsid w:val="7F7A88E8"/>
    <w:rsid w:val="7F7AD53B"/>
    <w:rsid w:val="7F7DE259"/>
    <w:rsid w:val="7F7EF031"/>
    <w:rsid w:val="7F7F315E"/>
    <w:rsid w:val="7F7F42CF"/>
    <w:rsid w:val="7F7F90DE"/>
    <w:rsid w:val="7F7F9EF2"/>
    <w:rsid w:val="7F7FFC52"/>
    <w:rsid w:val="7F8F440B"/>
    <w:rsid w:val="7F97BB99"/>
    <w:rsid w:val="7F989C34"/>
    <w:rsid w:val="7F9CF0D1"/>
    <w:rsid w:val="7F9F4C68"/>
    <w:rsid w:val="7F9FB7E5"/>
    <w:rsid w:val="7F9FE290"/>
    <w:rsid w:val="7FA162B1"/>
    <w:rsid w:val="7FAB1B5C"/>
    <w:rsid w:val="7FAD24E1"/>
    <w:rsid w:val="7FAE4402"/>
    <w:rsid w:val="7FB76A09"/>
    <w:rsid w:val="7FB78728"/>
    <w:rsid w:val="7FBB25F3"/>
    <w:rsid w:val="7FBDF1E3"/>
    <w:rsid w:val="7FBE363B"/>
    <w:rsid w:val="7FBE702C"/>
    <w:rsid w:val="7FBEDAE7"/>
    <w:rsid w:val="7FBFA643"/>
    <w:rsid w:val="7FBFDF32"/>
    <w:rsid w:val="7FBFF127"/>
    <w:rsid w:val="7FC37957"/>
    <w:rsid w:val="7FC3F6BA"/>
    <w:rsid w:val="7FCCE8D6"/>
    <w:rsid w:val="7FCD91F0"/>
    <w:rsid w:val="7FCEAB1D"/>
    <w:rsid w:val="7FCEEB52"/>
    <w:rsid w:val="7FD3EF29"/>
    <w:rsid w:val="7FD52A84"/>
    <w:rsid w:val="7FD74E96"/>
    <w:rsid w:val="7FD95534"/>
    <w:rsid w:val="7FD9B4ED"/>
    <w:rsid w:val="7FDB04C6"/>
    <w:rsid w:val="7FDB6291"/>
    <w:rsid w:val="7FDBB439"/>
    <w:rsid w:val="7FDBC4DF"/>
    <w:rsid w:val="7FDBD890"/>
    <w:rsid w:val="7FDC3DAD"/>
    <w:rsid w:val="7FDD9F62"/>
    <w:rsid w:val="7FDEF312"/>
    <w:rsid w:val="7FDF088D"/>
    <w:rsid w:val="7FDF1E09"/>
    <w:rsid w:val="7FDF6CF0"/>
    <w:rsid w:val="7FDFCC6A"/>
    <w:rsid w:val="7FDFD99D"/>
    <w:rsid w:val="7FDFFE39"/>
    <w:rsid w:val="7FE3482B"/>
    <w:rsid w:val="7FE70F6E"/>
    <w:rsid w:val="7FE750BE"/>
    <w:rsid w:val="7FEB05F6"/>
    <w:rsid w:val="7FED8355"/>
    <w:rsid w:val="7FEDC18D"/>
    <w:rsid w:val="7FEDDBBD"/>
    <w:rsid w:val="7FEE1BA1"/>
    <w:rsid w:val="7FEF4B7A"/>
    <w:rsid w:val="7FEFBD56"/>
    <w:rsid w:val="7FEFBE33"/>
    <w:rsid w:val="7FEFE5AF"/>
    <w:rsid w:val="7FF57309"/>
    <w:rsid w:val="7FF654C9"/>
    <w:rsid w:val="7FF7040E"/>
    <w:rsid w:val="7FF7392E"/>
    <w:rsid w:val="7FF78DC1"/>
    <w:rsid w:val="7FF7DF63"/>
    <w:rsid w:val="7FF7F965"/>
    <w:rsid w:val="7FF8E48D"/>
    <w:rsid w:val="7FFB1C5D"/>
    <w:rsid w:val="7FFCDA2F"/>
    <w:rsid w:val="7FFF37C1"/>
    <w:rsid w:val="7FFF52E8"/>
    <w:rsid w:val="7FFF687F"/>
    <w:rsid w:val="7FFF737A"/>
    <w:rsid w:val="7FFF83D2"/>
    <w:rsid w:val="7FFF86FD"/>
    <w:rsid w:val="7FFF9A7F"/>
    <w:rsid w:val="7FFF9ED4"/>
    <w:rsid w:val="7FFFA03C"/>
    <w:rsid w:val="7FFFA48A"/>
    <w:rsid w:val="7FFFAF9C"/>
    <w:rsid w:val="7FFFE192"/>
    <w:rsid w:val="86F3706B"/>
    <w:rsid w:val="879F42E4"/>
    <w:rsid w:val="8DBB859B"/>
    <w:rsid w:val="8DF71167"/>
    <w:rsid w:val="8FDE3827"/>
    <w:rsid w:val="8FFFA20B"/>
    <w:rsid w:val="917EF3EA"/>
    <w:rsid w:val="95EFA129"/>
    <w:rsid w:val="962FF134"/>
    <w:rsid w:val="96DD98CC"/>
    <w:rsid w:val="96DFE2D3"/>
    <w:rsid w:val="9776EA69"/>
    <w:rsid w:val="97A733B8"/>
    <w:rsid w:val="97D97F8B"/>
    <w:rsid w:val="97FFB684"/>
    <w:rsid w:val="98F1E103"/>
    <w:rsid w:val="993F1517"/>
    <w:rsid w:val="99FB4B68"/>
    <w:rsid w:val="9ABCE866"/>
    <w:rsid w:val="9B9DADC2"/>
    <w:rsid w:val="9BBFB4D7"/>
    <w:rsid w:val="9BFF4443"/>
    <w:rsid w:val="9CFBCED3"/>
    <w:rsid w:val="9CFCEF1A"/>
    <w:rsid w:val="9CFFDC2F"/>
    <w:rsid w:val="9DBE12E9"/>
    <w:rsid w:val="9DBF3FB9"/>
    <w:rsid w:val="9DD7016D"/>
    <w:rsid w:val="9DEA7902"/>
    <w:rsid w:val="9E6119B4"/>
    <w:rsid w:val="9EF33B08"/>
    <w:rsid w:val="9EF4EE53"/>
    <w:rsid w:val="9F0D2D95"/>
    <w:rsid w:val="9F8F0872"/>
    <w:rsid w:val="9F9F256F"/>
    <w:rsid w:val="9FAF38A4"/>
    <w:rsid w:val="9FAFD29A"/>
    <w:rsid w:val="9FCDB016"/>
    <w:rsid w:val="9FD5AB27"/>
    <w:rsid w:val="9FE6F293"/>
    <w:rsid w:val="A56E5BF6"/>
    <w:rsid w:val="A6C7A7BA"/>
    <w:rsid w:val="A7D3E3AD"/>
    <w:rsid w:val="A7FE25C1"/>
    <w:rsid w:val="A9B75F60"/>
    <w:rsid w:val="AAD7BE8F"/>
    <w:rsid w:val="AB3672AC"/>
    <w:rsid w:val="AB7DCD8C"/>
    <w:rsid w:val="ACDABBBD"/>
    <w:rsid w:val="ADB727DB"/>
    <w:rsid w:val="ADE94133"/>
    <w:rsid w:val="ADFE8BC2"/>
    <w:rsid w:val="ADFF78B0"/>
    <w:rsid w:val="AECBE2B0"/>
    <w:rsid w:val="AEDB5363"/>
    <w:rsid w:val="AEFCCF9E"/>
    <w:rsid w:val="AF144D5F"/>
    <w:rsid w:val="AF378323"/>
    <w:rsid w:val="AF46C518"/>
    <w:rsid w:val="AF7EE48C"/>
    <w:rsid w:val="AFBC8DD5"/>
    <w:rsid w:val="AFDF6FA0"/>
    <w:rsid w:val="AFEB576C"/>
    <w:rsid w:val="AFEFC55A"/>
    <w:rsid w:val="AFFF7950"/>
    <w:rsid w:val="B1D74E8B"/>
    <w:rsid w:val="B39FA9B4"/>
    <w:rsid w:val="B3BD54F1"/>
    <w:rsid w:val="B4FF8F4F"/>
    <w:rsid w:val="B540CA87"/>
    <w:rsid w:val="B57A6A9A"/>
    <w:rsid w:val="B59F727E"/>
    <w:rsid w:val="B5BA872D"/>
    <w:rsid w:val="B5DF9142"/>
    <w:rsid w:val="B5EC8FC0"/>
    <w:rsid w:val="B5F7C716"/>
    <w:rsid w:val="B6AB716D"/>
    <w:rsid w:val="B6BD8E5D"/>
    <w:rsid w:val="B6DF4864"/>
    <w:rsid w:val="B6EF57D6"/>
    <w:rsid w:val="B6F57F93"/>
    <w:rsid w:val="B6FFB92B"/>
    <w:rsid w:val="B75F22FB"/>
    <w:rsid w:val="B77A3470"/>
    <w:rsid w:val="B7AF07D3"/>
    <w:rsid w:val="B7B977A4"/>
    <w:rsid w:val="B7DB9F6D"/>
    <w:rsid w:val="B7F30E82"/>
    <w:rsid w:val="B7F396F1"/>
    <w:rsid w:val="B7FB4260"/>
    <w:rsid w:val="B82F8D83"/>
    <w:rsid w:val="B8771CF7"/>
    <w:rsid w:val="B89FB743"/>
    <w:rsid w:val="B93FAAE5"/>
    <w:rsid w:val="B95BE44D"/>
    <w:rsid w:val="BA9D3BA8"/>
    <w:rsid w:val="BACF6084"/>
    <w:rsid w:val="BAD0BEE8"/>
    <w:rsid w:val="BB1F2529"/>
    <w:rsid w:val="BB7EF11D"/>
    <w:rsid w:val="BBABF010"/>
    <w:rsid w:val="BBDF6799"/>
    <w:rsid w:val="BBDFD8E1"/>
    <w:rsid w:val="BBF3352F"/>
    <w:rsid w:val="BBF3CFFF"/>
    <w:rsid w:val="BBF5831C"/>
    <w:rsid w:val="BBFA8B9C"/>
    <w:rsid w:val="BBFEB557"/>
    <w:rsid w:val="BBFEEC97"/>
    <w:rsid w:val="BC7C02B4"/>
    <w:rsid w:val="BCFFECDD"/>
    <w:rsid w:val="BD1F906B"/>
    <w:rsid w:val="BD36DAEF"/>
    <w:rsid w:val="BD56B1AC"/>
    <w:rsid w:val="BD86540B"/>
    <w:rsid w:val="BDB60D79"/>
    <w:rsid w:val="BDEE24DB"/>
    <w:rsid w:val="BDF63AF5"/>
    <w:rsid w:val="BDF76ADC"/>
    <w:rsid w:val="BDFEE092"/>
    <w:rsid w:val="BDFFDC10"/>
    <w:rsid w:val="BE7E98C8"/>
    <w:rsid w:val="BE7FDFC4"/>
    <w:rsid w:val="BEBF4636"/>
    <w:rsid w:val="BECAFA5F"/>
    <w:rsid w:val="BEF74C42"/>
    <w:rsid w:val="BEFBFCC3"/>
    <w:rsid w:val="BF19CF64"/>
    <w:rsid w:val="BF1E5696"/>
    <w:rsid w:val="BF2D6BCA"/>
    <w:rsid w:val="BF2E7931"/>
    <w:rsid w:val="BF797E02"/>
    <w:rsid w:val="BF7FC919"/>
    <w:rsid w:val="BF8BB8C1"/>
    <w:rsid w:val="BFB9A91D"/>
    <w:rsid w:val="BFBE15CE"/>
    <w:rsid w:val="BFBEF0F2"/>
    <w:rsid w:val="BFD7DE45"/>
    <w:rsid w:val="BFF6FBDE"/>
    <w:rsid w:val="BFF7DD5F"/>
    <w:rsid w:val="BFF901E6"/>
    <w:rsid w:val="BFFB70E4"/>
    <w:rsid w:val="BFFF38D3"/>
    <w:rsid w:val="BFFF4802"/>
    <w:rsid w:val="C4B761F6"/>
    <w:rsid w:val="C57F5664"/>
    <w:rsid w:val="C5BF6D53"/>
    <w:rsid w:val="C6AB2F0C"/>
    <w:rsid w:val="C74F4440"/>
    <w:rsid w:val="C7FDE66C"/>
    <w:rsid w:val="C8F59B9A"/>
    <w:rsid w:val="CA9DCDD6"/>
    <w:rsid w:val="CB3E80D6"/>
    <w:rsid w:val="CBDF2576"/>
    <w:rsid w:val="CBEF0003"/>
    <w:rsid w:val="CBF71D6F"/>
    <w:rsid w:val="CBF782B7"/>
    <w:rsid w:val="CBFF5117"/>
    <w:rsid w:val="CBFF789A"/>
    <w:rsid w:val="CCF6319F"/>
    <w:rsid w:val="CCFB2A23"/>
    <w:rsid w:val="CD5DE299"/>
    <w:rsid w:val="CD7383E3"/>
    <w:rsid w:val="CD7FB224"/>
    <w:rsid w:val="CDDF7C84"/>
    <w:rsid w:val="CDF79AB8"/>
    <w:rsid w:val="CE3BA914"/>
    <w:rsid w:val="CE6BC7F1"/>
    <w:rsid w:val="CE7F7AF2"/>
    <w:rsid w:val="CE9F48BA"/>
    <w:rsid w:val="CEBAB7D4"/>
    <w:rsid w:val="CEDBC81C"/>
    <w:rsid w:val="CF2A1833"/>
    <w:rsid w:val="CF372B6C"/>
    <w:rsid w:val="CF6F203E"/>
    <w:rsid w:val="CF73E247"/>
    <w:rsid w:val="CF797BC9"/>
    <w:rsid w:val="CF980C1B"/>
    <w:rsid w:val="CFDDBE36"/>
    <w:rsid w:val="CFEF44F2"/>
    <w:rsid w:val="CFEFA468"/>
    <w:rsid w:val="CFFFE068"/>
    <w:rsid w:val="D3FE19A1"/>
    <w:rsid w:val="D46B4FDA"/>
    <w:rsid w:val="D53F7194"/>
    <w:rsid w:val="D569E8AC"/>
    <w:rsid w:val="D5A3D71D"/>
    <w:rsid w:val="D5BF1B08"/>
    <w:rsid w:val="D67FE762"/>
    <w:rsid w:val="D6F20146"/>
    <w:rsid w:val="D6FED51E"/>
    <w:rsid w:val="D77F5E37"/>
    <w:rsid w:val="D7BF2983"/>
    <w:rsid w:val="D7D4B538"/>
    <w:rsid w:val="D7EE1EFA"/>
    <w:rsid w:val="D7FE8690"/>
    <w:rsid w:val="D7FEA751"/>
    <w:rsid w:val="D7FF1252"/>
    <w:rsid w:val="D7FF30C4"/>
    <w:rsid w:val="D7FF4370"/>
    <w:rsid w:val="D7FFC5C8"/>
    <w:rsid w:val="D7FFCE7E"/>
    <w:rsid w:val="D8BE31CE"/>
    <w:rsid w:val="D8EFBA5F"/>
    <w:rsid w:val="D9CEF08D"/>
    <w:rsid w:val="D9F76A25"/>
    <w:rsid w:val="D9FBA0C8"/>
    <w:rsid w:val="DACDE9F1"/>
    <w:rsid w:val="DAE7494E"/>
    <w:rsid w:val="DB739629"/>
    <w:rsid w:val="DB9F5EE4"/>
    <w:rsid w:val="DBEF2B51"/>
    <w:rsid w:val="DBFD2A05"/>
    <w:rsid w:val="DC4BA484"/>
    <w:rsid w:val="DC57527A"/>
    <w:rsid w:val="DCFBAEFA"/>
    <w:rsid w:val="DCFF94D6"/>
    <w:rsid w:val="DCFFACC0"/>
    <w:rsid w:val="DD5A1571"/>
    <w:rsid w:val="DD7C621D"/>
    <w:rsid w:val="DD7FFFA4"/>
    <w:rsid w:val="DD9F6FB9"/>
    <w:rsid w:val="DDBB6F8A"/>
    <w:rsid w:val="DDBF0D43"/>
    <w:rsid w:val="DDE2E974"/>
    <w:rsid w:val="DDEE82CE"/>
    <w:rsid w:val="DDF7DD95"/>
    <w:rsid w:val="DDFD4792"/>
    <w:rsid w:val="DDFF333F"/>
    <w:rsid w:val="DE83300D"/>
    <w:rsid w:val="DEAF7DA3"/>
    <w:rsid w:val="DEB77CC9"/>
    <w:rsid w:val="DEBB8675"/>
    <w:rsid w:val="DECEBFFE"/>
    <w:rsid w:val="DECF5A49"/>
    <w:rsid w:val="DEDC4763"/>
    <w:rsid w:val="DEDFD1C8"/>
    <w:rsid w:val="DEED512D"/>
    <w:rsid w:val="DEFF5746"/>
    <w:rsid w:val="DEFFB78E"/>
    <w:rsid w:val="DF1A1782"/>
    <w:rsid w:val="DF325528"/>
    <w:rsid w:val="DF5C7A5E"/>
    <w:rsid w:val="DF5E9858"/>
    <w:rsid w:val="DF61D917"/>
    <w:rsid w:val="DF6B1149"/>
    <w:rsid w:val="DF6D617B"/>
    <w:rsid w:val="DF7DB111"/>
    <w:rsid w:val="DF7F4A86"/>
    <w:rsid w:val="DF9AFFF7"/>
    <w:rsid w:val="DF9FBB2A"/>
    <w:rsid w:val="DF9FBD63"/>
    <w:rsid w:val="DFAF8C53"/>
    <w:rsid w:val="DFAFFE6D"/>
    <w:rsid w:val="DFB4766F"/>
    <w:rsid w:val="DFB5A493"/>
    <w:rsid w:val="DFB5E15A"/>
    <w:rsid w:val="DFB7369E"/>
    <w:rsid w:val="DFBDC569"/>
    <w:rsid w:val="DFBEDE1A"/>
    <w:rsid w:val="DFC5D477"/>
    <w:rsid w:val="DFD02D5A"/>
    <w:rsid w:val="DFD5E92E"/>
    <w:rsid w:val="DFDDC7EE"/>
    <w:rsid w:val="DFDE71B0"/>
    <w:rsid w:val="DFDF824A"/>
    <w:rsid w:val="DFDFC935"/>
    <w:rsid w:val="DFEB80FD"/>
    <w:rsid w:val="DFEF3A88"/>
    <w:rsid w:val="DFEFB0B6"/>
    <w:rsid w:val="DFF70D94"/>
    <w:rsid w:val="DFF73742"/>
    <w:rsid w:val="DFF941A0"/>
    <w:rsid w:val="DFFAA26D"/>
    <w:rsid w:val="DFFF52AF"/>
    <w:rsid w:val="DFFFE3FC"/>
    <w:rsid w:val="DFFFEB62"/>
    <w:rsid w:val="E2DF8140"/>
    <w:rsid w:val="E33E5D8B"/>
    <w:rsid w:val="E3EC4AB4"/>
    <w:rsid w:val="E4F2BF46"/>
    <w:rsid w:val="E55E4932"/>
    <w:rsid w:val="E5BFD71D"/>
    <w:rsid w:val="E6BFC599"/>
    <w:rsid w:val="E6DB0354"/>
    <w:rsid w:val="E72F2A67"/>
    <w:rsid w:val="E73D5992"/>
    <w:rsid w:val="E75FED5D"/>
    <w:rsid w:val="E77DAEDF"/>
    <w:rsid w:val="E78A2A5B"/>
    <w:rsid w:val="E79BF1D1"/>
    <w:rsid w:val="E7B7AD0E"/>
    <w:rsid w:val="E7C258BD"/>
    <w:rsid w:val="E7EBF034"/>
    <w:rsid w:val="E7EF7B21"/>
    <w:rsid w:val="E7F360BA"/>
    <w:rsid w:val="E7FA743E"/>
    <w:rsid w:val="E7FBCAE9"/>
    <w:rsid w:val="E7FDF4D8"/>
    <w:rsid w:val="E7FEC8D2"/>
    <w:rsid w:val="E9ADE478"/>
    <w:rsid w:val="E9B74941"/>
    <w:rsid w:val="EADB868A"/>
    <w:rsid w:val="EB5FB32E"/>
    <w:rsid w:val="EB9D34B7"/>
    <w:rsid w:val="EBDD950E"/>
    <w:rsid w:val="EBDF6DDD"/>
    <w:rsid w:val="EBEC83A5"/>
    <w:rsid w:val="EC5F088B"/>
    <w:rsid w:val="ECBE387D"/>
    <w:rsid w:val="ECD7110E"/>
    <w:rsid w:val="ECDF46B8"/>
    <w:rsid w:val="ECEE0DA5"/>
    <w:rsid w:val="ECF960DE"/>
    <w:rsid w:val="ECFBB6C6"/>
    <w:rsid w:val="ECFF3F0A"/>
    <w:rsid w:val="ED5E4248"/>
    <w:rsid w:val="ED9F0169"/>
    <w:rsid w:val="ED9FC86E"/>
    <w:rsid w:val="EDAFA11E"/>
    <w:rsid w:val="EDD5FAE9"/>
    <w:rsid w:val="EDD9A562"/>
    <w:rsid w:val="EDEC3B72"/>
    <w:rsid w:val="EDEF06BB"/>
    <w:rsid w:val="EDFAC2FB"/>
    <w:rsid w:val="EDFB4140"/>
    <w:rsid w:val="EDFEA591"/>
    <w:rsid w:val="EDFFB69C"/>
    <w:rsid w:val="EE7FF565"/>
    <w:rsid w:val="EEC966C0"/>
    <w:rsid w:val="EEED4B41"/>
    <w:rsid w:val="EEEE3A50"/>
    <w:rsid w:val="EEEFA5FE"/>
    <w:rsid w:val="EEF39F2F"/>
    <w:rsid w:val="EEF3F8DE"/>
    <w:rsid w:val="EEF7565C"/>
    <w:rsid w:val="EEF7CA62"/>
    <w:rsid w:val="EF3A2AA9"/>
    <w:rsid w:val="EF3B0C65"/>
    <w:rsid w:val="EF5F695B"/>
    <w:rsid w:val="EF67FD4C"/>
    <w:rsid w:val="EF76BA02"/>
    <w:rsid w:val="EF7F219B"/>
    <w:rsid w:val="EF7F96D2"/>
    <w:rsid w:val="EF7FA227"/>
    <w:rsid w:val="EF7FB457"/>
    <w:rsid w:val="EFB6707B"/>
    <w:rsid w:val="EFDA90AA"/>
    <w:rsid w:val="EFDF936B"/>
    <w:rsid w:val="EFE7A72D"/>
    <w:rsid w:val="EFEF3A03"/>
    <w:rsid w:val="EFFA4CB0"/>
    <w:rsid w:val="EFFBF415"/>
    <w:rsid w:val="EFFF1112"/>
    <w:rsid w:val="EFFF25F8"/>
    <w:rsid w:val="EFFF6F38"/>
    <w:rsid w:val="EFFF862B"/>
    <w:rsid w:val="EFFFA891"/>
    <w:rsid w:val="EFFFBA19"/>
    <w:rsid w:val="EFFFC1A0"/>
    <w:rsid w:val="F0DD5D81"/>
    <w:rsid w:val="F0E51599"/>
    <w:rsid w:val="F0EF1096"/>
    <w:rsid w:val="F17E70D0"/>
    <w:rsid w:val="F1FE8C63"/>
    <w:rsid w:val="F253FBEA"/>
    <w:rsid w:val="F263B507"/>
    <w:rsid w:val="F28A00BD"/>
    <w:rsid w:val="F2AB43B4"/>
    <w:rsid w:val="F2AD31DA"/>
    <w:rsid w:val="F2B3F836"/>
    <w:rsid w:val="F2B77713"/>
    <w:rsid w:val="F2BDCC03"/>
    <w:rsid w:val="F2FF92EF"/>
    <w:rsid w:val="F2FF9795"/>
    <w:rsid w:val="F3BF73D5"/>
    <w:rsid w:val="F3DD4BB5"/>
    <w:rsid w:val="F3F6A8A1"/>
    <w:rsid w:val="F3FEA4B2"/>
    <w:rsid w:val="F47C9B44"/>
    <w:rsid w:val="F47DDD1A"/>
    <w:rsid w:val="F4BFB083"/>
    <w:rsid w:val="F4EE40E2"/>
    <w:rsid w:val="F4FF2815"/>
    <w:rsid w:val="F51DD114"/>
    <w:rsid w:val="F57D9D43"/>
    <w:rsid w:val="F58C681F"/>
    <w:rsid w:val="F5BBE25B"/>
    <w:rsid w:val="F5BF2F27"/>
    <w:rsid w:val="F5CACF1B"/>
    <w:rsid w:val="F5D6BAE8"/>
    <w:rsid w:val="F5DDD965"/>
    <w:rsid w:val="F5DFEBFB"/>
    <w:rsid w:val="F5FA720E"/>
    <w:rsid w:val="F5FF2F61"/>
    <w:rsid w:val="F5FF5C7F"/>
    <w:rsid w:val="F67BE20F"/>
    <w:rsid w:val="F6CA1D1A"/>
    <w:rsid w:val="F6CB2F49"/>
    <w:rsid w:val="F6DF39AA"/>
    <w:rsid w:val="F6F19D4B"/>
    <w:rsid w:val="F6F3437C"/>
    <w:rsid w:val="F6F7667C"/>
    <w:rsid w:val="F6FD806D"/>
    <w:rsid w:val="F6FD8DE9"/>
    <w:rsid w:val="F6FF7243"/>
    <w:rsid w:val="F6FFADFD"/>
    <w:rsid w:val="F6FFD532"/>
    <w:rsid w:val="F71A1C85"/>
    <w:rsid w:val="F737C6F7"/>
    <w:rsid w:val="F73FB286"/>
    <w:rsid w:val="F75DCFC2"/>
    <w:rsid w:val="F76EEEC8"/>
    <w:rsid w:val="F7771EFB"/>
    <w:rsid w:val="F77BC7EC"/>
    <w:rsid w:val="F79DB883"/>
    <w:rsid w:val="F79E6227"/>
    <w:rsid w:val="F7B61B85"/>
    <w:rsid w:val="F7BF68F5"/>
    <w:rsid w:val="F7CF3FB1"/>
    <w:rsid w:val="F7D77064"/>
    <w:rsid w:val="F7DA8F48"/>
    <w:rsid w:val="F7DBDD73"/>
    <w:rsid w:val="F7DDB7DC"/>
    <w:rsid w:val="F7E63A78"/>
    <w:rsid w:val="F7F8F9A0"/>
    <w:rsid w:val="F7FF80AD"/>
    <w:rsid w:val="F8CE6118"/>
    <w:rsid w:val="F94B3B08"/>
    <w:rsid w:val="F973F197"/>
    <w:rsid w:val="F97B8981"/>
    <w:rsid w:val="F97FBECE"/>
    <w:rsid w:val="F9AF4194"/>
    <w:rsid w:val="F9CE5566"/>
    <w:rsid w:val="F9F7E057"/>
    <w:rsid w:val="F9F7E0E9"/>
    <w:rsid w:val="F9FB30B5"/>
    <w:rsid w:val="FA3FCB7D"/>
    <w:rsid w:val="FA5E39A2"/>
    <w:rsid w:val="FA9F67C8"/>
    <w:rsid w:val="FA9FDC42"/>
    <w:rsid w:val="FAB073C5"/>
    <w:rsid w:val="FADBE889"/>
    <w:rsid w:val="FADDB4AC"/>
    <w:rsid w:val="FAEE28D0"/>
    <w:rsid w:val="FAFF5FFC"/>
    <w:rsid w:val="FB2769D7"/>
    <w:rsid w:val="FB3F2400"/>
    <w:rsid w:val="FB570858"/>
    <w:rsid w:val="FB57B297"/>
    <w:rsid w:val="FB57F319"/>
    <w:rsid w:val="FB6AEE8E"/>
    <w:rsid w:val="FB6B451B"/>
    <w:rsid w:val="FB7D60EB"/>
    <w:rsid w:val="FBAE06E6"/>
    <w:rsid w:val="FBB790DE"/>
    <w:rsid w:val="FBBB15DA"/>
    <w:rsid w:val="FBBB6133"/>
    <w:rsid w:val="FBBEEB63"/>
    <w:rsid w:val="FBBF4BF9"/>
    <w:rsid w:val="FBCDEDAF"/>
    <w:rsid w:val="FBDB1F4F"/>
    <w:rsid w:val="FBDBF556"/>
    <w:rsid w:val="FBDEAAFD"/>
    <w:rsid w:val="FBDF47D0"/>
    <w:rsid w:val="FBDFE6CE"/>
    <w:rsid w:val="FBE51A63"/>
    <w:rsid w:val="FBE5F395"/>
    <w:rsid w:val="FBE6345D"/>
    <w:rsid w:val="FBEE0DB7"/>
    <w:rsid w:val="FBF21874"/>
    <w:rsid w:val="FBF71D68"/>
    <w:rsid w:val="FBFD0006"/>
    <w:rsid w:val="FBFD3E8E"/>
    <w:rsid w:val="FBFF7F70"/>
    <w:rsid w:val="FC7FCA8C"/>
    <w:rsid w:val="FCBA0DE7"/>
    <w:rsid w:val="FCDFC9D2"/>
    <w:rsid w:val="FCEF6584"/>
    <w:rsid w:val="FCFF09B2"/>
    <w:rsid w:val="FD3DB425"/>
    <w:rsid w:val="FD3F972E"/>
    <w:rsid w:val="FD45238F"/>
    <w:rsid w:val="FD4EE7BB"/>
    <w:rsid w:val="FD570DF3"/>
    <w:rsid w:val="FD7A80EB"/>
    <w:rsid w:val="FD7E7D65"/>
    <w:rsid w:val="FD7F48D5"/>
    <w:rsid w:val="FD7F5778"/>
    <w:rsid w:val="FD9DC1D1"/>
    <w:rsid w:val="FDAE3001"/>
    <w:rsid w:val="FDAE49EB"/>
    <w:rsid w:val="FDB27FA0"/>
    <w:rsid w:val="FDB74070"/>
    <w:rsid w:val="FDBEEF31"/>
    <w:rsid w:val="FDDBA126"/>
    <w:rsid w:val="FDDC2EA2"/>
    <w:rsid w:val="FDDE046E"/>
    <w:rsid w:val="FDDE706F"/>
    <w:rsid w:val="FDDFE2FE"/>
    <w:rsid w:val="FDE5C4D2"/>
    <w:rsid w:val="FDEECED7"/>
    <w:rsid w:val="FDEF7034"/>
    <w:rsid w:val="FDF11385"/>
    <w:rsid w:val="FDF5396F"/>
    <w:rsid w:val="FDF749DD"/>
    <w:rsid w:val="FDF7852F"/>
    <w:rsid w:val="FDF9614E"/>
    <w:rsid w:val="FDFB2F42"/>
    <w:rsid w:val="FDFBBF27"/>
    <w:rsid w:val="FDFD4CD4"/>
    <w:rsid w:val="FDFD7C4A"/>
    <w:rsid w:val="FDFEBD21"/>
    <w:rsid w:val="FE3DDBD9"/>
    <w:rsid w:val="FE3F55C8"/>
    <w:rsid w:val="FE5EA308"/>
    <w:rsid w:val="FE6C0A00"/>
    <w:rsid w:val="FE7F74F1"/>
    <w:rsid w:val="FE9ED44B"/>
    <w:rsid w:val="FEA69B54"/>
    <w:rsid w:val="FEA75E8E"/>
    <w:rsid w:val="FEBFDB84"/>
    <w:rsid w:val="FEDFDB3A"/>
    <w:rsid w:val="FEE9DEE6"/>
    <w:rsid w:val="FEEB9D63"/>
    <w:rsid w:val="FEEF210F"/>
    <w:rsid w:val="FEF77214"/>
    <w:rsid w:val="FEF7AD03"/>
    <w:rsid w:val="FEFADC4D"/>
    <w:rsid w:val="FEFB038C"/>
    <w:rsid w:val="FEFD7AD7"/>
    <w:rsid w:val="FEFF446B"/>
    <w:rsid w:val="FEFF68F1"/>
    <w:rsid w:val="FEFF7436"/>
    <w:rsid w:val="FEFF8B2E"/>
    <w:rsid w:val="FF1F7C9F"/>
    <w:rsid w:val="FF2E27C8"/>
    <w:rsid w:val="FF322734"/>
    <w:rsid w:val="FF3E1010"/>
    <w:rsid w:val="FF3F1A42"/>
    <w:rsid w:val="FF3F3784"/>
    <w:rsid w:val="FF3F4E70"/>
    <w:rsid w:val="FF4D6153"/>
    <w:rsid w:val="FF4F9B45"/>
    <w:rsid w:val="FF53E189"/>
    <w:rsid w:val="FF57A790"/>
    <w:rsid w:val="FF5E816C"/>
    <w:rsid w:val="FF5F0CBF"/>
    <w:rsid w:val="FF657F78"/>
    <w:rsid w:val="FF6606F9"/>
    <w:rsid w:val="FF6791C7"/>
    <w:rsid w:val="FF67A681"/>
    <w:rsid w:val="FF6B88CB"/>
    <w:rsid w:val="FF6EB3C2"/>
    <w:rsid w:val="FF70CFD4"/>
    <w:rsid w:val="FF737902"/>
    <w:rsid w:val="FF75015A"/>
    <w:rsid w:val="FF7B4864"/>
    <w:rsid w:val="FF7B4F37"/>
    <w:rsid w:val="FF7D13BC"/>
    <w:rsid w:val="FF7D708F"/>
    <w:rsid w:val="FF7E8689"/>
    <w:rsid w:val="FF7FA417"/>
    <w:rsid w:val="FF8F707B"/>
    <w:rsid w:val="FF951FE3"/>
    <w:rsid w:val="FF9FC7D2"/>
    <w:rsid w:val="FFA61102"/>
    <w:rsid w:val="FFA70BF4"/>
    <w:rsid w:val="FFA7BAB5"/>
    <w:rsid w:val="FFABCF4C"/>
    <w:rsid w:val="FFAD9FC7"/>
    <w:rsid w:val="FFADFC11"/>
    <w:rsid w:val="FFB754FE"/>
    <w:rsid w:val="FFBA5A7D"/>
    <w:rsid w:val="FFBAE4B3"/>
    <w:rsid w:val="FFBB6A06"/>
    <w:rsid w:val="FFBBA930"/>
    <w:rsid w:val="FFBC7D91"/>
    <w:rsid w:val="FFBD85F1"/>
    <w:rsid w:val="FFBF3706"/>
    <w:rsid w:val="FFBF8706"/>
    <w:rsid w:val="FFBF989F"/>
    <w:rsid w:val="FFD34BD1"/>
    <w:rsid w:val="FFD67736"/>
    <w:rsid w:val="FFDB2DFB"/>
    <w:rsid w:val="FFDCC8C7"/>
    <w:rsid w:val="FFDD67BA"/>
    <w:rsid w:val="FFDF3A0F"/>
    <w:rsid w:val="FFDFAB28"/>
    <w:rsid w:val="FFDFE45A"/>
    <w:rsid w:val="FFDFF380"/>
    <w:rsid w:val="FFE29583"/>
    <w:rsid w:val="FFE30E78"/>
    <w:rsid w:val="FFEBAC92"/>
    <w:rsid w:val="FFEBE321"/>
    <w:rsid w:val="FFED5606"/>
    <w:rsid w:val="FFEE115D"/>
    <w:rsid w:val="FFEF4B46"/>
    <w:rsid w:val="FFEF6D70"/>
    <w:rsid w:val="FFEFC123"/>
    <w:rsid w:val="FFF2C3C8"/>
    <w:rsid w:val="FFF639C1"/>
    <w:rsid w:val="FFF71B8D"/>
    <w:rsid w:val="FFF78930"/>
    <w:rsid w:val="FFF86C2C"/>
    <w:rsid w:val="FFF9DDC4"/>
    <w:rsid w:val="FFFB5797"/>
    <w:rsid w:val="FFFBCB3E"/>
    <w:rsid w:val="FFFBEF36"/>
    <w:rsid w:val="FFFDBAFC"/>
    <w:rsid w:val="FFFE7306"/>
    <w:rsid w:val="FFFE8F86"/>
    <w:rsid w:val="FFFED82D"/>
    <w:rsid w:val="FFFF2482"/>
    <w:rsid w:val="FFFF4985"/>
    <w:rsid w:val="FFFF98A2"/>
    <w:rsid w:val="FFFF9ABC"/>
    <w:rsid w:val="FFFFAE53"/>
    <w:rsid w:val="FFFFB01F"/>
    <w:rsid w:val="FFFFBB3D"/>
    <w:rsid w:val="FFFFC86F"/>
    <w:rsid w:val="FFFFD68D"/>
    <w:rsid w:val="FFFFD699"/>
    <w:rsid w:val="FFFFE946"/>
    <w:rsid w:val="FFFFF4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Office_2.2.0.3563_F1E327BC-269C-435d-A152-05C5408002CA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2020-04-20T06:46:00Z</dcterms:created>
  <dc:creator>pin</dc:creator>
  <cp:lastModifiedBy>pin</cp:lastModifiedBy>
  <dcterms:modified xsi:type="dcterms:W3CDTF">2020-05-01T13:41:51Z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2052-2.2.0.3563</vt:lpwstr>
  </property>
</Properties>
</file>