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74CF8F" w14:textId="77777777" w:rsidR="00273CD1" w:rsidRDefault="00273CD1" w:rsidP="00273CD1">
      <w:pPr>
        <w:pStyle w:val="list"/>
        <w:numPr>
          <w:ilvl w:val="0"/>
          <w:numId w:val="1"/>
        </w:numPr>
        <w:spacing w:before="120" w:beforeAutospacing="0" w:after="0" w:afterAutospacing="0"/>
        <w:ind w:left="1200" w:hanging="480"/>
        <w:rPr>
          <w:rFonts w:ascii="Arial" w:hAnsi="Arial" w:cs="Arial"/>
          <w:color w:val="000000"/>
          <w:sz w:val="27"/>
          <w:szCs w:val="27"/>
        </w:rPr>
      </w:pPr>
      <w:r>
        <w:rPr>
          <w:rFonts w:ascii="Arial" w:hAnsi="Arial" w:cs="Arial"/>
          <w:color w:val="000000"/>
          <w:sz w:val="27"/>
          <w:szCs w:val="27"/>
        </w:rPr>
        <w:t>(1) The court must further the overriding objective by actively managing cases. The court will take a robust and proactive approach to case management.</w:t>
      </w:r>
    </w:p>
    <w:p w14:paraId="214B70E6" w14:textId="77777777" w:rsidR="00273CD1" w:rsidRDefault="00273CD1" w:rsidP="00273CD1">
      <w:pPr>
        <w:pStyle w:val="list"/>
        <w:numPr>
          <w:ilvl w:val="0"/>
          <w:numId w:val="1"/>
        </w:numPr>
        <w:spacing w:before="120" w:beforeAutospacing="0" w:after="0" w:afterAutospacing="0"/>
        <w:ind w:left="1200" w:hanging="480"/>
        <w:rPr>
          <w:rFonts w:ascii="Arial" w:hAnsi="Arial" w:cs="Arial"/>
          <w:color w:val="000000"/>
          <w:sz w:val="27"/>
          <w:szCs w:val="27"/>
        </w:rPr>
      </w:pPr>
      <w:r>
        <w:rPr>
          <w:rFonts w:ascii="Arial" w:hAnsi="Arial" w:cs="Arial"/>
          <w:color w:val="000000"/>
          <w:sz w:val="27"/>
          <w:szCs w:val="27"/>
        </w:rPr>
        <w:t>  (2) To assist with this process, defended actions are assigned to one of three case management tracks. These are the small claims track for cases with a value not more than £10,000, the fast track for cases in the range of £10,000.01 to £25,000 and the multi-track for cases over £25,000. Different financial limits apply to personal injury claims.</w:t>
      </w:r>
    </w:p>
    <w:p w14:paraId="6636FA20" w14:textId="77777777" w:rsidR="00273CD1" w:rsidRDefault="00273CD1" w:rsidP="00273CD1">
      <w:pPr>
        <w:pStyle w:val="list"/>
        <w:numPr>
          <w:ilvl w:val="0"/>
          <w:numId w:val="1"/>
        </w:numPr>
        <w:spacing w:before="120" w:beforeAutospacing="0" w:after="0" w:afterAutospacing="0"/>
        <w:ind w:left="1200" w:hanging="480"/>
        <w:rPr>
          <w:rFonts w:ascii="Arial" w:hAnsi="Arial" w:cs="Arial"/>
          <w:color w:val="000000"/>
          <w:sz w:val="27"/>
          <w:szCs w:val="27"/>
        </w:rPr>
      </w:pPr>
      <w:r>
        <w:rPr>
          <w:rFonts w:ascii="Arial" w:hAnsi="Arial" w:cs="Arial"/>
          <w:color w:val="000000"/>
          <w:sz w:val="27"/>
          <w:szCs w:val="27"/>
        </w:rPr>
        <w:t>  (3) All parties must complete the DQ, which assists the court in deciding the appropriate track to which the case should be allocated. Allocation is governed by </w:t>
      </w:r>
      <w:r>
        <w:rPr>
          <w:rStyle w:val="Strong"/>
          <w:rFonts w:ascii="Arial" w:hAnsi="Arial" w:cs="Arial"/>
          <w:color w:val="000000"/>
          <w:sz w:val="27"/>
          <w:szCs w:val="27"/>
        </w:rPr>
        <w:t>Part 26</w:t>
      </w:r>
      <w:r>
        <w:rPr>
          <w:rFonts w:ascii="Arial" w:hAnsi="Arial" w:cs="Arial"/>
          <w:color w:val="000000"/>
          <w:sz w:val="27"/>
          <w:szCs w:val="27"/>
        </w:rPr>
        <w:t>.</w:t>
      </w:r>
    </w:p>
    <w:p w14:paraId="66267DE8" w14:textId="77777777" w:rsidR="00273CD1" w:rsidRDefault="00273CD1" w:rsidP="00273CD1">
      <w:pPr>
        <w:pStyle w:val="list"/>
        <w:numPr>
          <w:ilvl w:val="0"/>
          <w:numId w:val="1"/>
        </w:numPr>
        <w:spacing w:before="120" w:beforeAutospacing="0" w:after="0" w:afterAutospacing="0"/>
        <w:ind w:left="1200" w:hanging="480"/>
        <w:rPr>
          <w:rFonts w:ascii="Arial" w:hAnsi="Arial" w:cs="Arial"/>
          <w:color w:val="000000"/>
          <w:sz w:val="27"/>
          <w:szCs w:val="27"/>
        </w:rPr>
      </w:pPr>
      <w:r>
        <w:rPr>
          <w:rFonts w:ascii="Arial" w:hAnsi="Arial" w:cs="Arial"/>
          <w:color w:val="000000"/>
          <w:sz w:val="27"/>
          <w:szCs w:val="27"/>
        </w:rPr>
        <w:t>  (4) The court usually gives directions at the track allocation stage. Directions in the small claims track are very limited. A set of standard directions (which can be adapted) is provided in </w:t>
      </w:r>
      <w:r>
        <w:rPr>
          <w:rStyle w:val="Strong"/>
          <w:rFonts w:ascii="Arial" w:hAnsi="Arial" w:cs="Arial"/>
          <w:color w:val="000000"/>
          <w:sz w:val="27"/>
          <w:szCs w:val="27"/>
        </w:rPr>
        <w:t>Part 28</w:t>
      </w:r>
      <w:r>
        <w:rPr>
          <w:rFonts w:ascii="Arial" w:hAnsi="Arial" w:cs="Arial"/>
          <w:color w:val="000000"/>
          <w:sz w:val="27"/>
          <w:szCs w:val="27"/>
        </w:rPr>
        <w:t> for fast track cases and in multi-track cases, a CMC may be convened to give directions.</w:t>
      </w:r>
    </w:p>
    <w:p w14:paraId="6DB916C7" w14:textId="77777777" w:rsidR="00273CD1" w:rsidRDefault="00273CD1" w:rsidP="00273CD1">
      <w:pPr>
        <w:pStyle w:val="list"/>
        <w:numPr>
          <w:ilvl w:val="0"/>
          <w:numId w:val="1"/>
        </w:numPr>
        <w:spacing w:before="120" w:beforeAutospacing="0" w:after="0" w:afterAutospacing="0"/>
        <w:ind w:left="1200" w:hanging="480"/>
        <w:rPr>
          <w:rFonts w:ascii="Arial" w:hAnsi="Arial" w:cs="Arial"/>
          <w:color w:val="000000"/>
          <w:sz w:val="27"/>
          <w:szCs w:val="27"/>
        </w:rPr>
      </w:pPr>
      <w:r>
        <w:rPr>
          <w:rFonts w:ascii="Arial" w:hAnsi="Arial" w:cs="Arial"/>
          <w:color w:val="000000"/>
          <w:sz w:val="27"/>
          <w:szCs w:val="27"/>
        </w:rPr>
        <w:t>  (5) There are several sanctions that the court can impose for non-compliance with the directions timetable. It is difficult for parties to obtain relief from sanctions.</w:t>
      </w:r>
    </w:p>
    <w:p w14:paraId="70ABC6E7" w14:textId="77777777" w:rsidR="00273CD1" w:rsidRDefault="00273CD1" w:rsidP="00273CD1">
      <w:pPr>
        <w:pStyle w:val="list"/>
        <w:numPr>
          <w:ilvl w:val="0"/>
          <w:numId w:val="1"/>
        </w:numPr>
        <w:spacing w:before="120" w:beforeAutospacing="0" w:after="0" w:afterAutospacing="0"/>
        <w:ind w:left="1200" w:hanging="480"/>
        <w:rPr>
          <w:rFonts w:ascii="Arial" w:hAnsi="Arial" w:cs="Arial"/>
          <w:color w:val="000000"/>
          <w:sz w:val="27"/>
          <w:szCs w:val="27"/>
        </w:rPr>
      </w:pPr>
      <w:r>
        <w:rPr>
          <w:rFonts w:ascii="Arial" w:hAnsi="Arial" w:cs="Arial"/>
          <w:color w:val="000000"/>
          <w:sz w:val="27"/>
          <w:szCs w:val="27"/>
        </w:rPr>
        <w:t>  (6) A claim is </w:t>
      </w:r>
      <w:r>
        <w:rPr>
          <w:rStyle w:val="Strong"/>
          <w:rFonts w:ascii="Arial" w:hAnsi="Arial" w:cs="Arial"/>
          <w:color w:val="000000"/>
          <w:sz w:val="27"/>
          <w:szCs w:val="27"/>
        </w:rPr>
        <w:t>defended</w:t>
      </w:r>
      <w:r>
        <w:rPr>
          <w:rFonts w:ascii="Arial" w:hAnsi="Arial" w:cs="Arial"/>
          <w:color w:val="000000"/>
          <w:sz w:val="27"/>
          <w:szCs w:val="27"/>
        </w:rPr>
        <w:t> where a defence is filed.</w:t>
      </w:r>
    </w:p>
    <w:p w14:paraId="08FA7A71" w14:textId="77777777" w:rsidR="00273CD1" w:rsidRDefault="00273CD1" w:rsidP="00273CD1">
      <w:pPr>
        <w:pStyle w:val="list"/>
        <w:numPr>
          <w:ilvl w:val="0"/>
          <w:numId w:val="1"/>
        </w:numPr>
        <w:spacing w:before="120" w:beforeAutospacing="0" w:after="0" w:afterAutospacing="0"/>
        <w:ind w:left="1200" w:hanging="480"/>
        <w:rPr>
          <w:rFonts w:ascii="Arial" w:hAnsi="Arial" w:cs="Arial"/>
          <w:color w:val="000000"/>
          <w:sz w:val="27"/>
          <w:szCs w:val="27"/>
        </w:rPr>
      </w:pPr>
      <w:r>
        <w:rPr>
          <w:rFonts w:ascii="Arial" w:hAnsi="Arial" w:cs="Arial"/>
          <w:color w:val="000000"/>
          <w:sz w:val="27"/>
          <w:szCs w:val="27"/>
        </w:rPr>
        <w:t>  (7) The court will allocate the case to one of three case management tracks:</w:t>
      </w:r>
    </w:p>
    <w:p w14:paraId="0C37F188" w14:textId="77777777" w:rsidR="00273CD1" w:rsidRDefault="00273CD1" w:rsidP="00273CD1">
      <w:pPr>
        <w:pStyle w:val="list"/>
        <w:numPr>
          <w:ilvl w:val="1"/>
          <w:numId w:val="1"/>
        </w:numPr>
        <w:spacing w:before="120" w:beforeAutospacing="0" w:after="0" w:afterAutospacing="0"/>
        <w:ind w:left="1920" w:hanging="480"/>
        <w:rPr>
          <w:rFonts w:ascii="Arial" w:hAnsi="Arial" w:cs="Arial"/>
          <w:color w:val="000000"/>
          <w:sz w:val="27"/>
          <w:szCs w:val="27"/>
        </w:rPr>
      </w:pPr>
      <w:r>
        <w:rPr>
          <w:rFonts w:ascii="Arial" w:hAnsi="Arial" w:cs="Arial"/>
          <w:color w:val="000000"/>
          <w:sz w:val="27"/>
          <w:szCs w:val="27"/>
        </w:rPr>
        <w:t>(a)   small claims track, broadly for claims worth up to £10,000 (£1,000 for personal injury cases);</w:t>
      </w:r>
    </w:p>
    <w:p w14:paraId="5939B5E3" w14:textId="77777777" w:rsidR="00273CD1" w:rsidRDefault="00273CD1" w:rsidP="00273CD1">
      <w:pPr>
        <w:pStyle w:val="list"/>
        <w:numPr>
          <w:ilvl w:val="1"/>
          <w:numId w:val="1"/>
        </w:numPr>
        <w:spacing w:before="120" w:beforeAutospacing="0" w:after="0" w:afterAutospacing="0"/>
        <w:ind w:left="1920" w:hanging="480"/>
        <w:rPr>
          <w:rFonts w:ascii="Arial" w:hAnsi="Arial" w:cs="Arial"/>
          <w:color w:val="000000"/>
          <w:sz w:val="27"/>
          <w:szCs w:val="27"/>
        </w:rPr>
      </w:pPr>
      <w:r>
        <w:rPr>
          <w:rFonts w:ascii="Arial" w:hAnsi="Arial" w:cs="Arial"/>
          <w:color w:val="000000"/>
          <w:sz w:val="27"/>
          <w:szCs w:val="27"/>
        </w:rPr>
        <w:t>(b)   fast track, broadly for claims in the range £10,000 (£1,000 for personal injury cases) to £25,000; or</w:t>
      </w:r>
    </w:p>
    <w:p w14:paraId="1603AA3F" w14:textId="77777777" w:rsidR="00273CD1" w:rsidRDefault="00273CD1" w:rsidP="00273CD1">
      <w:pPr>
        <w:pStyle w:val="list"/>
        <w:numPr>
          <w:ilvl w:val="1"/>
          <w:numId w:val="1"/>
        </w:numPr>
        <w:spacing w:before="120" w:beforeAutospacing="0" w:after="0" w:afterAutospacing="0"/>
        <w:ind w:left="1920" w:hanging="480"/>
        <w:rPr>
          <w:rFonts w:ascii="Arial" w:hAnsi="Arial" w:cs="Arial"/>
          <w:color w:val="000000"/>
          <w:sz w:val="27"/>
          <w:szCs w:val="27"/>
        </w:rPr>
      </w:pPr>
      <w:r>
        <w:rPr>
          <w:rFonts w:ascii="Arial" w:hAnsi="Arial" w:cs="Arial"/>
          <w:color w:val="000000"/>
          <w:sz w:val="27"/>
          <w:szCs w:val="27"/>
        </w:rPr>
        <w:t>(c)   multi-track, broadly for claims worth more than £25,000.</w:t>
      </w:r>
    </w:p>
    <w:p w14:paraId="25A6F221" w14:textId="77777777" w:rsidR="00273CD1" w:rsidRDefault="00273CD1" w:rsidP="00273CD1">
      <w:pPr>
        <w:pStyle w:val="list"/>
        <w:numPr>
          <w:ilvl w:val="0"/>
          <w:numId w:val="1"/>
        </w:numPr>
        <w:spacing w:before="120" w:beforeAutospacing="0" w:after="0" w:afterAutospacing="0"/>
        <w:ind w:left="1200" w:hanging="480"/>
        <w:rPr>
          <w:rFonts w:ascii="Arial" w:hAnsi="Arial" w:cs="Arial"/>
          <w:color w:val="000000"/>
          <w:sz w:val="27"/>
          <w:szCs w:val="27"/>
        </w:rPr>
      </w:pPr>
      <w:r>
        <w:rPr>
          <w:rFonts w:ascii="Arial" w:hAnsi="Arial" w:cs="Arial"/>
          <w:color w:val="000000"/>
          <w:sz w:val="27"/>
          <w:szCs w:val="27"/>
        </w:rPr>
        <w:t>  (8) Specialist proceedings are allocated to the multi-track. Specialist proceedings are those with their own specialist court, such as the Companies Court or the Technology and Construction Court.</w:t>
      </w:r>
    </w:p>
    <w:p w14:paraId="10A39B28" w14:textId="77777777" w:rsidR="00273CD1" w:rsidRDefault="00273CD1" w:rsidP="00273CD1">
      <w:pPr>
        <w:pStyle w:val="list"/>
        <w:numPr>
          <w:ilvl w:val="0"/>
          <w:numId w:val="1"/>
        </w:numPr>
        <w:spacing w:before="120" w:beforeAutospacing="0" w:after="0" w:afterAutospacing="0"/>
        <w:ind w:left="1200" w:hanging="480"/>
        <w:rPr>
          <w:rFonts w:ascii="Arial" w:hAnsi="Arial" w:cs="Arial"/>
          <w:color w:val="000000"/>
          <w:sz w:val="27"/>
          <w:szCs w:val="27"/>
        </w:rPr>
      </w:pPr>
      <w:r>
        <w:rPr>
          <w:rFonts w:ascii="Arial" w:hAnsi="Arial" w:cs="Arial"/>
          <w:color w:val="000000"/>
          <w:sz w:val="27"/>
          <w:szCs w:val="27"/>
        </w:rPr>
        <w:t>  (9) The parties must submit DQs following which the court will make case management directions to provide a timetable of the steps to trial.</w:t>
      </w:r>
    </w:p>
    <w:p w14:paraId="6F8405BA" w14:textId="77777777" w:rsidR="00273CD1" w:rsidRDefault="00273CD1" w:rsidP="00273CD1">
      <w:pPr>
        <w:pStyle w:val="list"/>
        <w:numPr>
          <w:ilvl w:val="0"/>
          <w:numId w:val="1"/>
        </w:numPr>
        <w:spacing w:before="120" w:beforeAutospacing="0" w:after="0" w:afterAutospacing="0"/>
        <w:ind w:left="1200" w:hanging="480"/>
        <w:rPr>
          <w:rFonts w:ascii="Arial" w:hAnsi="Arial" w:cs="Arial"/>
          <w:color w:val="000000"/>
          <w:sz w:val="27"/>
          <w:szCs w:val="27"/>
        </w:rPr>
      </w:pPr>
      <w:r>
        <w:rPr>
          <w:rFonts w:ascii="Arial" w:hAnsi="Arial" w:cs="Arial"/>
          <w:color w:val="000000"/>
          <w:sz w:val="27"/>
          <w:szCs w:val="27"/>
        </w:rPr>
        <w:t>(10) Parties are expected to co-operate in assisting the court in the preparation of case management directions.</w:t>
      </w:r>
    </w:p>
    <w:p w14:paraId="36DC9340" w14:textId="77777777" w:rsidR="00273CD1" w:rsidRDefault="00273CD1" w:rsidP="00273CD1">
      <w:pPr>
        <w:pStyle w:val="list"/>
        <w:numPr>
          <w:ilvl w:val="0"/>
          <w:numId w:val="1"/>
        </w:numPr>
        <w:spacing w:before="120" w:beforeAutospacing="0" w:after="0" w:afterAutospacing="0"/>
        <w:ind w:left="1200" w:hanging="480"/>
        <w:rPr>
          <w:rFonts w:ascii="Arial" w:hAnsi="Arial" w:cs="Arial"/>
          <w:color w:val="000000"/>
          <w:sz w:val="27"/>
          <w:szCs w:val="27"/>
        </w:rPr>
      </w:pPr>
      <w:r>
        <w:rPr>
          <w:rFonts w:ascii="Arial" w:hAnsi="Arial" w:cs="Arial"/>
          <w:color w:val="000000"/>
          <w:sz w:val="27"/>
          <w:szCs w:val="27"/>
        </w:rPr>
        <w:lastRenderedPageBreak/>
        <w:t>(11) There can be severe consequences if the DQ is not filed and served in accordance with the order of the court: the particulars of claim or defence could be struck out.</w:t>
      </w:r>
    </w:p>
    <w:p w14:paraId="4709E0A1" w14:textId="77777777" w:rsidR="00273CD1" w:rsidRDefault="00273CD1" w:rsidP="00273CD1">
      <w:pPr>
        <w:pStyle w:val="list"/>
        <w:numPr>
          <w:ilvl w:val="0"/>
          <w:numId w:val="1"/>
        </w:numPr>
        <w:spacing w:before="120" w:beforeAutospacing="0" w:after="0" w:afterAutospacing="0"/>
        <w:ind w:left="1200" w:hanging="480"/>
        <w:rPr>
          <w:rFonts w:ascii="Arial" w:hAnsi="Arial" w:cs="Arial"/>
          <w:color w:val="000000"/>
          <w:sz w:val="27"/>
          <w:szCs w:val="27"/>
        </w:rPr>
      </w:pPr>
      <w:r>
        <w:rPr>
          <w:rFonts w:ascii="Arial" w:hAnsi="Arial" w:cs="Arial"/>
          <w:color w:val="000000"/>
          <w:sz w:val="27"/>
          <w:szCs w:val="27"/>
        </w:rPr>
        <w:t>(12) The purpose of the DQ is to provide as much information as possible to the court to help track the case. In a multi-track case, where the process of documentary disclosure is lengthy and time consuming, the court will also expect a disclosure schedule.</w:t>
      </w:r>
    </w:p>
    <w:p w14:paraId="60FB6D48" w14:textId="77777777" w:rsidR="00273CD1" w:rsidRDefault="00273CD1" w:rsidP="00273CD1">
      <w:pPr>
        <w:pStyle w:val="list"/>
        <w:numPr>
          <w:ilvl w:val="0"/>
          <w:numId w:val="1"/>
        </w:numPr>
        <w:spacing w:before="120" w:beforeAutospacing="0" w:after="0" w:afterAutospacing="0"/>
        <w:ind w:left="1200" w:hanging="480"/>
        <w:rPr>
          <w:rFonts w:ascii="Arial" w:hAnsi="Arial" w:cs="Arial"/>
          <w:color w:val="000000"/>
          <w:sz w:val="27"/>
          <w:szCs w:val="27"/>
        </w:rPr>
      </w:pPr>
      <w:r>
        <w:rPr>
          <w:rFonts w:ascii="Arial" w:hAnsi="Arial" w:cs="Arial"/>
          <w:color w:val="000000"/>
          <w:sz w:val="27"/>
          <w:szCs w:val="27"/>
        </w:rPr>
        <w:t>(13) Cost budgets must now be filed in a multi-track case; a costs management hearing can take place where budgets will be considered/revised.</w:t>
      </w:r>
    </w:p>
    <w:p w14:paraId="289C5978" w14:textId="77777777" w:rsidR="00273CD1" w:rsidRDefault="00273CD1" w:rsidP="00273CD1">
      <w:pPr>
        <w:pStyle w:val="list"/>
        <w:numPr>
          <w:ilvl w:val="0"/>
          <w:numId w:val="1"/>
        </w:numPr>
        <w:spacing w:before="120" w:beforeAutospacing="0" w:after="0" w:afterAutospacing="0"/>
        <w:ind w:left="1200" w:hanging="480"/>
        <w:rPr>
          <w:rFonts w:ascii="Arial" w:hAnsi="Arial" w:cs="Arial"/>
          <w:color w:val="000000"/>
          <w:sz w:val="27"/>
          <w:szCs w:val="27"/>
        </w:rPr>
      </w:pPr>
      <w:r>
        <w:rPr>
          <w:rFonts w:ascii="Arial" w:hAnsi="Arial" w:cs="Arial"/>
          <w:color w:val="000000"/>
          <w:sz w:val="27"/>
          <w:szCs w:val="27"/>
        </w:rPr>
        <w:t>(14) The purpose of the directions procedure is to allocate the case to the most suitable track based on the facts, so as to assist the parties and to ensure that adequate resources are allocated to the case through the court for the case to be processed.</w:t>
      </w:r>
    </w:p>
    <w:p w14:paraId="1121232B" w14:textId="77777777" w:rsidR="00273CD1" w:rsidRDefault="00273CD1" w:rsidP="00273CD1">
      <w:pPr>
        <w:pStyle w:val="list"/>
        <w:numPr>
          <w:ilvl w:val="0"/>
          <w:numId w:val="1"/>
        </w:numPr>
        <w:spacing w:before="120" w:beforeAutospacing="0" w:after="0" w:afterAutospacing="0"/>
        <w:ind w:left="1200" w:hanging="480"/>
        <w:rPr>
          <w:rFonts w:ascii="Arial" w:hAnsi="Arial" w:cs="Arial"/>
          <w:color w:val="000000"/>
          <w:sz w:val="27"/>
          <w:szCs w:val="27"/>
        </w:rPr>
      </w:pPr>
      <w:r>
        <w:rPr>
          <w:rFonts w:ascii="Arial" w:hAnsi="Arial" w:cs="Arial"/>
          <w:color w:val="000000"/>
          <w:sz w:val="27"/>
          <w:szCs w:val="27"/>
        </w:rPr>
        <w:t>(15) The normal ceiling for the </w:t>
      </w:r>
      <w:r>
        <w:rPr>
          <w:rStyle w:val="Strong"/>
          <w:rFonts w:ascii="Arial" w:hAnsi="Arial" w:cs="Arial"/>
          <w:color w:val="000000"/>
          <w:sz w:val="27"/>
          <w:szCs w:val="27"/>
        </w:rPr>
        <w:t>small claims track</w:t>
      </w:r>
      <w:r>
        <w:rPr>
          <w:rFonts w:ascii="Arial" w:hAnsi="Arial" w:cs="Arial"/>
          <w:color w:val="000000"/>
          <w:sz w:val="27"/>
          <w:szCs w:val="27"/>
        </w:rPr>
        <w:t> is £10,000.</w:t>
      </w:r>
    </w:p>
    <w:p w14:paraId="3F4EE28B" w14:textId="77777777" w:rsidR="00273CD1" w:rsidRDefault="00273CD1" w:rsidP="00273CD1">
      <w:pPr>
        <w:pStyle w:val="list"/>
        <w:numPr>
          <w:ilvl w:val="0"/>
          <w:numId w:val="1"/>
        </w:numPr>
        <w:spacing w:before="120" w:beforeAutospacing="0" w:after="0" w:afterAutospacing="0"/>
        <w:ind w:left="1200" w:hanging="480"/>
        <w:rPr>
          <w:rFonts w:ascii="Arial" w:hAnsi="Arial" w:cs="Arial"/>
          <w:color w:val="000000"/>
          <w:sz w:val="27"/>
          <w:szCs w:val="27"/>
        </w:rPr>
      </w:pPr>
      <w:r>
        <w:rPr>
          <w:rFonts w:ascii="Arial" w:hAnsi="Arial" w:cs="Arial"/>
          <w:color w:val="000000"/>
          <w:sz w:val="27"/>
          <w:szCs w:val="27"/>
        </w:rPr>
        <w:t>(16) There are exceptions for some personal injury claims and claims by tenants of residential premises against landlords for repair.</w:t>
      </w:r>
    </w:p>
    <w:p w14:paraId="5055B1A2" w14:textId="77777777" w:rsidR="00273CD1" w:rsidRDefault="00273CD1" w:rsidP="00273CD1">
      <w:pPr>
        <w:pStyle w:val="list"/>
        <w:numPr>
          <w:ilvl w:val="0"/>
          <w:numId w:val="1"/>
        </w:numPr>
        <w:spacing w:before="120" w:beforeAutospacing="0" w:after="0" w:afterAutospacing="0"/>
        <w:ind w:left="1200" w:hanging="480"/>
        <w:rPr>
          <w:rFonts w:ascii="Arial" w:hAnsi="Arial" w:cs="Arial"/>
          <w:color w:val="000000"/>
          <w:sz w:val="27"/>
          <w:szCs w:val="27"/>
        </w:rPr>
      </w:pPr>
      <w:r>
        <w:rPr>
          <w:rFonts w:ascii="Arial" w:hAnsi="Arial" w:cs="Arial"/>
          <w:color w:val="000000"/>
          <w:sz w:val="27"/>
          <w:szCs w:val="27"/>
        </w:rPr>
        <w:t>(17) Cases on the small claims track are commonly given “standard directions” which simply provide:</w:t>
      </w:r>
    </w:p>
    <w:p w14:paraId="028C641B" w14:textId="77777777" w:rsidR="00273CD1" w:rsidRDefault="00273CD1" w:rsidP="00273CD1">
      <w:pPr>
        <w:pStyle w:val="list"/>
        <w:numPr>
          <w:ilvl w:val="1"/>
          <w:numId w:val="1"/>
        </w:numPr>
        <w:spacing w:before="120" w:beforeAutospacing="0" w:after="0" w:afterAutospacing="0"/>
        <w:ind w:left="1920" w:hanging="480"/>
        <w:rPr>
          <w:rFonts w:ascii="Arial" w:hAnsi="Arial" w:cs="Arial"/>
          <w:color w:val="000000"/>
          <w:sz w:val="27"/>
          <w:szCs w:val="27"/>
        </w:rPr>
      </w:pPr>
      <w:r>
        <w:rPr>
          <w:rFonts w:ascii="Arial" w:hAnsi="Arial" w:cs="Arial"/>
          <w:color w:val="000000"/>
          <w:sz w:val="27"/>
          <w:szCs w:val="27"/>
        </w:rPr>
        <w:t>(a)   for service and filing of the evidence relied upon 14 days before the hearing;</w:t>
      </w:r>
    </w:p>
    <w:p w14:paraId="5EE90186" w14:textId="77777777" w:rsidR="00273CD1" w:rsidRDefault="00273CD1" w:rsidP="00273CD1">
      <w:pPr>
        <w:pStyle w:val="list"/>
        <w:numPr>
          <w:ilvl w:val="1"/>
          <w:numId w:val="1"/>
        </w:numPr>
        <w:spacing w:before="120" w:beforeAutospacing="0" w:after="0" w:afterAutospacing="0"/>
        <w:ind w:left="1920" w:hanging="480"/>
        <w:rPr>
          <w:rFonts w:ascii="Arial" w:hAnsi="Arial" w:cs="Arial"/>
          <w:color w:val="000000"/>
          <w:sz w:val="27"/>
          <w:szCs w:val="27"/>
        </w:rPr>
      </w:pPr>
      <w:r>
        <w:rPr>
          <w:rFonts w:ascii="Arial" w:hAnsi="Arial" w:cs="Arial"/>
          <w:color w:val="000000"/>
          <w:sz w:val="27"/>
          <w:szCs w:val="27"/>
        </w:rPr>
        <w:t>(b)   originals of documents are to be brought to the hearing;</w:t>
      </w:r>
    </w:p>
    <w:p w14:paraId="2BEC67D8" w14:textId="77777777" w:rsidR="00273CD1" w:rsidRDefault="00273CD1" w:rsidP="00273CD1">
      <w:pPr>
        <w:pStyle w:val="list"/>
        <w:numPr>
          <w:ilvl w:val="1"/>
          <w:numId w:val="1"/>
        </w:numPr>
        <w:spacing w:before="120" w:beforeAutospacing="0" w:after="0" w:afterAutospacing="0"/>
        <w:ind w:left="1920" w:hanging="480"/>
        <w:rPr>
          <w:rFonts w:ascii="Arial" w:hAnsi="Arial" w:cs="Arial"/>
          <w:color w:val="000000"/>
          <w:sz w:val="27"/>
          <w:szCs w:val="27"/>
        </w:rPr>
      </w:pPr>
      <w:r>
        <w:rPr>
          <w:rFonts w:ascii="Arial" w:hAnsi="Arial" w:cs="Arial"/>
          <w:color w:val="000000"/>
          <w:sz w:val="27"/>
          <w:szCs w:val="27"/>
        </w:rPr>
        <w:t>(c)   notice of the hearing date; and</w:t>
      </w:r>
    </w:p>
    <w:p w14:paraId="2758A51C" w14:textId="77777777" w:rsidR="00273CD1" w:rsidRDefault="00273CD1" w:rsidP="00273CD1">
      <w:pPr>
        <w:pStyle w:val="list"/>
        <w:numPr>
          <w:ilvl w:val="1"/>
          <w:numId w:val="1"/>
        </w:numPr>
        <w:spacing w:before="120" w:beforeAutospacing="0" w:after="0" w:afterAutospacing="0"/>
        <w:ind w:left="1920" w:hanging="480"/>
        <w:rPr>
          <w:rFonts w:ascii="Arial" w:hAnsi="Arial" w:cs="Arial"/>
          <w:color w:val="000000"/>
          <w:sz w:val="27"/>
          <w:szCs w:val="27"/>
        </w:rPr>
      </w:pPr>
      <w:r>
        <w:rPr>
          <w:rFonts w:ascii="Arial" w:hAnsi="Arial" w:cs="Arial"/>
          <w:color w:val="000000"/>
          <w:sz w:val="27"/>
          <w:szCs w:val="27"/>
        </w:rPr>
        <w:t>(d)   a warning that expert evidence is not allowed without the court’s permission.</w:t>
      </w:r>
    </w:p>
    <w:p w14:paraId="0EC2DC45" w14:textId="77777777" w:rsidR="00273CD1" w:rsidRDefault="00273CD1" w:rsidP="00273CD1">
      <w:pPr>
        <w:pStyle w:val="list"/>
        <w:numPr>
          <w:ilvl w:val="1"/>
          <w:numId w:val="1"/>
        </w:numPr>
        <w:spacing w:before="120" w:beforeAutospacing="0" w:after="0" w:afterAutospacing="0"/>
        <w:ind w:left="1920" w:hanging="480"/>
        <w:rPr>
          <w:rFonts w:ascii="Arial" w:hAnsi="Arial" w:cs="Arial"/>
          <w:color w:val="000000"/>
          <w:sz w:val="27"/>
          <w:szCs w:val="27"/>
        </w:rPr>
      </w:pPr>
      <w:r>
        <w:rPr>
          <w:rFonts w:ascii="Arial" w:hAnsi="Arial" w:cs="Arial"/>
          <w:color w:val="000000"/>
          <w:sz w:val="27"/>
          <w:szCs w:val="27"/>
        </w:rPr>
        <w:t>(e)   The court has power to make more detailed directions if appropriate. The strict rules of evidence do not apply to small claims track hearings. There are severe restrictions on the costs that may be awarded to the successful party.</w:t>
      </w:r>
    </w:p>
    <w:p w14:paraId="64890646" w14:textId="77777777" w:rsidR="00273CD1" w:rsidRDefault="00273CD1" w:rsidP="00273CD1">
      <w:pPr>
        <w:pStyle w:val="list"/>
        <w:numPr>
          <w:ilvl w:val="0"/>
          <w:numId w:val="1"/>
        </w:numPr>
        <w:spacing w:before="120" w:beforeAutospacing="0" w:after="0" w:afterAutospacing="0"/>
        <w:ind w:left="1200" w:hanging="480"/>
        <w:rPr>
          <w:rFonts w:ascii="Arial" w:hAnsi="Arial" w:cs="Arial"/>
          <w:color w:val="000000"/>
          <w:sz w:val="27"/>
          <w:szCs w:val="27"/>
        </w:rPr>
      </w:pPr>
      <w:r>
        <w:rPr>
          <w:rFonts w:ascii="Arial" w:hAnsi="Arial" w:cs="Arial"/>
          <w:color w:val="000000"/>
          <w:sz w:val="27"/>
          <w:szCs w:val="27"/>
        </w:rPr>
        <w:t>(18) The small claims track is governed by </w:t>
      </w:r>
      <w:r>
        <w:rPr>
          <w:rStyle w:val="Strong"/>
          <w:rFonts w:ascii="Arial" w:hAnsi="Arial" w:cs="Arial"/>
          <w:color w:val="000000"/>
          <w:sz w:val="27"/>
          <w:szCs w:val="27"/>
        </w:rPr>
        <w:t>Part 27</w:t>
      </w:r>
      <w:r>
        <w:rPr>
          <w:rFonts w:ascii="Arial" w:hAnsi="Arial" w:cs="Arial"/>
          <w:color w:val="000000"/>
          <w:sz w:val="27"/>
          <w:szCs w:val="27"/>
        </w:rPr>
        <w:t>. It is designed to provide a cost-proportionate procedure for straightforward, low-value claims. Generally, the small claims upper limit is £10,000 except for personal injury claims.</w:t>
      </w:r>
    </w:p>
    <w:p w14:paraId="77C2A902" w14:textId="77777777" w:rsidR="00273CD1" w:rsidRDefault="00273CD1" w:rsidP="00273CD1">
      <w:pPr>
        <w:pStyle w:val="list"/>
        <w:numPr>
          <w:ilvl w:val="0"/>
          <w:numId w:val="1"/>
        </w:numPr>
        <w:spacing w:before="120" w:beforeAutospacing="0" w:after="0" w:afterAutospacing="0"/>
        <w:ind w:left="1200" w:hanging="480"/>
        <w:rPr>
          <w:rFonts w:ascii="Arial" w:hAnsi="Arial" w:cs="Arial"/>
          <w:color w:val="000000"/>
          <w:sz w:val="27"/>
          <w:szCs w:val="27"/>
        </w:rPr>
      </w:pPr>
      <w:r>
        <w:rPr>
          <w:rFonts w:ascii="Arial" w:hAnsi="Arial" w:cs="Arial"/>
          <w:color w:val="000000"/>
          <w:sz w:val="27"/>
          <w:szCs w:val="27"/>
        </w:rPr>
        <w:t>(19) Some of the more sophisticated procedures that apply to the other two tracks do </w:t>
      </w:r>
      <w:r>
        <w:rPr>
          <w:rStyle w:val="Strong"/>
          <w:rFonts w:ascii="Arial" w:hAnsi="Arial" w:cs="Arial"/>
          <w:color w:val="000000"/>
          <w:sz w:val="27"/>
          <w:szCs w:val="27"/>
        </w:rPr>
        <w:t>not</w:t>
      </w:r>
      <w:r>
        <w:rPr>
          <w:rFonts w:ascii="Arial" w:hAnsi="Arial" w:cs="Arial"/>
          <w:color w:val="000000"/>
          <w:sz w:val="27"/>
          <w:szCs w:val="27"/>
        </w:rPr>
        <w:t> apply to the small claims track. These include most interim remedies, rules on experts and </w:t>
      </w:r>
      <w:r>
        <w:rPr>
          <w:rStyle w:val="Strong"/>
          <w:rFonts w:ascii="Arial" w:hAnsi="Arial" w:cs="Arial"/>
          <w:color w:val="000000"/>
          <w:sz w:val="27"/>
          <w:szCs w:val="27"/>
        </w:rPr>
        <w:t xml:space="preserve">Part </w:t>
      </w:r>
      <w:r>
        <w:rPr>
          <w:rStyle w:val="Strong"/>
          <w:rFonts w:ascii="Arial" w:hAnsi="Arial" w:cs="Arial"/>
          <w:color w:val="000000"/>
          <w:sz w:val="27"/>
          <w:szCs w:val="27"/>
        </w:rPr>
        <w:lastRenderedPageBreak/>
        <w:t>36</w:t>
      </w:r>
      <w:r>
        <w:rPr>
          <w:rFonts w:ascii="Arial" w:hAnsi="Arial" w:cs="Arial"/>
          <w:color w:val="000000"/>
          <w:sz w:val="27"/>
          <w:szCs w:val="27"/>
        </w:rPr>
        <w:t> offers. There is limited disclosure. Costs are ordered between the parties only in very limited circumstances.</w:t>
      </w:r>
    </w:p>
    <w:p w14:paraId="01DA9C0E" w14:textId="77777777" w:rsidR="00273CD1" w:rsidRDefault="00273CD1" w:rsidP="00273CD1">
      <w:pPr>
        <w:pStyle w:val="list"/>
        <w:numPr>
          <w:ilvl w:val="0"/>
          <w:numId w:val="1"/>
        </w:numPr>
        <w:spacing w:before="120" w:beforeAutospacing="0" w:after="0" w:afterAutospacing="0"/>
        <w:ind w:left="1200" w:hanging="480"/>
        <w:rPr>
          <w:rFonts w:ascii="Arial" w:hAnsi="Arial" w:cs="Arial"/>
          <w:color w:val="000000"/>
          <w:sz w:val="27"/>
          <w:szCs w:val="27"/>
        </w:rPr>
      </w:pPr>
      <w:r>
        <w:rPr>
          <w:rFonts w:ascii="Arial" w:hAnsi="Arial" w:cs="Arial"/>
          <w:color w:val="000000"/>
          <w:sz w:val="27"/>
          <w:szCs w:val="27"/>
        </w:rPr>
        <w:t>(20) Small claims may be determined without a hearing if all the parties agree.</w:t>
      </w:r>
    </w:p>
    <w:p w14:paraId="3AA16EF9" w14:textId="77777777" w:rsidR="00273CD1" w:rsidRDefault="00273CD1" w:rsidP="00273CD1">
      <w:pPr>
        <w:pStyle w:val="list"/>
        <w:numPr>
          <w:ilvl w:val="0"/>
          <w:numId w:val="1"/>
        </w:numPr>
        <w:spacing w:before="120" w:beforeAutospacing="0" w:after="0" w:afterAutospacing="0"/>
        <w:ind w:left="1200" w:hanging="480"/>
        <w:rPr>
          <w:rFonts w:ascii="Arial" w:hAnsi="Arial" w:cs="Arial"/>
          <w:color w:val="000000"/>
          <w:sz w:val="27"/>
          <w:szCs w:val="27"/>
        </w:rPr>
      </w:pPr>
      <w:r>
        <w:rPr>
          <w:rFonts w:ascii="Arial" w:hAnsi="Arial" w:cs="Arial"/>
          <w:color w:val="000000"/>
          <w:sz w:val="27"/>
          <w:szCs w:val="27"/>
        </w:rPr>
        <w:t>(21) Appeals as for the other two tracks, are governed by </w:t>
      </w:r>
      <w:r>
        <w:rPr>
          <w:rStyle w:val="Strong"/>
          <w:rFonts w:ascii="Arial" w:hAnsi="Arial" w:cs="Arial"/>
          <w:color w:val="000000"/>
          <w:sz w:val="27"/>
          <w:szCs w:val="27"/>
        </w:rPr>
        <w:t>Part 52</w:t>
      </w:r>
      <w:r>
        <w:rPr>
          <w:rFonts w:ascii="Arial" w:hAnsi="Arial" w:cs="Arial"/>
          <w:color w:val="000000"/>
          <w:sz w:val="27"/>
          <w:szCs w:val="27"/>
        </w:rPr>
        <w:t>.</w:t>
      </w:r>
    </w:p>
    <w:p w14:paraId="5E2B0E8A" w14:textId="77777777" w:rsidR="00273CD1" w:rsidRDefault="00273CD1" w:rsidP="00273CD1">
      <w:pPr>
        <w:pStyle w:val="list"/>
        <w:numPr>
          <w:ilvl w:val="0"/>
          <w:numId w:val="1"/>
        </w:numPr>
        <w:spacing w:before="120" w:beforeAutospacing="0" w:after="0" w:afterAutospacing="0"/>
        <w:ind w:left="1200" w:hanging="480"/>
        <w:rPr>
          <w:rFonts w:ascii="Arial" w:hAnsi="Arial" w:cs="Arial"/>
          <w:color w:val="000000"/>
          <w:sz w:val="27"/>
          <w:szCs w:val="27"/>
        </w:rPr>
      </w:pPr>
      <w:r>
        <w:rPr>
          <w:rFonts w:ascii="Arial" w:hAnsi="Arial" w:cs="Arial"/>
          <w:color w:val="000000"/>
          <w:sz w:val="27"/>
          <w:szCs w:val="27"/>
        </w:rPr>
        <w:t>(22) The above restrictions apply in the vast majority of small claims cases.</w:t>
      </w:r>
    </w:p>
    <w:p w14:paraId="34D9AAEF" w14:textId="77777777" w:rsidR="00273CD1" w:rsidRDefault="00273CD1" w:rsidP="00273CD1">
      <w:pPr>
        <w:pStyle w:val="list"/>
        <w:numPr>
          <w:ilvl w:val="0"/>
          <w:numId w:val="1"/>
        </w:numPr>
        <w:spacing w:before="120" w:beforeAutospacing="0" w:after="0" w:afterAutospacing="0"/>
        <w:ind w:left="1200" w:hanging="480"/>
        <w:rPr>
          <w:rFonts w:ascii="Arial" w:hAnsi="Arial" w:cs="Arial"/>
          <w:color w:val="000000"/>
          <w:sz w:val="27"/>
          <w:szCs w:val="27"/>
        </w:rPr>
      </w:pPr>
      <w:r>
        <w:rPr>
          <w:rFonts w:ascii="Arial" w:hAnsi="Arial" w:cs="Arial"/>
          <w:color w:val="000000"/>
          <w:sz w:val="27"/>
          <w:szCs w:val="27"/>
        </w:rPr>
        <w:t>(23) Unlike cases on the small claims track, cases on the </w:t>
      </w:r>
      <w:r>
        <w:rPr>
          <w:rStyle w:val="Strong"/>
          <w:rFonts w:ascii="Arial" w:hAnsi="Arial" w:cs="Arial"/>
          <w:color w:val="000000"/>
          <w:sz w:val="27"/>
          <w:szCs w:val="27"/>
        </w:rPr>
        <w:t>fast track</w:t>
      </w:r>
      <w:r>
        <w:rPr>
          <w:rFonts w:ascii="Arial" w:hAnsi="Arial" w:cs="Arial"/>
          <w:color w:val="000000"/>
          <w:sz w:val="27"/>
          <w:szCs w:val="27"/>
        </w:rPr>
        <w:t> are dealt with on the basis that there will be a formal trial if the case is not determined before trial.</w:t>
      </w:r>
    </w:p>
    <w:p w14:paraId="1D7F74C2" w14:textId="77777777" w:rsidR="00273CD1" w:rsidRDefault="00273CD1" w:rsidP="00273CD1">
      <w:pPr>
        <w:pStyle w:val="list"/>
        <w:numPr>
          <w:ilvl w:val="0"/>
          <w:numId w:val="1"/>
        </w:numPr>
        <w:spacing w:before="120" w:beforeAutospacing="0" w:after="0" w:afterAutospacing="0"/>
        <w:ind w:left="1200" w:hanging="480"/>
        <w:rPr>
          <w:rFonts w:ascii="Arial" w:hAnsi="Arial" w:cs="Arial"/>
          <w:color w:val="000000"/>
          <w:sz w:val="27"/>
          <w:szCs w:val="27"/>
        </w:rPr>
      </w:pPr>
      <w:r>
        <w:rPr>
          <w:rFonts w:ascii="Arial" w:hAnsi="Arial" w:cs="Arial"/>
          <w:color w:val="000000"/>
          <w:sz w:val="27"/>
          <w:szCs w:val="27"/>
        </w:rPr>
        <w:t>(24) It is the </w:t>
      </w:r>
      <w:r>
        <w:rPr>
          <w:rStyle w:val="Strong"/>
          <w:rFonts w:ascii="Arial" w:hAnsi="Arial" w:cs="Arial"/>
          <w:color w:val="000000"/>
          <w:sz w:val="27"/>
          <w:szCs w:val="27"/>
        </w:rPr>
        <w:t>fast track</w:t>
      </w:r>
      <w:r>
        <w:rPr>
          <w:rFonts w:ascii="Arial" w:hAnsi="Arial" w:cs="Arial"/>
          <w:color w:val="000000"/>
          <w:sz w:val="27"/>
          <w:szCs w:val="27"/>
        </w:rPr>
        <w:t> because standard directions given on this track provide for the trial to be held no more than 30 weeks after the decision to allocate the case to this track.</w:t>
      </w:r>
    </w:p>
    <w:p w14:paraId="3DAEF977" w14:textId="77777777" w:rsidR="00273CD1" w:rsidRDefault="00273CD1" w:rsidP="00273CD1">
      <w:pPr>
        <w:pStyle w:val="list"/>
        <w:numPr>
          <w:ilvl w:val="0"/>
          <w:numId w:val="1"/>
        </w:numPr>
        <w:spacing w:before="120" w:beforeAutospacing="0" w:after="0" w:afterAutospacing="0"/>
        <w:ind w:left="1200" w:hanging="480"/>
        <w:rPr>
          <w:rFonts w:ascii="Arial" w:hAnsi="Arial" w:cs="Arial"/>
          <w:color w:val="000000"/>
          <w:sz w:val="27"/>
          <w:szCs w:val="27"/>
        </w:rPr>
      </w:pPr>
      <w:r>
        <w:rPr>
          <w:rFonts w:ascii="Arial" w:hAnsi="Arial" w:cs="Arial"/>
          <w:color w:val="000000"/>
          <w:sz w:val="27"/>
          <w:szCs w:val="27"/>
        </w:rPr>
        <w:t>(25) The full range of directions are available on the fast track.</w:t>
      </w:r>
    </w:p>
    <w:p w14:paraId="7CA50C8A" w14:textId="77777777" w:rsidR="00273CD1" w:rsidRDefault="00273CD1" w:rsidP="00273CD1">
      <w:pPr>
        <w:pStyle w:val="list"/>
        <w:numPr>
          <w:ilvl w:val="0"/>
          <w:numId w:val="1"/>
        </w:numPr>
        <w:spacing w:before="120" w:beforeAutospacing="0" w:after="0" w:afterAutospacing="0"/>
        <w:ind w:left="1200" w:hanging="480"/>
        <w:rPr>
          <w:rFonts w:ascii="Arial" w:hAnsi="Arial" w:cs="Arial"/>
          <w:color w:val="000000"/>
          <w:sz w:val="27"/>
          <w:szCs w:val="27"/>
        </w:rPr>
      </w:pPr>
      <w:r>
        <w:rPr>
          <w:rFonts w:ascii="Arial" w:hAnsi="Arial" w:cs="Arial"/>
          <w:color w:val="000000"/>
          <w:sz w:val="27"/>
          <w:szCs w:val="27"/>
        </w:rPr>
        <w:t>(26) Typical directions provide for:</w:t>
      </w:r>
    </w:p>
    <w:p w14:paraId="62DF00D1" w14:textId="77777777" w:rsidR="00273CD1" w:rsidRDefault="00273CD1" w:rsidP="00273CD1">
      <w:pPr>
        <w:pStyle w:val="list"/>
        <w:numPr>
          <w:ilvl w:val="1"/>
          <w:numId w:val="1"/>
        </w:numPr>
        <w:spacing w:before="120" w:beforeAutospacing="0" w:after="0" w:afterAutospacing="0"/>
        <w:ind w:left="1920" w:hanging="480"/>
        <w:rPr>
          <w:rFonts w:ascii="Arial" w:hAnsi="Arial" w:cs="Arial"/>
          <w:color w:val="000000"/>
          <w:sz w:val="27"/>
          <w:szCs w:val="27"/>
        </w:rPr>
      </w:pPr>
      <w:r>
        <w:rPr>
          <w:rFonts w:ascii="Arial" w:hAnsi="Arial" w:cs="Arial"/>
          <w:color w:val="000000"/>
          <w:sz w:val="27"/>
          <w:szCs w:val="27"/>
        </w:rPr>
        <w:t>(a)   standard disclosure of documents;</w:t>
      </w:r>
    </w:p>
    <w:p w14:paraId="202F4757" w14:textId="77777777" w:rsidR="00273CD1" w:rsidRDefault="00273CD1" w:rsidP="00273CD1">
      <w:pPr>
        <w:pStyle w:val="list"/>
        <w:numPr>
          <w:ilvl w:val="1"/>
          <w:numId w:val="1"/>
        </w:numPr>
        <w:spacing w:before="120" w:beforeAutospacing="0" w:after="0" w:afterAutospacing="0"/>
        <w:ind w:left="1920" w:hanging="480"/>
        <w:rPr>
          <w:rFonts w:ascii="Arial" w:hAnsi="Arial" w:cs="Arial"/>
          <w:color w:val="000000"/>
          <w:sz w:val="27"/>
          <w:szCs w:val="27"/>
        </w:rPr>
      </w:pPr>
      <w:r>
        <w:rPr>
          <w:rFonts w:ascii="Arial" w:hAnsi="Arial" w:cs="Arial"/>
          <w:color w:val="000000"/>
          <w:sz w:val="27"/>
          <w:szCs w:val="27"/>
        </w:rPr>
        <w:t>(b)   mutual exchange of witness statements;</w:t>
      </w:r>
    </w:p>
    <w:p w14:paraId="50D0A048" w14:textId="77777777" w:rsidR="00273CD1" w:rsidRDefault="00273CD1" w:rsidP="00273CD1">
      <w:pPr>
        <w:pStyle w:val="list"/>
        <w:numPr>
          <w:ilvl w:val="1"/>
          <w:numId w:val="1"/>
        </w:numPr>
        <w:spacing w:before="120" w:beforeAutospacing="0" w:after="0" w:afterAutospacing="0"/>
        <w:ind w:left="1920" w:hanging="480"/>
        <w:rPr>
          <w:rFonts w:ascii="Arial" w:hAnsi="Arial" w:cs="Arial"/>
          <w:color w:val="000000"/>
          <w:sz w:val="27"/>
          <w:szCs w:val="27"/>
        </w:rPr>
      </w:pPr>
      <w:r>
        <w:rPr>
          <w:rFonts w:ascii="Arial" w:hAnsi="Arial" w:cs="Arial"/>
          <w:color w:val="000000"/>
          <w:sz w:val="27"/>
          <w:szCs w:val="27"/>
        </w:rPr>
        <w:t>(c)   joint instruction of experts;</w:t>
      </w:r>
    </w:p>
    <w:p w14:paraId="6EA1D587" w14:textId="77777777" w:rsidR="00273CD1" w:rsidRDefault="00273CD1" w:rsidP="00273CD1">
      <w:pPr>
        <w:pStyle w:val="list"/>
        <w:numPr>
          <w:ilvl w:val="1"/>
          <w:numId w:val="1"/>
        </w:numPr>
        <w:spacing w:before="120" w:beforeAutospacing="0" w:after="0" w:afterAutospacing="0"/>
        <w:ind w:left="1920" w:hanging="480"/>
        <w:rPr>
          <w:rFonts w:ascii="Arial" w:hAnsi="Arial" w:cs="Arial"/>
          <w:color w:val="000000"/>
          <w:sz w:val="27"/>
          <w:szCs w:val="27"/>
        </w:rPr>
      </w:pPr>
      <w:r>
        <w:rPr>
          <w:rFonts w:ascii="Arial" w:hAnsi="Arial" w:cs="Arial"/>
          <w:color w:val="000000"/>
          <w:sz w:val="27"/>
          <w:szCs w:val="27"/>
        </w:rPr>
        <w:t>(d)   parties to file PTCs;</w:t>
      </w:r>
    </w:p>
    <w:p w14:paraId="5189810C" w14:textId="77777777" w:rsidR="00273CD1" w:rsidRDefault="00273CD1" w:rsidP="00273CD1">
      <w:pPr>
        <w:pStyle w:val="list"/>
        <w:numPr>
          <w:ilvl w:val="1"/>
          <w:numId w:val="1"/>
        </w:numPr>
        <w:spacing w:before="120" w:beforeAutospacing="0" w:after="0" w:afterAutospacing="0"/>
        <w:ind w:left="1920" w:hanging="480"/>
        <w:rPr>
          <w:rFonts w:ascii="Arial" w:hAnsi="Arial" w:cs="Arial"/>
          <w:color w:val="000000"/>
          <w:sz w:val="27"/>
          <w:szCs w:val="27"/>
        </w:rPr>
      </w:pPr>
      <w:r>
        <w:rPr>
          <w:rFonts w:ascii="Arial" w:hAnsi="Arial" w:cs="Arial"/>
          <w:color w:val="000000"/>
          <w:sz w:val="27"/>
          <w:szCs w:val="27"/>
        </w:rPr>
        <w:t>(e)   trial bundles to be put together by the claimant; and</w:t>
      </w:r>
    </w:p>
    <w:p w14:paraId="23287D82" w14:textId="77777777" w:rsidR="00273CD1" w:rsidRDefault="00273CD1" w:rsidP="00273CD1">
      <w:pPr>
        <w:pStyle w:val="list"/>
        <w:numPr>
          <w:ilvl w:val="1"/>
          <w:numId w:val="1"/>
        </w:numPr>
        <w:spacing w:before="120" w:beforeAutospacing="0" w:after="0" w:afterAutospacing="0"/>
        <w:ind w:left="1920" w:hanging="480"/>
        <w:rPr>
          <w:rFonts w:ascii="Arial" w:hAnsi="Arial" w:cs="Arial"/>
          <w:color w:val="000000"/>
          <w:sz w:val="27"/>
          <w:szCs w:val="27"/>
        </w:rPr>
      </w:pPr>
      <w:r>
        <w:rPr>
          <w:rFonts w:ascii="Arial" w:hAnsi="Arial" w:cs="Arial"/>
          <w:color w:val="000000"/>
          <w:sz w:val="27"/>
          <w:szCs w:val="27"/>
        </w:rPr>
        <w:t>(f)   trial windows (often a three-week period during which the trial will start).</w:t>
      </w:r>
    </w:p>
    <w:p w14:paraId="63639707" w14:textId="77777777" w:rsidR="00273CD1" w:rsidRDefault="00273CD1" w:rsidP="00273CD1">
      <w:pPr>
        <w:pStyle w:val="list"/>
        <w:numPr>
          <w:ilvl w:val="0"/>
          <w:numId w:val="1"/>
        </w:numPr>
        <w:spacing w:before="120" w:beforeAutospacing="0" w:after="0" w:afterAutospacing="0"/>
        <w:ind w:left="1200" w:hanging="480"/>
        <w:rPr>
          <w:rFonts w:ascii="Arial" w:hAnsi="Arial" w:cs="Arial"/>
          <w:color w:val="000000"/>
          <w:sz w:val="27"/>
          <w:szCs w:val="27"/>
        </w:rPr>
      </w:pPr>
      <w:r>
        <w:rPr>
          <w:rFonts w:ascii="Arial" w:hAnsi="Arial" w:cs="Arial"/>
          <w:color w:val="000000"/>
          <w:sz w:val="27"/>
          <w:szCs w:val="27"/>
        </w:rPr>
        <w:t>(27) Costs in fast track cases are dealt with in the same way as costs in multi-track cases, except:</w:t>
      </w:r>
    </w:p>
    <w:p w14:paraId="7EA5C739" w14:textId="77777777" w:rsidR="00273CD1" w:rsidRDefault="00273CD1" w:rsidP="00273CD1">
      <w:pPr>
        <w:pStyle w:val="list"/>
        <w:numPr>
          <w:ilvl w:val="1"/>
          <w:numId w:val="1"/>
        </w:numPr>
        <w:spacing w:before="120" w:beforeAutospacing="0" w:after="0" w:afterAutospacing="0"/>
        <w:ind w:left="1920" w:hanging="480"/>
        <w:rPr>
          <w:rFonts w:ascii="Arial" w:hAnsi="Arial" w:cs="Arial"/>
          <w:color w:val="000000"/>
          <w:sz w:val="27"/>
          <w:szCs w:val="27"/>
        </w:rPr>
      </w:pPr>
      <w:r>
        <w:rPr>
          <w:rFonts w:ascii="Arial" w:hAnsi="Arial" w:cs="Arial"/>
          <w:color w:val="000000"/>
          <w:sz w:val="27"/>
          <w:szCs w:val="27"/>
        </w:rPr>
        <w:t>(a)   fast track costs are often calculated using the summary assessment method on the day of the trial; and</w:t>
      </w:r>
    </w:p>
    <w:p w14:paraId="38D8D430" w14:textId="77777777" w:rsidR="00273CD1" w:rsidRDefault="00273CD1" w:rsidP="00273CD1">
      <w:pPr>
        <w:pStyle w:val="list"/>
        <w:numPr>
          <w:ilvl w:val="1"/>
          <w:numId w:val="1"/>
        </w:numPr>
        <w:spacing w:before="120" w:beforeAutospacing="0" w:after="0" w:afterAutospacing="0"/>
        <w:ind w:left="1920" w:hanging="480"/>
        <w:rPr>
          <w:rFonts w:ascii="Arial" w:hAnsi="Arial" w:cs="Arial"/>
          <w:color w:val="000000"/>
          <w:sz w:val="27"/>
          <w:szCs w:val="27"/>
        </w:rPr>
      </w:pPr>
      <w:r>
        <w:rPr>
          <w:rFonts w:ascii="Arial" w:hAnsi="Arial" w:cs="Arial"/>
          <w:color w:val="000000"/>
          <w:sz w:val="27"/>
          <w:szCs w:val="27"/>
        </w:rPr>
        <w:t>(b)   the costs of the day of the trial (as opposed to all the other costs in the case) are calculated using standard amounts.</w:t>
      </w:r>
    </w:p>
    <w:p w14:paraId="7151004A" w14:textId="77777777" w:rsidR="00273CD1" w:rsidRDefault="00273CD1" w:rsidP="00273CD1">
      <w:pPr>
        <w:pStyle w:val="list"/>
        <w:numPr>
          <w:ilvl w:val="0"/>
          <w:numId w:val="1"/>
        </w:numPr>
        <w:spacing w:before="120" w:beforeAutospacing="0" w:after="0" w:afterAutospacing="0"/>
        <w:ind w:left="1200" w:hanging="480"/>
        <w:rPr>
          <w:rFonts w:ascii="Arial" w:hAnsi="Arial" w:cs="Arial"/>
          <w:color w:val="000000"/>
          <w:sz w:val="27"/>
          <w:szCs w:val="27"/>
        </w:rPr>
      </w:pPr>
      <w:r>
        <w:rPr>
          <w:rFonts w:ascii="Arial" w:hAnsi="Arial" w:cs="Arial"/>
          <w:color w:val="000000"/>
          <w:sz w:val="27"/>
          <w:szCs w:val="27"/>
        </w:rPr>
        <w:t>(28) Directions in </w:t>
      </w:r>
      <w:r>
        <w:rPr>
          <w:rStyle w:val="Strong"/>
          <w:rFonts w:ascii="Arial" w:hAnsi="Arial" w:cs="Arial"/>
          <w:color w:val="000000"/>
          <w:sz w:val="27"/>
          <w:szCs w:val="27"/>
        </w:rPr>
        <w:t>multi-track</w:t>
      </w:r>
      <w:r>
        <w:rPr>
          <w:rFonts w:ascii="Arial" w:hAnsi="Arial" w:cs="Arial"/>
          <w:color w:val="000000"/>
          <w:sz w:val="27"/>
          <w:szCs w:val="27"/>
        </w:rPr>
        <w:t> claims are given either:</w:t>
      </w:r>
    </w:p>
    <w:p w14:paraId="4B850254" w14:textId="77777777" w:rsidR="00273CD1" w:rsidRDefault="00273CD1" w:rsidP="00273CD1">
      <w:pPr>
        <w:pStyle w:val="list"/>
        <w:numPr>
          <w:ilvl w:val="1"/>
          <w:numId w:val="1"/>
        </w:numPr>
        <w:spacing w:before="120" w:beforeAutospacing="0" w:after="0" w:afterAutospacing="0"/>
        <w:ind w:left="1920" w:hanging="480"/>
        <w:rPr>
          <w:rFonts w:ascii="Arial" w:hAnsi="Arial" w:cs="Arial"/>
          <w:color w:val="000000"/>
          <w:sz w:val="27"/>
          <w:szCs w:val="27"/>
        </w:rPr>
      </w:pPr>
      <w:r>
        <w:rPr>
          <w:rFonts w:ascii="Arial" w:hAnsi="Arial" w:cs="Arial"/>
          <w:color w:val="000000"/>
          <w:sz w:val="27"/>
          <w:szCs w:val="27"/>
        </w:rPr>
        <w:t>(a)   by the court without a hearing after the DQs have been filed;</w:t>
      </w:r>
    </w:p>
    <w:p w14:paraId="48B73CA3" w14:textId="77777777" w:rsidR="00273CD1" w:rsidRDefault="00273CD1" w:rsidP="00273CD1">
      <w:pPr>
        <w:pStyle w:val="list"/>
        <w:numPr>
          <w:ilvl w:val="1"/>
          <w:numId w:val="1"/>
        </w:numPr>
        <w:spacing w:before="120" w:beforeAutospacing="0" w:after="0" w:afterAutospacing="0"/>
        <w:ind w:left="1920" w:hanging="480"/>
        <w:rPr>
          <w:rFonts w:ascii="Arial" w:hAnsi="Arial" w:cs="Arial"/>
          <w:color w:val="000000"/>
          <w:sz w:val="27"/>
          <w:szCs w:val="27"/>
        </w:rPr>
      </w:pPr>
      <w:r>
        <w:rPr>
          <w:rFonts w:ascii="Arial" w:hAnsi="Arial" w:cs="Arial"/>
          <w:color w:val="000000"/>
          <w:sz w:val="27"/>
          <w:szCs w:val="27"/>
        </w:rPr>
        <w:t>(b)   at a CMC presided over by a procedural judge at court; or</w:t>
      </w:r>
    </w:p>
    <w:p w14:paraId="389E172D" w14:textId="77777777" w:rsidR="00273CD1" w:rsidRDefault="00273CD1" w:rsidP="00273CD1">
      <w:pPr>
        <w:pStyle w:val="list"/>
        <w:numPr>
          <w:ilvl w:val="1"/>
          <w:numId w:val="1"/>
        </w:numPr>
        <w:spacing w:before="120" w:beforeAutospacing="0" w:after="0" w:afterAutospacing="0"/>
        <w:ind w:left="1920" w:hanging="480"/>
        <w:rPr>
          <w:rFonts w:ascii="Arial" w:hAnsi="Arial" w:cs="Arial"/>
          <w:color w:val="000000"/>
          <w:sz w:val="27"/>
          <w:szCs w:val="27"/>
        </w:rPr>
      </w:pPr>
      <w:r>
        <w:rPr>
          <w:rFonts w:ascii="Arial" w:hAnsi="Arial" w:cs="Arial"/>
          <w:color w:val="000000"/>
          <w:sz w:val="27"/>
          <w:szCs w:val="27"/>
        </w:rPr>
        <w:t>(c)   at a PTR.</w:t>
      </w:r>
    </w:p>
    <w:p w14:paraId="23EBEAA6" w14:textId="77777777" w:rsidR="00273CD1" w:rsidRDefault="00273CD1" w:rsidP="00273CD1">
      <w:pPr>
        <w:pStyle w:val="list"/>
        <w:numPr>
          <w:ilvl w:val="0"/>
          <w:numId w:val="1"/>
        </w:numPr>
        <w:spacing w:before="120" w:beforeAutospacing="0" w:after="0" w:afterAutospacing="0"/>
        <w:ind w:left="1200" w:hanging="480"/>
        <w:rPr>
          <w:rFonts w:ascii="Arial" w:hAnsi="Arial" w:cs="Arial"/>
          <w:color w:val="000000"/>
          <w:sz w:val="27"/>
          <w:szCs w:val="27"/>
        </w:rPr>
      </w:pPr>
      <w:r>
        <w:rPr>
          <w:rFonts w:ascii="Arial" w:hAnsi="Arial" w:cs="Arial"/>
          <w:color w:val="000000"/>
          <w:sz w:val="27"/>
          <w:szCs w:val="27"/>
        </w:rPr>
        <w:lastRenderedPageBreak/>
        <w:t>(29) CMCs are important hearings. They should be attended by a lawyer who is familiar with the case and who has the authority to deal with all the matters that might arise.</w:t>
      </w:r>
    </w:p>
    <w:p w14:paraId="2C9598DB" w14:textId="77777777" w:rsidR="00273CD1" w:rsidRDefault="00273CD1" w:rsidP="00273CD1">
      <w:pPr>
        <w:pStyle w:val="list"/>
        <w:numPr>
          <w:ilvl w:val="0"/>
          <w:numId w:val="1"/>
        </w:numPr>
        <w:spacing w:before="120" w:beforeAutospacing="0" w:after="0" w:afterAutospacing="0"/>
        <w:ind w:left="1200" w:hanging="480"/>
        <w:rPr>
          <w:rFonts w:ascii="Arial" w:hAnsi="Arial" w:cs="Arial"/>
          <w:color w:val="000000"/>
          <w:sz w:val="27"/>
          <w:szCs w:val="27"/>
        </w:rPr>
      </w:pPr>
      <w:r>
        <w:rPr>
          <w:rFonts w:ascii="Arial" w:hAnsi="Arial" w:cs="Arial"/>
          <w:color w:val="000000"/>
          <w:sz w:val="27"/>
          <w:szCs w:val="27"/>
        </w:rPr>
        <w:t>(30) At a CMC, the court may:</w:t>
      </w:r>
    </w:p>
    <w:p w14:paraId="0215C608" w14:textId="77777777" w:rsidR="00273CD1" w:rsidRDefault="00273CD1" w:rsidP="00273CD1">
      <w:pPr>
        <w:pStyle w:val="list"/>
        <w:numPr>
          <w:ilvl w:val="1"/>
          <w:numId w:val="1"/>
        </w:numPr>
        <w:spacing w:before="120" w:beforeAutospacing="0" w:after="0" w:afterAutospacing="0"/>
        <w:ind w:left="1920" w:hanging="480"/>
        <w:rPr>
          <w:rFonts w:ascii="Arial" w:hAnsi="Arial" w:cs="Arial"/>
          <w:color w:val="000000"/>
          <w:sz w:val="27"/>
          <w:szCs w:val="27"/>
        </w:rPr>
      </w:pPr>
      <w:r>
        <w:rPr>
          <w:rFonts w:ascii="Arial" w:hAnsi="Arial" w:cs="Arial"/>
          <w:color w:val="000000"/>
          <w:sz w:val="27"/>
          <w:szCs w:val="27"/>
        </w:rPr>
        <w:t>(a)   review the steps previously taken by the parties;</w:t>
      </w:r>
    </w:p>
    <w:p w14:paraId="185AC46D" w14:textId="77777777" w:rsidR="00273CD1" w:rsidRDefault="00273CD1" w:rsidP="00273CD1">
      <w:pPr>
        <w:pStyle w:val="list"/>
        <w:numPr>
          <w:ilvl w:val="1"/>
          <w:numId w:val="1"/>
        </w:numPr>
        <w:spacing w:before="120" w:beforeAutospacing="0" w:after="0" w:afterAutospacing="0"/>
        <w:ind w:left="1920" w:hanging="480"/>
        <w:rPr>
          <w:rFonts w:ascii="Arial" w:hAnsi="Arial" w:cs="Arial"/>
          <w:color w:val="000000"/>
          <w:sz w:val="27"/>
          <w:szCs w:val="27"/>
        </w:rPr>
      </w:pPr>
      <w:r>
        <w:rPr>
          <w:rFonts w:ascii="Arial" w:hAnsi="Arial" w:cs="Arial"/>
          <w:color w:val="000000"/>
          <w:sz w:val="27"/>
          <w:szCs w:val="27"/>
        </w:rPr>
        <w:t>(b)   give case management directions;</w:t>
      </w:r>
    </w:p>
    <w:p w14:paraId="6D2E40D2" w14:textId="77777777" w:rsidR="00273CD1" w:rsidRDefault="00273CD1" w:rsidP="00273CD1">
      <w:pPr>
        <w:pStyle w:val="list"/>
        <w:numPr>
          <w:ilvl w:val="1"/>
          <w:numId w:val="1"/>
        </w:numPr>
        <w:spacing w:before="120" w:beforeAutospacing="0" w:after="0" w:afterAutospacing="0"/>
        <w:ind w:left="1920" w:hanging="480"/>
        <w:rPr>
          <w:rFonts w:ascii="Arial" w:hAnsi="Arial" w:cs="Arial"/>
          <w:color w:val="000000"/>
          <w:sz w:val="27"/>
          <w:szCs w:val="27"/>
        </w:rPr>
      </w:pPr>
      <w:r>
        <w:rPr>
          <w:rFonts w:ascii="Arial" w:hAnsi="Arial" w:cs="Arial"/>
          <w:color w:val="000000"/>
          <w:sz w:val="27"/>
          <w:szCs w:val="27"/>
        </w:rPr>
        <w:t>(c)   seek to narrow the issues between the parties;</w:t>
      </w:r>
    </w:p>
    <w:p w14:paraId="2279A41D" w14:textId="77777777" w:rsidR="00273CD1" w:rsidRDefault="00273CD1" w:rsidP="00273CD1">
      <w:pPr>
        <w:pStyle w:val="list"/>
        <w:numPr>
          <w:ilvl w:val="1"/>
          <w:numId w:val="1"/>
        </w:numPr>
        <w:spacing w:before="120" w:beforeAutospacing="0" w:after="0" w:afterAutospacing="0"/>
        <w:ind w:left="1920" w:hanging="480"/>
        <w:rPr>
          <w:rFonts w:ascii="Arial" w:hAnsi="Arial" w:cs="Arial"/>
          <w:color w:val="000000"/>
          <w:sz w:val="27"/>
          <w:szCs w:val="27"/>
        </w:rPr>
      </w:pPr>
      <w:r>
        <w:rPr>
          <w:rFonts w:ascii="Arial" w:hAnsi="Arial" w:cs="Arial"/>
          <w:color w:val="000000"/>
          <w:sz w:val="27"/>
          <w:szCs w:val="27"/>
        </w:rPr>
        <w:t>(d)   seek agreement between the parties on matters relating to the case; and</w:t>
      </w:r>
    </w:p>
    <w:p w14:paraId="2F99AEB3" w14:textId="77777777" w:rsidR="00273CD1" w:rsidRDefault="00273CD1" w:rsidP="00273CD1">
      <w:pPr>
        <w:pStyle w:val="list"/>
        <w:numPr>
          <w:ilvl w:val="1"/>
          <w:numId w:val="1"/>
        </w:numPr>
        <w:spacing w:before="120" w:beforeAutospacing="0" w:after="0" w:afterAutospacing="0"/>
        <w:ind w:left="1920" w:hanging="480"/>
        <w:rPr>
          <w:rFonts w:ascii="Arial" w:hAnsi="Arial" w:cs="Arial"/>
          <w:color w:val="000000"/>
          <w:sz w:val="27"/>
          <w:szCs w:val="27"/>
        </w:rPr>
      </w:pPr>
      <w:r>
        <w:rPr>
          <w:rFonts w:ascii="Arial" w:hAnsi="Arial" w:cs="Arial"/>
          <w:color w:val="000000"/>
          <w:sz w:val="27"/>
          <w:szCs w:val="27"/>
        </w:rPr>
        <w:t>(e)   make a costs management order.</w:t>
      </w:r>
    </w:p>
    <w:p w14:paraId="35CFCB6A" w14:textId="77777777" w:rsidR="00273CD1" w:rsidRDefault="00273CD1" w:rsidP="00273CD1">
      <w:pPr>
        <w:pStyle w:val="list"/>
        <w:numPr>
          <w:ilvl w:val="0"/>
          <w:numId w:val="1"/>
        </w:numPr>
        <w:spacing w:before="120" w:beforeAutospacing="0" w:after="0" w:afterAutospacing="0"/>
        <w:ind w:left="1200" w:hanging="480"/>
        <w:rPr>
          <w:rFonts w:ascii="Arial" w:hAnsi="Arial" w:cs="Arial"/>
          <w:color w:val="000000"/>
          <w:sz w:val="27"/>
          <w:szCs w:val="27"/>
        </w:rPr>
      </w:pPr>
      <w:r>
        <w:rPr>
          <w:rFonts w:ascii="Arial" w:hAnsi="Arial" w:cs="Arial"/>
          <w:color w:val="000000"/>
          <w:sz w:val="27"/>
          <w:szCs w:val="27"/>
        </w:rPr>
        <w:t>(31) Pre-trial checklists tend to be sent out by the court about eight weeks before the trial.</w:t>
      </w:r>
    </w:p>
    <w:p w14:paraId="7FBB78CC" w14:textId="77777777" w:rsidR="00273CD1" w:rsidRDefault="00273CD1" w:rsidP="00273CD1">
      <w:pPr>
        <w:pStyle w:val="list"/>
        <w:numPr>
          <w:ilvl w:val="0"/>
          <w:numId w:val="1"/>
        </w:numPr>
        <w:spacing w:before="120" w:beforeAutospacing="0" w:after="0" w:afterAutospacing="0"/>
        <w:ind w:left="1200" w:hanging="480"/>
        <w:rPr>
          <w:rFonts w:ascii="Arial" w:hAnsi="Arial" w:cs="Arial"/>
          <w:color w:val="000000"/>
          <w:sz w:val="27"/>
          <w:szCs w:val="27"/>
        </w:rPr>
      </w:pPr>
      <w:r>
        <w:rPr>
          <w:rFonts w:ascii="Arial" w:hAnsi="Arial" w:cs="Arial"/>
          <w:color w:val="000000"/>
          <w:sz w:val="27"/>
          <w:szCs w:val="27"/>
        </w:rPr>
        <w:t>(32) At the PTC stage, the court will review the progress on the directions previously made, make new directions, and may set a trial timetable.</w:t>
      </w:r>
    </w:p>
    <w:p w14:paraId="56161B66" w14:textId="77777777" w:rsidR="00273CD1" w:rsidRDefault="00273CD1" w:rsidP="00273CD1">
      <w:pPr>
        <w:pStyle w:val="list"/>
        <w:numPr>
          <w:ilvl w:val="0"/>
          <w:numId w:val="1"/>
        </w:numPr>
        <w:spacing w:before="120" w:beforeAutospacing="0" w:after="0" w:afterAutospacing="0"/>
        <w:ind w:left="1200" w:hanging="480"/>
        <w:rPr>
          <w:rFonts w:ascii="Arial" w:hAnsi="Arial" w:cs="Arial"/>
          <w:color w:val="000000"/>
          <w:sz w:val="27"/>
          <w:szCs w:val="27"/>
        </w:rPr>
      </w:pPr>
      <w:r>
        <w:rPr>
          <w:rFonts w:ascii="Arial" w:hAnsi="Arial" w:cs="Arial"/>
          <w:color w:val="000000"/>
          <w:sz w:val="27"/>
          <w:szCs w:val="27"/>
        </w:rPr>
        <w:t>(33) The court has the ability to impose sanctions where there is evidence of failing to comply with rules, </w:t>
      </w:r>
      <w:r>
        <w:rPr>
          <w:rStyle w:val="Strong"/>
          <w:rFonts w:ascii="Arial" w:hAnsi="Arial" w:cs="Arial"/>
          <w:color w:val="000000"/>
          <w:sz w:val="27"/>
          <w:szCs w:val="27"/>
        </w:rPr>
        <w:t>Practice Directions</w:t>
      </w:r>
      <w:r>
        <w:rPr>
          <w:rFonts w:ascii="Arial" w:hAnsi="Arial" w:cs="Arial"/>
          <w:color w:val="000000"/>
          <w:sz w:val="27"/>
          <w:szCs w:val="27"/>
        </w:rPr>
        <w:t> and orders. Although there is the possibility to seek relief from sanctions, there is no guarantee that the court will allow an offending party a further chance in the case. The types of order that the court can make are set out at </w:t>
      </w:r>
      <w:r>
        <w:rPr>
          <w:rStyle w:val="Strong"/>
          <w:rFonts w:ascii="Arial" w:hAnsi="Arial" w:cs="Arial"/>
          <w:color w:val="000000"/>
          <w:sz w:val="27"/>
          <w:szCs w:val="27"/>
        </w:rPr>
        <w:t>17.6.1</w:t>
      </w:r>
      <w:r>
        <w:rPr>
          <w:rFonts w:ascii="Arial" w:hAnsi="Arial" w:cs="Arial"/>
          <w:color w:val="000000"/>
          <w:sz w:val="27"/>
          <w:szCs w:val="27"/>
        </w:rPr>
        <w:t>.</w:t>
      </w:r>
    </w:p>
    <w:p w14:paraId="29260A79" w14:textId="77777777" w:rsidR="00273CD1" w:rsidRDefault="00273CD1" w:rsidP="00273CD1">
      <w:pPr>
        <w:pStyle w:val="list"/>
        <w:numPr>
          <w:ilvl w:val="0"/>
          <w:numId w:val="1"/>
        </w:numPr>
        <w:spacing w:before="120" w:beforeAutospacing="0" w:after="0" w:afterAutospacing="0"/>
        <w:ind w:left="1200" w:hanging="480"/>
        <w:rPr>
          <w:rFonts w:ascii="Arial" w:hAnsi="Arial" w:cs="Arial"/>
          <w:color w:val="000000"/>
          <w:sz w:val="27"/>
          <w:szCs w:val="27"/>
        </w:rPr>
      </w:pPr>
      <w:r>
        <w:rPr>
          <w:rFonts w:ascii="Arial" w:hAnsi="Arial" w:cs="Arial"/>
          <w:color w:val="000000"/>
          <w:sz w:val="27"/>
          <w:szCs w:val="27"/>
        </w:rPr>
        <w:t>(34) The fast track provides a </w:t>
      </w:r>
      <w:r>
        <w:rPr>
          <w:rStyle w:val="Strong"/>
          <w:rFonts w:ascii="Arial" w:hAnsi="Arial" w:cs="Arial"/>
          <w:color w:val="000000"/>
          <w:sz w:val="27"/>
          <w:szCs w:val="27"/>
        </w:rPr>
        <w:t>streamlined procedure</w:t>
      </w:r>
      <w:r>
        <w:rPr>
          <w:rFonts w:ascii="Arial" w:hAnsi="Arial" w:cs="Arial"/>
          <w:color w:val="000000"/>
          <w:sz w:val="27"/>
          <w:szCs w:val="27"/>
        </w:rPr>
        <w:t> with cases being progressed to trial within a short time (30 weeks) after allocation. It is the normal track for cases valued between £10,000.01 and £25,000 (including most personal injury cases) and is governed by </w:t>
      </w:r>
      <w:r>
        <w:rPr>
          <w:rStyle w:val="Strong"/>
          <w:rFonts w:ascii="Arial" w:hAnsi="Arial" w:cs="Arial"/>
          <w:color w:val="000000"/>
          <w:sz w:val="27"/>
          <w:szCs w:val="27"/>
        </w:rPr>
        <w:t>Part 28</w:t>
      </w:r>
      <w:r>
        <w:rPr>
          <w:rFonts w:ascii="Arial" w:hAnsi="Arial" w:cs="Arial"/>
          <w:color w:val="000000"/>
          <w:sz w:val="27"/>
          <w:szCs w:val="27"/>
        </w:rPr>
        <w:t>.</w:t>
      </w:r>
    </w:p>
    <w:p w14:paraId="336C8572" w14:textId="77777777" w:rsidR="00273CD1" w:rsidRDefault="00273CD1" w:rsidP="00273CD1">
      <w:pPr>
        <w:pStyle w:val="list"/>
        <w:numPr>
          <w:ilvl w:val="0"/>
          <w:numId w:val="1"/>
        </w:numPr>
        <w:spacing w:before="120" w:beforeAutospacing="0" w:after="0" w:afterAutospacing="0"/>
        <w:ind w:left="1200" w:hanging="480"/>
        <w:rPr>
          <w:rFonts w:ascii="Arial" w:hAnsi="Arial" w:cs="Arial"/>
          <w:color w:val="000000"/>
          <w:sz w:val="27"/>
          <w:szCs w:val="27"/>
        </w:rPr>
      </w:pPr>
      <w:r>
        <w:rPr>
          <w:rFonts w:ascii="Arial" w:hAnsi="Arial" w:cs="Arial"/>
          <w:color w:val="000000"/>
          <w:sz w:val="27"/>
          <w:szCs w:val="27"/>
        </w:rPr>
        <w:t>(35) The full range of interim remedies, procedures and orders is available in fast track cases.</w:t>
      </w:r>
    </w:p>
    <w:p w14:paraId="654836CF" w14:textId="77777777" w:rsidR="00273CD1" w:rsidRDefault="00273CD1" w:rsidP="00273CD1">
      <w:pPr>
        <w:pStyle w:val="list"/>
        <w:numPr>
          <w:ilvl w:val="0"/>
          <w:numId w:val="1"/>
        </w:numPr>
        <w:spacing w:before="120" w:beforeAutospacing="0" w:after="0" w:afterAutospacing="0"/>
        <w:ind w:left="1200" w:hanging="480"/>
        <w:rPr>
          <w:rFonts w:ascii="Arial" w:hAnsi="Arial" w:cs="Arial"/>
          <w:color w:val="000000"/>
          <w:sz w:val="27"/>
          <w:szCs w:val="27"/>
        </w:rPr>
      </w:pPr>
      <w:r>
        <w:rPr>
          <w:rFonts w:ascii="Arial" w:hAnsi="Arial" w:cs="Arial"/>
          <w:color w:val="000000"/>
          <w:sz w:val="27"/>
          <w:szCs w:val="27"/>
        </w:rPr>
        <w:t>(36) Directions are given on allocation; </w:t>
      </w:r>
      <w:r>
        <w:rPr>
          <w:rStyle w:val="Strong"/>
          <w:rFonts w:ascii="Arial" w:hAnsi="Arial" w:cs="Arial"/>
          <w:color w:val="000000"/>
          <w:sz w:val="27"/>
          <w:szCs w:val="27"/>
        </w:rPr>
        <w:t>Part 28</w:t>
      </w:r>
      <w:r>
        <w:rPr>
          <w:rFonts w:ascii="Arial" w:hAnsi="Arial" w:cs="Arial"/>
          <w:color w:val="000000"/>
          <w:sz w:val="27"/>
          <w:szCs w:val="27"/>
        </w:rPr>
        <w:t> provides a list of standard directions, which may be adapted to the needs of individual cases. The parties must comply with the time limits in the timetable.</w:t>
      </w:r>
    </w:p>
    <w:p w14:paraId="1E6B9F95" w14:textId="77777777" w:rsidR="00273CD1" w:rsidRDefault="00273CD1" w:rsidP="00273CD1">
      <w:pPr>
        <w:pStyle w:val="list"/>
        <w:numPr>
          <w:ilvl w:val="0"/>
          <w:numId w:val="1"/>
        </w:numPr>
        <w:spacing w:before="120" w:beforeAutospacing="0" w:after="0" w:afterAutospacing="0"/>
        <w:ind w:left="1200" w:hanging="480"/>
        <w:rPr>
          <w:rFonts w:ascii="Arial" w:hAnsi="Arial" w:cs="Arial"/>
          <w:color w:val="000000"/>
          <w:sz w:val="27"/>
          <w:szCs w:val="27"/>
        </w:rPr>
      </w:pPr>
      <w:r>
        <w:rPr>
          <w:rFonts w:ascii="Arial" w:hAnsi="Arial" w:cs="Arial"/>
          <w:color w:val="000000"/>
          <w:sz w:val="27"/>
          <w:szCs w:val="27"/>
        </w:rPr>
        <w:t>(37) </w:t>
      </w:r>
      <w:r>
        <w:rPr>
          <w:rStyle w:val="Strong"/>
          <w:rFonts w:ascii="Arial" w:hAnsi="Arial" w:cs="Arial"/>
          <w:color w:val="000000"/>
          <w:sz w:val="27"/>
          <w:szCs w:val="27"/>
        </w:rPr>
        <w:t>Part 35</w:t>
      </w:r>
      <w:r>
        <w:rPr>
          <w:rFonts w:ascii="Arial" w:hAnsi="Arial" w:cs="Arial"/>
          <w:color w:val="000000"/>
          <w:sz w:val="27"/>
          <w:szCs w:val="27"/>
        </w:rPr>
        <w:t> deals with experts; the court will usually direct that expert evidence be provided by a single, jointly instructed expert.</w:t>
      </w:r>
    </w:p>
    <w:p w14:paraId="21D5DEB0" w14:textId="77777777" w:rsidR="00273CD1" w:rsidRDefault="00273CD1" w:rsidP="00273CD1">
      <w:pPr>
        <w:pStyle w:val="list"/>
        <w:numPr>
          <w:ilvl w:val="0"/>
          <w:numId w:val="1"/>
        </w:numPr>
        <w:spacing w:before="120" w:beforeAutospacing="0" w:after="0" w:afterAutospacing="0"/>
        <w:ind w:left="1200" w:hanging="480"/>
        <w:rPr>
          <w:rFonts w:ascii="Arial" w:hAnsi="Arial" w:cs="Arial"/>
          <w:color w:val="000000"/>
          <w:sz w:val="27"/>
          <w:szCs w:val="27"/>
        </w:rPr>
      </w:pPr>
      <w:r>
        <w:rPr>
          <w:rFonts w:ascii="Arial" w:hAnsi="Arial" w:cs="Arial"/>
          <w:color w:val="000000"/>
          <w:sz w:val="27"/>
          <w:szCs w:val="27"/>
        </w:rPr>
        <w:t>(38) </w:t>
      </w:r>
      <w:r>
        <w:rPr>
          <w:rStyle w:val="Strong"/>
          <w:rFonts w:ascii="Arial" w:hAnsi="Arial" w:cs="Arial"/>
          <w:color w:val="000000"/>
          <w:sz w:val="27"/>
          <w:szCs w:val="27"/>
        </w:rPr>
        <w:t>Pre-trial checklists</w:t>
      </w:r>
      <w:r>
        <w:rPr>
          <w:rFonts w:ascii="Arial" w:hAnsi="Arial" w:cs="Arial"/>
          <w:color w:val="000000"/>
          <w:sz w:val="27"/>
          <w:szCs w:val="27"/>
        </w:rPr>
        <w:t> (</w:t>
      </w:r>
      <w:r>
        <w:rPr>
          <w:rStyle w:val="Strong"/>
          <w:rFonts w:ascii="Arial" w:hAnsi="Arial" w:cs="Arial"/>
          <w:color w:val="000000"/>
          <w:sz w:val="27"/>
          <w:szCs w:val="27"/>
        </w:rPr>
        <w:t>listing questionnaires</w:t>
      </w:r>
      <w:r>
        <w:rPr>
          <w:rFonts w:ascii="Arial" w:hAnsi="Arial" w:cs="Arial"/>
          <w:color w:val="000000"/>
          <w:sz w:val="27"/>
          <w:szCs w:val="27"/>
        </w:rPr>
        <w:t>) are used to check that the directions have been complied with and whether the case is ready for trial.</w:t>
      </w:r>
    </w:p>
    <w:p w14:paraId="24CCCB53" w14:textId="77777777" w:rsidR="00273CD1" w:rsidRDefault="00273CD1" w:rsidP="00273CD1">
      <w:pPr>
        <w:pStyle w:val="list"/>
        <w:numPr>
          <w:ilvl w:val="0"/>
          <w:numId w:val="1"/>
        </w:numPr>
        <w:spacing w:before="120" w:beforeAutospacing="0" w:after="0" w:afterAutospacing="0"/>
        <w:ind w:left="1200" w:hanging="480"/>
        <w:rPr>
          <w:rFonts w:ascii="Arial" w:hAnsi="Arial" w:cs="Arial"/>
          <w:color w:val="000000"/>
          <w:sz w:val="27"/>
          <w:szCs w:val="27"/>
        </w:rPr>
      </w:pPr>
      <w:r>
        <w:rPr>
          <w:rFonts w:ascii="Arial" w:hAnsi="Arial" w:cs="Arial"/>
          <w:color w:val="000000"/>
          <w:sz w:val="27"/>
          <w:szCs w:val="27"/>
        </w:rPr>
        <w:t>(39) The costs in non-personal injury fast track cases are normally dealt with by way of </w:t>
      </w:r>
      <w:r>
        <w:rPr>
          <w:rStyle w:val="Strong"/>
          <w:rFonts w:ascii="Arial" w:hAnsi="Arial" w:cs="Arial"/>
          <w:color w:val="000000"/>
          <w:sz w:val="27"/>
          <w:szCs w:val="27"/>
        </w:rPr>
        <w:t>summary assessment</w:t>
      </w:r>
      <w:r>
        <w:rPr>
          <w:rFonts w:ascii="Arial" w:hAnsi="Arial" w:cs="Arial"/>
          <w:color w:val="000000"/>
          <w:sz w:val="27"/>
          <w:szCs w:val="27"/>
        </w:rPr>
        <w:t xml:space="preserve"> by the </w:t>
      </w:r>
      <w:r>
        <w:rPr>
          <w:rFonts w:ascii="Arial" w:hAnsi="Arial" w:cs="Arial"/>
          <w:color w:val="000000"/>
          <w:sz w:val="27"/>
          <w:szCs w:val="27"/>
        </w:rPr>
        <w:lastRenderedPageBreak/>
        <w:t>judge at the end of the trial. Fixed costs apply to many fast track personal injury cases.</w:t>
      </w:r>
    </w:p>
    <w:p w14:paraId="5FA0EA45" w14:textId="77777777" w:rsidR="00273CD1" w:rsidRDefault="00273CD1" w:rsidP="00273CD1">
      <w:pPr>
        <w:pStyle w:val="list"/>
        <w:numPr>
          <w:ilvl w:val="0"/>
          <w:numId w:val="1"/>
        </w:numPr>
        <w:spacing w:before="120" w:beforeAutospacing="0" w:after="0" w:afterAutospacing="0"/>
        <w:ind w:left="1200" w:hanging="480"/>
        <w:rPr>
          <w:rFonts w:ascii="Arial" w:hAnsi="Arial" w:cs="Arial"/>
          <w:color w:val="000000"/>
          <w:sz w:val="27"/>
          <w:szCs w:val="27"/>
        </w:rPr>
      </w:pPr>
      <w:r>
        <w:rPr>
          <w:rFonts w:ascii="Arial" w:hAnsi="Arial" w:cs="Arial"/>
          <w:color w:val="000000"/>
          <w:sz w:val="27"/>
          <w:szCs w:val="27"/>
        </w:rPr>
        <w:t>(40) Cases with a value </w:t>
      </w:r>
      <w:r>
        <w:rPr>
          <w:rStyle w:val="Strong"/>
          <w:rFonts w:ascii="Arial" w:hAnsi="Arial" w:cs="Arial"/>
          <w:color w:val="000000"/>
          <w:sz w:val="27"/>
          <w:szCs w:val="27"/>
        </w:rPr>
        <w:t>in excess of £25,000</w:t>
      </w:r>
      <w:r>
        <w:rPr>
          <w:rFonts w:ascii="Arial" w:hAnsi="Arial" w:cs="Arial"/>
          <w:color w:val="000000"/>
          <w:sz w:val="27"/>
          <w:szCs w:val="27"/>
        </w:rPr>
        <w:t> are allocated to the multi-track. These may range from simple contract disputes to complex multi-million pound commercial cases and the case management is intended to reflect this. The multi-track is governed by </w:t>
      </w:r>
      <w:r>
        <w:rPr>
          <w:rStyle w:val="Strong"/>
          <w:rFonts w:ascii="Arial" w:hAnsi="Arial" w:cs="Arial"/>
          <w:color w:val="000000"/>
          <w:sz w:val="27"/>
          <w:szCs w:val="27"/>
        </w:rPr>
        <w:t>Part 29</w:t>
      </w:r>
      <w:r>
        <w:rPr>
          <w:rFonts w:ascii="Arial" w:hAnsi="Arial" w:cs="Arial"/>
          <w:color w:val="000000"/>
          <w:sz w:val="27"/>
          <w:szCs w:val="27"/>
        </w:rPr>
        <w:t> and </w:t>
      </w:r>
      <w:r>
        <w:rPr>
          <w:rStyle w:val="Strong"/>
          <w:rFonts w:ascii="Arial" w:hAnsi="Arial" w:cs="Arial"/>
          <w:color w:val="000000"/>
          <w:sz w:val="27"/>
          <w:szCs w:val="27"/>
        </w:rPr>
        <w:t>Part 3</w:t>
      </w:r>
      <w:r>
        <w:rPr>
          <w:rFonts w:ascii="Arial" w:hAnsi="Arial" w:cs="Arial"/>
          <w:color w:val="000000"/>
          <w:sz w:val="27"/>
          <w:szCs w:val="27"/>
        </w:rPr>
        <w:t> (costs management).</w:t>
      </w:r>
    </w:p>
    <w:p w14:paraId="3B483EF8" w14:textId="77777777" w:rsidR="00273CD1" w:rsidRDefault="00273CD1" w:rsidP="00273CD1">
      <w:pPr>
        <w:pStyle w:val="list"/>
        <w:numPr>
          <w:ilvl w:val="0"/>
          <w:numId w:val="1"/>
        </w:numPr>
        <w:spacing w:before="120" w:beforeAutospacing="0" w:after="0" w:afterAutospacing="0"/>
        <w:ind w:left="1200" w:hanging="480"/>
        <w:rPr>
          <w:rFonts w:ascii="Arial" w:hAnsi="Arial" w:cs="Arial"/>
          <w:color w:val="000000"/>
          <w:sz w:val="27"/>
          <w:szCs w:val="27"/>
        </w:rPr>
      </w:pPr>
      <w:r>
        <w:rPr>
          <w:rFonts w:ascii="Arial" w:hAnsi="Arial" w:cs="Arial"/>
          <w:color w:val="000000"/>
          <w:sz w:val="27"/>
          <w:szCs w:val="27"/>
        </w:rPr>
        <w:t>(41) On allocation, the court may give directions, or call a </w:t>
      </w:r>
      <w:r>
        <w:rPr>
          <w:rStyle w:val="Strong"/>
          <w:rFonts w:ascii="Arial" w:hAnsi="Arial" w:cs="Arial"/>
          <w:color w:val="000000"/>
          <w:sz w:val="27"/>
          <w:szCs w:val="27"/>
        </w:rPr>
        <w:t>CMC</w:t>
      </w:r>
      <w:r>
        <w:rPr>
          <w:rFonts w:ascii="Arial" w:hAnsi="Arial" w:cs="Arial"/>
          <w:color w:val="000000"/>
          <w:sz w:val="27"/>
          <w:szCs w:val="27"/>
        </w:rPr>
        <w:t> to decide on appropriate directions and timescales. CMCs are also intended to ensure that the real issues between the parties are identified and if possible, narrowed. The court must manage the case and the costs together to ensure that the proposed directions are proportionate to the costs to be incurred and revise the budget if appropriate.</w:t>
      </w:r>
    </w:p>
    <w:p w14:paraId="5DA48B21" w14:textId="77777777" w:rsidR="00273CD1" w:rsidRDefault="00273CD1" w:rsidP="00273CD1">
      <w:pPr>
        <w:pStyle w:val="list"/>
        <w:numPr>
          <w:ilvl w:val="0"/>
          <w:numId w:val="1"/>
        </w:numPr>
        <w:spacing w:before="120" w:beforeAutospacing="0" w:after="0" w:afterAutospacing="0"/>
        <w:ind w:left="1200" w:hanging="480"/>
        <w:rPr>
          <w:rFonts w:ascii="Arial" w:hAnsi="Arial" w:cs="Arial"/>
          <w:color w:val="000000"/>
          <w:sz w:val="27"/>
          <w:szCs w:val="27"/>
        </w:rPr>
      </w:pPr>
      <w:r>
        <w:rPr>
          <w:rFonts w:ascii="Arial" w:hAnsi="Arial" w:cs="Arial"/>
          <w:color w:val="000000"/>
          <w:sz w:val="27"/>
          <w:szCs w:val="27"/>
        </w:rPr>
        <w:t>(42) The person having conduct of the case should attend the CMC and have the authority to deal with questions and make concessions.</w:t>
      </w:r>
    </w:p>
    <w:p w14:paraId="0C7A656E" w14:textId="77777777" w:rsidR="00273CD1" w:rsidRDefault="00273CD1" w:rsidP="00273CD1">
      <w:pPr>
        <w:pStyle w:val="list"/>
        <w:numPr>
          <w:ilvl w:val="0"/>
          <w:numId w:val="1"/>
        </w:numPr>
        <w:spacing w:before="120" w:beforeAutospacing="0" w:after="0" w:afterAutospacing="0"/>
        <w:ind w:left="1200" w:hanging="480"/>
        <w:rPr>
          <w:rFonts w:ascii="Arial" w:hAnsi="Arial" w:cs="Arial"/>
          <w:color w:val="000000"/>
          <w:sz w:val="27"/>
          <w:szCs w:val="27"/>
        </w:rPr>
      </w:pPr>
      <w:r>
        <w:rPr>
          <w:rFonts w:ascii="Arial" w:hAnsi="Arial" w:cs="Arial"/>
          <w:color w:val="000000"/>
          <w:sz w:val="27"/>
          <w:szCs w:val="27"/>
        </w:rPr>
        <w:t>(43) A </w:t>
      </w:r>
      <w:r>
        <w:rPr>
          <w:rStyle w:val="Strong"/>
          <w:rFonts w:ascii="Arial" w:hAnsi="Arial" w:cs="Arial"/>
          <w:color w:val="000000"/>
          <w:sz w:val="27"/>
          <w:szCs w:val="27"/>
        </w:rPr>
        <w:t>PTR</w:t>
      </w:r>
      <w:r>
        <w:rPr>
          <w:rFonts w:ascii="Arial" w:hAnsi="Arial" w:cs="Arial"/>
          <w:color w:val="000000"/>
          <w:sz w:val="27"/>
          <w:szCs w:val="27"/>
        </w:rPr>
        <w:t> may be conducted shortly before the trial to identify the issues to be tried and set a timetable for the trial.</w:t>
      </w:r>
    </w:p>
    <w:p w14:paraId="16B06C36" w14:textId="77777777" w:rsidR="00DA201F" w:rsidRDefault="00DA201F"/>
    <w:sectPr w:rsidR="00DA201F">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2D21AE" w14:textId="77777777" w:rsidR="00273CD1" w:rsidRDefault="00273CD1" w:rsidP="00273CD1">
      <w:pPr>
        <w:spacing w:after="0" w:line="240" w:lineRule="auto"/>
      </w:pPr>
      <w:r>
        <w:separator/>
      </w:r>
    </w:p>
  </w:endnote>
  <w:endnote w:type="continuationSeparator" w:id="0">
    <w:p w14:paraId="0DE801DB" w14:textId="77777777" w:rsidR="00273CD1" w:rsidRDefault="00273CD1" w:rsidP="00273C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6DB30E" w14:textId="77777777" w:rsidR="00273CD1" w:rsidRDefault="00273CD1" w:rsidP="00273CD1">
      <w:pPr>
        <w:spacing w:after="0" w:line="240" w:lineRule="auto"/>
      </w:pPr>
      <w:r>
        <w:separator/>
      </w:r>
    </w:p>
  </w:footnote>
  <w:footnote w:type="continuationSeparator" w:id="0">
    <w:p w14:paraId="262B4AF7" w14:textId="77777777" w:rsidR="00273CD1" w:rsidRDefault="00273CD1" w:rsidP="00273CD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25A688" w14:textId="53EEB0C7" w:rsidR="00273CD1" w:rsidRPr="00273CD1" w:rsidRDefault="00273CD1">
    <w:pPr>
      <w:pStyle w:val="Header"/>
      <w:rPr>
        <w:b/>
        <w:bCs/>
        <w:sz w:val="32"/>
        <w:szCs w:val="32"/>
      </w:rPr>
    </w:pPr>
    <w:r w:rsidRPr="00273CD1">
      <w:rPr>
        <w:b/>
        <w:bCs/>
        <w:sz w:val="32"/>
        <w:szCs w:val="32"/>
      </w:rPr>
      <w:t>CASE MANAGEMENT – GENERAL PROVISIONS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C51DFC"/>
    <w:multiLevelType w:val="multilevel"/>
    <w:tmpl w:val="141A9C4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3CD1"/>
    <w:rsid w:val="00273CD1"/>
    <w:rsid w:val="00DA201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3D272B"/>
  <w15:chartTrackingRefBased/>
  <w15:docId w15:val="{EE80C277-15E8-403D-9E71-15618FFEC0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list">
    <w:name w:val="list"/>
    <w:basedOn w:val="Normal"/>
    <w:rsid w:val="00273CD1"/>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273CD1"/>
    <w:rPr>
      <w:b/>
      <w:bCs/>
    </w:rPr>
  </w:style>
  <w:style w:type="paragraph" w:styleId="Header">
    <w:name w:val="header"/>
    <w:basedOn w:val="Normal"/>
    <w:link w:val="HeaderChar"/>
    <w:uiPriority w:val="99"/>
    <w:unhideWhenUsed/>
    <w:rsid w:val="00273CD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73CD1"/>
  </w:style>
  <w:style w:type="paragraph" w:styleId="Footer">
    <w:name w:val="footer"/>
    <w:basedOn w:val="Normal"/>
    <w:link w:val="FooterChar"/>
    <w:uiPriority w:val="99"/>
    <w:unhideWhenUsed/>
    <w:rsid w:val="00273CD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73CD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630287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1312</Words>
  <Characters>7484</Characters>
  <Application>Microsoft Office Word</Application>
  <DocSecurity>0</DocSecurity>
  <Lines>62</Lines>
  <Paragraphs>17</Paragraphs>
  <ScaleCrop>false</ScaleCrop>
  <Company/>
  <LinksUpToDate>false</LinksUpToDate>
  <CharactersWithSpaces>8779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Sian Turvey</dc:creator>
  <cp:keywords/>
  <dc:description/>
  <cp:lastModifiedBy>Sian Turvey</cp:lastModifiedBy>
  <cp:revision>1</cp:revision>
  <dcterms:created xsi:type="dcterms:W3CDTF">2022-02-19T15:38:00Z</dcterms:created>
  <dcterms:modified xsi:type="dcterms:W3CDTF">2022-02-19T15:39:00Z</dcterms:modified>
</cp:coreProperties>
</file>