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E85B58" w14:textId="4C406895" w:rsidR="000A24A2" w:rsidRPr="000A24A2" w:rsidRDefault="000A24A2" w:rsidP="004B138C">
      <w:pPr>
        <w:spacing w:line="360" w:lineRule="auto"/>
        <w:rPr>
          <w:rFonts w:ascii="Arial" w:hAnsi="Arial" w:cs="Arial"/>
          <w:b/>
          <w:sz w:val="22"/>
          <w:szCs w:val="22"/>
        </w:rPr>
      </w:pPr>
      <w:r w:rsidRPr="000A24A2">
        <w:rPr>
          <w:rFonts w:ascii="Arial" w:hAnsi="Arial" w:cs="Arial"/>
          <w:b/>
          <w:sz w:val="22"/>
          <w:szCs w:val="22"/>
        </w:rPr>
        <w:t>Shaun O’Sullivan - 2000763</w:t>
      </w:r>
    </w:p>
    <w:p w14:paraId="7CD754E0" w14:textId="77777777" w:rsidR="000A24A2" w:rsidRPr="000A24A2" w:rsidRDefault="000A24A2" w:rsidP="004B138C">
      <w:pPr>
        <w:spacing w:line="360" w:lineRule="auto"/>
        <w:rPr>
          <w:rFonts w:ascii="Arial" w:hAnsi="Arial" w:cs="Arial"/>
          <w:b/>
          <w:sz w:val="22"/>
          <w:szCs w:val="22"/>
        </w:rPr>
      </w:pPr>
    </w:p>
    <w:p w14:paraId="38281407" w14:textId="4C0527DE" w:rsidR="008A2174" w:rsidRPr="000A24A2" w:rsidRDefault="000F172A" w:rsidP="004B138C">
      <w:pPr>
        <w:spacing w:line="360" w:lineRule="auto"/>
        <w:rPr>
          <w:rFonts w:ascii="Arial" w:hAnsi="Arial" w:cs="Arial"/>
          <w:color w:val="333333"/>
          <w:sz w:val="24"/>
          <w:szCs w:val="24"/>
          <w:u w:val="single"/>
          <w:shd w:val="clear" w:color="auto" w:fill="FFFFFF"/>
        </w:rPr>
      </w:pPr>
      <w:r w:rsidRPr="000A24A2">
        <w:rPr>
          <w:rFonts w:ascii="Arial" w:hAnsi="Arial" w:cs="Arial"/>
          <w:b/>
          <w:sz w:val="22"/>
          <w:szCs w:val="22"/>
        </w:rPr>
        <w:t>REFORM OF NON-FATAL OFFENCES AGAINST THE PERSON</w:t>
      </w:r>
    </w:p>
    <w:p w14:paraId="1776DB12" w14:textId="263E5E05" w:rsidR="008A2174" w:rsidRPr="000A24A2" w:rsidRDefault="008A2174" w:rsidP="004B138C">
      <w:pPr>
        <w:spacing w:line="360" w:lineRule="auto"/>
        <w:rPr>
          <w:rFonts w:ascii="Arial" w:hAnsi="Arial" w:cs="Arial"/>
          <w:color w:val="333333"/>
          <w:sz w:val="24"/>
          <w:szCs w:val="24"/>
          <w:shd w:val="clear" w:color="auto" w:fill="FFFFFF"/>
        </w:rPr>
      </w:pPr>
    </w:p>
    <w:p w14:paraId="34570320" w14:textId="11EB88B0" w:rsidR="00060A75" w:rsidRPr="000A24A2" w:rsidRDefault="00FD3EF2" w:rsidP="004B138C">
      <w:pPr>
        <w:spacing w:line="360" w:lineRule="auto"/>
        <w:rPr>
          <w:rFonts w:ascii="Arial" w:hAnsi="Arial" w:cs="Arial"/>
          <w:sz w:val="24"/>
          <w:szCs w:val="24"/>
          <w:shd w:val="clear" w:color="auto" w:fill="FFFFFF"/>
        </w:rPr>
      </w:pPr>
      <w:r w:rsidRPr="000A24A2">
        <w:rPr>
          <w:rFonts w:ascii="Arial" w:hAnsi="Arial" w:cs="Arial"/>
          <w:sz w:val="24"/>
          <w:szCs w:val="24"/>
          <w:shd w:val="clear" w:color="auto" w:fill="FFFFFF"/>
        </w:rPr>
        <w:t>Non-fatal offences against the person are offences</w:t>
      </w:r>
      <w:r w:rsidR="00A27BDB" w:rsidRPr="000A24A2">
        <w:rPr>
          <w:rFonts w:ascii="Arial" w:hAnsi="Arial" w:cs="Arial"/>
          <w:sz w:val="24"/>
          <w:szCs w:val="24"/>
          <w:shd w:val="clear" w:color="auto" w:fill="FFFFFF"/>
        </w:rPr>
        <w:t xml:space="preserve"> that are under the act of Offences against the person act (1861). These offences</w:t>
      </w:r>
      <w:r w:rsidRPr="000A24A2">
        <w:rPr>
          <w:rFonts w:ascii="Arial" w:hAnsi="Arial" w:cs="Arial"/>
          <w:sz w:val="24"/>
          <w:szCs w:val="24"/>
          <w:shd w:val="clear" w:color="auto" w:fill="FFFFFF"/>
        </w:rPr>
        <w:t xml:space="preserve"> have been designed to be able to prosecute the defendant through how they have lawlessly behaved</w:t>
      </w:r>
      <w:r w:rsidR="00734665" w:rsidRPr="000A24A2">
        <w:rPr>
          <w:rFonts w:ascii="Arial" w:hAnsi="Arial" w:cs="Arial"/>
          <w:sz w:val="24"/>
          <w:szCs w:val="24"/>
          <w:shd w:val="clear" w:color="auto" w:fill="FFFFFF"/>
        </w:rPr>
        <w:t xml:space="preserve"> in a way where they have injured or caused harm to the </w:t>
      </w:r>
      <w:r w:rsidR="00060A75" w:rsidRPr="000A24A2">
        <w:rPr>
          <w:rFonts w:ascii="Arial" w:hAnsi="Arial" w:cs="Arial"/>
          <w:sz w:val="24"/>
          <w:szCs w:val="24"/>
          <w:shd w:val="clear" w:color="auto" w:fill="FFFFFF"/>
        </w:rPr>
        <w:t>victim,</w:t>
      </w:r>
      <w:r w:rsidR="00A27BDB" w:rsidRPr="000A24A2">
        <w:rPr>
          <w:rFonts w:ascii="Arial" w:hAnsi="Arial" w:cs="Arial"/>
          <w:sz w:val="24"/>
          <w:szCs w:val="24"/>
          <w:shd w:val="clear" w:color="auto" w:fill="FFFFFF"/>
        </w:rPr>
        <w:t xml:space="preserve"> but it does not lead to the victim’s death</w:t>
      </w:r>
      <w:r w:rsidR="00734665" w:rsidRPr="000A24A2">
        <w:rPr>
          <w:rFonts w:ascii="Arial" w:hAnsi="Arial" w:cs="Arial"/>
          <w:sz w:val="24"/>
          <w:szCs w:val="24"/>
          <w:shd w:val="clear" w:color="auto" w:fill="FFFFFF"/>
        </w:rPr>
        <w:t xml:space="preserve">. </w:t>
      </w:r>
      <w:r w:rsidR="00B4114B" w:rsidRPr="000A24A2">
        <w:rPr>
          <w:rFonts w:ascii="Arial" w:hAnsi="Arial" w:cs="Arial"/>
          <w:sz w:val="24"/>
          <w:szCs w:val="24"/>
          <w:shd w:val="clear" w:color="auto" w:fill="FFFFFF"/>
        </w:rPr>
        <w:t>The offences are</w:t>
      </w:r>
      <w:r w:rsidR="00833A7F" w:rsidRPr="000A24A2">
        <w:rPr>
          <w:rFonts w:ascii="Arial" w:hAnsi="Arial" w:cs="Arial"/>
          <w:sz w:val="24"/>
          <w:szCs w:val="24"/>
          <w:shd w:val="clear" w:color="auto" w:fill="FFFFFF"/>
        </w:rPr>
        <w:t>,</w:t>
      </w:r>
      <w:r w:rsidR="00B4114B" w:rsidRPr="000A24A2">
        <w:rPr>
          <w:rFonts w:ascii="Arial" w:hAnsi="Arial" w:cs="Arial"/>
          <w:sz w:val="24"/>
          <w:szCs w:val="24"/>
          <w:shd w:val="clear" w:color="auto" w:fill="FFFFFF"/>
        </w:rPr>
        <w:t xml:space="preserve"> starting with the most serious, wounding with intent to cause grievously bodily harm</w:t>
      </w:r>
      <w:r w:rsidR="000A24A2">
        <w:rPr>
          <w:rFonts w:ascii="Arial" w:hAnsi="Arial" w:cs="Arial"/>
          <w:sz w:val="24"/>
          <w:szCs w:val="24"/>
          <w:shd w:val="clear" w:color="auto" w:fill="FFFFFF"/>
        </w:rPr>
        <w:t xml:space="preserve"> </w:t>
      </w:r>
      <w:r w:rsidR="00C628BB" w:rsidRPr="000A24A2">
        <w:rPr>
          <w:rFonts w:ascii="Arial" w:hAnsi="Arial" w:cs="Arial"/>
          <w:sz w:val="24"/>
          <w:szCs w:val="24"/>
          <w:shd w:val="clear" w:color="auto" w:fill="FFFFFF"/>
        </w:rPr>
        <w:t>(GBH</w:t>
      </w:r>
      <w:r w:rsidR="00A27BDB" w:rsidRPr="000A24A2">
        <w:rPr>
          <w:rFonts w:ascii="Arial" w:hAnsi="Arial" w:cs="Arial"/>
          <w:sz w:val="24"/>
          <w:szCs w:val="24"/>
          <w:shd w:val="clear" w:color="auto" w:fill="FFFFFF"/>
        </w:rPr>
        <w:t xml:space="preserve">, under section 18), </w:t>
      </w:r>
      <w:r w:rsidR="00B4114B" w:rsidRPr="000A24A2">
        <w:rPr>
          <w:rFonts w:ascii="Arial" w:hAnsi="Arial" w:cs="Arial"/>
          <w:sz w:val="24"/>
          <w:szCs w:val="24"/>
          <w:shd w:val="clear" w:color="auto" w:fill="FFFFFF"/>
        </w:rPr>
        <w:t>maliciously wounding or inflicting GBH</w:t>
      </w:r>
      <w:r w:rsidR="003F592A" w:rsidRPr="000A24A2">
        <w:rPr>
          <w:rFonts w:ascii="Arial" w:hAnsi="Arial" w:cs="Arial"/>
          <w:sz w:val="24"/>
          <w:szCs w:val="24"/>
          <w:shd w:val="clear" w:color="auto" w:fill="FFFFFF"/>
        </w:rPr>
        <w:t xml:space="preserve"> </w:t>
      </w:r>
      <w:r w:rsidR="00A27BDB" w:rsidRPr="000A24A2">
        <w:rPr>
          <w:rFonts w:ascii="Arial" w:hAnsi="Arial" w:cs="Arial"/>
          <w:sz w:val="24"/>
          <w:szCs w:val="24"/>
          <w:shd w:val="clear" w:color="auto" w:fill="FFFFFF"/>
        </w:rPr>
        <w:t xml:space="preserve">(under section 20), </w:t>
      </w:r>
      <w:r w:rsidR="00B4114B" w:rsidRPr="000A24A2">
        <w:rPr>
          <w:rFonts w:ascii="Arial" w:hAnsi="Arial" w:cs="Arial"/>
          <w:sz w:val="24"/>
          <w:szCs w:val="24"/>
          <w:shd w:val="clear" w:color="auto" w:fill="FFFFFF"/>
        </w:rPr>
        <w:t>assault occasioning actual bodily harm (ABH</w:t>
      </w:r>
      <w:r w:rsidR="00A27BDB" w:rsidRPr="000A24A2">
        <w:rPr>
          <w:rFonts w:ascii="Arial" w:hAnsi="Arial" w:cs="Arial"/>
          <w:sz w:val="24"/>
          <w:szCs w:val="24"/>
          <w:shd w:val="clear" w:color="auto" w:fill="FFFFFF"/>
        </w:rPr>
        <w:t xml:space="preserve">, under section 47) </w:t>
      </w:r>
      <w:r w:rsidR="00C628BB" w:rsidRPr="000A24A2">
        <w:rPr>
          <w:rFonts w:ascii="Arial" w:hAnsi="Arial" w:cs="Arial"/>
          <w:sz w:val="24"/>
          <w:szCs w:val="24"/>
          <w:shd w:val="clear" w:color="auto" w:fill="FFFFFF"/>
        </w:rPr>
        <w:t>and assault and battery (</w:t>
      </w:r>
      <w:r w:rsidR="004A3E15" w:rsidRPr="000A24A2">
        <w:rPr>
          <w:rFonts w:ascii="Arial" w:hAnsi="Arial" w:cs="Arial"/>
          <w:sz w:val="24"/>
          <w:szCs w:val="24"/>
          <w:shd w:val="clear" w:color="auto" w:fill="FFFFFF"/>
        </w:rPr>
        <w:t>Child, Ormerod, 2019</w:t>
      </w:r>
      <w:r w:rsidR="00A27B9A" w:rsidRPr="000A24A2">
        <w:rPr>
          <w:rFonts w:ascii="Arial" w:hAnsi="Arial" w:cs="Arial"/>
          <w:sz w:val="24"/>
          <w:szCs w:val="24"/>
          <w:shd w:val="clear" w:color="auto" w:fill="FFFFFF"/>
        </w:rPr>
        <w:t>, 219</w:t>
      </w:r>
      <w:r w:rsidR="00C628BB" w:rsidRPr="000A24A2">
        <w:rPr>
          <w:rFonts w:ascii="Arial" w:hAnsi="Arial" w:cs="Arial"/>
          <w:sz w:val="24"/>
          <w:szCs w:val="24"/>
          <w:shd w:val="clear" w:color="auto" w:fill="FFFFFF"/>
        </w:rPr>
        <w:t>).</w:t>
      </w:r>
      <w:r w:rsidR="00783077" w:rsidRPr="000A24A2">
        <w:rPr>
          <w:rFonts w:ascii="Arial" w:hAnsi="Arial" w:cs="Arial"/>
          <w:sz w:val="24"/>
          <w:szCs w:val="24"/>
          <w:shd w:val="clear" w:color="auto" w:fill="FFFFFF"/>
        </w:rPr>
        <w:t xml:space="preserve"> </w:t>
      </w:r>
      <w:r w:rsidR="003841A5" w:rsidRPr="000A24A2">
        <w:rPr>
          <w:rFonts w:ascii="Arial" w:hAnsi="Arial" w:cs="Arial"/>
          <w:sz w:val="24"/>
          <w:szCs w:val="24"/>
          <w:shd w:val="clear" w:color="auto" w:fill="FFFFFF"/>
        </w:rPr>
        <w:t xml:space="preserve">Assault and Battery also comes under the Criminal Justice Act 1998 </w:t>
      </w:r>
      <w:bookmarkStart w:id="0" w:name="_Hlk65754633"/>
      <w:r w:rsidR="003841A5" w:rsidRPr="000A24A2">
        <w:rPr>
          <w:rFonts w:ascii="Arial" w:hAnsi="Arial" w:cs="Arial"/>
          <w:sz w:val="24"/>
          <w:szCs w:val="24"/>
          <w:shd w:val="clear" w:color="auto" w:fill="FFFFFF"/>
        </w:rPr>
        <w:t>(</w:t>
      </w:r>
      <w:r w:rsidR="00CA4D91" w:rsidRPr="000A24A2">
        <w:rPr>
          <w:rFonts w:ascii="Arial" w:hAnsi="Arial" w:cs="Arial"/>
          <w:sz w:val="24"/>
          <w:szCs w:val="24"/>
          <w:shd w:val="clear" w:color="auto" w:fill="FFFFFF"/>
        </w:rPr>
        <w:t>Criminal Justice Act 1998</w:t>
      </w:r>
      <w:r w:rsidR="003841A5" w:rsidRPr="000A24A2">
        <w:rPr>
          <w:rFonts w:ascii="Arial" w:hAnsi="Arial" w:cs="Arial"/>
          <w:sz w:val="24"/>
          <w:szCs w:val="24"/>
          <w:shd w:val="clear" w:color="auto" w:fill="FFFFFF"/>
        </w:rPr>
        <w:t>)</w:t>
      </w:r>
      <w:bookmarkEnd w:id="0"/>
      <w:r w:rsidR="00CA4D91" w:rsidRPr="000A24A2">
        <w:rPr>
          <w:rFonts w:ascii="Arial" w:hAnsi="Arial" w:cs="Arial"/>
          <w:sz w:val="24"/>
          <w:szCs w:val="24"/>
          <w:shd w:val="clear" w:color="auto" w:fill="FFFFFF"/>
        </w:rPr>
        <w:t xml:space="preserve">. </w:t>
      </w:r>
      <w:r w:rsidR="00783077" w:rsidRPr="000A24A2">
        <w:rPr>
          <w:rFonts w:ascii="Arial" w:hAnsi="Arial" w:cs="Arial"/>
          <w:sz w:val="24"/>
          <w:szCs w:val="24"/>
          <w:shd w:val="clear" w:color="auto" w:fill="FFFFFF"/>
        </w:rPr>
        <w:t xml:space="preserve">Offences against the person act has been in place for over 150 years, </w:t>
      </w:r>
      <w:r w:rsidR="00AF7027" w:rsidRPr="000A24A2">
        <w:rPr>
          <w:rFonts w:ascii="Arial" w:hAnsi="Arial" w:cs="Arial"/>
          <w:sz w:val="24"/>
          <w:szCs w:val="24"/>
          <w:shd w:val="clear" w:color="auto" w:fill="FFFFFF"/>
        </w:rPr>
        <w:t xml:space="preserve">over that time </w:t>
      </w:r>
      <w:r w:rsidR="00A41E57" w:rsidRPr="000A24A2">
        <w:rPr>
          <w:rFonts w:ascii="Arial" w:hAnsi="Arial" w:cs="Arial"/>
          <w:sz w:val="24"/>
          <w:szCs w:val="24"/>
          <w:shd w:val="clear" w:color="auto" w:fill="FFFFFF"/>
        </w:rPr>
        <w:t xml:space="preserve">there has </w:t>
      </w:r>
      <w:r w:rsidR="00AF7027" w:rsidRPr="000A24A2">
        <w:rPr>
          <w:rFonts w:ascii="Arial" w:hAnsi="Arial" w:cs="Arial"/>
          <w:sz w:val="24"/>
          <w:szCs w:val="24"/>
          <w:shd w:val="clear" w:color="auto" w:fill="FFFFFF"/>
        </w:rPr>
        <w:t xml:space="preserve">been many </w:t>
      </w:r>
      <w:r w:rsidR="00A41E57" w:rsidRPr="000A24A2">
        <w:rPr>
          <w:rFonts w:ascii="Arial" w:hAnsi="Arial" w:cs="Arial"/>
          <w:sz w:val="24"/>
          <w:szCs w:val="24"/>
          <w:shd w:val="clear" w:color="auto" w:fill="FFFFFF"/>
        </w:rPr>
        <w:t>adjustments,</w:t>
      </w:r>
      <w:r w:rsidR="00AF7027" w:rsidRPr="000A24A2">
        <w:rPr>
          <w:rFonts w:ascii="Arial" w:hAnsi="Arial" w:cs="Arial"/>
          <w:sz w:val="24"/>
          <w:szCs w:val="24"/>
          <w:shd w:val="clear" w:color="auto" w:fill="FFFFFF"/>
        </w:rPr>
        <w:t xml:space="preserve"> changes</w:t>
      </w:r>
      <w:r w:rsidR="00A41E57" w:rsidRPr="000A24A2">
        <w:rPr>
          <w:rFonts w:ascii="Arial" w:hAnsi="Arial" w:cs="Arial"/>
          <w:sz w:val="24"/>
          <w:szCs w:val="24"/>
          <w:shd w:val="clear" w:color="auto" w:fill="FFFFFF"/>
        </w:rPr>
        <w:t xml:space="preserve"> and attempts of reform the most recent being in 2015</w:t>
      </w:r>
      <w:r w:rsidR="00AF7027" w:rsidRPr="000A24A2">
        <w:rPr>
          <w:rFonts w:ascii="Arial" w:hAnsi="Arial" w:cs="Arial"/>
          <w:sz w:val="24"/>
          <w:szCs w:val="24"/>
          <w:shd w:val="clear" w:color="auto" w:fill="FFFFFF"/>
        </w:rPr>
        <w:t>, which has left the law in such a confusing state</w:t>
      </w:r>
      <w:r w:rsidR="00A41E57" w:rsidRPr="000A24A2">
        <w:rPr>
          <w:rFonts w:ascii="Arial" w:hAnsi="Arial" w:cs="Arial"/>
          <w:sz w:val="24"/>
          <w:szCs w:val="24"/>
          <w:shd w:val="clear" w:color="auto" w:fill="FFFFFF"/>
        </w:rPr>
        <w:t xml:space="preserve"> </w:t>
      </w:r>
      <w:r w:rsidR="00C42D25" w:rsidRPr="000A24A2">
        <w:rPr>
          <w:rFonts w:ascii="Arial" w:hAnsi="Arial" w:cs="Arial"/>
          <w:sz w:val="24"/>
          <w:szCs w:val="24"/>
          <w:shd w:val="clear" w:color="auto" w:fill="FFFFFF"/>
        </w:rPr>
        <w:t>(Law Commission, 2015</w:t>
      </w:r>
      <w:r w:rsidR="00B416B1" w:rsidRPr="000A24A2">
        <w:rPr>
          <w:rFonts w:ascii="Arial" w:hAnsi="Arial" w:cs="Arial"/>
          <w:sz w:val="24"/>
          <w:szCs w:val="24"/>
          <w:shd w:val="clear" w:color="auto" w:fill="FFFFFF"/>
        </w:rPr>
        <w:t>a</w:t>
      </w:r>
      <w:r w:rsidR="00C42D25" w:rsidRPr="000A24A2">
        <w:rPr>
          <w:rFonts w:ascii="Arial" w:hAnsi="Arial" w:cs="Arial"/>
          <w:sz w:val="24"/>
          <w:szCs w:val="24"/>
          <w:shd w:val="clear" w:color="auto" w:fill="FFFFFF"/>
        </w:rPr>
        <w:t xml:space="preserve">). </w:t>
      </w:r>
      <w:r w:rsidR="00E0281C" w:rsidRPr="000A24A2">
        <w:rPr>
          <w:rFonts w:ascii="Arial" w:hAnsi="Arial" w:cs="Arial"/>
          <w:sz w:val="24"/>
          <w:szCs w:val="24"/>
          <w:shd w:val="clear" w:color="auto" w:fill="FFFFFF"/>
        </w:rPr>
        <w:t>During 2015 the Law Commission had built on more proposals for the 1998 draft of the Offences against the person bill, the proposal highlighted what is wrong with the current law, such as the complexity</w:t>
      </w:r>
      <w:r w:rsidR="00060A75" w:rsidRPr="000A24A2">
        <w:rPr>
          <w:rFonts w:ascii="Arial" w:hAnsi="Arial" w:cs="Arial"/>
          <w:sz w:val="24"/>
          <w:szCs w:val="24"/>
          <w:shd w:val="clear" w:color="auto" w:fill="FFFFFF"/>
        </w:rPr>
        <w:t xml:space="preserve"> and outdated</w:t>
      </w:r>
      <w:r w:rsidR="00E0281C" w:rsidRPr="000A24A2">
        <w:rPr>
          <w:rFonts w:ascii="Arial" w:hAnsi="Arial" w:cs="Arial"/>
          <w:sz w:val="24"/>
          <w:szCs w:val="24"/>
          <w:shd w:val="clear" w:color="auto" w:fill="FFFFFF"/>
        </w:rPr>
        <w:t xml:space="preserve"> language used</w:t>
      </w:r>
      <w:r w:rsidR="00060A75" w:rsidRPr="000A24A2">
        <w:rPr>
          <w:rFonts w:ascii="Arial" w:hAnsi="Arial" w:cs="Arial"/>
          <w:sz w:val="24"/>
          <w:szCs w:val="24"/>
          <w:shd w:val="clear" w:color="auto" w:fill="FFFFFF"/>
        </w:rPr>
        <w:t>, and the flawed hierarchy (McCombe, 2017). Within this essay the discussion will be on whether the act of non-fatal offences needs to be reformed looking at both sides of the argument.</w:t>
      </w:r>
      <w:r w:rsidR="00591A38">
        <w:rPr>
          <w:rFonts w:ascii="Arial" w:hAnsi="Arial" w:cs="Arial"/>
          <w:sz w:val="24"/>
          <w:szCs w:val="24"/>
          <w:shd w:val="clear" w:color="auto" w:fill="FFFFFF"/>
        </w:rPr>
        <w:t xml:space="preserve"> </w:t>
      </w:r>
    </w:p>
    <w:p w14:paraId="337553A8" w14:textId="371721CF" w:rsidR="00196B0E" w:rsidRPr="000A24A2" w:rsidRDefault="00196B0E" w:rsidP="004B138C">
      <w:pPr>
        <w:spacing w:line="360" w:lineRule="auto"/>
        <w:rPr>
          <w:rFonts w:ascii="Arial" w:hAnsi="Arial" w:cs="Arial"/>
          <w:sz w:val="24"/>
          <w:szCs w:val="24"/>
          <w:shd w:val="clear" w:color="auto" w:fill="FFFFFF"/>
        </w:rPr>
      </w:pPr>
    </w:p>
    <w:p w14:paraId="569D9AAD" w14:textId="5F3E7E11" w:rsidR="00C01ED4" w:rsidRPr="000A24A2" w:rsidRDefault="00196B0E" w:rsidP="004B138C">
      <w:pPr>
        <w:spacing w:line="360" w:lineRule="auto"/>
        <w:rPr>
          <w:rFonts w:ascii="Arial" w:hAnsi="Arial" w:cs="Arial"/>
          <w:sz w:val="24"/>
          <w:szCs w:val="24"/>
          <w:shd w:val="clear" w:color="auto" w:fill="FFFFFF"/>
        </w:rPr>
      </w:pPr>
      <w:r w:rsidRPr="000A24A2">
        <w:rPr>
          <w:rFonts w:ascii="Arial" w:hAnsi="Arial" w:cs="Arial"/>
          <w:sz w:val="24"/>
          <w:szCs w:val="24"/>
          <w:shd w:val="clear" w:color="auto" w:fill="FFFFFF"/>
        </w:rPr>
        <w:t xml:space="preserve">During the </w:t>
      </w:r>
      <w:r w:rsidR="00B63276" w:rsidRPr="000A24A2">
        <w:rPr>
          <w:rFonts w:ascii="Arial" w:hAnsi="Arial" w:cs="Arial"/>
          <w:sz w:val="24"/>
          <w:szCs w:val="24"/>
          <w:shd w:val="clear" w:color="auto" w:fill="FFFFFF"/>
        </w:rPr>
        <w:t xml:space="preserve">most recent </w:t>
      </w:r>
      <w:r w:rsidRPr="000A24A2">
        <w:rPr>
          <w:rFonts w:ascii="Arial" w:hAnsi="Arial" w:cs="Arial"/>
          <w:sz w:val="24"/>
          <w:szCs w:val="24"/>
          <w:shd w:val="clear" w:color="auto" w:fill="FFFFFF"/>
        </w:rPr>
        <w:t xml:space="preserve">report </w:t>
      </w:r>
      <w:r w:rsidR="00B63276" w:rsidRPr="000A24A2">
        <w:rPr>
          <w:rFonts w:ascii="Arial" w:hAnsi="Arial" w:cs="Arial"/>
          <w:sz w:val="24"/>
          <w:szCs w:val="24"/>
          <w:shd w:val="clear" w:color="auto" w:fill="FFFFFF"/>
        </w:rPr>
        <w:t xml:space="preserve">in 2015 </w:t>
      </w:r>
      <w:r w:rsidRPr="000A24A2">
        <w:rPr>
          <w:rFonts w:ascii="Arial" w:hAnsi="Arial" w:cs="Arial"/>
          <w:sz w:val="24"/>
          <w:szCs w:val="24"/>
          <w:shd w:val="clear" w:color="auto" w:fill="FFFFFF"/>
        </w:rPr>
        <w:t xml:space="preserve">by the Law commission it talks about </w:t>
      </w:r>
      <w:r w:rsidR="00B63276" w:rsidRPr="000A24A2">
        <w:rPr>
          <w:rFonts w:ascii="Arial" w:hAnsi="Arial" w:cs="Arial"/>
          <w:sz w:val="24"/>
          <w:szCs w:val="24"/>
          <w:shd w:val="clear" w:color="auto" w:fill="FFFFFF"/>
        </w:rPr>
        <w:t xml:space="preserve">the changes that is taken from the 1985 and 1989 drafts and what has been added within the 2015 </w:t>
      </w:r>
      <w:r w:rsidR="00640AB7" w:rsidRPr="000A24A2">
        <w:rPr>
          <w:rFonts w:ascii="Arial" w:hAnsi="Arial" w:cs="Arial"/>
          <w:sz w:val="24"/>
          <w:szCs w:val="24"/>
          <w:shd w:val="clear" w:color="auto" w:fill="FFFFFF"/>
        </w:rPr>
        <w:t>model</w:t>
      </w:r>
      <w:r w:rsidR="00C01ED4" w:rsidRPr="000A24A2">
        <w:rPr>
          <w:rFonts w:ascii="Arial" w:hAnsi="Arial" w:cs="Arial"/>
          <w:sz w:val="24"/>
          <w:szCs w:val="24"/>
          <w:shd w:val="clear" w:color="auto" w:fill="FFFFFF"/>
        </w:rPr>
        <w:t xml:space="preserve">, to </w:t>
      </w:r>
      <w:r w:rsidR="001550C5" w:rsidRPr="000A24A2">
        <w:rPr>
          <w:rFonts w:ascii="Arial" w:hAnsi="Arial" w:cs="Arial"/>
          <w:sz w:val="24"/>
          <w:szCs w:val="24"/>
          <w:shd w:val="clear" w:color="auto" w:fill="FFFFFF"/>
        </w:rPr>
        <w:t xml:space="preserve">remodel the current laws on non-fatal offences. </w:t>
      </w:r>
      <w:r w:rsidR="00DD1BE7" w:rsidRPr="000A24A2">
        <w:rPr>
          <w:rFonts w:ascii="Arial" w:hAnsi="Arial" w:cs="Arial"/>
          <w:sz w:val="24"/>
          <w:szCs w:val="24"/>
          <w:shd w:val="clear" w:color="auto" w:fill="FFFFFF"/>
        </w:rPr>
        <w:t>The offences of assault and battery have been highlighted, the current law on assault, i</w:t>
      </w:r>
      <w:r w:rsidR="00A30CA1" w:rsidRPr="000A24A2">
        <w:rPr>
          <w:rFonts w:ascii="Arial" w:hAnsi="Arial" w:cs="Arial"/>
          <w:sz w:val="24"/>
          <w:szCs w:val="24"/>
          <w:shd w:val="clear" w:color="auto" w:fill="FFFFFF"/>
        </w:rPr>
        <w:t xml:space="preserve">s </w:t>
      </w:r>
      <w:r w:rsidR="00431877" w:rsidRPr="000A24A2">
        <w:rPr>
          <w:rFonts w:ascii="Arial" w:hAnsi="Arial" w:cs="Arial"/>
          <w:sz w:val="24"/>
          <w:szCs w:val="24"/>
          <w:shd w:val="clear" w:color="auto" w:fill="FFFFFF"/>
        </w:rPr>
        <w:t>the defendant intentionally and recklessly threatens to cause unlawful violence on the victim,</w:t>
      </w:r>
      <w:r w:rsidR="007C602E" w:rsidRPr="000A24A2">
        <w:rPr>
          <w:rFonts w:ascii="Arial" w:hAnsi="Arial" w:cs="Arial"/>
          <w:sz w:val="24"/>
          <w:szCs w:val="24"/>
          <w:shd w:val="clear" w:color="auto" w:fill="FFFFFF"/>
        </w:rPr>
        <w:t xml:space="preserve"> R v Constanza (1997), this case examines w</w:t>
      </w:r>
      <w:r w:rsidR="00914A43" w:rsidRPr="000A24A2">
        <w:rPr>
          <w:rFonts w:ascii="Arial" w:hAnsi="Arial" w:cs="Arial"/>
          <w:sz w:val="24"/>
          <w:szCs w:val="24"/>
          <w:shd w:val="clear" w:color="auto" w:fill="FFFFFF"/>
        </w:rPr>
        <w:t>h</w:t>
      </w:r>
      <w:r w:rsidR="007C602E" w:rsidRPr="000A24A2">
        <w:rPr>
          <w:rFonts w:ascii="Arial" w:hAnsi="Arial" w:cs="Arial"/>
          <w:sz w:val="24"/>
          <w:szCs w:val="24"/>
          <w:shd w:val="clear" w:color="auto" w:fill="FFFFFF"/>
        </w:rPr>
        <w:t xml:space="preserve">ether just words alone could </w:t>
      </w:r>
      <w:r w:rsidR="00914A43" w:rsidRPr="000A24A2">
        <w:rPr>
          <w:rFonts w:ascii="Arial" w:hAnsi="Arial" w:cs="Arial"/>
          <w:sz w:val="24"/>
          <w:szCs w:val="24"/>
          <w:shd w:val="clear" w:color="auto" w:fill="FFFFFF"/>
        </w:rPr>
        <w:t>cause fear and mean violence</w:t>
      </w:r>
      <w:r w:rsidR="007C602E" w:rsidRPr="000A24A2">
        <w:rPr>
          <w:rFonts w:ascii="Arial" w:hAnsi="Arial" w:cs="Arial"/>
          <w:sz w:val="24"/>
          <w:szCs w:val="24"/>
          <w:shd w:val="clear" w:color="auto" w:fill="FFFFFF"/>
        </w:rPr>
        <w:t>,</w:t>
      </w:r>
      <w:r w:rsidR="00914A43" w:rsidRPr="000A24A2">
        <w:rPr>
          <w:rFonts w:ascii="Arial" w:hAnsi="Arial" w:cs="Arial"/>
          <w:sz w:val="24"/>
          <w:szCs w:val="24"/>
          <w:shd w:val="clear" w:color="auto" w:fill="FFFFFF"/>
        </w:rPr>
        <w:t xml:space="preserve"> where a man was convicted of ABH for following a ex-colleague, for two years sending letters, making silent phone calls, visited her without consent and wrote offensive words on her front door, and also receiving letters containing threatening language, which cause her to suffer from anxiety and depression due to these acts. </w:t>
      </w:r>
      <w:r w:rsidR="00082A68" w:rsidRPr="000A24A2">
        <w:rPr>
          <w:rFonts w:ascii="Arial" w:hAnsi="Arial" w:cs="Arial"/>
          <w:sz w:val="24"/>
          <w:szCs w:val="24"/>
          <w:shd w:val="clear" w:color="auto" w:fill="FFFFFF"/>
        </w:rPr>
        <w:t>Battery</w:t>
      </w:r>
      <w:r w:rsidR="00431877" w:rsidRPr="000A24A2">
        <w:rPr>
          <w:rFonts w:ascii="Arial" w:hAnsi="Arial" w:cs="Arial"/>
          <w:sz w:val="24"/>
          <w:szCs w:val="24"/>
          <w:shd w:val="clear" w:color="auto" w:fill="FFFFFF"/>
        </w:rPr>
        <w:t xml:space="preserve"> is the defendant</w:t>
      </w:r>
      <w:r w:rsidR="00914A43" w:rsidRPr="000A24A2">
        <w:rPr>
          <w:rFonts w:ascii="Arial" w:hAnsi="Arial" w:cs="Arial"/>
          <w:sz w:val="24"/>
          <w:szCs w:val="24"/>
          <w:shd w:val="clear" w:color="auto" w:fill="FFFFFF"/>
        </w:rPr>
        <w:t xml:space="preserve"> </w:t>
      </w:r>
      <w:r w:rsidR="00082A68" w:rsidRPr="000A24A2">
        <w:rPr>
          <w:rFonts w:ascii="Arial" w:hAnsi="Arial" w:cs="Arial"/>
          <w:sz w:val="24"/>
          <w:szCs w:val="24"/>
          <w:shd w:val="clear" w:color="auto" w:fill="FFFFFF"/>
        </w:rPr>
        <w:t xml:space="preserve">having to use physical </w:t>
      </w:r>
      <w:r w:rsidR="00082A68" w:rsidRPr="000A24A2">
        <w:rPr>
          <w:rFonts w:ascii="Arial" w:hAnsi="Arial" w:cs="Arial"/>
          <w:sz w:val="24"/>
          <w:szCs w:val="24"/>
          <w:shd w:val="clear" w:color="auto" w:fill="FFFFFF"/>
        </w:rPr>
        <w:lastRenderedPageBreak/>
        <w:t xml:space="preserve">contact, which is a simple as a touch or </w:t>
      </w:r>
      <w:r w:rsidR="00431877" w:rsidRPr="000A24A2">
        <w:rPr>
          <w:rFonts w:ascii="Arial" w:hAnsi="Arial" w:cs="Arial"/>
          <w:sz w:val="24"/>
          <w:szCs w:val="24"/>
          <w:shd w:val="clear" w:color="auto" w:fill="FFFFFF"/>
        </w:rPr>
        <w:t>causing actual physical violence to the victim.</w:t>
      </w:r>
      <w:r w:rsidR="00914A43" w:rsidRPr="000A24A2">
        <w:rPr>
          <w:rFonts w:ascii="Arial" w:hAnsi="Arial" w:cs="Arial"/>
          <w:sz w:val="24"/>
          <w:szCs w:val="24"/>
          <w:shd w:val="clear" w:color="auto" w:fill="FFFFFF"/>
        </w:rPr>
        <w:t xml:space="preserve"> </w:t>
      </w:r>
      <w:r w:rsidR="00082A68" w:rsidRPr="000A24A2">
        <w:rPr>
          <w:rFonts w:ascii="Arial" w:hAnsi="Arial" w:cs="Arial"/>
          <w:sz w:val="24"/>
          <w:szCs w:val="24"/>
          <w:shd w:val="clear" w:color="auto" w:fill="FFFFFF"/>
        </w:rPr>
        <w:t xml:space="preserve">An example of case law for this is R v Thomas (1985), where a school caretaker was found guilty on two accounts of indecent assaults under Sexual Offences Act 1956, where the caretaker rubbed the bottom of an </w:t>
      </w:r>
      <w:r w:rsidR="00791995" w:rsidRPr="000A24A2">
        <w:rPr>
          <w:rFonts w:ascii="Arial" w:hAnsi="Arial" w:cs="Arial"/>
          <w:sz w:val="24"/>
          <w:szCs w:val="24"/>
          <w:shd w:val="clear" w:color="auto" w:fill="FFFFFF"/>
        </w:rPr>
        <w:t>11-year-olds</w:t>
      </w:r>
      <w:r w:rsidR="00082A68" w:rsidRPr="000A24A2">
        <w:rPr>
          <w:rFonts w:ascii="Arial" w:hAnsi="Arial" w:cs="Arial"/>
          <w:sz w:val="24"/>
          <w:szCs w:val="24"/>
          <w:shd w:val="clear" w:color="auto" w:fill="FFFFFF"/>
        </w:rPr>
        <w:t xml:space="preserve"> girls skirt and had lifted it on two different occasions, the other time was touching a </w:t>
      </w:r>
      <w:r w:rsidR="00791995" w:rsidRPr="000A24A2">
        <w:rPr>
          <w:rFonts w:ascii="Arial" w:hAnsi="Arial" w:cs="Arial"/>
          <w:sz w:val="24"/>
          <w:szCs w:val="24"/>
          <w:shd w:val="clear" w:color="auto" w:fill="FFFFFF"/>
        </w:rPr>
        <w:t>12-year-olds</w:t>
      </w:r>
      <w:r w:rsidR="00082A68" w:rsidRPr="000A24A2">
        <w:rPr>
          <w:rFonts w:ascii="Arial" w:hAnsi="Arial" w:cs="Arial"/>
          <w:sz w:val="24"/>
          <w:szCs w:val="24"/>
          <w:shd w:val="clear" w:color="auto" w:fill="FFFFFF"/>
        </w:rPr>
        <w:t xml:space="preserve"> skirt and rubbed it. </w:t>
      </w:r>
      <w:r w:rsidR="00791995" w:rsidRPr="000A24A2">
        <w:rPr>
          <w:rFonts w:ascii="Arial" w:hAnsi="Arial" w:cs="Arial"/>
          <w:sz w:val="24"/>
          <w:szCs w:val="24"/>
          <w:shd w:val="clear" w:color="auto" w:fill="FFFFFF"/>
        </w:rPr>
        <w:t>When looking at assault and battery together there are clear differences between them when looking at the actus reus between them, but when looking at the words of assault and common assault, they are interchangeable which then causes a lot of scepticism as to what they actually mean. This is because</w:t>
      </w:r>
      <w:r w:rsidR="004B138C" w:rsidRPr="000A24A2">
        <w:rPr>
          <w:rFonts w:ascii="Arial" w:hAnsi="Arial" w:cs="Arial"/>
          <w:sz w:val="24"/>
          <w:szCs w:val="24"/>
          <w:shd w:val="clear" w:color="auto" w:fill="FFFFFF"/>
        </w:rPr>
        <w:t xml:space="preserve"> </w:t>
      </w:r>
      <w:r w:rsidR="00791995" w:rsidRPr="000A24A2">
        <w:rPr>
          <w:rFonts w:ascii="Arial" w:hAnsi="Arial" w:cs="Arial"/>
          <w:sz w:val="24"/>
          <w:szCs w:val="24"/>
          <w:shd w:val="clear" w:color="auto" w:fill="FFFFFF"/>
        </w:rPr>
        <w:t xml:space="preserve">the term ‘battery’ is hardly used in the modern language, </w:t>
      </w:r>
      <w:r w:rsidR="004B138C" w:rsidRPr="000A24A2">
        <w:rPr>
          <w:rFonts w:ascii="Arial" w:hAnsi="Arial" w:cs="Arial"/>
          <w:sz w:val="24"/>
          <w:szCs w:val="24"/>
          <w:shd w:val="clear" w:color="auto" w:fill="FFFFFF"/>
        </w:rPr>
        <w:t>due to the word being complex and having other meanings. The Law commission sees these offences as being complicated and hard to understand, that they make it hard to understand that it causes confusion in court. To fix this the Law commissions recommends relabelling the offences of assault to ‘threatened assault’ and battery to ‘physical assault’ (Demetriou, 2016).</w:t>
      </w:r>
      <w:r w:rsidR="00B416B1" w:rsidRPr="000A24A2">
        <w:rPr>
          <w:rFonts w:ascii="Arial" w:hAnsi="Arial" w:cs="Arial"/>
          <w:sz w:val="24"/>
          <w:szCs w:val="24"/>
          <w:shd w:val="clear" w:color="auto" w:fill="FFFFFF"/>
        </w:rPr>
        <w:t xml:space="preserve"> The new Offence ‘aggravated assault’ would be in place to make the space between common assault and </w:t>
      </w:r>
      <w:r w:rsidR="00B416B1" w:rsidRPr="000A24A2">
        <w:rPr>
          <w:rFonts w:ascii="Arial" w:hAnsi="Arial" w:cs="Arial"/>
          <w:sz w:val="24"/>
          <w:szCs w:val="24"/>
          <w:shd w:val="clear" w:color="auto" w:fill="FFFFFF"/>
        </w:rPr>
        <w:t>assault occasioning actual bodily harm (ABH</w:t>
      </w:r>
      <w:r w:rsidR="00B416B1" w:rsidRPr="000A24A2">
        <w:rPr>
          <w:rFonts w:ascii="Arial" w:hAnsi="Arial" w:cs="Arial"/>
          <w:sz w:val="24"/>
          <w:szCs w:val="24"/>
          <w:shd w:val="clear" w:color="auto" w:fill="FFFFFF"/>
        </w:rPr>
        <w:t xml:space="preserve">), this is due to the fact that there are lots of cases that do not fit into either </w:t>
      </w:r>
      <w:r w:rsidR="00CC0E9E" w:rsidRPr="000A24A2">
        <w:rPr>
          <w:rFonts w:ascii="Arial" w:hAnsi="Arial" w:cs="Arial"/>
          <w:sz w:val="24"/>
          <w:szCs w:val="24"/>
          <w:shd w:val="clear" w:color="auto" w:fill="FFFFFF"/>
        </w:rPr>
        <w:t>common assault and ABH, there fore this will save time and money when dealing with these offences due to the fact they will be able to deal with them within the magistrates court, which also means that these cases will be deal within the correct level, which means they will not need to be dealt with in the more costly crown court (Law Commission, 2015b).</w:t>
      </w:r>
    </w:p>
    <w:p w14:paraId="5E4FF2F1" w14:textId="77777777" w:rsidR="00732DEE" w:rsidRPr="000A24A2" w:rsidRDefault="00732DEE" w:rsidP="004B138C">
      <w:pPr>
        <w:spacing w:line="360" w:lineRule="auto"/>
        <w:rPr>
          <w:rFonts w:ascii="Arial" w:hAnsi="Arial" w:cs="Arial"/>
          <w:sz w:val="24"/>
          <w:szCs w:val="24"/>
          <w:shd w:val="clear" w:color="auto" w:fill="FFFFFF"/>
        </w:rPr>
      </w:pPr>
    </w:p>
    <w:p w14:paraId="1CE5DCFB" w14:textId="11C1AC5A" w:rsidR="004E7F1D" w:rsidRPr="000A24A2" w:rsidRDefault="00BA326F" w:rsidP="004B138C">
      <w:pPr>
        <w:spacing w:line="360" w:lineRule="auto"/>
        <w:rPr>
          <w:rFonts w:ascii="Arial" w:hAnsi="Arial" w:cs="Arial"/>
          <w:sz w:val="24"/>
          <w:szCs w:val="24"/>
          <w:shd w:val="clear" w:color="auto" w:fill="FFFFFF"/>
        </w:rPr>
      </w:pPr>
      <w:r w:rsidRPr="000A24A2">
        <w:rPr>
          <w:rFonts w:ascii="Arial" w:hAnsi="Arial" w:cs="Arial"/>
          <w:sz w:val="24"/>
          <w:szCs w:val="24"/>
          <w:shd w:val="clear" w:color="auto" w:fill="FFFFFF"/>
        </w:rPr>
        <w:t>Due to the changes in offences over time, judges are confused and they, struggle to decide on what to do when dealing with certain offences, because of the confusion between the offences. When charged with assault it has a six</w:t>
      </w:r>
      <w:r w:rsidR="00732DEE" w:rsidRPr="000A24A2">
        <w:rPr>
          <w:rFonts w:ascii="Arial" w:hAnsi="Arial" w:cs="Arial"/>
          <w:sz w:val="24"/>
          <w:szCs w:val="24"/>
          <w:shd w:val="clear" w:color="auto" w:fill="FFFFFF"/>
        </w:rPr>
        <w:t>-</w:t>
      </w:r>
      <w:r w:rsidRPr="000A24A2">
        <w:rPr>
          <w:rFonts w:ascii="Arial" w:hAnsi="Arial" w:cs="Arial"/>
          <w:sz w:val="24"/>
          <w:szCs w:val="24"/>
          <w:shd w:val="clear" w:color="auto" w:fill="FFFFFF"/>
        </w:rPr>
        <w:t>month custodial sentence where as ABH has a five-year sentence</w:t>
      </w:r>
      <w:r w:rsidR="00D6289E" w:rsidRPr="000A24A2">
        <w:rPr>
          <w:rFonts w:ascii="Arial" w:hAnsi="Arial" w:cs="Arial"/>
          <w:sz w:val="24"/>
          <w:szCs w:val="24"/>
          <w:shd w:val="clear" w:color="auto" w:fill="FFFFFF"/>
        </w:rPr>
        <w:t xml:space="preserve">, because of the small difference between them </w:t>
      </w:r>
      <w:r w:rsidR="009024C9" w:rsidRPr="000A24A2">
        <w:rPr>
          <w:rFonts w:ascii="Arial" w:hAnsi="Arial" w:cs="Arial"/>
          <w:sz w:val="24"/>
          <w:szCs w:val="24"/>
          <w:shd w:val="clear" w:color="auto" w:fill="FFFFFF"/>
        </w:rPr>
        <w:t>prosecutors</w:t>
      </w:r>
      <w:r w:rsidR="00D6289E" w:rsidRPr="000A24A2">
        <w:rPr>
          <w:rFonts w:ascii="Arial" w:hAnsi="Arial" w:cs="Arial"/>
          <w:sz w:val="24"/>
          <w:szCs w:val="24"/>
          <w:shd w:val="clear" w:color="auto" w:fill="FFFFFF"/>
        </w:rPr>
        <w:t xml:space="preserve"> struggle to decide on whether </w:t>
      </w:r>
      <w:r w:rsidR="006A42B3" w:rsidRPr="000A24A2">
        <w:rPr>
          <w:rFonts w:ascii="Arial" w:hAnsi="Arial" w:cs="Arial"/>
          <w:sz w:val="24"/>
          <w:szCs w:val="24"/>
          <w:shd w:val="clear" w:color="auto" w:fill="FFFFFF"/>
        </w:rPr>
        <w:t xml:space="preserve">to charge with the lesser, quicker a cheaper offence </w:t>
      </w:r>
      <w:r w:rsidR="00105478" w:rsidRPr="000A24A2">
        <w:rPr>
          <w:rFonts w:ascii="Arial" w:hAnsi="Arial" w:cs="Arial"/>
          <w:sz w:val="24"/>
          <w:szCs w:val="24"/>
          <w:shd w:val="clear" w:color="auto" w:fill="FFFFFF"/>
        </w:rPr>
        <w:t>with</w:t>
      </w:r>
      <w:r w:rsidR="006A42B3" w:rsidRPr="000A24A2">
        <w:rPr>
          <w:rFonts w:ascii="Arial" w:hAnsi="Arial" w:cs="Arial"/>
          <w:sz w:val="24"/>
          <w:szCs w:val="24"/>
          <w:shd w:val="clear" w:color="auto" w:fill="FFFFFF"/>
        </w:rPr>
        <w:t xml:space="preserve"> the trail being </w:t>
      </w:r>
      <w:r w:rsidR="00105478" w:rsidRPr="000A24A2">
        <w:rPr>
          <w:rFonts w:ascii="Arial" w:hAnsi="Arial" w:cs="Arial"/>
          <w:sz w:val="24"/>
          <w:szCs w:val="24"/>
          <w:shd w:val="clear" w:color="auto" w:fill="FFFFFF"/>
        </w:rPr>
        <w:t xml:space="preserve">held </w:t>
      </w:r>
      <w:r w:rsidR="006A42B3" w:rsidRPr="000A24A2">
        <w:rPr>
          <w:rFonts w:ascii="Arial" w:hAnsi="Arial" w:cs="Arial"/>
          <w:sz w:val="24"/>
          <w:szCs w:val="24"/>
          <w:shd w:val="clear" w:color="auto" w:fill="FFFFFF"/>
        </w:rPr>
        <w:t xml:space="preserve">in a </w:t>
      </w:r>
      <w:r w:rsidR="00732DEE" w:rsidRPr="000A24A2">
        <w:rPr>
          <w:rFonts w:ascii="Arial" w:hAnsi="Arial" w:cs="Arial"/>
          <w:sz w:val="24"/>
          <w:szCs w:val="24"/>
          <w:shd w:val="clear" w:color="auto" w:fill="FFFFFF"/>
        </w:rPr>
        <w:t>magistrate’s</w:t>
      </w:r>
      <w:r w:rsidR="006A42B3" w:rsidRPr="000A24A2">
        <w:rPr>
          <w:rFonts w:ascii="Arial" w:hAnsi="Arial" w:cs="Arial"/>
          <w:sz w:val="24"/>
          <w:szCs w:val="24"/>
          <w:shd w:val="clear" w:color="auto" w:fill="FFFFFF"/>
        </w:rPr>
        <w:t xml:space="preserve"> court</w:t>
      </w:r>
      <w:r w:rsidR="00105478" w:rsidRPr="000A24A2">
        <w:rPr>
          <w:rFonts w:ascii="Arial" w:hAnsi="Arial" w:cs="Arial"/>
          <w:sz w:val="24"/>
          <w:szCs w:val="24"/>
          <w:shd w:val="clear" w:color="auto" w:fill="FFFFFF"/>
        </w:rPr>
        <w:t>. If the defendant has actually caused injury to the victim</w:t>
      </w:r>
      <w:r w:rsidR="00732DEE" w:rsidRPr="000A24A2">
        <w:rPr>
          <w:rFonts w:ascii="Arial" w:hAnsi="Arial" w:cs="Arial"/>
          <w:sz w:val="24"/>
          <w:szCs w:val="24"/>
          <w:shd w:val="clear" w:color="auto" w:fill="FFFFFF"/>
        </w:rPr>
        <w:t xml:space="preserve">, its impossible not to change the defend with a higher tougher offence, this increases the chances of the case going to a Crown Court which is more expensive and takes a lot more time. With the advice and what has been reviewed a reform would be beneficial due to improving the efficacy and it would reduce the amount of money being used, the criminal justice </w:t>
      </w:r>
      <w:r w:rsidR="00732DEE" w:rsidRPr="000A24A2">
        <w:rPr>
          <w:rFonts w:ascii="Arial" w:hAnsi="Arial" w:cs="Arial"/>
          <w:sz w:val="24"/>
          <w:szCs w:val="24"/>
          <w:shd w:val="clear" w:color="auto" w:fill="FFFFFF"/>
        </w:rPr>
        <w:lastRenderedPageBreak/>
        <w:t>system is struggling financially due to the lack of funding and resources (Eugenicos, 2017).</w:t>
      </w:r>
    </w:p>
    <w:p w14:paraId="407AE636" w14:textId="77777777" w:rsidR="00732DEE" w:rsidRPr="000A24A2" w:rsidRDefault="00732DEE" w:rsidP="004B138C">
      <w:pPr>
        <w:spacing w:line="360" w:lineRule="auto"/>
        <w:rPr>
          <w:rFonts w:ascii="Arial" w:hAnsi="Arial" w:cs="Arial"/>
          <w:color w:val="333333"/>
          <w:shd w:val="clear" w:color="auto" w:fill="FFFFFF"/>
        </w:rPr>
      </w:pPr>
    </w:p>
    <w:p w14:paraId="4161E8A4" w14:textId="41875817" w:rsidR="0026266E" w:rsidRPr="000A24A2" w:rsidRDefault="00D1334C" w:rsidP="004B138C">
      <w:pPr>
        <w:spacing w:line="360" w:lineRule="auto"/>
        <w:rPr>
          <w:rFonts w:ascii="Arial" w:hAnsi="Arial" w:cs="Arial"/>
          <w:sz w:val="24"/>
          <w:szCs w:val="24"/>
          <w:shd w:val="clear" w:color="auto" w:fill="FFFFFF"/>
        </w:rPr>
      </w:pPr>
      <w:r w:rsidRPr="000A24A2">
        <w:rPr>
          <w:rFonts w:ascii="Arial" w:hAnsi="Arial" w:cs="Arial"/>
          <w:sz w:val="24"/>
          <w:szCs w:val="24"/>
          <w:shd w:val="clear" w:color="auto" w:fill="FFFFFF"/>
        </w:rPr>
        <w:t xml:space="preserve">Non-Fatal offences against </w:t>
      </w:r>
      <w:r w:rsidR="0074731B" w:rsidRPr="000A24A2">
        <w:rPr>
          <w:rFonts w:ascii="Arial" w:hAnsi="Arial" w:cs="Arial"/>
          <w:sz w:val="24"/>
          <w:szCs w:val="24"/>
          <w:shd w:val="clear" w:color="auto" w:fill="FFFFFF"/>
        </w:rPr>
        <w:t xml:space="preserve">the </w:t>
      </w:r>
      <w:r w:rsidRPr="000A24A2">
        <w:rPr>
          <w:rFonts w:ascii="Arial" w:hAnsi="Arial" w:cs="Arial"/>
          <w:sz w:val="24"/>
          <w:szCs w:val="24"/>
          <w:shd w:val="clear" w:color="auto" w:fill="FFFFFF"/>
        </w:rPr>
        <w:t xml:space="preserve">person </w:t>
      </w:r>
      <w:r w:rsidR="0074731B" w:rsidRPr="000A24A2">
        <w:rPr>
          <w:rFonts w:ascii="Arial" w:hAnsi="Arial" w:cs="Arial"/>
          <w:sz w:val="24"/>
          <w:szCs w:val="24"/>
          <w:shd w:val="clear" w:color="auto" w:fill="FFFFFF"/>
        </w:rPr>
        <w:t xml:space="preserve">act uses unnecessary and </w:t>
      </w:r>
      <w:r w:rsidR="00C4349A" w:rsidRPr="000A24A2">
        <w:rPr>
          <w:rFonts w:ascii="Arial" w:hAnsi="Arial" w:cs="Arial"/>
          <w:sz w:val="24"/>
          <w:szCs w:val="24"/>
          <w:shd w:val="clear" w:color="auto" w:fill="FFFFFF"/>
        </w:rPr>
        <w:t>old-fashioned</w:t>
      </w:r>
      <w:r w:rsidR="0074731B" w:rsidRPr="000A24A2">
        <w:rPr>
          <w:rFonts w:ascii="Arial" w:hAnsi="Arial" w:cs="Arial"/>
          <w:sz w:val="24"/>
          <w:szCs w:val="24"/>
          <w:shd w:val="clear" w:color="auto" w:fill="FFFFFF"/>
        </w:rPr>
        <w:t xml:space="preserve"> language</w:t>
      </w:r>
      <w:r w:rsidR="00C4349A" w:rsidRPr="000A24A2">
        <w:rPr>
          <w:rFonts w:ascii="Arial" w:hAnsi="Arial" w:cs="Arial"/>
          <w:sz w:val="24"/>
          <w:szCs w:val="24"/>
          <w:shd w:val="clear" w:color="auto" w:fill="FFFFFF"/>
        </w:rPr>
        <w:t>, Jefferson says the act follows a Victorian approach, where it still covers things that are no longer essent</w:t>
      </w:r>
      <w:r w:rsidR="00091812" w:rsidRPr="000A24A2">
        <w:rPr>
          <w:rFonts w:ascii="Arial" w:hAnsi="Arial" w:cs="Arial"/>
          <w:sz w:val="24"/>
          <w:szCs w:val="24"/>
          <w:shd w:val="clear" w:color="auto" w:fill="FFFFFF"/>
        </w:rPr>
        <w:t>i</w:t>
      </w:r>
      <w:r w:rsidR="00C4349A" w:rsidRPr="000A24A2">
        <w:rPr>
          <w:rFonts w:ascii="Arial" w:hAnsi="Arial" w:cs="Arial"/>
          <w:sz w:val="24"/>
          <w:szCs w:val="24"/>
          <w:shd w:val="clear" w:color="auto" w:fill="FFFFFF"/>
        </w:rPr>
        <w:t>a</w:t>
      </w:r>
      <w:r w:rsidR="00A522E6" w:rsidRPr="000A24A2">
        <w:rPr>
          <w:rFonts w:ascii="Arial" w:hAnsi="Arial" w:cs="Arial"/>
          <w:sz w:val="24"/>
          <w:szCs w:val="24"/>
          <w:shd w:val="clear" w:color="auto" w:fill="FFFFFF"/>
        </w:rPr>
        <w:t>l to the current day</w:t>
      </w:r>
      <w:r w:rsidR="00091812" w:rsidRPr="000A24A2">
        <w:rPr>
          <w:rFonts w:ascii="Arial" w:hAnsi="Arial" w:cs="Arial"/>
          <w:sz w:val="24"/>
          <w:szCs w:val="24"/>
          <w:shd w:val="clear" w:color="auto" w:fill="FFFFFF"/>
        </w:rPr>
        <w:t xml:space="preserve">, for example </w:t>
      </w:r>
      <w:r w:rsidR="003C2535" w:rsidRPr="000A24A2">
        <w:rPr>
          <w:rFonts w:ascii="Arial" w:hAnsi="Arial" w:cs="Arial"/>
          <w:sz w:val="24"/>
          <w:szCs w:val="24"/>
        </w:rPr>
        <w:t xml:space="preserve">section 17 offence of impeding a person endeavouring to save himself from a shipwreck. </w:t>
      </w:r>
      <w:r w:rsidR="00B93FC4" w:rsidRPr="000A24A2">
        <w:rPr>
          <w:rFonts w:ascii="Arial" w:hAnsi="Arial" w:cs="Arial"/>
          <w:sz w:val="24"/>
          <w:szCs w:val="24"/>
        </w:rPr>
        <w:t xml:space="preserve">Members of the Law Commission  have said that the act of Non-fatal offences is ‘outdated’ and use language that spoken of today, which has makes it overcomplicated </w:t>
      </w:r>
      <w:r w:rsidRPr="000A24A2">
        <w:rPr>
          <w:rFonts w:ascii="Arial" w:hAnsi="Arial" w:cs="Arial"/>
          <w:sz w:val="24"/>
          <w:szCs w:val="24"/>
        </w:rPr>
        <w:t xml:space="preserve">and difficult to </w:t>
      </w:r>
      <w:r w:rsidR="00B93FC4" w:rsidRPr="000A24A2">
        <w:rPr>
          <w:rFonts w:ascii="Arial" w:hAnsi="Arial" w:cs="Arial"/>
          <w:sz w:val="24"/>
          <w:szCs w:val="24"/>
        </w:rPr>
        <w:t>understand</w:t>
      </w:r>
      <w:r w:rsidR="00273F5D" w:rsidRPr="000A24A2">
        <w:rPr>
          <w:rFonts w:ascii="Arial" w:hAnsi="Arial" w:cs="Arial"/>
          <w:sz w:val="24"/>
          <w:szCs w:val="24"/>
        </w:rPr>
        <w:t xml:space="preserve">, an example of this is, </w:t>
      </w:r>
      <w:bookmarkStart w:id="1" w:name="_Hlk65518747"/>
      <w:r w:rsidR="00273F5D" w:rsidRPr="000A24A2">
        <w:rPr>
          <w:rFonts w:ascii="Arial" w:hAnsi="Arial" w:cs="Arial"/>
          <w:sz w:val="24"/>
          <w:szCs w:val="24"/>
        </w:rPr>
        <w:t>R v Cunningham</w:t>
      </w:r>
      <w:bookmarkEnd w:id="1"/>
      <w:r w:rsidR="00356862" w:rsidRPr="000A24A2">
        <w:rPr>
          <w:rFonts w:ascii="Arial" w:hAnsi="Arial" w:cs="Arial"/>
          <w:sz w:val="24"/>
          <w:szCs w:val="24"/>
        </w:rPr>
        <w:t xml:space="preserve"> (1957)</w:t>
      </w:r>
      <w:r w:rsidR="00273F5D" w:rsidRPr="000A24A2">
        <w:rPr>
          <w:rFonts w:ascii="Arial" w:hAnsi="Arial" w:cs="Arial"/>
          <w:sz w:val="24"/>
          <w:szCs w:val="24"/>
        </w:rPr>
        <w:t>, where the judge wrongfully described the meaning of malicious as wicked, and ill will, which mislead the jury to think that he acted wickedly</w:t>
      </w:r>
      <w:r w:rsidR="008D5289" w:rsidRPr="000A24A2">
        <w:rPr>
          <w:rFonts w:ascii="Arial" w:hAnsi="Arial" w:cs="Arial"/>
          <w:sz w:val="24"/>
          <w:szCs w:val="24"/>
        </w:rPr>
        <w:t>, meaning that the jury was not focusing on the correct details due to the ‘out dated’ language</w:t>
      </w:r>
      <w:r w:rsidRPr="000A24A2">
        <w:rPr>
          <w:rFonts w:ascii="Arial" w:hAnsi="Arial" w:cs="Arial"/>
          <w:sz w:val="24"/>
          <w:szCs w:val="24"/>
        </w:rPr>
        <w:t xml:space="preserve"> (</w:t>
      </w:r>
      <w:r w:rsidRPr="000A24A2">
        <w:rPr>
          <w:rFonts w:ascii="Arial" w:hAnsi="Arial" w:cs="Arial"/>
          <w:sz w:val="24"/>
          <w:szCs w:val="24"/>
          <w:shd w:val="clear" w:color="auto" w:fill="FFFFFF"/>
        </w:rPr>
        <w:t xml:space="preserve">Jefferson, 2012). </w:t>
      </w:r>
      <w:r w:rsidR="008F51E0" w:rsidRPr="000A24A2">
        <w:rPr>
          <w:rFonts w:ascii="Arial" w:hAnsi="Arial" w:cs="Arial"/>
          <w:sz w:val="24"/>
          <w:szCs w:val="24"/>
          <w:shd w:val="clear" w:color="auto" w:fill="FFFFFF"/>
        </w:rPr>
        <w:t xml:space="preserve"> </w:t>
      </w:r>
    </w:p>
    <w:p w14:paraId="24C86CC0" w14:textId="77777777" w:rsidR="00C42D25" w:rsidRPr="000A24A2" w:rsidRDefault="00C42D25" w:rsidP="004B138C">
      <w:pPr>
        <w:spacing w:line="360" w:lineRule="auto"/>
        <w:rPr>
          <w:rFonts w:ascii="Arial" w:hAnsi="Arial" w:cs="Arial"/>
          <w:sz w:val="24"/>
          <w:szCs w:val="24"/>
          <w:shd w:val="clear" w:color="auto" w:fill="FFFFFF"/>
        </w:rPr>
      </w:pPr>
    </w:p>
    <w:p w14:paraId="11603CD9" w14:textId="77777777" w:rsidR="0026266E" w:rsidRPr="000A24A2" w:rsidRDefault="0026266E" w:rsidP="0026266E">
      <w:pPr>
        <w:spacing w:line="360" w:lineRule="auto"/>
        <w:rPr>
          <w:rFonts w:ascii="Arial" w:hAnsi="Arial" w:cs="Arial"/>
          <w:sz w:val="24"/>
          <w:szCs w:val="24"/>
          <w:shd w:val="clear" w:color="auto" w:fill="FFFFFF"/>
        </w:rPr>
      </w:pPr>
      <w:r w:rsidRPr="000A24A2">
        <w:rPr>
          <w:rFonts w:ascii="Arial" w:hAnsi="Arial" w:cs="Arial"/>
          <w:sz w:val="24"/>
          <w:szCs w:val="24"/>
          <w:shd w:val="clear" w:color="auto" w:fill="FFFFFF"/>
        </w:rPr>
        <w:t>There are many people arguing against the reform for many reasons, Criminal Bar Association and The Bar Council have argued the point of that they problems within the act are simply speculations and that it has always been successful in the past, saying that it has already provided many examples of case law. However, they did mention that it would be sufficient to abolish some unnecessary offences and small changes would have a positive impact (Eugenicos, 2017).</w:t>
      </w:r>
    </w:p>
    <w:p w14:paraId="277747F0" w14:textId="77777777" w:rsidR="0026266E" w:rsidRPr="000A24A2" w:rsidRDefault="0026266E" w:rsidP="004B138C">
      <w:pPr>
        <w:spacing w:line="360" w:lineRule="auto"/>
        <w:rPr>
          <w:rFonts w:ascii="Arial" w:hAnsi="Arial" w:cs="Arial"/>
          <w:sz w:val="24"/>
          <w:szCs w:val="24"/>
          <w:shd w:val="clear" w:color="auto" w:fill="FFFFFF"/>
        </w:rPr>
      </w:pPr>
    </w:p>
    <w:p w14:paraId="33A8D98A" w14:textId="1139EC52" w:rsidR="00F548ED" w:rsidRPr="000A24A2" w:rsidRDefault="000861CE" w:rsidP="004B138C">
      <w:pPr>
        <w:spacing w:line="360" w:lineRule="auto"/>
        <w:rPr>
          <w:rFonts w:ascii="Arial" w:hAnsi="Arial" w:cs="Arial"/>
          <w:sz w:val="24"/>
          <w:szCs w:val="24"/>
          <w:shd w:val="clear" w:color="auto" w:fill="FFFFFF"/>
        </w:rPr>
      </w:pPr>
      <w:r w:rsidRPr="000A24A2">
        <w:rPr>
          <w:rFonts w:ascii="Arial" w:hAnsi="Arial" w:cs="Arial"/>
          <w:sz w:val="24"/>
          <w:szCs w:val="24"/>
          <w:shd w:val="clear" w:color="auto" w:fill="FFFFFF"/>
        </w:rPr>
        <w:t xml:space="preserve">The Law Commission </w:t>
      </w:r>
      <w:r w:rsidR="003A6350" w:rsidRPr="000A24A2">
        <w:rPr>
          <w:rFonts w:ascii="Arial" w:hAnsi="Arial" w:cs="Arial"/>
          <w:sz w:val="24"/>
          <w:szCs w:val="24"/>
          <w:shd w:val="clear" w:color="auto" w:fill="FFFFFF"/>
        </w:rPr>
        <w:t>emphasis</w:t>
      </w:r>
      <w:r w:rsidR="00D24972" w:rsidRPr="000A24A2">
        <w:rPr>
          <w:rFonts w:ascii="Arial" w:hAnsi="Arial" w:cs="Arial"/>
          <w:sz w:val="24"/>
          <w:szCs w:val="24"/>
          <w:shd w:val="clear" w:color="auto" w:fill="FFFFFF"/>
        </w:rPr>
        <w:t>es the fact that</w:t>
      </w:r>
      <w:r w:rsidRPr="000A24A2">
        <w:rPr>
          <w:rFonts w:ascii="Arial" w:hAnsi="Arial" w:cs="Arial"/>
          <w:sz w:val="24"/>
          <w:szCs w:val="24"/>
          <w:shd w:val="clear" w:color="auto" w:fill="FFFFFF"/>
        </w:rPr>
        <w:t xml:space="preserve"> in the 2015 report</w:t>
      </w:r>
      <w:r w:rsidR="00D24972" w:rsidRPr="000A24A2">
        <w:rPr>
          <w:rFonts w:ascii="Arial" w:hAnsi="Arial" w:cs="Arial"/>
          <w:sz w:val="24"/>
          <w:szCs w:val="24"/>
          <w:shd w:val="clear" w:color="auto" w:fill="FFFFFF"/>
        </w:rPr>
        <w:t>,</w:t>
      </w:r>
      <w:r w:rsidRPr="000A24A2">
        <w:rPr>
          <w:rFonts w:ascii="Arial" w:hAnsi="Arial" w:cs="Arial"/>
          <w:sz w:val="24"/>
          <w:szCs w:val="24"/>
          <w:shd w:val="clear" w:color="auto" w:fill="FFFFFF"/>
        </w:rPr>
        <w:t xml:space="preserve"> </w:t>
      </w:r>
      <w:r w:rsidR="003A6350" w:rsidRPr="000A24A2">
        <w:rPr>
          <w:rFonts w:ascii="Arial" w:hAnsi="Arial" w:cs="Arial"/>
          <w:sz w:val="24"/>
          <w:szCs w:val="24"/>
          <w:shd w:val="clear" w:color="auto" w:fill="FFFFFF"/>
        </w:rPr>
        <w:t xml:space="preserve">the acts language is </w:t>
      </w:r>
      <w:r w:rsidR="006C6B05" w:rsidRPr="000A24A2">
        <w:rPr>
          <w:rFonts w:ascii="Arial" w:hAnsi="Arial" w:cs="Arial"/>
          <w:sz w:val="24"/>
          <w:szCs w:val="24"/>
          <w:shd w:val="clear" w:color="auto" w:fill="FFFFFF"/>
        </w:rPr>
        <w:t>outdated,</w:t>
      </w:r>
      <w:r w:rsidR="003A6350" w:rsidRPr="000A24A2">
        <w:rPr>
          <w:rFonts w:ascii="Arial" w:hAnsi="Arial" w:cs="Arial"/>
          <w:sz w:val="24"/>
          <w:szCs w:val="24"/>
          <w:shd w:val="clear" w:color="auto" w:fill="FFFFFF"/>
        </w:rPr>
        <w:t xml:space="preserve"> and it </w:t>
      </w:r>
      <w:r w:rsidR="006C6B05" w:rsidRPr="000A24A2">
        <w:rPr>
          <w:rFonts w:ascii="Arial" w:hAnsi="Arial" w:cs="Arial"/>
          <w:sz w:val="24"/>
          <w:szCs w:val="24"/>
          <w:shd w:val="clear" w:color="auto" w:fill="FFFFFF"/>
        </w:rPr>
        <w:t>should not</w:t>
      </w:r>
      <w:r w:rsidR="003A6350" w:rsidRPr="000A24A2">
        <w:rPr>
          <w:rFonts w:ascii="Arial" w:hAnsi="Arial" w:cs="Arial"/>
          <w:sz w:val="24"/>
          <w:szCs w:val="24"/>
          <w:shd w:val="clear" w:color="auto" w:fill="FFFFFF"/>
        </w:rPr>
        <w:t xml:space="preserve"> be used in the 21</w:t>
      </w:r>
      <w:r w:rsidR="003A6350" w:rsidRPr="000A24A2">
        <w:rPr>
          <w:rFonts w:ascii="Arial" w:hAnsi="Arial" w:cs="Arial"/>
          <w:sz w:val="24"/>
          <w:szCs w:val="24"/>
          <w:shd w:val="clear" w:color="auto" w:fill="FFFFFF"/>
          <w:vertAlign w:val="superscript"/>
        </w:rPr>
        <w:t>st</w:t>
      </w:r>
      <w:r w:rsidR="003A6350" w:rsidRPr="000A24A2">
        <w:rPr>
          <w:rFonts w:ascii="Arial" w:hAnsi="Arial" w:cs="Arial"/>
          <w:sz w:val="24"/>
          <w:szCs w:val="24"/>
          <w:shd w:val="clear" w:color="auto" w:fill="FFFFFF"/>
        </w:rPr>
        <w:t xml:space="preserve"> century </w:t>
      </w:r>
      <w:r w:rsidR="00D24972" w:rsidRPr="000A24A2">
        <w:rPr>
          <w:rFonts w:ascii="Arial" w:hAnsi="Arial" w:cs="Arial"/>
          <w:sz w:val="24"/>
          <w:szCs w:val="24"/>
          <w:shd w:val="clear" w:color="auto" w:fill="FFFFFF"/>
        </w:rPr>
        <w:t xml:space="preserve">criminal court. The report has referred to the words ‘detainer’ which </w:t>
      </w:r>
      <w:r w:rsidR="006C6B05" w:rsidRPr="000A24A2">
        <w:rPr>
          <w:rFonts w:ascii="Arial" w:hAnsi="Arial" w:cs="Arial"/>
          <w:sz w:val="24"/>
          <w:szCs w:val="24"/>
          <w:shd w:val="clear" w:color="auto" w:fill="FFFFFF"/>
        </w:rPr>
        <w:t xml:space="preserve">is </w:t>
      </w:r>
      <w:r w:rsidR="00D24972" w:rsidRPr="000A24A2">
        <w:rPr>
          <w:rFonts w:ascii="Arial" w:hAnsi="Arial" w:cs="Arial"/>
          <w:sz w:val="24"/>
          <w:szCs w:val="24"/>
          <w:shd w:val="clear" w:color="auto" w:fill="FFFFFF"/>
        </w:rPr>
        <w:t xml:space="preserve">a word </w:t>
      </w:r>
      <w:r w:rsidR="006C6B05" w:rsidRPr="000A24A2">
        <w:rPr>
          <w:rFonts w:ascii="Arial" w:hAnsi="Arial" w:cs="Arial"/>
          <w:sz w:val="24"/>
          <w:szCs w:val="24"/>
          <w:shd w:val="clear" w:color="auto" w:fill="FFFFFF"/>
        </w:rPr>
        <w:t xml:space="preserve">that is not used in the modern day which came from the Law French, which is an extremely old language. </w:t>
      </w:r>
      <w:r w:rsidR="00766751" w:rsidRPr="000A24A2">
        <w:rPr>
          <w:rFonts w:ascii="Arial" w:hAnsi="Arial" w:cs="Arial"/>
          <w:sz w:val="24"/>
          <w:szCs w:val="24"/>
          <w:shd w:val="clear" w:color="auto" w:fill="FFFFFF"/>
        </w:rPr>
        <w:t xml:space="preserve">It was also noted that words that once have one meaning but now they have a different meaning is used, which cause confusion, such as ‘penal servitude’ which meant something involving hard labour, but now it means imprisonment. </w:t>
      </w:r>
      <w:r w:rsidR="000D2462" w:rsidRPr="000A24A2">
        <w:rPr>
          <w:rFonts w:ascii="Arial" w:hAnsi="Arial" w:cs="Arial"/>
          <w:sz w:val="24"/>
          <w:szCs w:val="24"/>
          <w:shd w:val="clear" w:color="auto" w:fill="FFFFFF"/>
        </w:rPr>
        <w:t xml:space="preserve">When these are used in court, the judge and lay people can become confused due to the confusing language that is used </w:t>
      </w:r>
      <w:bookmarkStart w:id="2" w:name="_Hlk65834490"/>
      <w:r w:rsidR="000D2462" w:rsidRPr="000A24A2">
        <w:rPr>
          <w:rFonts w:ascii="Arial" w:hAnsi="Arial" w:cs="Arial"/>
          <w:sz w:val="24"/>
          <w:szCs w:val="24"/>
          <w:shd w:val="clear" w:color="auto" w:fill="FFFFFF"/>
        </w:rPr>
        <w:t>(Law commission, 2015</w:t>
      </w:r>
      <w:r w:rsidR="00B416B1" w:rsidRPr="000A24A2">
        <w:rPr>
          <w:rFonts w:ascii="Arial" w:hAnsi="Arial" w:cs="Arial"/>
          <w:sz w:val="24"/>
          <w:szCs w:val="24"/>
          <w:shd w:val="clear" w:color="auto" w:fill="FFFFFF"/>
        </w:rPr>
        <w:t>a</w:t>
      </w:r>
      <w:r w:rsidR="000D2462" w:rsidRPr="000A24A2">
        <w:rPr>
          <w:rFonts w:ascii="Arial" w:hAnsi="Arial" w:cs="Arial"/>
          <w:sz w:val="24"/>
          <w:szCs w:val="24"/>
          <w:shd w:val="clear" w:color="auto" w:fill="FFFFFF"/>
        </w:rPr>
        <w:t>)</w:t>
      </w:r>
      <w:r w:rsidR="00B34E87" w:rsidRPr="000A24A2">
        <w:rPr>
          <w:rFonts w:ascii="Arial" w:hAnsi="Arial" w:cs="Arial"/>
          <w:sz w:val="24"/>
          <w:szCs w:val="24"/>
          <w:shd w:val="clear" w:color="auto" w:fill="FFFFFF"/>
        </w:rPr>
        <w:t>.</w:t>
      </w:r>
      <w:bookmarkEnd w:id="2"/>
    </w:p>
    <w:p w14:paraId="27F7167D" w14:textId="4D268F21" w:rsidR="00637FEC" w:rsidRPr="000A24A2" w:rsidRDefault="00637FEC" w:rsidP="004B138C">
      <w:pPr>
        <w:spacing w:line="360" w:lineRule="auto"/>
        <w:rPr>
          <w:rFonts w:ascii="Arial" w:hAnsi="Arial" w:cs="Arial"/>
          <w:sz w:val="36"/>
          <w:szCs w:val="36"/>
          <w:shd w:val="clear" w:color="auto" w:fill="FFFFFF"/>
        </w:rPr>
      </w:pPr>
    </w:p>
    <w:p w14:paraId="6540042D" w14:textId="762BAE2C" w:rsidR="00E04BBA" w:rsidRPr="000A24A2" w:rsidRDefault="00637FEC" w:rsidP="00E04BBA">
      <w:pPr>
        <w:spacing w:line="360" w:lineRule="auto"/>
        <w:rPr>
          <w:rFonts w:ascii="Arial" w:hAnsi="Arial" w:cs="Arial"/>
          <w:sz w:val="24"/>
          <w:szCs w:val="24"/>
        </w:rPr>
      </w:pPr>
      <w:r w:rsidRPr="000A24A2">
        <w:rPr>
          <w:rFonts w:ascii="Arial" w:hAnsi="Arial" w:cs="Arial"/>
          <w:sz w:val="24"/>
          <w:szCs w:val="24"/>
          <w:shd w:val="clear" w:color="auto" w:fill="FFFFFF"/>
        </w:rPr>
        <w:t xml:space="preserve">However, the argument against why it does not need to be reformed is important, the argument that is stated is that the law does not need to be told in a complex way, it </w:t>
      </w:r>
      <w:r w:rsidRPr="000A24A2">
        <w:rPr>
          <w:rFonts w:ascii="Arial" w:hAnsi="Arial" w:cs="Arial"/>
          <w:sz w:val="24"/>
          <w:szCs w:val="24"/>
          <w:shd w:val="clear" w:color="auto" w:fill="FFFFFF"/>
        </w:rPr>
        <w:lastRenderedPageBreak/>
        <w:t xml:space="preserve">can be stated in a clear and straight forward manner, avoiding confusion and complex language. In some cases, there has been complications with the complex language, however the technical terms can also make cases simpler and save time, due to the fact that you do not need to explain what it means in a simple sentence. Furthermore, there is an argument that people already know this </w:t>
      </w:r>
      <w:r w:rsidR="005A7937" w:rsidRPr="000A24A2">
        <w:rPr>
          <w:rFonts w:ascii="Arial" w:hAnsi="Arial" w:cs="Arial"/>
          <w:sz w:val="24"/>
          <w:szCs w:val="24"/>
          <w:shd w:val="clear" w:color="auto" w:fill="FFFFFF"/>
        </w:rPr>
        <w:t>law and</w:t>
      </w:r>
      <w:r w:rsidRPr="000A24A2">
        <w:rPr>
          <w:rFonts w:ascii="Arial" w:hAnsi="Arial" w:cs="Arial"/>
          <w:sz w:val="24"/>
          <w:szCs w:val="24"/>
          <w:shd w:val="clear" w:color="auto" w:fill="FFFFFF"/>
        </w:rPr>
        <w:t xml:space="preserve"> knows what they are able to do and their own rights, the law </w:t>
      </w:r>
      <w:r w:rsidR="00072467" w:rsidRPr="000A24A2">
        <w:rPr>
          <w:rFonts w:ascii="Arial" w:hAnsi="Arial" w:cs="Arial"/>
          <w:sz w:val="24"/>
          <w:szCs w:val="24"/>
          <w:shd w:val="clear" w:color="auto" w:fill="FFFFFF"/>
        </w:rPr>
        <w:t>should not</w:t>
      </w:r>
      <w:r w:rsidRPr="000A24A2">
        <w:rPr>
          <w:rFonts w:ascii="Arial" w:hAnsi="Arial" w:cs="Arial"/>
          <w:sz w:val="24"/>
          <w:szCs w:val="24"/>
          <w:shd w:val="clear" w:color="auto" w:fill="FFFFFF"/>
        </w:rPr>
        <w:t xml:space="preserve"> be changed because this will cause complications between the old laws and the new ones, most people </w:t>
      </w:r>
      <w:r w:rsidR="00E04BBA" w:rsidRPr="000A24A2">
        <w:rPr>
          <w:rFonts w:ascii="Arial" w:hAnsi="Arial" w:cs="Arial"/>
          <w:sz w:val="24"/>
          <w:szCs w:val="24"/>
          <w:shd w:val="clear" w:color="auto" w:fill="FFFFFF"/>
        </w:rPr>
        <w:t>do not</w:t>
      </w:r>
      <w:r w:rsidRPr="000A24A2">
        <w:rPr>
          <w:rFonts w:ascii="Arial" w:hAnsi="Arial" w:cs="Arial"/>
          <w:sz w:val="24"/>
          <w:szCs w:val="24"/>
          <w:shd w:val="clear" w:color="auto" w:fill="FFFFFF"/>
        </w:rPr>
        <w:t xml:space="preserve"> have time to lea</w:t>
      </w:r>
      <w:r w:rsidR="00072467" w:rsidRPr="000A24A2">
        <w:rPr>
          <w:rFonts w:ascii="Arial" w:hAnsi="Arial" w:cs="Arial"/>
          <w:sz w:val="24"/>
          <w:szCs w:val="24"/>
          <w:shd w:val="clear" w:color="auto" w:fill="FFFFFF"/>
        </w:rPr>
        <w:t>r</w:t>
      </w:r>
      <w:r w:rsidRPr="000A24A2">
        <w:rPr>
          <w:rFonts w:ascii="Arial" w:hAnsi="Arial" w:cs="Arial"/>
          <w:sz w:val="24"/>
          <w:szCs w:val="24"/>
          <w:shd w:val="clear" w:color="auto" w:fill="FFFFFF"/>
        </w:rPr>
        <w:t>n the new laws (Gardner 1994).</w:t>
      </w:r>
      <w:r w:rsidR="00E04BBA" w:rsidRPr="000A24A2">
        <w:rPr>
          <w:rFonts w:ascii="Arial" w:hAnsi="Arial" w:cs="Arial"/>
          <w:sz w:val="24"/>
          <w:szCs w:val="24"/>
          <w:shd w:val="clear" w:color="auto" w:fill="FFFFFF"/>
        </w:rPr>
        <w:t xml:space="preserve"> </w:t>
      </w:r>
      <w:r w:rsidR="00E04BBA" w:rsidRPr="000A24A2">
        <w:rPr>
          <w:rFonts w:ascii="Arial" w:hAnsi="Arial" w:cs="Arial"/>
          <w:sz w:val="24"/>
          <w:szCs w:val="24"/>
        </w:rPr>
        <w:t>The London Criminal Courts Solicitors did agree that some of the language needs to be updated to make the act easier and less complicated to understand, however they worry that modernisation will create more problems than it does good, they argue that removing old, outdated acts does little to nothing, compared to the bigger acts that have been added into the act (Law Commission, 2015</w:t>
      </w:r>
      <w:r w:rsidR="00B416B1" w:rsidRPr="000A24A2">
        <w:rPr>
          <w:rFonts w:ascii="Arial" w:hAnsi="Arial" w:cs="Arial"/>
          <w:sz w:val="24"/>
          <w:szCs w:val="24"/>
        </w:rPr>
        <w:t>a</w:t>
      </w:r>
      <w:r w:rsidR="00E04BBA" w:rsidRPr="000A24A2">
        <w:rPr>
          <w:rFonts w:ascii="Arial" w:hAnsi="Arial" w:cs="Arial"/>
          <w:sz w:val="24"/>
          <w:szCs w:val="24"/>
        </w:rPr>
        <w:t>).</w:t>
      </w:r>
    </w:p>
    <w:p w14:paraId="4F16AD1F" w14:textId="77777777" w:rsidR="00D22C11" w:rsidRPr="000A24A2" w:rsidRDefault="00D22C11" w:rsidP="004B138C">
      <w:pPr>
        <w:spacing w:line="360" w:lineRule="auto"/>
        <w:rPr>
          <w:rFonts w:ascii="Arial" w:hAnsi="Arial" w:cs="Arial"/>
          <w:sz w:val="24"/>
          <w:szCs w:val="24"/>
          <w:shd w:val="clear" w:color="auto" w:fill="FFFFFF"/>
        </w:rPr>
      </w:pPr>
    </w:p>
    <w:p w14:paraId="6172445A" w14:textId="3A1926A5" w:rsidR="00637FEC" w:rsidRPr="000A24A2" w:rsidRDefault="003332CF" w:rsidP="004B138C">
      <w:pPr>
        <w:spacing w:line="360" w:lineRule="auto"/>
        <w:rPr>
          <w:rFonts w:ascii="Arial" w:hAnsi="Arial" w:cs="Arial"/>
          <w:sz w:val="24"/>
          <w:szCs w:val="24"/>
          <w:shd w:val="clear" w:color="auto" w:fill="FFFFFF"/>
        </w:rPr>
      </w:pPr>
      <w:r w:rsidRPr="000A24A2">
        <w:rPr>
          <w:rFonts w:ascii="Arial" w:hAnsi="Arial" w:cs="Arial"/>
          <w:sz w:val="24"/>
          <w:szCs w:val="24"/>
          <w:shd w:val="clear" w:color="auto" w:fill="FFFFFF"/>
        </w:rPr>
        <w:t xml:space="preserve">According to the Law Commission, </w:t>
      </w:r>
      <w:r w:rsidR="00F548ED" w:rsidRPr="000A24A2">
        <w:rPr>
          <w:rFonts w:ascii="Arial" w:hAnsi="Arial" w:cs="Arial"/>
          <w:sz w:val="24"/>
          <w:szCs w:val="24"/>
          <w:shd w:val="clear" w:color="auto" w:fill="FFFFFF"/>
        </w:rPr>
        <w:t xml:space="preserve">there is no clear hierarchy </w:t>
      </w:r>
      <w:r w:rsidRPr="000A24A2">
        <w:rPr>
          <w:rFonts w:ascii="Arial" w:hAnsi="Arial" w:cs="Arial"/>
          <w:sz w:val="24"/>
          <w:szCs w:val="24"/>
          <w:shd w:val="clear" w:color="auto" w:fill="FFFFFF"/>
        </w:rPr>
        <w:t>in section 20</w:t>
      </w:r>
      <w:r w:rsidR="000272C2" w:rsidRPr="000A24A2">
        <w:rPr>
          <w:rFonts w:ascii="Arial" w:hAnsi="Arial" w:cs="Arial"/>
          <w:sz w:val="24"/>
          <w:szCs w:val="24"/>
          <w:shd w:val="clear" w:color="auto" w:fill="FFFFFF"/>
        </w:rPr>
        <w:t xml:space="preserve"> which is maliciously wounding or inflicting GBH, and section 47 which is ABH it has been noted that there is a lack of order within these two sections of OAPA </w:t>
      </w:r>
      <w:r w:rsidR="00EA7F8F" w:rsidRPr="000A24A2">
        <w:rPr>
          <w:rFonts w:ascii="Arial" w:hAnsi="Arial" w:cs="Arial"/>
          <w:sz w:val="24"/>
          <w:szCs w:val="24"/>
          <w:shd w:val="clear" w:color="auto" w:fill="FFFFFF"/>
        </w:rPr>
        <w:t xml:space="preserve">1861, there is a lack of coherence between </w:t>
      </w:r>
      <w:r w:rsidR="004C5506" w:rsidRPr="000A24A2">
        <w:rPr>
          <w:rFonts w:ascii="Arial" w:hAnsi="Arial" w:cs="Arial"/>
          <w:sz w:val="24"/>
          <w:szCs w:val="24"/>
          <w:shd w:val="clear" w:color="auto" w:fill="FFFFFF"/>
        </w:rPr>
        <w:t xml:space="preserve">the consequences for the </w:t>
      </w:r>
      <w:r w:rsidR="000D2462" w:rsidRPr="000A24A2">
        <w:rPr>
          <w:rFonts w:ascii="Arial" w:hAnsi="Arial" w:cs="Arial"/>
          <w:sz w:val="24"/>
          <w:szCs w:val="24"/>
          <w:shd w:val="clear" w:color="auto" w:fill="FFFFFF"/>
        </w:rPr>
        <w:t>physical (</w:t>
      </w:r>
      <w:r w:rsidR="00637FEC" w:rsidRPr="000A24A2">
        <w:rPr>
          <w:rFonts w:ascii="Arial" w:hAnsi="Arial" w:cs="Arial"/>
          <w:sz w:val="24"/>
          <w:szCs w:val="24"/>
          <w:shd w:val="clear" w:color="auto" w:fill="FFFFFF"/>
        </w:rPr>
        <w:t>A</w:t>
      </w:r>
      <w:r w:rsidR="000D2462" w:rsidRPr="000A24A2">
        <w:rPr>
          <w:rFonts w:ascii="Arial" w:hAnsi="Arial" w:cs="Arial"/>
          <w:sz w:val="24"/>
          <w:szCs w:val="24"/>
          <w:shd w:val="clear" w:color="auto" w:fill="FFFFFF"/>
        </w:rPr>
        <w:t>ctus reus) and the mental (</w:t>
      </w:r>
      <w:r w:rsidR="00637FEC" w:rsidRPr="000A24A2">
        <w:rPr>
          <w:rFonts w:ascii="Arial" w:hAnsi="Arial" w:cs="Arial"/>
          <w:sz w:val="24"/>
          <w:szCs w:val="24"/>
          <w:shd w:val="clear" w:color="auto" w:fill="FFFFFF"/>
        </w:rPr>
        <w:t>M</w:t>
      </w:r>
      <w:r w:rsidR="004B138C" w:rsidRPr="000A24A2">
        <w:rPr>
          <w:rFonts w:ascii="Arial" w:hAnsi="Arial" w:cs="Arial"/>
          <w:sz w:val="24"/>
          <w:szCs w:val="24"/>
          <w:shd w:val="clear" w:color="auto" w:fill="FFFFFF"/>
        </w:rPr>
        <w:t>en’s</w:t>
      </w:r>
      <w:r w:rsidR="000D2462" w:rsidRPr="000A24A2">
        <w:rPr>
          <w:rFonts w:ascii="Arial" w:hAnsi="Arial" w:cs="Arial"/>
          <w:sz w:val="24"/>
          <w:szCs w:val="24"/>
          <w:shd w:val="clear" w:color="auto" w:fill="FFFFFF"/>
        </w:rPr>
        <w:t xml:space="preserve"> rea) </w:t>
      </w:r>
      <w:r w:rsidR="004C5506" w:rsidRPr="000A24A2">
        <w:rPr>
          <w:rFonts w:ascii="Arial" w:hAnsi="Arial" w:cs="Arial"/>
          <w:sz w:val="24"/>
          <w:szCs w:val="24"/>
          <w:shd w:val="clear" w:color="auto" w:fill="FFFFFF"/>
        </w:rPr>
        <w:t xml:space="preserve">that allows the defendant to be convicted. This is because there is no difference between the charge of their actions between section 47 and section 20. Section 47 which is a lower offence than section 20 has the same charge of a maximum of five years, this means there is a total lack of fairness within these charges </w:t>
      </w:r>
      <w:r w:rsidR="00B76141" w:rsidRPr="000A24A2">
        <w:rPr>
          <w:rFonts w:ascii="Arial" w:hAnsi="Arial" w:cs="Arial"/>
          <w:sz w:val="24"/>
          <w:szCs w:val="24"/>
          <w:shd w:val="clear" w:color="auto" w:fill="FFFFFF"/>
        </w:rPr>
        <w:t>(Reed, 1995)</w:t>
      </w:r>
      <w:r w:rsidR="00B34E87" w:rsidRPr="000A24A2">
        <w:rPr>
          <w:rFonts w:ascii="Arial" w:hAnsi="Arial" w:cs="Arial"/>
          <w:sz w:val="24"/>
          <w:szCs w:val="24"/>
          <w:shd w:val="clear" w:color="auto" w:fill="FFFFFF"/>
        </w:rPr>
        <w:t>.</w:t>
      </w:r>
      <w:r w:rsidR="00AE1BE5" w:rsidRPr="000A24A2">
        <w:rPr>
          <w:rFonts w:ascii="Arial" w:hAnsi="Arial" w:cs="Arial"/>
          <w:sz w:val="24"/>
          <w:szCs w:val="24"/>
          <w:shd w:val="clear" w:color="auto" w:fill="FFFFFF"/>
        </w:rPr>
        <w:t xml:space="preserve"> </w:t>
      </w:r>
      <w:r w:rsidR="00C42D25" w:rsidRPr="000A24A2">
        <w:rPr>
          <w:rFonts w:ascii="Arial" w:hAnsi="Arial" w:cs="Arial"/>
          <w:sz w:val="24"/>
          <w:szCs w:val="24"/>
          <w:shd w:val="clear" w:color="auto" w:fill="FFFFFF"/>
        </w:rPr>
        <w:t>Furthermore,</w:t>
      </w:r>
      <w:r w:rsidR="003C35FF" w:rsidRPr="000A24A2">
        <w:rPr>
          <w:rFonts w:ascii="Arial" w:hAnsi="Arial" w:cs="Arial"/>
          <w:sz w:val="24"/>
          <w:szCs w:val="24"/>
          <w:shd w:val="clear" w:color="auto" w:fill="FFFFFF"/>
        </w:rPr>
        <w:t xml:space="preserve"> when looking at the acts they use the words ‘wounding’, this makes the offences complex and it shows there isn’t hierarchy, the word ‘wound’ is </w:t>
      </w:r>
      <w:r w:rsidR="00C42D25" w:rsidRPr="000A24A2">
        <w:rPr>
          <w:rFonts w:ascii="Arial" w:hAnsi="Arial" w:cs="Arial"/>
          <w:sz w:val="24"/>
          <w:szCs w:val="24"/>
          <w:shd w:val="clear" w:color="auto" w:fill="FFFFFF"/>
        </w:rPr>
        <w:t>known</w:t>
      </w:r>
      <w:r w:rsidR="003C35FF" w:rsidRPr="000A24A2">
        <w:rPr>
          <w:rFonts w:ascii="Arial" w:hAnsi="Arial" w:cs="Arial"/>
          <w:sz w:val="24"/>
          <w:szCs w:val="24"/>
          <w:shd w:val="clear" w:color="auto" w:fill="FFFFFF"/>
        </w:rPr>
        <w:t xml:space="preserve"> to be something that’s not serious that its quite mino</w:t>
      </w:r>
      <w:r w:rsidR="00C42D25" w:rsidRPr="000A24A2">
        <w:rPr>
          <w:rFonts w:ascii="Arial" w:hAnsi="Arial" w:cs="Arial"/>
          <w:sz w:val="24"/>
          <w:szCs w:val="24"/>
          <w:shd w:val="clear" w:color="auto" w:fill="FFFFFF"/>
        </w:rPr>
        <w:t>r, which when looking at section 18 and 20 it contradicts how serious the offence could be, which gives the wrong impression to what the offences are</w:t>
      </w:r>
      <w:r w:rsidR="00AD18D5" w:rsidRPr="000A24A2">
        <w:rPr>
          <w:rFonts w:ascii="Arial" w:hAnsi="Arial" w:cs="Arial"/>
          <w:sz w:val="24"/>
          <w:szCs w:val="24"/>
          <w:shd w:val="clear" w:color="auto" w:fill="FFFFFF"/>
        </w:rPr>
        <w:t xml:space="preserve">, The Law Commission have said that the act needs to be replaced by a more simple, clear and something more fitting to the modern day, it should show a clear hierarchy from the most serious offence to the least serious. Therefore, it should be able to clearly identify the harm that the defendant has caused and what their consequences of their act are </w:t>
      </w:r>
      <w:r w:rsidR="00C42D25" w:rsidRPr="000A24A2">
        <w:rPr>
          <w:rFonts w:ascii="Arial" w:hAnsi="Arial" w:cs="Arial"/>
          <w:sz w:val="24"/>
          <w:szCs w:val="24"/>
          <w:shd w:val="clear" w:color="auto" w:fill="FFFFFF"/>
        </w:rPr>
        <w:t>(Law Commission, 2015</w:t>
      </w:r>
      <w:r w:rsidR="00B416B1" w:rsidRPr="000A24A2">
        <w:rPr>
          <w:rFonts w:ascii="Arial" w:hAnsi="Arial" w:cs="Arial"/>
          <w:sz w:val="24"/>
          <w:szCs w:val="24"/>
          <w:shd w:val="clear" w:color="auto" w:fill="FFFFFF"/>
        </w:rPr>
        <w:t>a</w:t>
      </w:r>
      <w:r w:rsidR="00C42D25" w:rsidRPr="000A24A2">
        <w:rPr>
          <w:rFonts w:ascii="Arial" w:hAnsi="Arial" w:cs="Arial"/>
          <w:sz w:val="24"/>
          <w:szCs w:val="24"/>
          <w:shd w:val="clear" w:color="auto" w:fill="FFFFFF"/>
        </w:rPr>
        <w:t>).</w:t>
      </w:r>
    </w:p>
    <w:p w14:paraId="10744E51" w14:textId="58ED3F1C" w:rsidR="00E04BBA" w:rsidRPr="000A24A2" w:rsidRDefault="00E04BBA" w:rsidP="004B138C">
      <w:pPr>
        <w:spacing w:line="360" w:lineRule="auto"/>
        <w:rPr>
          <w:rFonts w:ascii="Arial" w:hAnsi="Arial" w:cs="Arial"/>
          <w:sz w:val="24"/>
          <w:szCs w:val="24"/>
          <w:shd w:val="clear" w:color="auto" w:fill="FFFFFF"/>
        </w:rPr>
      </w:pPr>
    </w:p>
    <w:p w14:paraId="209AEC2A" w14:textId="636643A5" w:rsidR="00E04BBA" w:rsidRPr="000A24A2" w:rsidRDefault="00E04BBA" w:rsidP="004B138C">
      <w:pPr>
        <w:spacing w:line="360" w:lineRule="auto"/>
        <w:rPr>
          <w:rFonts w:ascii="Arial" w:hAnsi="Arial" w:cs="Arial"/>
          <w:sz w:val="24"/>
          <w:szCs w:val="24"/>
          <w:shd w:val="clear" w:color="auto" w:fill="FFFFFF"/>
        </w:rPr>
      </w:pPr>
      <w:r w:rsidRPr="000A24A2">
        <w:rPr>
          <w:rFonts w:ascii="Arial" w:hAnsi="Arial" w:cs="Arial"/>
          <w:sz w:val="24"/>
          <w:szCs w:val="24"/>
          <w:shd w:val="clear" w:color="auto" w:fill="FFFFFF"/>
        </w:rPr>
        <w:lastRenderedPageBreak/>
        <w:t>In conclusion, this essay has shown why</w:t>
      </w:r>
      <w:r w:rsidR="003A5E17" w:rsidRPr="000A24A2">
        <w:rPr>
          <w:rFonts w:ascii="Arial" w:hAnsi="Arial" w:cs="Arial"/>
          <w:sz w:val="24"/>
          <w:szCs w:val="24"/>
          <w:shd w:val="clear" w:color="auto" w:fill="FFFFFF"/>
        </w:rPr>
        <w:t xml:space="preserve"> Non-Fatal Offences needs to be reformed, looking at many different points, </w:t>
      </w:r>
      <w:r w:rsidR="004F49FF" w:rsidRPr="000A24A2">
        <w:rPr>
          <w:rFonts w:ascii="Arial" w:hAnsi="Arial" w:cs="Arial"/>
          <w:sz w:val="24"/>
          <w:szCs w:val="24"/>
          <w:shd w:val="clear" w:color="auto" w:fill="FFFFFF"/>
        </w:rPr>
        <w:t>from the need to remove complicated language and to replace it with new clear and simple terms that are easily understood. It has also looked at how the act needs to be modernised for the 21</w:t>
      </w:r>
      <w:r w:rsidR="004F49FF" w:rsidRPr="000A24A2">
        <w:rPr>
          <w:rFonts w:ascii="Arial" w:hAnsi="Arial" w:cs="Arial"/>
          <w:sz w:val="24"/>
          <w:szCs w:val="24"/>
          <w:shd w:val="clear" w:color="auto" w:fill="FFFFFF"/>
          <w:vertAlign w:val="superscript"/>
        </w:rPr>
        <w:t>st</w:t>
      </w:r>
      <w:r w:rsidR="004F49FF" w:rsidRPr="000A24A2">
        <w:rPr>
          <w:rFonts w:ascii="Arial" w:hAnsi="Arial" w:cs="Arial"/>
          <w:sz w:val="24"/>
          <w:szCs w:val="24"/>
          <w:shd w:val="clear" w:color="auto" w:fill="FFFFFF"/>
        </w:rPr>
        <w:t xml:space="preserve"> century, by looking at removing acts that are no use to the current world, that are old fashioned and outdated and finally looking at the unclear hierarchy within the laws. This essay as also looked at </w:t>
      </w:r>
      <w:r w:rsidR="00D22C11" w:rsidRPr="000A24A2">
        <w:rPr>
          <w:rFonts w:ascii="Arial" w:hAnsi="Arial" w:cs="Arial"/>
          <w:sz w:val="24"/>
          <w:szCs w:val="24"/>
          <w:shd w:val="clear" w:color="auto" w:fill="FFFFFF"/>
        </w:rPr>
        <w:t xml:space="preserve">the other side of the argument, looking at the comments made by multiple organisations on why the act should be reformed. </w:t>
      </w:r>
    </w:p>
    <w:p w14:paraId="653E0FCB" w14:textId="73A2465F" w:rsidR="00C24195" w:rsidRPr="000A24A2" w:rsidRDefault="00C24195" w:rsidP="004B138C">
      <w:pPr>
        <w:spacing w:line="360" w:lineRule="auto"/>
        <w:rPr>
          <w:rFonts w:ascii="Arial" w:hAnsi="Arial" w:cs="Arial"/>
          <w:sz w:val="24"/>
          <w:szCs w:val="24"/>
          <w:shd w:val="clear" w:color="auto" w:fill="FFFFFF"/>
        </w:rPr>
      </w:pPr>
      <w:r w:rsidRPr="000A24A2">
        <w:rPr>
          <w:rFonts w:ascii="Arial" w:hAnsi="Arial" w:cs="Arial"/>
          <w:sz w:val="24"/>
          <w:szCs w:val="24"/>
          <w:shd w:val="clear" w:color="auto" w:fill="FFFFFF"/>
        </w:rPr>
        <w:t xml:space="preserve">To conclude the act has not been reformed </w:t>
      </w:r>
      <w:r w:rsidR="006069D7" w:rsidRPr="000A24A2">
        <w:rPr>
          <w:rFonts w:ascii="Arial" w:hAnsi="Arial" w:cs="Arial"/>
          <w:sz w:val="24"/>
          <w:szCs w:val="24"/>
          <w:shd w:val="clear" w:color="auto" w:fill="FFFFFF"/>
        </w:rPr>
        <w:t xml:space="preserve">due to </w:t>
      </w:r>
      <w:r w:rsidR="00C97E2E" w:rsidRPr="000A24A2">
        <w:rPr>
          <w:rFonts w:ascii="Arial" w:hAnsi="Arial" w:cs="Arial"/>
          <w:sz w:val="24"/>
          <w:szCs w:val="24"/>
          <w:shd w:val="clear" w:color="auto" w:fill="FFFFFF"/>
        </w:rPr>
        <w:t xml:space="preserve">many reasons but it has been said that some of the language used it too complicated and does need to be updated, but the main worry is, that the reform will create many new problems and new questions when dealing with case, it will also mean that many Lawyers, Police officers etc will have to take the time to learn the new law in this area, and understand it which may take some time </w:t>
      </w:r>
      <w:r w:rsidR="00C97E2E" w:rsidRPr="000A24A2">
        <w:rPr>
          <w:rFonts w:ascii="Arial" w:hAnsi="Arial" w:cs="Arial"/>
          <w:sz w:val="24"/>
          <w:szCs w:val="24"/>
        </w:rPr>
        <w:t>(Law Commission, 2015a)</w:t>
      </w:r>
      <w:r w:rsidR="00C97E2E" w:rsidRPr="000A24A2">
        <w:rPr>
          <w:rFonts w:ascii="Arial" w:hAnsi="Arial" w:cs="Arial"/>
          <w:sz w:val="24"/>
          <w:szCs w:val="24"/>
        </w:rPr>
        <w:t>.</w:t>
      </w:r>
    </w:p>
    <w:p w14:paraId="748A3B12" w14:textId="749D75D4" w:rsidR="00D22C11" w:rsidRPr="000A24A2" w:rsidRDefault="00D22C11" w:rsidP="004B138C">
      <w:pPr>
        <w:spacing w:line="360" w:lineRule="auto"/>
        <w:rPr>
          <w:rFonts w:ascii="Arial" w:hAnsi="Arial" w:cs="Arial"/>
          <w:sz w:val="24"/>
          <w:szCs w:val="24"/>
          <w:shd w:val="clear" w:color="auto" w:fill="FFFFFF"/>
        </w:rPr>
      </w:pPr>
    </w:p>
    <w:p w14:paraId="4EE5D57B" w14:textId="623BBECD" w:rsidR="007E4E95" w:rsidRPr="000A24A2" w:rsidRDefault="007E4E95" w:rsidP="004B138C">
      <w:pPr>
        <w:spacing w:line="360" w:lineRule="auto"/>
        <w:rPr>
          <w:rFonts w:ascii="Arial" w:hAnsi="Arial" w:cs="Arial"/>
        </w:rPr>
      </w:pPr>
    </w:p>
    <w:p w14:paraId="6B1AD534" w14:textId="77777777" w:rsidR="00A12E77" w:rsidRPr="00E05130" w:rsidRDefault="00A12E77" w:rsidP="00A12E77">
      <w:pPr>
        <w:pStyle w:val="ListParagraph"/>
        <w:numPr>
          <w:ilvl w:val="0"/>
          <w:numId w:val="1"/>
        </w:numPr>
        <w:ind w:left="502"/>
        <w:rPr>
          <w:rFonts w:ascii="Arial" w:hAnsi="Arial" w:cs="Arial"/>
          <w:sz w:val="24"/>
          <w:szCs w:val="24"/>
        </w:rPr>
      </w:pPr>
      <w:bookmarkStart w:id="3" w:name="_Hlk65571663"/>
      <w:r w:rsidRPr="00E05130">
        <w:rPr>
          <w:rFonts w:ascii="Arial" w:hAnsi="Arial" w:cs="Arial"/>
          <w:sz w:val="24"/>
          <w:szCs w:val="24"/>
          <w:shd w:val="clear" w:color="auto" w:fill="FFFFFF"/>
        </w:rPr>
        <w:t>Child, JC. Ormerod, DO. (2019) ‘Essentials of Criminal Law’ 3</w:t>
      </w:r>
      <w:r w:rsidRPr="00E05130">
        <w:rPr>
          <w:rFonts w:ascii="Arial" w:hAnsi="Arial" w:cs="Arial"/>
          <w:sz w:val="24"/>
          <w:szCs w:val="24"/>
          <w:shd w:val="clear" w:color="auto" w:fill="FFFFFF"/>
          <w:vertAlign w:val="superscript"/>
        </w:rPr>
        <w:t>rd</w:t>
      </w:r>
      <w:r w:rsidRPr="00E05130">
        <w:rPr>
          <w:rFonts w:ascii="Arial" w:hAnsi="Arial" w:cs="Arial"/>
          <w:sz w:val="24"/>
          <w:szCs w:val="24"/>
          <w:shd w:val="clear" w:color="auto" w:fill="FFFFFF"/>
        </w:rPr>
        <w:t xml:space="preserve"> edn. Oxford: Oxford University Press </w:t>
      </w:r>
    </w:p>
    <w:p w14:paraId="7F722772" w14:textId="77777777" w:rsidR="00A12E77" w:rsidRPr="00E05130" w:rsidRDefault="00A12E77" w:rsidP="00A12E77">
      <w:pPr>
        <w:pStyle w:val="ListParagraph"/>
        <w:numPr>
          <w:ilvl w:val="0"/>
          <w:numId w:val="1"/>
        </w:numPr>
        <w:ind w:left="502"/>
        <w:rPr>
          <w:rFonts w:ascii="Arial" w:hAnsi="Arial" w:cs="Arial"/>
          <w:sz w:val="24"/>
          <w:szCs w:val="24"/>
        </w:rPr>
      </w:pPr>
      <w:r w:rsidRPr="00E05130">
        <w:rPr>
          <w:rFonts w:ascii="Arial" w:hAnsi="Arial" w:cs="Arial"/>
          <w:sz w:val="24"/>
          <w:szCs w:val="24"/>
          <w:shd w:val="clear" w:color="auto" w:fill="FFFFFF"/>
        </w:rPr>
        <w:t>Criminal Justice Act 1988’, c. 39. Available at: https://www.legislation.gov.uk/ukpga/1988/33/section/39  (Accessed on 3</w:t>
      </w:r>
      <w:r w:rsidRPr="00E05130">
        <w:rPr>
          <w:rFonts w:ascii="Arial" w:hAnsi="Arial" w:cs="Arial"/>
          <w:sz w:val="24"/>
          <w:szCs w:val="24"/>
          <w:shd w:val="clear" w:color="auto" w:fill="FFFFFF"/>
          <w:vertAlign w:val="superscript"/>
        </w:rPr>
        <w:t xml:space="preserve"> </w:t>
      </w:r>
      <w:r w:rsidRPr="00E05130">
        <w:rPr>
          <w:rFonts w:ascii="Arial" w:hAnsi="Arial" w:cs="Arial"/>
          <w:sz w:val="24"/>
          <w:szCs w:val="24"/>
        </w:rPr>
        <w:t>March 2021)</w:t>
      </w:r>
    </w:p>
    <w:p w14:paraId="59602E7C" w14:textId="64763939" w:rsidR="00A12E77" w:rsidRPr="00853236" w:rsidRDefault="00A12E77" w:rsidP="00853236">
      <w:pPr>
        <w:pStyle w:val="ListParagraph"/>
        <w:numPr>
          <w:ilvl w:val="0"/>
          <w:numId w:val="1"/>
        </w:numPr>
        <w:ind w:left="502"/>
        <w:rPr>
          <w:rFonts w:ascii="Arial" w:hAnsi="Arial" w:cs="Arial"/>
          <w:sz w:val="24"/>
          <w:szCs w:val="24"/>
        </w:rPr>
      </w:pPr>
      <w:r w:rsidRPr="00E05130">
        <w:rPr>
          <w:rFonts w:ascii="Arial" w:hAnsi="Arial" w:cs="Arial"/>
          <w:sz w:val="24"/>
          <w:szCs w:val="24"/>
          <w:shd w:val="clear" w:color="auto" w:fill="FFFFFF"/>
        </w:rPr>
        <w:t>Demetriou, S., 2016. Not Giving Up the Fight: A Review of the Law Commission’s Scoping Report on Non-fatal Offences Against the Person. </w:t>
      </w:r>
      <w:r w:rsidRPr="00E05130">
        <w:rPr>
          <w:rFonts w:ascii="Arial" w:hAnsi="Arial" w:cs="Arial"/>
          <w:i/>
          <w:iCs/>
          <w:sz w:val="24"/>
          <w:szCs w:val="24"/>
          <w:shd w:val="clear" w:color="auto" w:fill="FFFFFF"/>
        </w:rPr>
        <w:t>The Journal of Criminal Law</w:t>
      </w:r>
      <w:r w:rsidRPr="00E05130">
        <w:rPr>
          <w:rFonts w:ascii="Arial" w:hAnsi="Arial" w:cs="Arial"/>
          <w:sz w:val="24"/>
          <w:szCs w:val="24"/>
          <w:shd w:val="clear" w:color="auto" w:fill="FFFFFF"/>
        </w:rPr>
        <w:t>, </w:t>
      </w:r>
      <w:r w:rsidRPr="00E05130">
        <w:rPr>
          <w:rFonts w:ascii="Arial" w:hAnsi="Arial" w:cs="Arial"/>
          <w:i/>
          <w:iCs/>
          <w:sz w:val="24"/>
          <w:szCs w:val="24"/>
          <w:shd w:val="clear" w:color="auto" w:fill="FFFFFF"/>
        </w:rPr>
        <w:t>80</w:t>
      </w:r>
      <w:r w:rsidRPr="00E05130">
        <w:rPr>
          <w:rFonts w:ascii="Arial" w:hAnsi="Arial" w:cs="Arial"/>
          <w:sz w:val="24"/>
          <w:szCs w:val="24"/>
          <w:shd w:val="clear" w:color="auto" w:fill="FFFFFF"/>
        </w:rPr>
        <w:t xml:space="preserve">(3), pp.188-200. </w:t>
      </w:r>
      <w:hyperlink r:id="rId8" w:history="1">
        <w:r w:rsidRPr="00E05130">
          <w:rPr>
            <w:rStyle w:val="Hyperlink"/>
            <w:rFonts w:ascii="Arial" w:hAnsi="Arial" w:cs="Arial"/>
            <w:color w:val="006ACC"/>
            <w:sz w:val="24"/>
            <w:szCs w:val="24"/>
            <w:shd w:val="clear" w:color="auto" w:fill="FFFFFF"/>
          </w:rPr>
          <w:t>ttps://doi.org/10.1177/0022018316646656</w:t>
        </w:r>
      </w:hyperlink>
      <w:r w:rsidRPr="00E05130">
        <w:rPr>
          <w:sz w:val="24"/>
          <w:szCs w:val="24"/>
        </w:rPr>
        <w:t xml:space="preserve"> </w:t>
      </w:r>
      <w:r w:rsidR="00853236">
        <w:rPr>
          <w:sz w:val="24"/>
          <w:szCs w:val="24"/>
        </w:rPr>
        <w:t xml:space="preserve"> </w:t>
      </w:r>
      <w:r w:rsidR="00853236" w:rsidRPr="00E05130">
        <w:rPr>
          <w:rFonts w:ascii="Arial" w:hAnsi="Arial" w:cs="Arial"/>
          <w:sz w:val="24"/>
          <w:szCs w:val="24"/>
        </w:rPr>
        <w:t>(Accessed on 2</w:t>
      </w:r>
      <w:r w:rsidR="00853236">
        <w:rPr>
          <w:rFonts w:ascii="Arial" w:hAnsi="Arial" w:cs="Arial"/>
          <w:sz w:val="24"/>
          <w:szCs w:val="24"/>
        </w:rPr>
        <w:t>5</w:t>
      </w:r>
      <w:r w:rsidR="00853236" w:rsidRPr="00E05130">
        <w:rPr>
          <w:rFonts w:ascii="Arial" w:hAnsi="Arial" w:cs="Arial"/>
          <w:sz w:val="24"/>
          <w:szCs w:val="24"/>
        </w:rPr>
        <w:t xml:space="preserve"> February 2021)</w:t>
      </w:r>
    </w:p>
    <w:p w14:paraId="59E41E71" w14:textId="67A13D0F" w:rsidR="00A12E77" w:rsidRPr="00E05130" w:rsidRDefault="00A12E77" w:rsidP="00A12E77">
      <w:pPr>
        <w:pStyle w:val="ListParagraph"/>
        <w:numPr>
          <w:ilvl w:val="0"/>
          <w:numId w:val="1"/>
        </w:numPr>
        <w:ind w:left="502"/>
        <w:rPr>
          <w:rFonts w:ascii="Arial" w:hAnsi="Arial" w:cs="Arial"/>
          <w:sz w:val="24"/>
          <w:szCs w:val="24"/>
        </w:rPr>
      </w:pPr>
      <w:bookmarkStart w:id="4" w:name="_Hlk65764067"/>
      <w:r w:rsidRPr="00E05130">
        <w:rPr>
          <w:rFonts w:ascii="Arial" w:hAnsi="Arial" w:cs="Arial"/>
          <w:sz w:val="24"/>
          <w:szCs w:val="24"/>
          <w:shd w:val="clear" w:color="auto" w:fill="FFFFFF"/>
        </w:rPr>
        <w:t>Eugenicos, A.M., (2017)</w:t>
      </w:r>
      <w:bookmarkEnd w:id="4"/>
      <w:r w:rsidRPr="00E05130">
        <w:rPr>
          <w:rFonts w:ascii="Arial" w:hAnsi="Arial" w:cs="Arial"/>
          <w:sz w:val="24"/>
          <w:szCs w:val="24"/>
          <w:shd w:val="clear" w:color="auto" w:fill="FFFFFF"/>
        </w:rPr>
        <w:t xml:space="preserve">. Should We Reform the Offences Against the Person Act </w:t>
      </w:r>
      <w:proofErr w:type="gramStart"/>
      <w:r w:rsidRPr="00E05130">
        <w:rPr>
          <w:rFonts w:ascii="Arial" w:hAnsi="Arial" w:cs="Arial"/>
          <w:sz w:val="24"/>
          <w:szCs w:val="24"/>
          <w:shd w:val="clear" w:color="auto" w:fill="FFFFFF"/>
        </w:rPr>
        <w:t>1861?.</w:t>
      </w:r>
      <w:proofErr w:type="gramEnd"/>
      <w:r w:rsidRPr="00E05130">
        <w:rPr>
          <w:rFonts w:ascii="Arial" w:hAnsi="Arial" w:cs="Arial"/>
          <w:sz w:val="24"/>
          <w:szCs w:val="24"/>
          <w:shd w:val="clear" w:color="auto" w:fill="FFFFFF"/>
        </w:rPr>
        <w:t> </w:t>
      </w:r>
      <w:r w:rsidRPr="00E05130">
        <w:rPr>
          <w:rFonts w:ascii="Arial" w:hAnsi="Arial" w:cs="Arial"/>
          <w:i/>
          <w:iCs/>
          <w:sz w:val="24"/>
          <w:szCs w:val="24"/>
          <w:shd w:val="clear" w:color="auto" w:fill="FFFFFF"/>
        </w:rPr>
        <w:t>The Journal of Criminal Law</w:t>
      </w:r>
      <w:r w:rsidRPr="00E05130">
        <w:rPr>
          <w:rFonts w:ascii="Arial" w:hAnsi="Arial" w:cs="Arial"/>
          <w:sz w:val="24"/>
          <w:szCs w:val="24"/>
          <w:shd w:val="clear" w:color="auto" w:fill="FFFFFF"/>
        </w:rPr>
        <w:t>, </w:t>
      </w:r>
      <w:r w:rsidRPr="00E05130">
        <w:rPr>
          <w:rFonts w:ascii="Arial" w:hAnsi="Arial" w:cs="Arial"/>
          <w:i/>
          <w:iCs/>
          <w:sz w:val="24"/>
          <w:szCs w:val="24"/>
          <w:shd w:val="clear" w:color="auto" w:fill="FFFFFF"/>
        </w:rPr>
        <w:t>81</w:t>
      </w:r>
      <w:r w:rsidRPr="00E05130">
        <w:rPr>
          <w:rFonts w:ascii="Arial" w:hAnsi="Arial" w:cs="Arial"/>
          <w:sz w:val="24"/>
          <w:szCs w:val="24"/>
          <w:shd w:val="clear" w:color="auto" w:fill="FFFFFF"/>
        </w:rPr>
        <w:t xml:space="preserve">(1), pp.26-32. </w:t>
      </w:r>
      <w:hyperlink r:id="rId9" w:history="1">
        <w:r w:rsidRPr="00E05130">
          <w:rPr>
            <w:rStyle w:val="Hyperlink"/>
            <w:rFonts w:ascii="Arial" w:hAnsi="Arial" w:cs="Arial"/>
            <w:color w:val="006ACC"/>
            <w:sz w:val="24"/>
            <w:szCs w:val="24"/>
            <w:shd w:val="clear" w:color="auto" w:fill="FFFFFF"/>
          </w:rPr>
          <w:t>https://doi.org/10.1177/0022018316685478</w:t>
        </w:r>
      </w:hyperlink>
      <w:r w:rsidRPr="00E05130">
        <w:rPr>
          <w:sz w:val="24"/>
          <w:szCs w:val="24"/>
        </w:rPr>
        <w:t xml:space="preserve"> </w:t>
      </w:r>
      <w:r w:rsidR="00853236" w:rsidRPr="00E05130">
        <w:rPr>
          <w:rFonts w:ascii="Arial" w:hAnsi="Arial" w:cs="Arial"/>
          <w:sz w:val="24"/>
          <w:szCs w:val="24"/>
        </w:rPr>
        <w:t xml:space="preserve">(Accessed on </w:t>
      </w:r>
      <w:r w:rsidR="00853236">
        <w:rPr>
          <w:rFonts w:ascii="Arial" w:hAnsi="Arial" w:cs="Arial"/>
          <w:sz w:val="24"/>
          <w:szCs w:val="24"/>
        </w:rPr>
        <w:t>2</w:t>
      </w:r>
      <w:r w:rsidR="00853236" w:rsidRPr="00E05130">
        <w:rPr>
          <w:rFonts w:ascii="Arial" w:hAnsi="Arial" w:cs="Arial"/>
          <w:sz w:val="24"/>
          <w:szCs w:val="24"/>
        </w:rPr>
        <w:t xml:space="preserve"> </w:t>
      </w:r>
      <w:r w:rsidR="00853236">
        <w:rPr>
          <w:rFonts w:ascii="Arial" w:hAnsi="Arial" w:cs="Arial"/>
          <w:sz w:val="24"/>
          <w:szCs w:val="24"/>
        </w:rPr>
        <w:t>March</w:t>
      </w:r>
      <w:r w:rsidR="00853236" w:rsidRPr="00E05130">
        <w:rPr>
          <w:rFonts w:ascii="Arial" w:hAnsi="Arial" w:cs="Arial"/>
          <w:sz w:val="24"/>
          <w:szCs w:val="24"/>
        </w:rPr>
        <w:t xml:space="preserve"> 2021)</w:t>
      </w:r>
    </w:p>
    <w:p w14:paraId="1F70B543" w14:textId="77777777" w:rsidR="00A12E77" w:rsidRPr="00E05130" w:rsidRDefault="00A12E77" w:rsidP="00A12E77">
      <w:pPr>
        <w:pStyle w:val="ListParagraph"/>
        <w:numPr>
          <w:ilvl w:val="0"/>
          <w:numId w:val="1"/>
        </w:numPr>
        <w:ind w:left="502"/>
        <w:rPr>
          <w:rFonts w:ascii="Arial" w:hAnsi="Arial" w:cs="Arial"/>
          <w:sz w:val="24"/>
          <w:szCs w:val="24"/>
        </w:rPr>
      </w:pPr>
      <w:r w:rsidRPr="00E05130">
        <w:rPr>
          <w:rFonts w:ascii="Arial" w:hAnsi="Arial" w:cs="Arial"/>
          <w:sz w:val="24"/>
          <w:szCs w:val="24"/>
          <w:shd w:val="clear" w:color="auto" w:fill="FFFFFF"/>
        </w:rPr>
        <w:t>Gardner, J., (1994). Rationality and the rule of law in offences against the person. </w:t>
      </w:r>
      <w:r w:rsidRPr="00E05130">
        <w:rPr>
          <w:rFonts w:ascii="Arial" w:hAnsi="Arial" w:cs="Arial"/>
          <w:i/>
          <w:iCs/>
          <w:sz w:val="24"/>
          <w:szCs w:val="24"/>
          <w:shd w:val="clear" w:color="auto" w:fill="FFFFFF"/>
        </w:rPr>
        <w:t>Cambridge LJ</w:t>
      </w:r>
      <w:r w:rsidRPr="00E05130">
        <w:rPr>
          <w:rFonts w:ascii="Arial" w:hAnsi="Arial" w:cs="Arial"/>
          <w:sz w:val="24"/>
          <w:szCs w:val="24"/>
          <w:shd w:val="clear" w:color="auto" w:fill="FFFFFF"/>
        </w:rPr>
        <w:t>, </w:t>
      </w:r>
      <w:r w:rsidRPr="00E05130">
        <w:rPr>
          <w:rFonts w:ascii="Arial" w:hAnsi="Arial" w:cs="Arial"/>
          <w:i/>
          <w:iCs/>
          <w:sz w:val="24"/>
          <w:szCs w:val="24"/>
          <w:shd w:val="clear" w:color="auto" w:fill="FFFFFF"/>
        </w:rPr>
        <w:t>53</w:t>
      </w:r>
      <w:r w:rsidRPr="00E05130">
        <w:rPr>
          <w:rFonts w:ascii="Arial" w:hAnsi="Arial" w:cs="Arial"/>
          <w:sz w:val="24"/>
          <w:szCs w:val="24"/>
          <w:shd w:val="clear" w:color="auto" w:fill="FFFFFF"/>
        </w:rPr>
        <w:t xml:space="preserve">, p.502. </w:t>
      </w:r>
      <w:hyperlink r:id="rId10" w:history="1">
        <w:r w:rsidRPr="00E05130">
          <w:rPr>
            <w:rStyle w:val="Hyperlink"/>
            <w:rFonts w:ascii="Arial" w:hAnsi="Arial" w:cs="Arial"/>
            <w:sz w:val="24"/>
            <w:szCs w:val="24"/>
          </w:rPr>
          <w:t>https://assets.publishing.service.gov.uk/government/uploads/system/uploads/attachment_data/file/473398/51950_LC_HC555_Web.pdf</w:t>
        </w:r>
      </w:hyperlink>
      <w:r w:rsidRPr="00E05130">
        <w:rPr>
          <w:rFonts w:ascii="Arial" w:hAnsi="Arial" w:cs="Arial"/>
          <w:sz w:val="24"/>
          <w:szCs w:val="24"/>
        </w:rPr>
        <w:t xml:space="preserve">   (Accessed on 21</w:t>
      </w:r>
      <w:r w:rsidRPr="00E05130">
        <w:rPr>
          <w:rFonts w:ascii="Arial" w:hAnsi="Arial" w:cs="Arial"/>
          <w:sz w:val="24"/>
          <w:szCs w:val="24"/>
          <w:vertAlign w:val="superscript"/>
        </w:rPr>
        <w:t>st</w:t>
      </w:r>
      <w:r w:rsidRPr="00E05130">
        <w:rPr>
          <w:rFonts w:ascii="Arial" w:hAnsi="Arial" w:cs="Arial"/>
          <w:sz w:val="24"/>
          <w:szCs w:val="24"/>
        </w:rPr>
        <w:t xml:space="preserve"> February 2021)</w:t>
      </w:r>
    </w:p>
    <w:p w14:paraId="41E68782" w14:textId="2217B320" w:rsidR="00A12E77" w:rsidRPr="00E05130" w:rsidRDefault="00A12E77" w:rsidP="00A12E77">
      <w:pPr>
        <w:pStyle w:val="ListParagraph"/>
        <w:numPr>
          <w:ilvl w:val="0"/>
          <w:numId w:val="1"/>
        </w:numPr>
        <w:ind w:left="502"/>
        <w:rPr>
          <w:rFonts w:ascii="Arial" w:hAnsi="Arial" w:cs="Arial"/>
          <w:sz w:val="24"/>
          <w:szCs w:val="24"/>
        </w:rPr>
      </w:pPr>
      <w:r w:rsidRPr="00E05130">
        <w:rPr>
          <w:rFonts w:ascii="Arial" w:hAnsi="Arial" w:cs="Arial"/>
          <w:sz w:val="24"/>
          <w:szCs w:val="24"/>
          <w:shd w:val="clear" w:color="auto" w:fill="FFFFFF"/>
        </w:rPr>
        <w:t>Jefferson, M. (2012) ‘Offences against the Person: Into the 21st Century’, </w:t>
      </w:r>
      <w:r w:rsidRPr="00E05130">
        <w:rPr>
          <w:rFonts w:ascii="Arial" w:hAnsi="Arial" w:cs="Arial"/>
          <w:i/>
          <w:iCs/>
          <w:sz w:val="24"/>
          <w:szCs w:val="24"/>
          <w:shd w:val="clear" w:color="auto" w:fill="FFFFFF"/>
        </w:rPr>
        <w:t>The Journal of Criminal Law</w:t>
      </w:r>
      <w:r w:rsidRPr="00E05130">
        <w:rPr>
          <w:rFonts w:ascii="Arial" w:hAnsi="Arial" w:cs="Arial"/>
          <w:sz w:val="24"/>
          <w:szCs w:val="24"/>
          <w:shd w:val="clear" w:color="auto" w:fill="FFFFFF"/>
        </w:rPr>
        <w:t xml:space="preserve">, 76(6), pp. 472–492. </w:t>
      </w:r>
      <w:proofErr w:type="spellStart"/>
      <w:r w:rsidRPr="00E05130">
        <w:rPr>
          <w:rFonts w:ascii="Arial" w:hAnsi="Arial" w:cs="Arial"/>
          <w:sz w:val="24"/>
          <w:szCs w:val="24"/>
          <w:shd w:val="clear" w:color="auto" w:fill="FFFFFF"/>
        </w:rPr>
        <w:t>doi</w:t>
      </w:r>
      <w:proofErr w:type="spellEnd"/>
      <w:r w:rsidRPr="00E05130">
        <w:rPr>
          <w:rFonts w:ascii="Arial" w:hAnsi="Arial" w:cs="Arial"/>
          <w:sz w:val="24"/>
          <w:szCs w:val="24"/>
          <w:shd w:val="clear" w:color="auto" w:fill="FFFFFF"/>
        </w:rPr>
        <w:t>: </w:t>
      </w:r>
      <w:hyperlink r:id="rId11" w:history="1">
        <w:r w:rsidRPr="00E05130">
          <w:rPr>
            <w:rStyle w:val="Hyperlink"/>
            <w:rFonts w:ascii="Arial" w:hAnsi="Arial" w:cs="Arial"/>
            <w:color w:val="auto"/>
            <w:sz w:val="24"/>
            <w:szCs w:val="24"/>
            <w:shd w:val="clear" w:color="auto" w:fill="FFFFFF"/>
          </w:rPr>
          <w:t>10.1350/jcla.2012.76.6.805</w:t>
        </w:r>
      </w:hyperlink>
      <w:r w:rsidRPr="00E05130">
        <w:rPr>
          <w:rFonts w:ascii="Arial" w:hAnsi="Arial" w:cs="Arial"/>
          <w:sz w:val="24"/>
          <w:szCs w:val="24"/>
          <w:shd w:val="clear" w:color="auto" w:fill="FFFFFF"/>
        </w:rPr>
        <w:t>.</w:t>
      </w:r>
      <w:r w:rsidR="00853236">
        <w:rPr>
          <w:rFonts w:ascii="Arial" w:hAnsi="Arial" w:cs="Arial"/>
          <w:sz w:val="24"/>
          <w:szCs w:val="24"/>
          <w:shd w:val="clear" w:color="auto" w:fill="FFFFFF"/>
        </w:rPr>
        <w:t xml:space="preserve"> </w:t>
      </w:r>
      <w:r w:rsidR="00853236" w:rsidRPr="00E05130">
        <w:rPr>
          <w:rFonts w:ascii="Arial" w:hAnsi="Arial" w:cs="Arial"/>
          <w:sz w:val="24"/>
          <w:szCs w:val="24"/>
        </w:rPr>
        <w:t xml:space="preserve">(Accessed on </w:t>
      </w:r>
      <w:r w:rsidR="00853236">
        <w:rPr>
          <w:rFonts w:ascii="Arial" w:hAnsi="Arial" w:cs="Arial"/>
          <w:sz w:val="24"/>
          <w:szCs w:val="24"/>
        </w:rPr>
        <w:t xml:space="preserve"> 2 </w:t>
      </w:r>
      <w:proofErr w:type="gramStart"/>
      <w:r w:rsidR="00853236">
        <w:rPr>
          <w:rFonts w:ascii="Arial" w:hAnsi="Arial" w:cs="Arial"/>
          <w:sz w:val="24"/>
          <w:szCs w:val="24"/>
        </w:rPr>
        <w:t>march</w:t>
      </w:r>
      <w:proofErr w:type="gramEnd"/>
      <w:r w:rsidR="00853236">
        <w:rPr>
          <w:rFonts w:ascii="Arial" w:hAnsi="Arial" w:cs="Arial"/>
          <w:sz w:val="24"/>
          <w:szCs w:val="24"/>
        </w:rPr>
        <w:t xml:space="preserve"> </w:t>
      </w:r>
      <w:r w:rsidR="00853236" w:rsidRPr="00E05130">
        <w:rPr>
          <w:rFonts w:ascii="Arial" w:hAnsi="Arial" w:cs="Arial"/>
          <w:sz w:val="24"/>
          <w:szCs w:val="24"/>
        </w:rPr>
        <w:t>2021)</w:t>
      </w:r>
    </w:p>
    <w:p w14:paraId="43E95A99" w14:textId="77777777" w:rsidR="00A12E77" w:rsidRPr="00E05130" w:rsidRDefault="00A12E77" w:rsidP="00A12E77">
      <w:pPr>
        <w:pStyle w:val="ListParagraph"/>
        <w:numPr>
          <w:ilvl w:val="0"/>
          <w:numId w:val="1"/>
        </w:numPr>
        <w:ind w:left="502"/>
        <w:rPr>
          <w:rFonts w:ascii="Arial" w:hAnsi="Arial" w:cs="Arial"/>
          <w:sz w:val="24"/>
          <w:szCs w:val="24"/>
        </w:rPr>
      </w:pPr>
      <w:r w:rsidRPr="00E05130">
        <w:rPr>
          <w:rFonts w:ascii="Arial" w:hAnsi="Arial" w:cs="Arial"/>
          <w:sz w:val="24"/>
          <w:szCs w:val="24"/>
          <w:shd w:val="clear" w:color="auto" w:fill="FFFFFF"/>
        </w:rPr>
        <w:t>Law commission (2015a)</w:t>
      </w:r>
      <w:r w:rsidRPr="00E05130">
        <w:rPr>
          <w:rFonts w:ascii="Arial" w:hAnsi="Arial" w:cs="Arial"/>
          <w:sz w:val="24"/>
          <w:szCs w:val="24"/>
        </w:rPr>
        <w:t xml:space="preserve"> ‘Reform of Offences against the Person’ Available at :  </w:t>
      </w:r>
      <w:hyperlink r:id="rId12" w:history="1">
        <w:r w:rsidRPr="00E05130">
          <w:rPr>
            <w:rStyle w:val="Hyperlink"/>
            <w:rFonts w:ascii="Arial" w:hAnsi="Arial" w:cs="Arial"/>
            <w:sz w:val="24"/>
            <w:szCs w:val="24"/>
          </w:rPr>
          <w:t>https://s3-eu-west-2.amazonaws.com/lawcom-prod-storage-11jsxou24uy7q/uploads/2015/11/51950-LC-HC555_Web.pdf</w:t>
        </w:r>
      </w:hyperlink>
      <w:r w:rsidRPr="00E05130">
        <w:rPr>
          <w:rFonts w:ascii="Arial" w:hAnsi="Arial" w:cs="Arial"/>
          <w:sz w:val="24"/>
          <w:szCs w:val="24"/>
        </w:rPr>
        <w:t xml:space="preserve"> (Accessed on: 4 March 2021)</w:t>
      </w:r>
    </w:p>
    <w:p w14:paraId="6A456749" w14:textId="77777777" w:rsidR="00A12E77" w:rsidRPr="00E05130" w:rsidRDefault="00A12E77" w:rsidP="00A12E77">
      <w:pPr>
        <w:pStyle w:val="ListParagraph"/>
        <w:numPr>
          <w:ilvl w:val="0"/>
          <w:numId w:val="1"/>
        </w:numPr>
        <w:ind w:left="502"/>
        <w:rPr>
          <w:rFonts w:ascii="Arial" w:hAnsi="Arial" w:cs="Arial"/>
          <w:sz w:val="24"/>
          <w:szCs w:val="24"/>
        </w:rPr>
      </w:pPr>
      <w:r w:rsidRPr="00E05130">
        <w:rPr>
          <w:rFonts w:ascii="Arial" w:hAnsi="Arial" w:cs="Arial"/>
          <w:sz w:val="24"/>
          <w:szCs w:val="24"/>
          <w:shd w:val="clear" w:color="auto" w:fill="FFFFFF"/>
        </w:rPr>
        <w:lastRenderedPageBreak/>
        <w:t xml:space="preserve">Law Commission (2015b) ‘ </w:t>
      </w:r>
      <w:r w:rsidRPr="00E05130">
        <w:rPr>
          <w:rFonts w:ascii="Arial" w:hAnsi="Arial" w:cs="Arial"/>
          <w:sz w:val="24"/>
          <w:szCs w:val="24"/>
        </w:rPr>
        <w:t xml:space="preserve">OFFENCES AGAINST THE PERSON: OVERVIEW’ Available at: </w:t>
      </w:r>
      <w:hyperlink r:id="rId13" w:history="1">
        <w:r w:rsidRPr="00E05130">
          <w:rPr>
            <w:rStyle w:val="Hyperlink"/>
            <w:rFonts w:ascii="Arial" w:hAnsi="Arial" w:cs="Arial"/>
            <w:sz w:val="24"/>
            <w:szCs w:val="24"/>
          </w:rPr>
          <w:t>https://s3-eu-west-2.amazonaws.com/lawcom-prod-storage-11jsxou24uy7q/uploads/2015/11/lc361_offences_against_the_person_overview_new-1.pdf</w:t>
        </w:r>
      </w:hyperlink>
      <w:r w:rsidRPr="00E05130">
        <w:rPr>
          <w:rFonts w:ascii="Arial" w:hAnsi="Arial" w:cs="Arial"/>
          <w:sz w:val="24"/>
          <w:szCs w:val="24"/>
        </w:rPr>
        <w:t xml:space="preserve"> (Accessed on: 4 March 2021)</w:t>
      </w:r>
    </w:p>
    <w:p w14:paraId="03985535" w14:textId="3C8B5A43" w:rsidR="00A12E77" w:rsidRPr="00E05130" w:rsidRDefault="00A12E77" w:rsidP="00A12E77">
      <w:pPr>
        <w:pStyle w:val="ListParagraph"/>
        <w:numPr>
          <w:ilvl w:val="0"/>
          <w:numId w:val="1"/>
        </w:numPr>
        <w:ind w:left="502"/>
        <w:rPr>
          <w:rFonts w:ascii="Arial" w:hAnsi="Arial" w:cs="Arial"/>
          <w:sz w:val="24"/>
          <w:szCs w:val="24"/>
        </w:rPr>
      </w:pPr>
      <w:r w:rsidRPr="00E05130">
        <w:rPr>
          <w:rFonts w:ascii="Arial" w:hAnsi="Arial" w:cs="Arial"/>
          <w:sz w:val="24"/>
          <w:szCs w:val="24"/>
          <w:shd w:val="clear" w:color="auto" w:fill="FFFFFF"/>
        </w:rPr>
        <w:t>McCombe, C.A., (2017). ‘Non-Fatal Offences against the Person: Complexities, Difficulties and Reform’ </w:t>
      </w:r>
      <w:r w:rsidRPr="00E05130">
        <w:rPr>
          <w:rFonts w:ascii="Arial" w:hAnsi="Arial" w:cs="Arial"/>
          <w:i/>
          <w:iCs/>
          <w:sz w:val="24"/>
          <w:szCs w:val="24"/>
          <w:shd w:val="clear" w:color="auto" w:fill="FFFFFF"/>
        </w:rPr>
        <w:t>QMLJ</w:t>
      </w:r>
      <w:r w:rsidRPr="00E05130">
        <w:rPr>
          <w:rFonts w:ascii="Arial" w:hAnsi="Arial" w:cs="Arial"/>
          <w:sz w:val="24"/>
          <w:szCs w:val="24"/>
          <w:shd w:val="clear" w:color="auto" w:fill="FFFFFF"/>
        </w:rPr>
        <w:t>, </w:t>
      </w:r>
      <w:r w:rsidRPr="00E05130">
        <w:rPr>
          <w:rFonts w:ascii="Arial" w:hAnsi="Arial" w:cs="Arial"/>
          <w:i/>
          <w:iCs/>
          <w:sz w:val="24"/>
          <w:szCs w:val="24"/>
          <w:shd w:val="clear" w:color="auto" w:fill="FFFFFF"/>
        </w:rPr>
        <w:t>8</w:t>
      </w:r>
      <w:r w:rsidRPr="00E05130">
        <w:rPr>
          <w:rFonts w:ascii="Arial" w:hAnsi="Arial" w:cs="Arial"/>
          <w:sz w:val="24"/>
          <w:szCs w:val="24"/>
          <w:shd w:val="clear" w:color="auto" w:fill="FFFFFF"/>
        </w:rPr>
        <w:t>, p.71.</w:t>
      </w:r>
      <w:r w:rsidR="00D025CE">
        <w:rPr>
          <w:rFonts w:ascii="Arial" w:hAnsi="Arial" w:cs="Arial"/>
          <w:sz w:val="24"/>
          <w:szCs w:val="24"/>
          <w:shd w:val="clear" w:color="auto" w:fill="FFFFFF"/>
        </w:rPr>
        <w:t xml:space="preserve"> Available at: </w:t>
      </w:r>
      <w:hyperlink r:id="rId14" w:history="1">
        <w:r w:rsidR="00D025CE" w:rsidRPr="003F7E67">
          <w:rPr>
            <w:rStyle w:val="Hyperlink"/>
            <w:rFonts w:ascii="Arial" w:hAnsi="Arial" w:cs="Arial"/>
            <w:sz w:val="24"/>
            <w:szCs w:val="24"/>
            <w:shd w:val="clear" w:color="auto" w:fill="FFFFFF"/>
          </w:rPr>
          <w:t>https://heinonline.org/HOL/LandingPage?handle=hein.journals/qmlj8&amp;div=9&amp;id=&amp;page=</w:t>
        </w:r>
      </w:hyperlink>
      <w:r w:rsidR="00D025CE">
        <w:rPr>
          <w:rFonts w:ascii="Arial" w:hAnsi="Arial" w:cs="Arial"/>
          <w:sz w:val="24"/>
          <w:szCs w:val="24"/>
          <w:shd w:val="clear" w:color="auto" w:fill="FFFFFF"/>
        </w:rPr>
        <w:t xml:space="preserve"> (Accessed on: 3 March 2021)</w:t>
      </w:r>
    </w:p>
    <w:p w14:paraId="06098522" w14:textId="018EF623" w:rsidR="00A12E77" w:rsidRPr="00E05130" w:rsidRDefault="00A12E77" w:rsidP="00A12E77">
      <w:pPr>
        <w:pStyle w:val="ListParagraph"/>
        <w:numPr>
          <w:ilvl w:val="0"/>
          <w:numId w:val="1"/>
        </w:numPr>
        <w:ind w:left="502"/>
        <w:rPr>
          <w:rFonts w:ascii="Arial" w:hAnsi="Arial" w:cs="Arial"/>
          <w:sz w:val="24"/>
          <w:szCs w:val="24"/>
        </w:rPr>
      </w:pPr>
      <w:r w:rsidRPr="00E05130">
        <w:rPr>
          <w:rFonts w:ascii="Arial" w:hAnsi="Arial" w:cs="Arial"/>
          <w:sz w:val="24"/>
          <w:szCs w:val="24"/>
          <w:shd w:val="clear" w:color="auto" w:fill="FFFFFF"/>
        </w:rPr>
        <w:t>Reed, A. (1995) ‘Offences against the Person: The Need for Reform’, </w:t>
      </w:r>
      <w:r w:rsidRPr="00E05130">
        <w:rPr>
          <w:rFonts w:ascii="Arial" w:hAnsi="Arial" w:cs="Arial"/>
          <w:i/>
          <w:iCs/>
          <w:sz w:val="24"/>
          <w:szCs w:val="24"/>
          <w:shd w:val="clear" w:color="auto" w:fill="FFFFFF"/>
        </w:rPr>
        <w:t>The Journal of Criminal Law</w:t>
      </w:r>
      <w:r w:rsidRPr="00E05130">
        <w:rPr>
          <w:rFonts w:ascii="Arial" w:hAnsi="Arial" w:cs="Arial"/>
          <w:sz w:val="24"/>
          <w:szCs w:val="24"/>
          <w:shd w:val="clear" w:color="auto" w:fill="FFFFFF"/>
        </w:rPr>
        <w:t xml:space="preserve">, 59(2), pp. 187–197. </w:t>
      </w:r>
      <w:proofErr w:type="spellStart"/>
      <w:r w:rsidRPr="00E05130">
        <w:rPr>
          <w:rFonts w:ascii="Arial" w:hAnsi="Arial" w:cs="Arial"/>
          <w:sz w:val="24"/>
          <w:szCs w:val="24"/>
          <w:shd w:val="clear" w:color="auto" w:fill="FFFFFF"/>
        </w:rPr>
        <w:t>doi</w:t>
      </w:r>
      <w:proofErr w:type="spellEnd"/>
      <w:r w:rsidRPr="00E05130">
        <w:rPr>
          <w:rFonts w:ascii="Arial" w:hAnsi="Arial" w:cs="Arial"/>
          <w:sz w:val="24"/>
          <w:szCs w:val="24"/>
          <w:shd w:val="clear" w:color="auto" w:fill="FFFFFF"/>
        </w:rPr>
        <w:t>: </w:t>
      </w:r>
      <w:hyperlink r:id="rId15" w:history="1">
        <w:r w:rsidRPr="00E05130">
          <w:rPr>
            <w:rStyle w:val="Hyperlink"/>
            <w:rFonts w:ascii="Arial" w:hAnsi="Arial" w:cs="Arial"/>
            <w:color w:val="auto"/>
            <w:sz w:val="24"/>
            <w:szCs w:val="24"/>
            <w:shd w:val="clear" w:color="auto" w:fill="FFFFFF"/>
          </w:rPr>
          <w:t>10.1177/002201839505900205</w:t>
        </w:r>
      </w:hyperlink>
      <w:r w:rsidRPr="00E05130">
        <w:rPr>
          <w:rFonts w:ascii="Arial" w:hAnsi="Arial" w:cs="Arial"/>
          <w:sz w:val="24"/>
          <w:szCs w:val="24"/>
          <w:shd w:val="clear" w:color="auto" w:fill="FFFFFF"/>
        </w:rPr>
        <w:t>.</w:t>
      </w:r>
      <w:r w:rsidR="00D025CE">
        <w:rPr>
          <w:rFonts w:ascii="Arial" w:hAnsi="Arial" w:cs="Arial"/>
          <w:sz w:val="24"/>
          <w:szCs w:val="24"/>
          <w:shd w:val="clear" w:color="auto" w:fill="FFFFFF"/>
        </w:rPr>
        <w:t xml:space="preserve"> </w:t>
      </w:r>
      <w:r w:rsidR="00D025CE" w:rsidRPr="00E05130">
        <w:rPr>
          <w:rFonts w:ascii="Arial" w:hAnsi="Arial" w:cs="Arial"/>
          <w:sz w:val="24"/>
          <w:szCs w:val="24"/>
        </w:rPr>
        <w:t xml:space="preserve">(Accessed on </w:t>
      </w:r>
      <w:r w:rsidR="00D025CE">
        <w:rPr>
          <w:rFonts w:ascii="Arial" w:hAnsi="Arial" w:cs="Arial"/>
          <w:sz w:val="24"/>
          <w:szCs w:val="24"/>
        </w:rPr>
        <w:t>3 March</w:t>
      </w:r>
      <w:r w:rsidR="00D025CE" w:rsidRPr="00E05130">
        <w:rPr>
          <w:rFonts w:ascii="Arial" w:hAnsi="Arial" w:cs="Arial"/>
          <w:sz w:val="24"/>
          <w:szCs w:val="24"/>
        </w:rPr>
        <w:t xml:space="preserve"> 2021)</w:t>
      </w:r>
    </w:p>
    <w:bookmarkEnd w:id="3"/>
    <w:p w14:paraId="3F6EF53D" w14:textId="77777777" w:rsidR="000A24A2" w:rsidRDefault="000A24A2" w:rsidP="000A24A2">
      <w:pPr>
        <w:rPr>
          <w:rFonts w:ascii="Arial" w:hAnsi="Arial" w:cs="Arial"/>
          <w:sz w:val="24"/>
          <w:szCs w:val="24"/>
        </w:rPr>
      </w:pPr>
    </w:p>
    <w:p w14:paraId="1EC2FC9B" w14:textId="77777777" w:rsidR="000A24A2" w:rsidRDefault="000A24A2" w:rsidP="000A24A2">
      <w:r>
        <w:rPr>
          <w:rFonts w:ascii="Arial" w:hAnsi="Arial" w:cs="Arial"/>
          <w:sz w:val="24"/>
          <w:szCs w:val="24"/>
          <w:shd w:val="clear" w:color="auto" w:fill="FFFFFF"/>
        </w:rPr>
        <w:t xml:space="preserve">R v Constanza (1997), </w:t>
      </w:r>
    </w:p>
    <w:p w14:paraId="396178D0" w14:textId="77777777" w:rsidR="000A24A2" w:rsidRDefault="000A24A2" w:rsidP="000A24A2">
      <w:pPr>
        <w:rPr>
          <w:rFonts w:ascii="Arial" w:hAnsi="Arial" w:cs="Arial"/>
          <w:sz w:val="24"/>
          <w:szCs w:val="24"/>
        </w:rPr>
      </w:pPr>
      <w:r>
        <w:rPr>
          <w:rFonts w:ascii="Arial" w:hAnsi="Arial" w:cs="Arial"/>
          <w:sz w:val="24"/>
          <w:szCs w:val="24"/>
        </w:rPr>
        <w:t xml:space="preserve">R v Cunningham (1957) </w:t>
      </w:r>
    </w:p>
    <w:p w14:paraId="6B64875F" w14:textId="77777777" w:rsidR="000A24A2" w:rsidRDefault="000A24A2" w:rsidP="000A24A2">
      <w:pPr>
        <w:rPr>
          <w:rFonts w:ascii="Arial" w:hAnsi="Arial" w:cs="Arial"/>
          <w:sz w:val="24"/>
          <w:szCs w:val="24"/>
          <w:shd w:val="clear" w:color="auto" w:fill="FFFFFF"/>
        </w:rPr>
      </w:pPr>
      <w:r>
        <w:rPr>
          <w:rFonts w:ascii="Arial" w:hAnsi="Arial" w:cs="Arial"/>
          <w:sz w:val="24"/>
          <w:szCs w:val="24"/>
          <w:shd w:val="clear" w:color="auto" w:fill="FFFFFF"/>
        </w:rPr>
        <w:t xml:space="preserve">R v Thomas (1985), </w:t>
      </w:r>
    </w:p>
    <w:p w14:paraId="5A49CA48" w14:textId="0C8D7D76" w:rsidR="000C14E4" w:rsidRPr="000A24A2" w:rsidRDefault="000C14E4" w:rsidP="004B138C">
      <w:pPr>
        <w:spacing w:line="360" w:lineRule="auto"/>
        <w:rPr>
          <w:rFonts w:ascii="Arial" w:hAnsi="Arial" w:cs="Arial"/>
          <w:sz w:val="24"/>
          <w:szCs w:val="24"/>
          <w:shd w:val="clear" w:color="auto" w:fill="FFFFFF"/>
        </w:rPr>
      </w:pPr>
    </w:p>
    <w:p w14:paraId="68D8A540" w14:textId="77777777" w:rsidR="00732DEE" w:rsidRPr="000A24A2" w:rsidRDefault="00732DEE" w:rsidP="004B138C">
      <w:pPr>
        <w:spacing w:line="360" w:lineRule="auto"/>
        <w:rPr>
          <w:rFonts w:ascii="Arial" w:hAnsi="Arial" w:cs="Arial"/>
          <w:color w:val="333333"/>
          <w:sz w:val="22"/>
          <w:szCs w:val="22"/>
          <w:shd w:val="clear" w:color="auto" w:fill="FFFFFF"/>
        </w:rPr>
      </w:pPr>
    </w:p>
    <w:p w14:paraId="526FD74C" w14:textId="27A35EF8" w:rsidR="00AB1534" w:rsidRPr="000A24A2" w:rsidRDefault="00AB1534" w:rsidP="005766F0">
      <w:pPr>
        <w:spacing w:line="276" w:lineRule="auto"/>
        <w:rPr>
          <w:rFonts w:ascii="Arial" w:hAnsi="Arial" w:cs="Arial"/>
          <w:sz w:val="24"/>
          <w:szCs w:val="24"/>
          <w:shd w:val="clear" w:color="auto" w:fill="FFFFFF"/>
        </w:rPr>
      </w:pPr>
    </w:p>
    <w:p w14:paraId="417F1A33" w14:textId="441CE2A8" w:rsidR="00AB1534" w:rsidRPr="000A24A2" w:rsidRDefault="00AB1534" w:rsidP="005766F0">
      <w:pPr>
        <w:spacing w:line="276" w:lineRule="auto"/>
        <w:rPr>
          <w:rFonts w:ascii="Arial" w:hAnsi="Arial" w:cs="Arial"/>
          <w:sz w:val="24"/>
          <w:szCs w:val="24"/>
          <w:shd w:val="clear" w:color="auto" w:fill="FFFFFF"/>
        </w:rPr>
      </w:pPr>
    </w:p>
    <w:p w14:paraId="23300F7D" w14:textId="05CEFAB1" w:rsidR="00AB1534" w:rsidRPr="000A24A2" w:rsidRDefault="00AB1534" w:rsidP="000A24A2">
      <w:pPr>
        <w:spacing w:line="360" w:lineRule="auto"/>
        <w:rPr>
          <w:rFonts w:ascii="Arial" w:hAnsi="Arial" w:cs="Arial"/>
          <w:sz w:val="24"/>
          <w:szCs w:val="24"/>
          <w:shd w:val="clear" w:color="auto" w:fill="FFFFFF"/>
        </w:rPr>
      </w:pPr>
    </w:p>
    <w:p w14:paraId="74AFC06F" w14:textId="15765B30" w:rsidR="00A41E57" w:rsidRPr="000A24A2" w:rsidRDefault="00A41E57">
      <w:pPr>
        <w:rPr>
          <w:rFonts w:ascii="Arial" w:hAnsi="Arial" w:cs="Arial"/>
          <w:sz w:val="24"/>
          <w:szCs w:val="24"/>
          <w:shd w:val="clear" w:color="auto" w:fill="FFFFFF"/>
        </w:rPr>
      </w:pPr>
    </w:p>
    <w:p w14:paraId="7894F376" w14:textId="77777777" w:rsidR="00A41E57" w:rsidRPr="000A24A2" w:rsidRDefault="00A41E57">
      <w:pPr>
        <w:rPr>
          <w:rFonts w:ascii="Arial" w:hAnsi="Arial" w:cs="Arial"/>
          <w:sz w:val="24"/>
          <w:szCs w:val="24"/>
          <w:shd w:val="clear" w:color="auto" w:fill="FFFFFF"/>
        </w:rPr>
      </w:pPr>
    </w:p>
    <w:p w14:paraId="2A3F8F43" w14:textId="6367D84D" w:rsidR="00783077" w:rsidRPr="000A24A2" w:rsidRDefault="00783077">
      <w:pPr>
        <w:rPr>
          <w:rFonts w:ascii="Arial" w:hAnsi="Arial" w:cs="Arial"/>
          <w:sz w:val="24"/>
          <w:szCs w:val="24"/>
          <w:shd w:val="clear" w:color="auto" w:fill="FFFFFF"/>
        </w:rPr>
      </w:pPr>
    </w:p>
    <w:p w14:paraId="4E25B9F2" w14:textId="07A64E57" w:rsidR="008A2174" w:rsidRPr="000A24A2" w:rsidRDefault="008A2174">
      <w:pPr>
        <w:rPr>
          <w:rFonts w:ascii="Arial" w:hAnsi="Arial" w:cs="Arial"/>
          <w:color w:val="333333"/>
          <w:sz w:val="24"/>
          <w:szCs w:val="24"/>
          <w:shd w:val="clear" w:color="auto" w:fill="FFFFFF"/>
        </w:rPr>
      </w:pPr>
    </w:p>
    <w:p w14:paraId="12180BD1" w14:textId="77777777" w:rsidR="004A3E15" w:rsidRPr="000A24A2" w:rsidRDefault="004A3E15">
      <w:pPr>
        <w:rPr>
          <w:rFonts w:ascii="Arial" w:hAnsi="Arial" w:cs="Arial"/>
          <w:color w:val="333333"/>
          <w:sz w:val="24"/>
          <w:szCs w:val="24"/>
          <w:shd w:val="clear" w:color="auto" w:fill="FFFFFF"/>
        </w:rPr>
      </w:pPr>
    </w:p>
    <w:p w14:paraId="0DAB4C08" w14:textId="77777777" w:rsidR="00734665" w:rsidRPr="000A24A2" w:rsidRDefault="00734665">
      <w:pPr>
        <w:rPr>
          <w:rFonts w:ascii="Arial" w:hAnsi="Arial" w:cs="Arial"/>
          <w:sz w:val="28"/>
          <w:szCs w:val="28"/>
        </w:rPr>
      </w:pPr>
    </w:p>
    <w:p w14:paraId="691156CD" w14:textId="77777777" w:rsidR="00734665" w:rsidRPr="000A24A2" w:rsidRDefault="00734665">
      <w:pPr>
        <w:rPr>
          <w:rFonts w:ascii="Arial" w:hAnsi="Arial" w:cs="Arial"/>
          <w:sz w:val="28"/>
          <w:szCs w:val="28"/>
        </w:rPr>
      </w:pPr>
    </w:p>
    <w:p w14:paraId="6AB2B0B1" w14:textId="77777777" w:rsidR="00734665" w:rsidRPr="000A24A2" w:rsidRDefault="00734665">
      <w:pPr>
        <w:rPr>
          <w:rFonts w:ascii="Arial" w:hAnsi="Arial" w:cs="Arial"/>
          <w:sz w:val="28"/>
          <w:szCs w:val="28"/>
        </w:rPr>
      </w:pPr>
    </w:p>
    <w:p w14:paraId="1BFFFEAD" w14:textId="45C9EB34" w:rsidR="00D91469" w:rsidRPr="000A24A2" w:rsidRDefault="00E6039A">
      <w:pPr>
        <w:rPr>
          <w:rFonts w:ascii="Arial" w:hAnsi="Arial" w:cs="Arial"/>
          <w:sz w:val="28"/>
          <w:szCs w:val="28"/>
        </w:rPr>
      </w:pPr>
      <w:r w:rsidRPr="000A24A2">
        <w:rPr>
          <w:rFonts w:ascii="Arial" w:hAnsi="Arial" w:cs="Arial"/>
          <w:sz w:val="28"/>
          <w:szCs w:val="28"/>
        </w:rPr>
        <w:t xml:space="preserve"> </w:t>
      </w:r>
    </w:p>
    <w:sectPr w:rsidR="00D91469" w:rsidRPr="000A24A2">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888BFC" w14:textId="77777777" w:rsidR="000A24A2" w:rsidRDefault="000A24A2" w:rsidP="000A24A2">
      <w:r>
        <w:separator/>
      </w:r>
    </w:p>
  </w:endnote>
  <w:endnote w:type="continuationSeparator" w:id="0">
    <w:p w14:paraId="5EDBF830" w14:textId="77777777" w:rsidR="000A24A2" w:rsidRDefault="000A24A2" w:rsidP="000A24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29584344"/>
      <w:docPartObj>
        <w:docPartGallery w:val="Page Numbers (Bottom of Page)"/>
        <w:docPartUnique/>
      </w:docPartObj>
    </w:sdtPr>
    <w:sdtEndPr>
      <w:rPr>
        <w:noProof/>
      </w:rPr>
    </w:sdtEndPr>
    <w:sdtContent>
      <w:p w14:paraId="5B733496" w14:textId="77777777" w:rsidR="000A24A2" w:rsidRDefault="000A24A2">
        <w:pPr>
          <w:pStyle w:val="Footer"/>
          <w:jc w:val="right"/>
        </w:pPr>
      </w:p>
      <w:p w14:paraId="201FD3F3" w14:textId="3C7123B2" w:rsidR="000A24A2" w:rsidRDefault="000A24A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1D17234" w14:textId="77777777" w:rsidR="000A24A2" w:rsidRDefault="000A24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19E1BC9" w14:textId="77777777" w:rsidR="000A24A2" w:rsidRDefault="000A24A2" w:rsidP="000A24A2">
      <w:r>
        <w:separator/>
      </w:r>
    </w:p>
  </w:footnote>
  <w:footnote w:type="continuationSeparator" w:id="0">
    <w:p w14:paraId="165D377D" w14:textId="77777777" w:rsidR="000A24A2" w:rsidRDefault="000A24A2" w:rsidP="000A24A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733272"/>
    <w:multiLevelType w:val="hybridMultilevel"/>
    <w:tmpl w:val="E7AEB8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648F"/>
    <w:rsid w:val="000272C2"/>
    <w:rsid w:val="0002776B"/>
    <w:rsid w:val="00045BE3"/>
    <w:rsid w:val="00060A75"/>
    <w:rsid w:val="00072467"/>
    <w:rsid w:val="00082A68"/>
    <w:rsid w:val="000861CE"/>
    <w:rsid w:val="00091812"/>
    <w:rsid w:val="000A24A2"/>
    <w:rsid w:val="000C14E4"/>
    <w:rsid w:val="000D2462"/>
    <w:rsid w:val="000F172A"/>
    <w:rsid w:val="00105478"/>
    <w:rsid w:val="001550C5"/>
    <w:rsid w:val="00196B0E"/>
    <w:rsid w:val="00227433"/>
    <w:rsid w:val="0024621F"/>
    <w:rsid w:val="0026266E"/>
    <w:rsid w:val="00273F5D"/>
    <w:rsid w:val="002E5312"/>
    <w:rsid w:val="003332CF"/>
    <w:rsid w:val="00356862"/>
    <w:rsid w:val="003841A5"/>
    <w:rsid w:val="00386269"/>
    <w:rsid w:val="003A5E17"/>
    <w:rsid w:val="003A6350"/>
    <w:rsid w:val="003C2535"/>
    <w:rsid w:val="003C35FF"/>
    <w:rsid w:val="003F592A"/>
    <w:rsid w:val="00431877"/>
    <w:rsid w:val="004A3E15"/>
    <w:rsid w:val="004B0AEA"/>
    <w:rsid w:val="004B138C"/>
    <w:rsid w:val="004C5506"/>
    <w:rsid w:val="004E7F1D"/>
    <w:rsid w:val="004F49FF"/>
    <w:rsid w:val="00504F63"/>
    <w:rsid w:val="0051648F"/>
    <w:rsid w:val="00550815"/>
    <w:rsid w:val="005766F0"/>
    <w:rsid w:val="00591A38"/>
    <w:rsid w:val="005A7937"/>
    <w:rsid w:val="006069D7"/>
    <w:rsid w:val="00637FEC"/>
    <w:rsid w:val="00640AB7"/>
    <w:rsid w:val="006A42B3"/>
    <w:rsid w:val="006C6B05"/>
    <w:rsid w:val="006E56A0"/>
    <w:rsid w:val="007048C9"/>
    <w:rsid w:val="00732DEE"/>
    <w:rsid w:val="00734665"/>
    <w:rsid w:val="0074731B"/>
    <w:rsid w:val="00766751"/>
    <w:rsid w:val="00783077"/>
    <w:rsid w:val="00791995"/>
    <w:rsid w:val="007B564B"/>
    <w:rsid w:val="007C602E"/>
    <w:rsid w:val="007E4E95"/>
    <w:rsid w:val="00833A7F"/>
    <w:rsid w:val="00853236"/>
    <w:rsid w:val="008A2174"/>
    <w:rsid w:val="008B5A9B"/>
    <w:rsid w:val="008D5289"/>
    <w:rsid w:val="008F51E0"/>
    <w:rsid w:val="009024C9"/>
    <w:rsid w:val="00914A43"/>
    <w:rsid w:val="00973D63"/>
    <w:rsid w:val="009873B8"/>
    <w:rsid w:val="009D4A4F"/>
    <w:rsid w:val="009F2441"/>
    <w:rsid w:val="00A12E77"/>
    <w:rsid w:val="00A27B9A"/>
    <w:rsid w:val="00A27BDB"/>
    <w:rsid w:val="00A30CA1"/>
    <w:rsid w:val="00A31715"/>
    <w:rsid w:val="00A41E57"/>
    <w:rsid w:val="00A522E6"/>
    <w:rsid w:val="00AB1534"/>
    <w:rsid w:val="00AD18D5"/>
    <w:rsid w:val="00AE1BE5"/>
    <w:rsid w:val="00AF7027"/>
    <w:rsid w:val="00B34E87"/>
    <w:rsid w:val="00B4114B"/>
    <w:rsid w:val="00B416B1"/>
    <w:rsid w:val="00B63276"/>
    <w:rsid w:val="00B76141"/>
    <w:rsid w:val="00B93FC4"/>
    <w:rsid w:val="00BA326F"/>
    <w:rsid w:val="00C01ED4"/>
    <w:rsid w:val="00C24195"/>
    <w:rsid w:val="00C42D25"/>
    <w:rsid w:val="00C4349A"/>
    <w:rsid w:val="00C628BB"/>
    <w:rsid w:val="00C71537"/>
    <w:rsid w:val="00C97E2E"/>
    <w:rsid w:val="00CA4D91"/>
    <w:rsid w:val="00CB0D47"/>
    <w:rsid w:val="00CC0E9E"/>
    <w:rsid w:val="00D025CE"/>
    <w:rsid w:val="00D1334C"/>
    <w:rsid w:val="00D22C11"/>
    <w:rsid w:val="00D24972"/>
    <w:rsid w:val="00D6289E"/>
    <w:rsid w:val="00D91469"/>
    <w:rsid w:val="00DD1BE7"/>
    <w:rsid w:val="00DF081C"/>
    <w:rsid w:val="00DF5E0B"/>
    <w:rsid w:val="00E0281C"/>
    <w:rsid w:val="00E03BF7"/>
    <w:rsid w:val="00E04BBA"/>
    <w:rsid w:val="00E33020"/>
    <w:rsid w:val="00E6039A"/>
    <w:rsid w:val="00E62D52"/>
    <w:rsid w:val="00E75C5A"/>
    <w:rsid w:val="00EA7F8F"/>
    <w:rsid w:val="00EB0F2C"/>
    <w:rsid w:val="00EC5680"/>
    <w:rsid w:val="00EE3BE9"/>
    <w:rsid w:val="00F548ED"/>
    <w:rsid w:val="00F94C76"/>
    <w:rsid w:val="00FD3E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FD7AEE"/>
  <w15:chartTrackingRefBased/>
  <w15:docId w15:val="{B1173351-1CCC-4BD2-9280-55C0586B16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648F"/>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B1534"/>
    <w:pPr>
      <w:spacing w:after="160" w:line="259" w:lineRule="auto"/>
      <w:ind w:left="720"/>
      <w:contextualSpacing/>
    </w:pPr>
    <w:rPr>
      <w:rFonts w:asciiTheme="minorHAnsi" w:eastAsiaTheme="minorHAnsi" w:hAnsiTheme="minorHAnsi" w:cstheme="minorBidi"/>
      <w:sz w:val="22"/>
      <w:szCs w:val="22"/>
      <w:lang w:eastAsia="en-US"/>
    </w:rPr>
  </w:style>
  <w:style w:type="character" w:styleId="Hyperlink">
    <w:name w:val="Hyperlink"/>
    <w:basedOn w:val="DefaultParagraphFont"/>
    <w:uiPriority w:val="99"/>
    <w:unhideWhenUsed/>
    <w:rsid w:val="00AB1534"/>
    <w:rPr>
      <w:color w:val="0563C1" w:themeColor="hyperlink"/>
      <w:u w:val="single"/>
    </w:rPr>
  </w:style>
  <w:style w:type="paragraph" w:styleId="Header">
    <w:name w:val="header"/>
    <w:basedOn w:val="Normal"/>
    <w:link w:val="HeaderChar"/>
    <w:uiPriority w:val="99"/>
    <w:unhideWhenUsed/>
    <w:rsid w:val="000A24A2"/>
    <w:pPr>
      <w:tabs>
        <w:tab w:val="center" w:pos="4513"/>
        <w:tab w:val="right" w:pos="9026"/>
      </w:tabs>
    </w:pPr>
  </w:style>
  <w:style w:type="character" w:customStyle="1" w:styleId="HeaderChar">
    <w:name w:val="Header Char"/>
    <w:basedOn w:val="DefaultParagraphFont"/>
    <w:link w:val="Header"/>
    <w:uiPriority w:val="99"/>
    <w:rsid w:val="000A24A2"/>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0A24A2"/>
    <w:pPr>
      <w:tabs>
        <w:tab w:val="center" w:pos="4513"/>
        <w:tab w:val="right" w:pos="9026"/>
      </w:tabs>
    </w:pPr>
  </w:style>
  <w:style w:type="character" w:customStyle="1" w:styleId="FooterChar">
    <w:name w:val="Footer Char"/>
    <w:basedOn w:val="DefaultParagraphFont"/>
    <w:link w:val="Footer"/>
    <w:uiPriority w:val="99"/>
    <w:rsid w:val="000A24A2"/>
    <w:rPr>
      <w:rFonts w:ascii="Times New Roman" w:eastAsia="Times New Roman" w:hAnsi="Times New Roman" w:cs="Times New Roman"/>
      <w:sz w:val="20"/>
      <w:szCs w:val="20"/>
      <w:lang w:eastAsia="en-GB"/>
    </w:rPr>
  </w:style>
  <w:style w:type="character" w:styleId="UnresolvedMention">
    <w:name w:val="Unresolved Mention"/>
    <w:basedOn w:val="DefaultParagraphFont"/>
    <w:uiPriority w:val="99"/>
    <w:semiHidden/>
    <w:unhideWhenUsed/>
    <w:rsid w:val="00D025C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4333612">
      <w:bodyDiv w:val="1"/>
      <w:marLeft w:val="0"/>
      <w:marRight w:val="0"/>
      <w:marTop w:val="0"/>
      <w:marBottom w:val="0"/>
      <w:divBdr>
        <w:top w:val="none" w:sz="0" w:space="0" w:color="auto"/>
        <w:left w:val="none" w:sz="0" w:space="0" w:color="auto"/>
        <w:bottom w:val="none" w:sz="0" w:space="0" w:color="auto"/>
        <w:right w:val="none" w:sz="0" w:space="0" w:color="auto"/>
      </w:divBdr>
    </w:div>
    <w:div w:id="19908632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2F0022018316646656" TargetMode="External"/><Relationship Id="rId13" Type="http://schemas.openxmlformats.org/officeDocument/2006/relationships/hyperlink" Target="https://s3-eu-west-2.amazonaws.com/lawcom-prod-storage-11jsxou24uy7q/uploads/2015/11/lc361_offences_against_the_person_overview_new-1.pdf"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3-eu-west-2.amazonaws.com/lawcom-prod-storage-11jsxou24uy7q/uploads/2015/11/51950-LC-HC555_Web.pdf"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350/jcla.2012.76.6.805" TargetMode="External"/><Relationship Id="rId5" Type="http://schemas.openxmlformats.org/officeDocument/2006/relationships/webSettings" Target="webSettings.xml"/><Relationship Id="rId15" Type="http://schemas.openxmlformats.org/officeDocument/2006/relationships/hyperlink" Target="https://doi.org/10.1177/002201839505900205" TargetMode="External"/><Relationship Id="rId10" Type="http://schemas.openxmlformats.org/officeDocument/2006/relationships/hyperlink" Target="https://assets.publishing.service.gov.uk/government/uploads/system/uploads/attachment_data/file/473398/51950_LC_HC555_Web.pdf" TargetMode="External"/><Relationship Id="rId4" Type="http://schemas.openxmlformats.org/officeDocument/2006/relationships/settings" Target="settings.xml"/><Relationship Id="rId9" Type="http://schemas.openxmlformats.org/officeDocument/2006/relationships/hyperlink" Target="https://doi.org/10.1177%2F0022018316685478" TargetMode="External"/><Relationship Id="rId14" Type="http://schemas.openxmlformats.org/officeDocument/2006/relationships/hyperlink" Target="https://heinonline.org/HOL/LandingPage?handle=hein.journals/qmlj8&amp;div=9&amp;id=&amp;pa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A8AB9C-98E3-4765-8E84-50B2709146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998</TotalTime>
  <Pages>6</Pages>
  <Words>2038</Words>
  <Characters>11621</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 George Osullivan</dc:creator>
  <cp:keywords/>
  <dc:description/>
  <cp:lastModifiedBy>Shaun George Osullivan</cp:lastModifiedBy>
  <cp:revision>21</cp:revision>
  <dcterms:created xsi:type="dcterms:W3CDTF">2021-03-04T22:02:00Z</dcterms:created>
  <dcterms:modified xsi:type="dcterms:W3CDTF">2021-03-05T15:57:00Z</dcterms:modified>
</cp:coreProperties>
</file>