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156909"/>
        <w:docPartObj>
          <w:docPartGallery w:val="Cover Pages"/>
          <w:docPartUnique/>
        </w:docPartObj>
      </w:sdtPr>
      <w:sdtEndPr/>
      <w:sdtContent>
        <w:p w14:paraId="465DF60F" w14:textId="4E285CD5" w:rsidR="008A0163" w:rsidRDefault="008A0163"/>
        <w:p w14:paraId="6F57484C" w14:textId="04E59ADE" w:rsidR="008A0163" w:rsidRPr="0006289C" w:rsidRDefault="008A0163">
          <w:r>
            <w:rPr>
              <w:noProof/>
            </w:rPr>
            <mc:AlternateContent>
              <mc:Choice Requires="wpg">
                <w:drawing>
                  <wp:anchor distT="0" distB="0" distL="114300" distR="114300" simplePos="0" relativeHeight="251659264" behindDoc="1" locked="0" layoutInCell="1" allowOverlap="1" wp14:anchorId="542D0345" wp14:editId="5DE351C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7B26BD2" w14:textId="6EA08E9E" w:rsidR="008A0163" w:rsidRDefault="00F23A4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A0163">
                                        <w:rPr>
                                          <w:color w:val="FFFFFF" w:themeColor="background1"/>
                                          <w:sz w:val="72"/>
                                          <w:szCs w:val="72"/>
                                        </w:rPr>
                                        <w:t>Usability Engineering: Vending Machines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42D0345"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7B26BD2" w14:textId="6EA08E9E" w:rsidR="008A0163" w:rsidRDefault="00F23A4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A0163">
                                  <w:rPr>
                                    <w:color w:val="FFFFFF" w:themeColor="background1"/>
                                    <w:sz w:val="72"/>
                                    <w:szCs w:val="72"/>
                                  </w:rPr>
                                  <w:t>Usability Engineering: Vending Machines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35C3DF9" wp14:editId="5FA4F4E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5631721" w14:textId="40B0F531" w:rsidR="008A0163" w:rsidRDefault="008A0163">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57AF932" w14:textId="2E2912C4" w:rsidR="008A0163" w:rsidRDefault="008A0163">
                                    <w:pPr>
                                      <w:pStyle w:val="NoSpacing"/>
                                      <w:spacing w:before="40" w:after="40"/>
                                      <w:rPr>
                                        <w:caps/>
                                        <w:color w:val="5B9BD5" w:themeColor="accent5"/>
                                        <w:sz w:val="24"/>
                                        <w:szCs w:val="24"/>
                                      </w:rPr>
                                    </w:pPr>
                                    <w:r>
                                      <w:rPr>
                                        <w:caps/>
                                        <w:color w:val="5B9BD5" w:themeColor="accent5"/>
                                        <w:sz w:val="24"/>
                                        <w:szCs w:val="24"/>
                                      </w:rPr>
                                      <w:t>256602 (Jake Mason)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35C3DF9"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5631721" w14:textId="40B0F531" w:rsidR="008A0163" w:rsidRDefault="008A0163">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57AF932" w14:textId="2E2912C4" w:rsidR="008A0163" w:rsidRDefault="008A0163">
                              <w:pPr>
                                <w:pStyle w:val="NoSpacing"/>
                                <w:spacing w:before="40" w:after="40"/>
                                <w:rPr>
                                  <w:caps/>
                                  <w:color w:val="5B9BD5" w:themeColor="accent5"/>
                                  <w:sz w:val="24"/>
                                  <w:szCs w:val="24"/>
                                </w:rPr>
                              </w:pPr>
                              <w:r>
                                <w:rPr>
                                  <w:caps/>
                                  <w:color w:val="5B9BD5" w:themeColor="accent5"/>
                                  <w:sz w:val="24"/>
                                  <w:szCs w:val="24"/>
                                </w:rPr>
                                <w:t>256602 (Jake Mason)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44D054" wp14:editId="36F8F27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5DAA5EA" w14:textId="77777777" w:rsidR="008A0163" w:rsidRDefault="008A0163">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C44D054"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5DAA5EA" w14:textId="77777777" w:rsidR="008A0163" w:rsidRDefault="008A0163">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sdtContent>
    </w:sdt>
    <w:p w14:paraId="236F9313" w14:textId="0A69F64E" w:rsidR="008A0163" w:rsidRDefault="008A0163">
      <w:pPr>
        <w:rPr>
          <w:b/>
          <w:bCs/>
          <w:sz w:val="32"/>
          <w:szCs w:val="32"/>
          <w:u w:val="single"/>
        </w:rPr>
      </w:pPr>
    </w:p>
    <w:p w14:paraId="1E1AD3DF" w14:textId="7204F268" w:rsidR="008A0163" w:rsidRDefault="00B27129" w:rsidP="008A0163">
      <w:pPr>
        <w:jc w:val="center"/>
        <w:rPr>
          <w:b/>
          <w:bCs/>
          <w:sz w:val="32"/>
          <w:szCs w:val="32"/>
          <w:u w:val="single"/>
        </w:rPr>
      </w:pPr>
      <w:r>
        <w:rPr>
          <w:b/>
          <w:bCs/>
          <w:sz w:val="32"/>
          <w:szCs w:val="32"/>
          <w:u w:val="single"/>
        </w:rPr>
        <w:t>High quality vending machine design</w:t>
      </w:r>
    </w:p>
    <w:p w14:paraId="25559C26" w14:textId="470E70DA" w:rsidR="00AA1586" w:rsidRPr="00AA1586" w:rsidRDefault="00BA452A" w:rsidP="00973C58">
      <w:r>
        <w:rPr>
          <w:noProof/>
        </w:rPr>
        <w:drawing>
          <wp:inline distT="0" distB="0" distL="0" distR="0" wp14:anchorId="24713C57" wp14:editId="3A600D1D">
            <wp:extent cx="2262974" cy="3016881"/>
            <wp:effectExtent l="19050" t="19050" r="23495" b="12700"/>
            <wp:docPr id="2" name="Picture 2" descr="A picture containing text, vending machin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vending machine, several&#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69553" cy="3025652"/>
                    </a:xfrm>
                    <a:prstGeom prst="rect">
                      <a:avLst/>
                    </a:prstGeom>
                    <a:noFill/>
                    <a:ln>
                      <a:solidFill>
                        <a:schemeClr val="tx1"/>
                      </a:solidFill>
                    </a:ln>
                  </pic:spPr>
                </pic:pic>
              </a:graphicData>
            </a:graphic>
          </wp:inline>
        </w:drawing>
      </w:r>
    </w:p>
    <w:p w14:paraId="6C2504F7" w14:textId="046B958A" w:rsidR="00973C58" w:rsidRDefault="00973C58" w:rsidP="00973C58">
      <w:pPr>
        <w:rPr>
          <w:b/>
          <w:bCs/>
          <w:sz w:val="28"/>
          <w:szCs w:val="28"/>
          <w:u w:val="single"/>
        </w:rPr>
      </w:pPr>
      <w:r>
        <w:rPr>
          <w:b/>
          <w:bCs/>
          <w:sz w:val="28"/>
          <w:szCs w:val="28"/>
          <w:u w:val="single"/>
        </w:rPr>
        <w:t>Sense</w:t>
      </w:r>
      <w:r w:rsidR="00B654EF">
        <w:rPr>
          <w:b/>
          <w:bCs/>
          <w:sz w:val="28"/>
          <w:szCs w:val="28"/>
          <w:u w:val="single"/>
        </w:rPr>
        <w:t>s</w:t>
      </w:r>
    </w:p>
    <w:p w14:paraId="64EEACB5" w14:textId="1EE38917" w:rsidR="00D02701" w:rsidRDefault="00476ACF" w:rsidP="00973C58">
      <w:r>
        <w:t xml:space="preserve">Despite the owners of this machine having filled it with the opposite of its goal, </w:t>
      </w:r>
      <w:r w:rsidR="009807F3">
        <w:t xml:space="preserve">the large sticker branding is useful as it immediately displays to those passing by what it is trying to market, what it contains, in large, clear text with the sticker too containing images of healthy food. </w:t>
      </w:r>
      <w:r w:rsidR="00F7216F">
        <w:t>The containments of the vending machine are separated with food at the top and drink at the bottom too, with their key number being very clear (“A4”, “B6”</w:t>
      </w:r>
      <w:r w:rsidR="0068413A">
        <w:t xml:space="preserve">, “D5” and so on), also clearly visible from a distance is the payment methods being offered, with coins </w:t>
      </w:r>
      <w:r w:rsidR="00A819E8">
        <w:t xml:space="preserve">(as per tradition for typical food vending machines), notes and card being accepted. The card payment </w:t>
      </w:r>
      <w:r w:rsidR="00964363">
        <w:t xml:space="preserve">location has instructions on how to pay using card, and a sticker beneath showing that Apple pay is an option available. The large button near the payment options is indicative of the </w:t>
      </w:r>
      <w:r w:rsidR="00BB5A1C">
        <w:t>button which gives users their change, its location is satisfactory here, and clearly labelled for those unknown, but with said label not being intrusive.</w:t>
      </w:r>
    </w:p>
    <w:p w14:paraId="63DA8BE5" w14:textId="657B8E48" w:rsidR="00F35D5F" w:rsidRDefault="00F35D5F" w:rsidP="00973C58">
      <w:r>
        <w:t xml:space="preserve">At closer inspection it can be seen that clear, brief instructions are added onto the machine in an area where users are going to be likely to read – the payment area, also within visibility here is </w:t>
      </w:r>
      <w:r w:rsidR="00D84AF8">
        <w:t>the time and date, which are not essential, but harmless to include nevertheless – and could provide useful to someone.</w:t>
      </w:r>
    </w:p>
    <w:p w14:paraId="22215645" w14:textId="37905840" w:rsidR="00B654EF" w:rsidRDefault="00125B63" w:rsidP="00973C58">
      <w:r>
        <w:t xml:space="preserve">The buttons to select an item to purchase are within close enough range of the payment options to be convenient for the user, having not to need to move their fingers/hand very far, </w:t>
      </w:r>
      <w:r w:rsidR="00CA61AB">
        <w:t xml:space="preserve">yet not too close in which discomfort could be caused – or to where options are not distinct or visually pleasing. One gripe however is that the option to pay with card is awfully far down on the vending machine, a possible suggestion for improvement here is for the sticker with the woman laughing to be removed, and to have the card option moved </w:t>
      </w:r>
      <w:r w:rsidR="00543B2E">
        <w:t>near where that sticker lies.</w:t>
      </w:r>
    </w:p>
    <w:p w14:paraId="37966172" w14:textId="42C05333" w:rsidR="009B6966" w:rsidRPr="00D02701" w:rsidRDefault="004865DB" w:rsidP="00973C58">
      <w:r>
        <w:t>Areas of the vending machine which can be touched have a smooth metallic coating</w:t>
      </w:r>
      <w:r w:rsidR="00A43D5A">
        <w:t xml:space="preserve"> – the feeling of which is pleasant to most people and common in most vending machines, as well as</w:t>
      </w:r>
      <w:r w:rsidR="004D0B33">
        <w:t xml:space="preserve"> a significant number of items which would be in a modern, public building such as railings for staircases. </w:t>
      </w:r>
    </w:p>
    <w:p w14:paraId="633C6C51" w14:textId="30D66F30" w:rsidR="00973C58" w:rsidRDefault="00973C58" w:rsidP="00973C58">
      <w:pPr>
        <w:rPr>
          <w:b/>
          <w:bCs/>
          <w:sz w:val="28"/>
          <w:szCs w:val="28"/>
          <w:u w:val="single"/>
        </w:rPr>
      </w:pPr>
      <w:r>
        <w:rPr>
          <w:b/>
          <w:bCs/>
          <w:sz w:val="28"/>
          <w:szCs w:val="28"/>
          <w:u w:val="single"/>
        </w:rPr>
        <w:lastRenderedPageBreak/>
        <w:t>Metaphor</w:t>
      </w:r>
    </w:p>
    <w:p w14:paraId="2D744FE4" w14:textId="6CDFA6A1" w:rsidR="00DE744E" w:rsidRPr="00DE744E" w:rsidRDefault="000135E2" w:rsidP="00973C58">
      <w:r>
        <w:t xml:space="preserve">Visual metaphors are rare here, especially since nearly everything is labelled explicitly with text. A small slot exists </w:t>
      </w:r>
      <w:r w:rsidR="00EA38CB">
        <w:t xml:space="preserve">within relative range of the payment options, to implicate where coins should be inserted if that is the payment option the user wants to use. </w:t>
      </w:r>
      <w:r w:rsidR="000B0C5C">
        <w:t xml:space="preserve">The </w:t>
      </w:r>
      <w:r w:rsidR="00ED5B8D">
        <w:t xml:space="preserve">noticeable indent is indicative of being the location in which the purchased product can be </w:t>
      </w:r>
      <w:r w:rsidR="001E52AF">
        <w:t xml:space="preserve">collected, </w:t>
      </w:r>
      <w:r w:rsidR="00592E51">
        <w:t xml:space="preserve">the lines which decrease in size as they go down indicates an arrow, pointing to </w:t>
      </w:r>
      <w:r w:rsidR="00F36243">
        <w:t>opening of the hatch to collect the purchased product.</w:t>
      </w:r>
    </w:p>
    <w:p w14:paraId="2014518B" w14:textId="6CFF921C" w:rsidR="00973C58" w:rsidRDefault="00973C58" w:rsidP="00973C58">
      <w:pPr>
        <w:rPr>
          <w:b/>
          <w:bCs/>
          <w:sz w:val="28"/>
          <w:szCs w:val="28"/>
          <w:u w:val="single"/>
        </w:rPr>
      </w:pPr>
      <w:r>
        <w:rPr>
          <w:b/>
          <w:bCs/>
          <w:sz w:val="28"/>
          <w:szCs w:val="28"/>
          <w:u w:val="single"/>
        </w:rPr>
        <w:t>Affordance</w:t>
      </w:r>
    </w:p>
    <w:p w14:paraId="23951CD5" w14:textId="666A2924" w:rsidR="002C58A7" w:rsidRDefault="000D0453" w:rsidP="008B4D30">
      <w:pPr>
        <w:rPr>
          <w:noProof/>
        </w:rPr>
      </w:pPr>
      <w:r>
        <w:t xml:space="preserve">There are no hidden affordances </w:t>
      </w:r>
      <w:r w:rsidR="0012567A">
        <w:t xml:space="preserve">on this UI, as the actions required to fully perform the </w:t>
      </w:r>
      <w:r w:rsidR="00B1137F">
        <w:t xml:space="preserve">functions of this vending machine would not require them, as hidden requirements are generally for more complex interfaces. </w:t>
      </w:r>
      <w:r w:rsidR="00D50A42">
        <w:br/>
      </w:r>
      <w:r w:rsidR="003F0BCB">
        <w:t>There are nearly no false affordances, the less false affordances there are the better – as they mislead</w:t>
      </w:r>
      <w:r w:rsidR="00823721">
        <w:t xml:space="preserve"> users, and take up space</w:t>
      </w:r>
      <w:r w:rsidR="009E5498">
        <w:t xml:space="preserve">, complicating users and possibly making them spend more time than they would ordinarily need to </w:t>
      </w:r>
      <w:r w:rsidR="00D50A42">
        <w:t>perform</w:t>
      </w:r>
      <w:r w:rsidR="009E5498">
        <w:t xml:space="preserve"> the main goals the UI serves to assist in aiding the user with.</w:t>
      </w:r>
      <w:r w:rsidR="00D50A42">
        <w:t xml:space="preserve"> Towards the top right of the vending machine is a black circle which </w:t>
      </w:r>
      <w:r w:rsidR="005E3FDA">
        <w:t xml:space="preserve">performs no function, </w:t>
      </w:r>
      <w:r w:rsidR="00251AE1">
        <w:t>however,</w:t>
      </w:r>
      <w:r w:rsidR="005E3FDA">
        <w:t xml:space="preserve"> </w:t>
      </w:r>
      <w:r w:rsidR="004F4F7E">
        <w:t>takes the shape of a button and could be easily mistaken for one by the user.</w:t>
      </w:r>
      <w:r w:rsidR="00251AE1">
        <w:br/>
      </w:r>
      <w:r w:rsidR="00251AE1" w:rsidRPr="00251AE1">
        <w:rPr>
          <w:noProof/>
        </w:rPr>
        <w:t xml:space="preserve"> </w:t>
      </w:r>
      <w:r w:rsidR="00251AE1">
        <w:rPr>
          <w:noProof/>
        </w:rPr>
        <w:drawing>
          <wp:inline distT="0" distB="0" distL="0" distR="0" wp14:anchorId="15275FB3" wp14:editId="4F633D77">
            <wp:extent cx="714375" cy="561975"/>
            <wp:effectExtent l="19050" t="19050" r="28575" b="28575"/>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10;&#10;Description automatically generated"/>
                    <pic:cNvPicPr/>
                  </pic:nvPicPr>
                  <pic:blipFill>
                    <a:blip r:embed="rId6"/>
                    <a:stretch>
                      <a:fillRect/>
                    </a:stretch>
                  </pic:blipFill>
                  <pic:spPr>
                    <a:xfrm>
                      <a:off x="0" y="0"/>
                      <a:ext cx="714375" cy="561975"/>
                    </a:xfrm>
                    <a:prstGeom prst="rect">
                      <a:avLst/>
                    </a:prstGeom>
                    <a:ln>
                      <a:solidFill>
                        <a:schemeClr val="tx1"/>
                      </a:solidFill>
                    </a:ln>
                  </pic:spPr>
                </pic:pic>
              </a:graphicData>
            </a:graphic>
          </wp:inline>
        </w:drawing>
      </w:r>
    </w:p>
    <w:p w14:paraId="11B94676" w14:textId="0AF63D80" w:rsidR="00251AE1" w:rsidRPr="002C58A7" w:rsidRDefault="008A33EF" w:rsidP="008B4D30">
      <w:r>
        <w:rPr>
          <w:noProof/>
        </w:rPr>
        <w:t xml:space="preserve">Explicit affordances </w:t>
      </w:r>
      <w:r w:rsidR="00312A1A">
        <w:rPr>
          <w:noProof/>
        </w:rPr>
        <w:t>are evident and assist the user in knowing how to quickly get to grips with the utilisation of the machine</w:t>
      </w:r>
      <w:r w:rsidR="00E82F06">
        <w:rPr>
          <w:noProof/>
        </w:rPr>
        <w:t>. Areas where the user should interact either stick out of the machine – such as the change button, card payment</w:t>
      </w:r>
      <w:r w:rsidR="00283353">
        <w:rPr>
          <w:noProof/>
        </w:rPr>
        <w:t xml:space="preserve"> area and the location for accepting bills – or they are indented, such as the buttons to select for choosing the item wishing to be purchased, on top of the </w:t>
      </w:r>
      <w:r w:rsidR="008C4ED6">
        <w:rPr>
          <w:noProof/>
        </w:rPr>
        <w:t xml:space="preserve">areas where the items should be collected after the purchase is completed. </w:t>
      </w:r>
      <w:r w:rsidR="007054AF">
        <w:rPr>
          <w:noProof/>
        </w:rPr>
        <w:drawing>
          <wp:inline distT="0" distB="0" distL="0" distR="0" wp14:anchorId="3140C9DD" wp14:editId="01B5A44F">
            <wp:extent cx="1909596" cy="3233033"/>
            <wp:effectExtent l="19050" t="19050" r="14605" b="24765"/>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7"/>
                    <a:stretch>
                      <a:fillRect/>
                    </a:stretch>
                  </pic:blipFill>
                  <pic:spPr>
                    <a:xfrm>
                      <a:off x="0" y="0"/>
                      <a:ext cx="1912877" cy="3238588"/>
                    </a:xfrm>
                    <a:prstGeom prst="rect">
                      <a:avLst/>
                    </a:prstGeom>
                    <a:ln>
                      <a:solidFill>
                        <a:schemeClr val="tx1"/>
                      </a:solidFill>
                    </a:ln>
                  </pic:spPr>
                </pic:pic>
              </a:graphicData>
            </a:graphic>
          </wp:inline>
        </w:drawing>
      </w:r>
      <w:r w:rsidR="00400A59">
        <w:rPr>
          <w:noProof/>
        </w:rPr>
        <w:drawing>
          <wp:inline distT="0" distB="0" distL="0" distR="0" wp14:anchorId="31C22505" wp14:editId="0CACD414">
            <wp:extent cx="2488911" cy="3156668"/>
            <wp:effectExtent l="19050" t="19050" r="26035" b="24765"/>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8"/>
                    <a:stretch>
                      <a:fillRect/>
                    </a:stretch>
                  </pic:blipFill>
                  <pic:spPr>
                    <a:xfrm>
                      <a:off x="0" y="0"/>
                      <a:ext cx="2490765" cy="3159020"/>
                    </a:xfrm>
                    <a:prstGeom prst="rect">
                      <a:avLst/>
                    </a:prstGeom>
                    <a:ln>
                      <a:solidFill>
                        <a:schemeClr val="tx1"/>
                      </a:solidFill>
                    </a:ln>
                  </pic:spPr>
                </pic:pic>
              </a:graphicData>
            </a:graphic>
          </wp:inline>
        </w:drawing>
      </w:r>
      <w:r w:rsidR="00400A59">
        <w:rPr>
          <w:noProof/>
        </w:rPr>
        <w:lastRenderedPageBreak/>
        <w:drawing>
          <wp:inline distT="0" distB="0" distL="0" distR="0" wp14:anchorId="40521C8D" wp14:editId="397638AF">
            <wp:extent cx="3474720" cy="1670376"/>
            <wp:effectExtent l="19050" t="19050" r="11430" b="25400"/>
            <wp:docPr id="6" name="Picture 6" descr="A picture containing text, indoor, ov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oven&#10;&#10;Description automatically generated"/>
                    <pic:cNvPicPr/>
                  </pic:nvPicPr>
                  <pic:blipFill>
                    <a:blip r:embed="rId9"/>
                    <a:stretch>
                      <a:fillRect/>
                    </a:stretch>
                  </pic:blipFill>
                  <pic:spPr>
                    <a:xfrm>
                      <a:off x="0" y="0"/>
                      <a:ext cx="3479499" cy="1672673"/>
                    </a:xfrm>
                    <a:prstGeom prst="rect">
                      <a:avLst/>
                    </a:prstGeom>
                    <a:ln>
                      <a:solidFill>
                        <a:schemeClr val="tx1"/>
                      </a:solidFill>
                    </a:ln>
                  </pic:spPr>
                </pic:pic>
              </a:graphicData>
            </a:graphic>
          </wp:inline>
        </w:drawing>
      </w:r>
      <w:r w:rsidR="00215FD5">
        <w:rPr>
          <w:noProof/>
        </w:rPr>
        <w:drawing>
          <wp:inline distT="0" distB="0" distL="0" distR="0" wp14:anchorId="3122F03C" wp14:editId="44B32F2E">
            <wp:extent cx="1247093" cy="1606163"/>
            <wp:effectExtent l="19050" t="19050" r="10795" b="13335"/>
            <wp:docPr id="7" name="Picture 7" descr="A picture containing text, calculat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alculator, electronics&#10;&#10;Description automatically generated"/>
                    <pic:cNvPicPr/>
                  </pic:nvPicPr>
                  <pic:blipFill>
                    <a:blip r:embed="rId10"/>
                    <a:stretch>
                      <a:fillRect/>
                    </a:stretch>
                  </pic:blipFill>
                  <pic:spPr>
                    <a:xfrm>
                      <a:off x="0" y="0"/>
                      <a:ext cx="1255613" cy="1617136"/>
                    </a:xfrm>
                    <a:prstGeom prst="rect">
                      <a:avLst/>
                    </a:prstGeom>
                    <a:ln>
                      <a:solidFill>
                        <a:schemeClr val="tx1"/>
                      </a:solidFill>
                    </a:ln>
                  </pic:spPr>
                </pic:pic>
              </a:graphicData>
            </a:graphic>
          </wp:inline>
        </w:drawing>
      </w:r>
      <w:r w:rsidR="007054AF">
        <w:rPr>
          <w:noProof/>
        </w:rPr>
        <w:br/>
      </w:r>
      <w:r w:rsidR="00E1446B">
        <w:rPr>
          <w:noProof/>
        </w:rPr>
        <w:t xml:space="preserve">Somewhere between being both hidden and explicit however is </w:t>
      </w:r>
      <w:r w:rsidR="00EF3ECA">
        <w:rPr>
          <w:noProof/>
        </w:rPr>
        <w:t xml:space="preserve">the slot where change should be insterted, the slot for </w:t>
      </w:r>
      <w:r w:rsidR="007054AF">
        <w:rPr>
          <w:noProof/>
        </w:rPr>
        <w:t xml:space="preserve">it </w:t>
      </w:r>
      <w:r w:rsidR="004207BB">
        <w:rPr>
          <w:noProof/>
        </w:rPr>
        <w:t xml:space="preserve">is obscured slightly, while visible it may take a user some time to search for it. Another suggestion for improvement here </w:t>
      </w:r>
      <w:r w:rsidR="000E6905">
        <w:rPr>
          <w:noProof/>
        </w:rPr>
        <w:t>is to perhaps make this area more clear for user</w:t>
      </w:r>
      <w:r w:rsidR="00C443B3">
        <w:rPr>
          <w:noProof/>
        </w:rPr>
        <w:t xml:space="preserve">s, other vending machines have already done this – considering the UI improvements this machine has over typical snack vending machines, it is abnormal for something simple to not be done as satisfactory as it </w:t>
      </w:r>
      <w:r w:rsidR="00926EA2">
        <w:rPr>
          <w:noProof/>
        </w:rPr>
        <w:t>commonly is.</w:t>
      </w:r>
      <w:r w:rsidR="00926EA2">
        <w:rPr>
          <w:noProof/>
        </w:rPr>
        <w:br/>
      </w:r>
      <w:r w:rsidR="00926EA2" w:rsidRPr="00926EA2">
        <w:rPr>
          <w:noProof/>
        </w:rPr>
        <w:t xml:space="preserve"> </w:t>
      </w:r>
      <w:r w:rsidR="00926EA2">
        <w:rPr>
          <w:noProof/>
        </w:rPr>
        <w:drawing>
          <wp:inline distT="0" distB="0" distL="0" distR="0" wp14:anchorId="2C6707BD" wp14:editId="2B0DA606">
            <wp:extent cx="2155433" cy="1908313"/>
            <wp:effectExtent l="19050" t="19050" r="16510" b="15875"/>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11"/>
                    <a:stretch>
                      <a:fillRect/>
                    </a:stretch>
                  </pic:blipFill>
                  <pic:spPr>
                    <a:xfrm>
                      <a:off x="0" y="0"/>
                      <a:ext cx="2159399" cy="1911824"/>
                    </a:xfrm>
                    <a:prstGeom prst="rect">
                      <a:avLst/>
                    </a:prstGeom>
                    <a:ln>
                      <a:solidFill>
                        <a:schemeClr val="tx1"/>
                      </a:solidFill>
                    </a:ln>
                  </pic:spPr>
                </pic:pic>
              </a:graphicData>
            </a:graphic>
          </wp:inline>
        </w:drawing>
      </w:r>
      <w:r w:rsidR="00926EA2">
        <w:rPr>
          <w:noProof/>
        </w:rPr>
        <w:t xml:space="preserve">Here the location for change is surrounded by a different material and colour to the rest of the machine, indicating to users </w:t>
      </w:r>
      <w:r w:rsidR="009A4312">
        <w:rPr>
          <w:noProof/>
        </w:rPr>
        <w:t xml:space="preserve">to redirect their sight towards it, as it may provide a use – the black slot indicating change should be entered. Explicitly stated above </w:t>
      </w:r>
      <w:r w:rsidR="00470A2F">
        <w:rPr>
          <w:noProof/>
        </w:rPr>
        <w:t>is an instruction – telling users to use “exact amount”, further implicating this to be the location where coins should be entered, and where to collect their change from (“below”).</w:t>
      </w:r>
    </w:p>
    <w:p w14:paraId="6374347C" w14:textId="6E481A53" w:rsidR="00B27129" w:rsidRDefault="00B27129" w:rsidP="008A0163">
      <w:pPr>
        <w:jc w:val="center"/>
        <w:rPr>
          <w:b/>
          <w:bCs/>
          <w:sz w:val="32"/>
          <w:szCs w:val="32"/>
          <w:u w:val="single"/>
        </w:rPr>
      </w:pPr>
      <w:r>
        <w:rPr>
          <w:b/>
          <w:bCs/>
          <w:sz w:val="32"/>
          <w:szCs w:val="32"/>
          <w:u w:val="single"/>
        </w:rPr>
        <w:t>Low quality vending machine design</w:t>
      </w:r>
    </w:p>
    <w:p w14:paraId="5F26C9ED" w14:textId="68211258" w:rsidR="006F6592" w:rsidRPr="006F6592" w:rsidRDefault="006F6592" w:rsidP="006F6592">
      <w:pPr>
        <w:rPr>
          <w:sz w:val="32"/>
          <w:szCs w:val="32"/>
        </w:rPr>
      </w:pPr>
      <w:r>
        <w:rPr>
          <w:noProof/>
        </w:rPr>
        <w:lastRenderedPageBreak/>
        <w:drawing>
          <wp:inline distT="0" distB="0" distL="0" distR="0" wp14:anchorId="3286A8D5" wp14:editId="0CBAE38D">
            <wp:extent cx="3169218" cy="4754880"/>
            <wp:effectExtent l="19050" t="19050" r="12700" b="26670"/>
            <wp:docPr id="1" name="Picture 1" descr="A picture containing text, floor, parking, vend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loor, parking, vending machin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3121" cy="4760735"/>
                    </a:xfrm>
                    <a:prstGeom prst="rect">
                      <a:avLst/>
                    </a:prstGeom>
                    <a:noFill/>
                    <a:ln>
                      <a:solidFill>
                        <a:schemeClr val="tx1"/>
                      </a:solidFill>
                    </a:ln>
                  </pic:spPr>
                </pic:pic>
              </a:graphicData>
            </a:graphic>
          </wp:inline>
        </w:drawing>
      </w:r>
    </w:p>
    <w:p w14:paraId="321C9D48" w14:textId="73F90BFE" w:rsidR="00F614A3" w:rsidRDefault="00F614A3" w:rsidP="00A12121">
      <w:pPr>
        <w:rPr>
          <w:b/>
          <w:bCs/>
          <w:sz w:val="28"/>
          <w:szCs w:val="28"/>
          <w:u w:val="single"/>
        </w:rPr>
      </w:pPr>
      <w:r>
        <w:rPr>
          <w:b/>
          <w:bCs/>
          <w:sz w:val="28"/>
          <w:szCs w:val="28"/>
          <w:u w:val="single"/>
        </w:rPr>
        <w:t>Senses</w:t>
      </w:r>
    </w:p>
    <w:p w14:paraId="076C574B" w14:textId="2DFBE54F" w:rsidR="00090791" w:rsidRDefault="00B361B3" w:rsidP="00A12121">
      <w:r>
        <w:t xml:space="preserve">The screen in which </w:t>
      </w:r>
      <w:r w:rsidR="00C33862">
        <w:t xml:space="preserve">the type of ticket you want to purchase is meant to be selected is far too small, this machine itself is already smaller than most ticket machines, but even </w:t>
      </w:r>
      <w:r w:rsidR="00D00C71">
        <w:t>relative to the small exterior, this screen is far too small</w:t>
      </w:r>
      <w:r w:rsidR="007B300D">
        <w:t xml:space="preserve"> – nearly as big as the area where card pin codes are meant to be entered. </w:t>
      </w:r>
      <w:r w:rsidR="004D7155">
        <w:t xml:space="preserve">There is clear spare space in the bottom left of the machine for </w:t>
      </w:r>
      <w:r w:rsidR="00F44C69">
        <w:t>the change indent, with proper design the screen could have been made bigger without needing to remove the other features of the machine.</w:t>
      </w:r>
      <w:r w:rsidR="0032566D" w:rsidRPr="0032566D">
        <w:rPr>
          <w:noProof/>
        </w:rPr>
        <w:t xml:space="preserve"> </w:t>
      </w:r>
      <w:r w:rsidR="0032566D">
        <w:rPr>
          <w:noProof/>
        </w:rPr>
        <w:drawing>
          <wp:inline distT="0" distB="0" distL="0" distR="0" wp14:anchorId="43DB097F" wp14:editId="27D3601A">
            <wp:extent cx="1828800" cy="2165873"/>
            <wp:effectExtent l="19050" t="19050" r="19050" b="25400"/>
            <wp:docPr id="10" name="Picture 10" descr="A picture containing text, monitor,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monitor, electronics, display&#10;&#10;Description automatically generated"/>
                    <pic:cNvPicPr/>
                  </pic:nvPicPr>
                  <pic:blipFill>
                    <a:blip r:embed="rId13"/>
                    <a:stretch>
                      <a:fillRect/>
                    </a:stretch>
                  </pic:blipFill>
                  <pic:spPr>
                    <a:xfrm>
                      <a:off x="0" y="0"/>
                      <a:ext cx="1831925" cy="2169574"/>
                    </a:xfrm>
                    <a:prstGeom prst="rect">
                      <a:avLst/>
                    </a:prstGeom>
                    <a:ln>
                      <a:solidFill>
                        <a:schemeClr val="tx1"/>
                      </a:solidFill>
                    </a:ln>
                  </pic:spPr>
                </pic:pic>
              </a:graphicData>
            </a:graphic>
          </wp:inline>
        </w:drawing>
      </w:r>
    </w:p>
    <w:p w14:paraId="7CBCB449" w14:textId="7A387246" w:rsidR="005A2C25" w:rsidRDefault="005A2C25" w:rsidP="00A12121">
      <w:pPr>
        <w:rPr>
          <w:noProof/>
        </w:rPr>
      </w:pPr>
      <w:r>
        <w:lastRenderedPageBreak/>
        <w:t>There is a QR code for extra help with usage of this machine. Assuming a user did need extra help, they would need to get out the</w:t>
      </w:r>
      <w:r w:rsidR="00377461">
        <w:t xml:space="preserve">ir </w:t>
      </w:r>
      <w:r>
        <w:t>phone, open to their phone camera, scan the code, open the webpage (assuming they have good signal and can connect to mobile data)</w:t>
      </w:r>
      <w:r w:rsidR="00377461">
        <w:t xml:space="preserve"> and watch the YouTube video provided. </w:t>
      </w:r>
      <w:r w:rsidR="00964511">
        <w:t>T</w:t>
      </w:r>
      <w:r w:rsidR="00377461">
        <w:t xml:space="preserve">his is a large amount of hassle for something that is meant to be done </w:t>
      </w:r>
      <w:r w:rsidR="008E2609">
        <w:t>quickly, this machine is located on a tram itself, meaning you are limited for time to purchase your ticket</w:t>
      </w:r>
      <w:r w:rsidR="00E4187B">
        <w:t>.</w:t>
      </w:r>
      <w:r w:rsidR="000D6268">
        <w:br/>
      </w:r>
      <w:r w:rsidR="000D6268" w:rsidRPr="000D6268">
        <w:rPr>
          <w:noProof/>
        </w:rPr>
        <w:t xml:space="preserve"> </w:t>
      </w:r>
      <w:r w:rsidR="000D6268">
        <w:rPr>
          <w:noProof/>
        </w:rPr>
        <w:drawing>
          <wp:inline distT="0" distB="0" distL="0" distR="0" wp14:anchorId="36D843E7" wp14:editId="7F6109CF">
            <wp:extent cx="1209675" cy="1343025"/>
            <wp:effectExtent l="19050" t="19050" r="28575" b="28575"/>
            <wp:docPr id="9" name="Picture 9"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Qr code&#10;&#10;Description automatically generated"/>
                    <pic:cNvPicPr/>
                  </pic:nvPicPr>
                  <pic:blipFill>
                    <a:blip r:embed="rId14"/>
                    <a:stretch>
                      <a:fillRect/>
                    </a:stretch>
                  </pic:blipFill>
                  <pic:spPr>
                    <a:xfrm>
                      <a:off x="0" y="0"/>
                      <a:ext cx="1209675" cy="1343025"/>
                    </a:xfrm>
                    <a:prstGeom prst="rect">
                      <a:avLst/>
                    </a:prstGeom>
                    <a:ln>
                      <a:solidFill>
                        <a:schemeClr val="tx1"/>
                      </a:solidFill>
                    </a:ln>
                  </pic:spPr>
                </pic:pic>
              </a:graphicData>
            </a:graphic>
          </wp:inline>
        </w:drawing>
      </w:r>
    </w:p>
    <w:p w14:paraId="2CF26345" w14:textId="713A4261" w:rsidR="00714B48" w:rsidRDefault="00714B48" w:rsidP="00A12121">
      <w:pPr>
        <w:rPr>
          <w:noProof/>
        </w:rPr>
      </w:pPr>
      <w:r>
        <w:rPr>
          <w:noProof/>
        </w:rPr>
        <w:t>The only payment method offered is card</w:t>
      </w:r>
      <w:r w:rsidR="00BB354E">
        <w:rPr>
          <w:noProof/>
        </w:rPr>
        <w:t xml:space="preserve"> and coins – which was typical of these machines a decade ago, but nowadays options for notes and touchless are given with the general progress society has taken towards </w:t>
      </w:r>
      <w:r w:rsidR="004935F6">
        <w:rPr>
          <w:noProof/>
        </w:rPr>
        <w:t xml:space="preserve">becoming coinless. </w:t>
      </w:r>
      <w:r w:rsidR="00491B89">
        <w:rPr>
          <w:noProof/>
        </w:rPr>
        <w:t xml:space="preserve">Meaning this machine is showing its age. </w:t>
      </w:r>
      <w:r w:rsidR="00CA5830">
        <w:rPr>
          <w:noProof/>
        </w:rPr>
        <w:t xml:space="preserve">The lack of a touchless card option makes paying using card slower than it would otherwise be, which again is inconvenient since purchases on this machine are meant to be done swiftly. </w:t>
      </w:r>
    </w:p>
    <w:p w14:paraId="631182EA" w14:textId="2292BA07" w:rsidR="00272295" w:rsidRDefault="00272295" w:rsidP="00A12121">
      <w:pPr>
        <w:rPr>
          <w:noProof/>
        </w:rPr>
      </w:pPr>
      <w:r>
        <w:rPr>
          <w:noProof/>
        </w:rPr>
        <w:t xml:space="preserve">The placement of this machine next to a stop button was not wise to do, as someone who may be buying a ticket could be getting in the way of a person who is trying to press the stop button – both are actions needing to be done fast. However there is some benefit to this, </w:t>
      </w:r>
      <w:r w:rsidR="00B97185">
        <w:rPr>
          <w:noProof/>
        </w:rPr>
        <w:t>as having the ticket machine close to the door means a user can buy tickets for their next metro trip as soon as they enter or just before they exit the tram.</w:t>
      </w:r>
      <w:r w:rsidR="00257C9F">
        <w:rPr>
          <w:noProof/>
        </w:rPr>
        <w:t xml:space="preserve"> The designers could have “had their cake and eaten it too” so to speak by simply moving the machine to the right hand side of the exit, and leaving the stop button on the left.</w:t>
      </w:r>
    </w:p>
    <w:p w14:paraId="71F77682" w14:textId="76307CD2" w:rsidR="0006699B" w:rsidRDefault="0006699B" w:rsidP="00A12121">
      <w:pPr>
        <w:rPr>
          <w:noProof/>
        </w:rPr>
      </w:pPr>
      <w:r>
        <w:rPr>
          <w:noProof/>
        </w:rPr>
        <w:t xml:space="preserve">There is an “Easy read access” button just under the </w:t>
      </w:r>
      <w:r w:rsidR="008D30F6">
        <w:rPr>
          <w:noProof/>
        </w:rPr>
        <w:t xml:space="preserve">screen where tickets are selected, the button however shares the same colour and material as the rest of the machine, so to someone with bad eyesight may be mistaken for just a missing part of the yellow plastic, the text is high on the machine but far lower than </w:t>
      </w:r>
      <w:r w:rsidR="00B336CC">
        <w:rPr>
          <w:noProof/>
        </w:rPr>
        <w:t xml:space="preserve">where the average person could look without having to lower themselves down – which is both inconvenient and may prove difficult on a moving tram with a small amount of movement space. This is made from a minor issue to a possible major one given that those who may need to use the “Easy read access” button </w:t>
      </w:r>
      <w:r w:rsidR="00F95120">
        <w:rPr>
          <w:noProof/>
        </w:rPr>
        <w:t>may be elderly and will have a hard time adjusting their height, the text is also fairly small, making it hard for those with bad eyesight</w:t>
      </w:r>
      <w:r w:rsidR="00CD75F5">
        <w:rPr>
          <w:noProof/>
        </w:rPr>
        <w:t xml:space="preserve"> to see.</w:t>
      </w:r>
      <w:r w:rsidR="00FB4128">
        <w:rPr>
          <w:noProof/>
        </w:rPr>
        <w:t xml:space="preserve"> There is a symbol next to the button meant to indicate its use for those with poor eyesight, but it is still low down and would require adjusting of posture still.</w:t>
      </w:r>
      <w:r w:rsidR="00EF6F25">
        <w:rPr>
          <w:noProof/>
        </w:rPr>
        <w:br/>
      </w:r>
      <w:r w:rsidR="00EF6F25" w:rsidRPr="00EF6F25">
        <w:rPr>
          <w:noProof/>
        </w:rPr>
        <w:t xml:space="preserve"> </w:t>
      </w:r>
      <w:r w:rsidR="00EF6F25">
        <w:rPr>
          <w:noProof/>
        </w:rPr>
        <w:drawing>
          <wp:inline distT="0" distB="0" distL="0" distR="0" wp14:anchorId="6C8BAB17" wp14:editId="2DC63DC4">
            <wp:extent cx="1276350" cy="762000"/>
            <wp:effectExtent l="19050" t="19050" r="19050" b="1905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5"/>
                    <a:stretch>
                      <a:fillRect/>
                    </a:stretch>
                  </pic:blipFill>
                  <pic:spPr>
                    <a:xfrm>
                      <a:off x="0" y="0"/>
                      <a:ext cx="1276350" cy="762000"/>
                    </a:xfrm>
                    <a:prstGeom prst="rect">
                      <a:avLst/>
                    </a:prstGeom>
                    <a:ln>
                      <a:solidFill>
                        <a:schemeClr val="tx1"/>
                      </a:solidFill>
                    </a:ln>
                  </pic:spPr>
                </pic:pic>
              </a:graphicData>
            </a:graphic>
          </wp:inline>
        </w:drawing>
      </w:r>
    </w:p>
    <w:p w14:paraId="1E1B6320" w14:textId="2015BB0A" w:rsidR="00BA0929" w:rsidRPr="00090791" w:rsidRDefault="000C35DF" w:rsidP="00A12121">
      <w:r>
        <w:rPr>
          <w:noProof/>
        </w:rPr>
        <w:t>T</w:t>
      </w:r>
      <w:r w:rsidR="00BA0929">
        <w:rPr>
          <w:noProof/>
        </w:rPr>
        <w:t xml:space="preserve">he machine uses a metallic coating, which is typical of tram machines – meaning it can be initially cold to make physical contact with, </w:t>
      </w:r>
      <w:r>
        <w:rPr>
          <w:noProof/>
        </w:rPr>
        <w:t>but not to where discomfort exists.</w:t>
      </w:r>
    </w:p>
    <w:p w14:paraId="0DA490DC" w14:textId="293C547B" w:rsidR="00F614A3" w:rsidRDefault="00A12121" w:rsidP="00A12121">
      <w:pPr>
        <w:rPr>
          <w:b/>
          <w:bCs/>
          <w:sz w:val="28"/>
          <w:szCs w:val="28"/>
          <w:u w:val="single"/>
        </w:rPr>
      </w:pPr>
      <w:r>
        <w:rPr>
          <w:b/>
          <w:bCs/>
          <w:sz w:val="28"/>
          <w:szCs w:val="28"/>
          <w:u w:val="single"/>
        </w:rPr>
        <w:t>Metaphor</w:t>
      </w:r>
    </w:p>
    <w:p w14:paraId="0A81C914" w14:textId="3D4730F6" w:rsidR="00EF6F25" w:rsidRDefault="00EF6F25" w:rsidP="00A12121">
      <w:r>
        <w:t xml:space="preserve">As stated earlier, a visual metaphor existing here is the eye with a line through it, meant to indicate “poor eyesight” to the user, which the corresponding button to the left meant to further indicate </w:t>
      </w:r>
      <w:r>
        <w:lastRenderedPageBreak/>
        <w:t>those with bad eyesight should press the button. Issues with this had been previously stated.</w:t>
      </w:r>
      <w:r w:rsidR="006E277B">
        <w:t xml:space="preserve"> A picture showing coins being inserted into a hole is next to the area where coins are meant to be inserted</w:t>
      </w:r>
      <w:r w:rsidR="00D30AE8">
        <w:t>, however it is too small to be noticed at a distance, or up close to those with bad eyesight – who would typically be the people in need of such a visual metaphor, with the “coins” text not being able to satisfy.</w:t>
      </w:r>
      <w:r w:rsidR="002C5AAB">
        <w:br/>
        <w:t xml:space="preserve"> </w:t>
      </w:r>
      <w:r w:rsidR="002C5AAB">
        <w:rPr>
          <w:noProof/>
        </w:rPr>
        <w:drawing>
          <wp:inline distT="0" distB="0" distL="0" distR="0" wp14:anchorId="197051E4" wp14:editId="57C8613C">
            <wp:extent cx="981075" cy="1438275"/>
            <wp:effectExtent l="19050" t="19050" r="28575" b="28575"/>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6"/>
                    <a:stretch>
                      <a:fillRect/>
                    </a:stretch>
                  </pic:blipFill>
                  <pic:spPr>
                    <a:xfrm>
                      <a:off x="0" y="0"/>
                      <a:ext cx="981075" cy="1438275"/>
                    </a:xfrm>
                    <a:prstGeom prst="rect">
                      <a:avLst/>
                    </a:prstGeom>
                    <a:ln>
                      <a:solidFill>
                        <a:schemeClr val="tx1"/>
                      </a:solidFill>
                    </a:ln>
                  </pic:spPr>
                </pic:pic>
              </a:graphicData>
            </a:graphic>
          </wp:inline>
        </w:drawing>
      </w:r>
    </w:p>
    <w:p w14:paraId="6F2E1200" w14:textId="3A132552" w:rsidR="002C5AAB" w:rsidRPr="00EF6F25" w:rsidRDefault="002C5AAB" w:rsidP="00A12121">
      <w:r>
        <w:t xml:space="preserve">Many indents exist on the machine to indicate user interaction is meant to take place within those areas, these exist for collecting tickets, </w:t>
      </w:r>
      <w:r w:rsidR="003F067C">
        <w:t>receipts</w:t>
      </w:r>
      <w:r>
        <w:t>, change</w:t>
      </w:r>
      <w:r w:rsidR="003F067C">
        <w:t xml:space="preserve"> and</w:t>
      </w:r>
      <w:r>
        <w:t xml:space="preserve"> </w:t>
      </w:r>
      <w:r w:rsidR="003F067C">
        <w:t>metro cards, as well as for inserting coins and cards.</w:t>
      </w:r>
      <w:r w:rsidR="00BF02E0">
        <w:t xml:space="preserve"> These indents are useful as displaying to users where to draw to their attention towards, however a lot of them are quite a distance from each other, adding some annoyance with users having to collect multiple items at once.</w:t>
      </w:r>
      <w:r w:rsidR="00DD5057">
        <w:br/>
      </w:r>
      <w:r w:rsidR="00DD5057" w:rsidRPr="00DD5057">
        <w:rPr>
          <w:noProof/>
        </w:rPr>
        <w:t xml:space="preserve"> </w:t>
      </w:r>
      <w:r w:rsidR="00DD5057">
        <w:rPr>
          <w:noProof/>
        </w:rPr>
        <w:drawing>
          <wp:inline distT="0" distB="0" distL="0" distR="0" wp14:anchorId="723A6364" wp14:editId="4A1DB059">
            <wp:extent cx="2430369" cy="2843419"/>
            <wp:effectExtent l="19050" t="19050" r="27305" b="14605"/>
            <wp:docPr id="13" name="Picture 13" descr="A picture containing text, parking, yellow, vend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parking, yellow, vending machine&#10;&#10;Description automatically generated"/>
                    <pic:cNvPicPr/>
                  </pic:nvPicPr>
                  <pic:blipFill>
                    <a:blip r:embed="rId17"/>
                    <a:stretch>
                      <a:fillRect/>
                    </a:stretch>
                  </pic:blipFill>
                  <pic:spPr>
                    <a:xfrm>
                      <a:off x="0" y="0"/>
                      <a:ext cx="2441260" cy="2856161"/>
                    </a:xfrm>
                    <a:prstGeom prst="rect">
                      <a:avLst/>
                    </a:prstGeom>
                    <a:ln>
                      <a:solidFill>
                        <a:schemeClr val="tx1"/>
                      </a:solidFill>
                    </a:ln>
                  </pic:spPr>
                </pic:pic>
              </a:graphicData>
            </a:graphic>
          </wp:inline>
        </w:drawing>
      </w:r>
      <w:r w:rsidR="003F067C">
        <w:t xml:space="preserve"> </w:t>
      </w:r>
    </w:p>
    <w:p w14:paraId="7F0FE982" w14:textId="03FA57A5" w:rsidR="00A12121" w:rsidRDefault="00A12121" w:rsidP="00A12121">
      <w:pPr>
        <w:rPr>
          <w:b/>
          <w:bCs/>
          <w:sz w:val="28"/>
          <w:szCs w:val="28"/>
          <w:u w:val="single"/>
        </w:rPr>
      </w:pPr>
      <w:r>
        <w:rPr>
          <w:b/>
          <w:bCs/>
          <w:sz w:val="28"/>
          <w:szCs w:val="28"/>
          <w:u w:val="single"/>
        </w:rPr>
        <w:t>Affordance</w:t>
      </w:r>
    </w:p>
    <w:p w14:paraId="18349E6C" w14:textId="7F0B951C" w:rsidR="00DC0F07" w:rsidRPr="00D91B95" w:rsidRDefault="0016483F" w:rsidP="00A12121">
      <w:r>
        <w:t>Explicit</w:t>
      </w:r>
      <w:r w:rsidR="000860D5">
        <w:t xml:space="preserve"> affordances which exist here is the use of indents on the exterior to indicate locations for user interaction to transpire in order for the machine to perform certain features, or for the user to collect outputted items.</w:t>
      </w:r>
      <w:r w:rsidR="001126B8">
        <w:t xml:space="preserve"> </w:t>
      </w:r>
      <w:r w:rsidR="002C0C9B">
        <w:t xml:space="preserve">Little </w:t>
      </w:r>
      <w:r w:rsidR="001126B8">
        <w:t>to no other affordances are used here, not falsely, hidden</w:t>
      </w:r>
      <w:r w:rsidR="00480761">
        <w:t xml:space="preserve"> or negative. </w:t>
      </w:r>
    </w:p>
    <w:p w14:paraId="35777F37" w14:textId="07BA0A4A" w:rsidR="00A12121" w:rsidRPr="005B7969" w:rsidRDefault="00201A6B" w:rsidP="005B7969">
      <w:pPr>
        <w:rPr>
          <w:b/>
          <w:bCs/>
          <w:sz w:val="28"/>
          <w:szCs w:val="28"/>
          <w:u w:val="single"/>
        </w:rPr>
      </w:pPr>
      <w:r w:rsidRPr="005B7969">
        <w:rPr>
          <w:b/>
          <w:bCs/>
          <w:sz w:val="28"/>
          <w:szCs w:val="28"/>
          <w:u w:val="single"/>
        </w:rPr>
        <w:t>Suggestions for improvement</w:t>
      </w:r>
    </w:p>
    <w:p w14:paraId="07297C79" w14:textId="4F5698EC" w:rsidR="00DC0F07" w:rsidRDefault="00DC0F07" w:rsidP="00A12121">
      <w:r>
        <w:t xml:space="preserve">A suggestion for improvement offered previously was for the stop button to be moved to a different side of the exit, or for the machine to do the same – this would be done to prevent human clutter in one location. </w:t>
      </w:r>
      <w:r w:rsidR="00EB270E">
        <w:t xml:space="preserve">The screen could be made larger, while all the payment options could be moved on a similar </w:t>
      </w:r>
      <w:r w:rsidR="008C1C82">
        <w:t xml:space="preserve">horizontal plane of the machine – perhaps underneath the screen, with tickets, metro cards and receipts to all be collected from a close by location, directly under the payment options. </w:t>
      </w:r>
      <w:r w:rsidR="000C67B4">
        <w:t xml:space="preserve">The button to provide easy read access should be placed towards the top of the machine, and/or next to </w:t>
      </w:r>
      <w:r w:rsidR="000C67B4">
        <w:lastRenderedPageBreak/>
        <w:t>the screen.</w:t>
      </w:r>
      <w:r w:rsidR="00B6399C">
        <w:t xml:space="preserve"> Any empty space could be used to provide instructions, which would otherwise only be accessed via the QR Code.</w:t>
      </w:r>
    </w:p>
    <w:p w14:paraId="52A1A3D8" w14:textId="73C7619E" w:rsidR="00B83269" w:rsidRPr="005B7969" w:rsidRDefault="00B83269" w:rsidP="005B7969">
      <w:pPr>
        <w:jc w:val="center"/>
        <w:rPr>
          <w:b/>
          <w:bCs/>
          <w:sz w:val="32"/>
          <w:szCs w:val="32"/>
          <w:u w:val="single"/>
        </w:rPr>
      </w:pPr>
      <w:r w:rsidRPr="005B7969">
        <w:rPr>
          <w:b/>
          <w:bCs/>
          <w:sz w:val="32"/>
          <w:szCs w:val="32"/>
          <w:u w:val="single"/>
        </w:rPr>
        <w:t>Applicability of desktop design theory to vending machines</w:t>
      </w:r>
    </w:p>
    <w:p w14:paraId="42F8EBBA" w14:textId="72409ECC" w:rsidR="00B83269" w:rsidRDefault="0079175A" w:rsidP="00A12121">
      <w:r>
        <w:t>U</w:t>
      </w:r>
      <w:r w:rsidR="00C47BD7">
        <w:t xml:space="preserve">sability theories </w:t>
      </w:r>
      <w:r>
        <w:t>for</w:t>
      </w:r>
      <w:r w:rsidR="00C47BD7">
        <w:t xml:space="preserve"> desktop design have crossover</w:t>
      </w:r>
      <w:r>
        <w:t xml:space="preserve"> to</w:t>
      </w:r>
      <w:r w:rsidR="00C47BD7">
        <w:t xml:space="preserve"> design of good vending machine interfaces, but they do not translate entirely. </w:t>
      </w:r>
      <w:r w:rsidR="00126F2F">
        <w:t xml:space="preserve">For </w:t>
      </w:r>
      <w:r w:rsidR="00213608">
        <w:t>example,</w:t>
      </w:r>
      <w:r w:rsidR="00126F2F">
        <w:t xml:space="preserve"> </w:t>
      </w:r>
      <w:r w:rsidR="006D69D5">
        <w:t>some</w:t>
      </w:r>
      <w:r w:rsidR="00126F2F">
        <w:t xml:space="preserve"> of Donald Norman’s six princip</w:t>
      </w:r>
      <w:r w:rsidR="00E50D0F">
        <w:t>le</w:t>
      </w:r>
      <w:r w:rsidR="00126F2F">
        <w:t>s of design</w:t>
      </w:r>
      <w:r w:rsidR="00213608">
        <w:t xml:space="preserve"> </w:t>
      </w:r>
      <w:r w:rsidR="00126F2F">
        <w:t>crossover</w:t>
      </w:r>
      <w:r w:rsidR="005D29C6">
        <w:t>, what is stated about intuitive iconography in the context of visibility</w:t>
      </w:r>
      <w:r w:rsidR="00024ED8">
        <w:t xml:space="preserve"> – with users of both desktops and vending machines needing to know immediately what is in front of them and how to access all the necessary features</w:t>
      </w:r>
      <w:r w:rsidR="00167652">
        <w:t xml:space="preserve"> </w:t>
      </w:r>
      <w:r w:rsidR="00024ED8">
        <w:t>[1].</w:t>
      </w:r>
      <w:r w:rsidR="00C146F9">
        <w:t xml:space="preserve"> Feedback is also important, the sounds of the purchased item moving through the machine, and coins being inserted is said to be integral to knowing the machine is working for users</w:t>
      </w:r>
      <w:r w:rsidR="0090475B">
        <w:t xml:space="preserve"> [2]</w:t>
      </w:r>
      <w:r w:rsidR="00C146F9">
        <w:t>.</w:t>
      </w:r>
      <w:r w:rsidR="0090475B">
        <w:t xml:space="preserve"> </w:t>
      </w:r>
      <w:r w:rsidR="00B76E2C">
        <w:t xml:space="preserve">Affordance and mapping </w:t>
      </w:r>
      <w:r w:rsidR="00D03702">
        <w:t>is</w:t>
      </w:r>
      <w:r w:rsidR="00B76E2C">
        <w:t xml:space="preserve"> not </w:t>
      </w:r>
      <w:r w:rsidR="00D03702">
        <w:t>applicable</w:t>
      </w:r>
      <w:r w:rsidR="00B76E2C">
        <w:t xml:space="preserve">, vending machines – on a user’s end – are very simple, while these concepts find more </w:t>
      </w:r>
      <w:r w:rsidR="003E5B4A">
        <w:t>ground in more complex user interactions.</w:t>
      </w:r>
      <w:r w:rsidR="009B13D7">
        <w:t xml:space="preserve"> Consistency is important, with there being lots of vending machines, all of which </w:t>
      </w:r>
      <w:r w:rsidR="002944F0">
        <w:t>expected to be quick-use, similar navigation tools and features are integral to improving user experience</w:t>
      </w:r>
      <w:r w:rsidR="00A56BE1">
        <w:t xml:space="preserve"> [3].</w:t>
      </w:r>
      <w:r w:rsidR="00EB0C74">
        <w:t xml:space="preserve"> </w:t>
      </w:r>
    </w:p>
    <w:p w14:paraId="73E9C16D" w14:textId="2AFC203F" w:rsidR="00EB0C74" w:rsidRPr="00B83269" w:rsidRDefault="005E33BC" w:rsidP="00A12121">
      <w:r>
        <w:t>Usability Heuristics being similar to Don Norman’s six princip</w:t>
      </w:r>
      <w:r w:rsidR="00611762">
        <w:t>les</w:t>
      </w:r>
      <w:r>
        <w:t xml:space="preserve"> mean the same </w:t>
      </w:r>
      <w:r w:rsidR="001C0454">
        <w:t xml:space="preserve">can be said about those too in their context to crossover into vending machines from desktop design theory – with visibility and consistency being important. </w:t>
      </w:r>
      <w:r w:rsidR="00A8152A">
        <w:t xml:space="preserve">Usability Heuristics goes into the usefulness of minimalist design, which applies here as overloading users with information would make design making hard, and </w:t>
      </w:r>
      <w:r w:rsidR="00CE173D">
        <w:t>navigation lengthy.</w:t>
      </w:r>
      <w:r w:rsidR="006B5272">
        <w:t xml:space="preserve"> Helping users diagnose errors however is difficult here, as errors occurring with vending machines require fixing from </w:t>
      </w:r>
      <w:r w:rsidR="002F60DE">
        <w:t>people who own the keys to the machine, usually trusted professionals, so this does not apply here [4].</w:t>
      </w:r>
    </w:p>
    <w:p w14:paraId="40069E4D" w14:textId="1FABBDB5" w:rsidR="00422971" w:rsidRPr="005B7969" w:rsidRDefault="000B7EB7" w:rsidP="005B7969">
      <w:pPr>
        <w:jc w:val="center"/>
        <w:rPr>
          <w:b/>
          <w:bCs/>
          <w:sz w:val="32"/>
          <w:szCs w:val="32"/>
          <w:u w:val="single"/>
        </w:rPr>
      </w:pPr>
      <w:r w:rsidRPr="005B7969">
        <w:rPr>
          <w:b/>
          <w:bCs/>
          <w:sz w:val="32"/>
          <w:szCs w:val="32"/>
          <w:u w:val="single"/>
        </w:rPr>
        <w:t>Interface Evaluation</w:t>
      </w:r>
    </w:p>
    <w:p w14:paraId="45036824" w14:textId="754D70BD" w:rsidR="00BE21A2" w:rsidRDefault="00BB0D46" w:rsidP="000B7EB7">
      <w:r>
        <w:t xml:space="preserve">An evaluation strategy for a standard food/snack vending machine would </w:t>
      </w:r>
      <w:r w:rsidR="0056288C">
        <w:t>be conducted as so</w:t>
      </w:r>
      <w:r w:rsidR="00AB33AB">
        <w:t xml:space="preserve"> – a standard snack vending machine should meet the following standards for basic customer satisfaction</w:t>
      </w:r>
      <w:r w:rsidR="00061863">
        <w:t xml:space="preserve"> [7]</w:t>
      </w:r>
      <w:r w:rsidR="00C64B4F">
        <w:t xml:space="preserve"> [8]</w:t>
      </w:r>
      <w:r w:rsidR="00B056E8">
        <w:t>:</w:t>
      </w:r>
    </w:p>
    <w:p w14:paraId="67631B81" w14:textId="5E7F4A46" w:rsidR="00B056E8" w:rsidRDefault="00772B19" w:rsidP="00B056E8">
      <w:pPr>
        <w:pStyle w:val="ListParagraph"/>
        <w:numPr>
          <w:ilvl w:val="0"/>
          <w:numId w:val="2"/>
        </w:numPr>
      </w:pPr>
      <w:r>
        <w:t>Indents are utilised as metaphors to display to users where interaction needs to transpire</w:t>
      </w:r>
      <w:r w:rsidR="00CE0BD0">
        <w:t xml:space="preserve"> [7]</w:t>
      </w:r>
      <w:r>
        <w:t>.</w:t>
      </w:r>
    </w:p>
    <w:p w14:paraId="29652AAC" w14:textId="7A978AE7" w:rsidR="00772B19" w:rsidRDefault="00772B19" w:rsidP="00B056E8">
      <w:pPr>
        <w:pStyle w:val="ListParagraph"/>
        <w:numPr>
          <w:ilvl w:val="0"/>
          <w:numId w:val="2"/>
        </w:numPr>
      </w:pPr>
      <w:r>
        <w:t xml:space="preserve">Payment options are not too far away from one another, requiring minimal hand movement from payment options to the </w:t>
      </w:r>
      <w:r w:rsidR="007265E7">
        <w:t>item selection buttons. Minimising discomfort</w:t>
      </w:r>
      <w:r w:rsidR="008A5D38">
        <w:t xml:space="preserve"> [6]</w:t>
      </w:r>
      <w:r w:rsidR="00CE0BD0">
        <w:t xml:space="preserve"> [7]</w:t>
      </w:r>
      <w:r w:rsidR="007265E7">
        <w:t>.</w:t>
      </w:r>
    </w:p>
    <w:p w14:paraId="3DD258DE" w14:textId="2D6B076D" w:rsidR="007265E7" w:rsidRDefault="00910550" w:rsidP="00B056E8">
      <w:pPr>
        <w:pStyle w:val="ListParagraph"/>
        <w:numPr>
          <w:ilvl w:val="0"/>
          <w:numId w:val="2"/>
        </w:numPr>
      </w:pPr>
      <w:r>
        <w:t>Access for those who may be handicapped. Examples include braille for blind users</w:t>
      </w:r>
      <w:r w:rsidR="00341195">
        <w:t xml:space="preserve"> and wheelchair accessibility – if possible, without sacrificing </w:t>
      </w:r>
      <w:r w:rsidR="00EA4237">
        <w:t>convenience for the public majority [5]</w:t>
      </w:r>
      <w:r w:rsidR="00CE0BD0">
        <w:t xml:space="preserve"> [7]</w:t>
      </w:r>
      <w:r w:rsidR="00EA4237">
        <w:t>.</w:t>
      </w:r>
      <w:r w:rsidR="00611762">
        <w:t xml:space="preserve"> </w:t>
      </w:r>
    </w:p>
    <w:p w14:paraId="0C24627E" w14:textId="05C853CD" w:rsidR="00E970C5" w:rsidRDefault="002A67C9" w:rsidP="00B056E8">
      <w:pPr>
        <w:pStyle w:val="ListParagraph"/>
        <w:numPr>
          <w:ilvl w:val="0"/>
          <w:numId w:val="2"/>
        </w:numPr>
      </w:pPr>
      <w:r>
        <w:t>No unfamiliar concepts – in line with Usability Heuristics</w:t>
      </w:r>
      <w:r w:rsidR="00880BE4">
        <w:t xml:space="preserve"> [4]</w:t>
      </w:r>
      <w:r>
        <w:t>. Ensure users can understand concepts used.</w:t>
      </w:r>
    </w:p>
    <w:p w14:paraId="67C84E3E" w14:textId="49D2C6C6" w:rsidR="002A67C9" w:rsidRDefault="006336FD" w:rsidP="00B056E8">
      <w:pPr>
        <w:pStyle w:val="ListParagraph"/>
        <w:numPr>
          <w:ilvl w:val="0"/>
          <w:numId w:val="2"/>
        </w:numPr>
      </w:pPr>
      <w:r>
        <w:t xml:space="preserve">Consistency, ensure the machine does not look or function too differently from others. </w:t>
      </w:r>
    </w:p>
    <w:p w14:paraId="36206A67" w14:textId="5EF87069" w:rsidR="006336FD" w:rsidRDefault="00880BE4" w:rsidP="00B056E8">
      <w:pPr>
        <w:pStyle w:val="ListParagraph"/>
        <w:numPr>
          <w:ilvl w:val="0"/>
          <w:numId w:val="2"/>
        </w:numPr>
      </w:pPr>
      <w:r>
        <w:t>Minimal design, limit use of “flashy” colours</w:t>
      </w:r>
      <w:r w:rsidR="009F5795">
        <w:t>, focus on essential elements</w:t>
      </w:r>
      <w:r w:rsidR="00061863">
        <w:t xml:space="preserve"> [1] [4]</w:t>
      </w:r>
      <w:r w:rsidR="009F5795">
        <w:t xml:space="preserve">. </w:t>
      </w:r>
    </w:p>
    <w:p w14:paraId="43EE33CC" w14:textId="2CD501D3" w:rsidR="009F5795" w:rsidRDefault="009F5795" w:rsidP="00B056E8">
      <w:pPr>
        <w:pStyle w:val="ListParagraph"/>
        <w:numPr>
          <w:ilvl w:val="0"/>
          <w:numId w:val="2"/>
        </w:numPr>
      </w:pPr>
      <w:r>
        <w:t xml:space="preserve">Feedback, user actions need some kind of sound that follows to display to the user that they have done something. This can include a sound when coins are entered into the machine, or the noise of an item entering the collection compartment after visibly being collected </w:t>
      </w:r>
      <w:r w:rsidR="00A21F17">
        <w:t>once payment and selection has been made [1]</w:t>
      </w:r>
      <w:r w:rsidR="00061863">
        <w:t xml:space="preserve"> </w:t>
      </w:r>
      <w:r w:rsidR="00A21F17">
        <w:t>[2]</w:t>
      </w:r>
      <w:r w:rsidR="00061863">
        <w:t xml:space="preserve"> </w:t>
      </w:r>
      <w:r w:rsidR="00A21F17">
        <w:t>[3]</w:t>
      </w:r>
      <w:r w:rsidR="00CE0BD0">
        <w:t xml:space="preserve"> [7]</w:t>
      </w:r>
      <w:r w:rsidR="00A21F17">
        <w:t>.</w:t>
      </w:r>
    </w:p>
    <w:p w14:paraId="32E00CA1" w14:textId="4802E73F" w:rsidR="00AB2240" w:rsidRPr="00BE21A2" w:rsidRDefault="008471CF" w:rsidP="00AB2240">
      <w:r>
        <w:t xml:space="preserve">To determine the effectiveness of </w:t>
      </w:r>
      <w:r w:rsidR="003D7A11">
        <w:t>the vending machine, the average time users take to make a purchase could be analysed, with the lower time being the deciding factor in its quality</w:t>
      </w:r>
      <w:r w:rsidR="00633EF7">
        <w:t xml:space="preserve"> [7]</w:t>
      </w:r>
      <w:r w:rsidR="003D7A11">
        <w:t xml:space="preserve"> – if ordering takes less time it can be concluded that the interface is not </w:t>
      </w:r>
      <w:r w:rsidR="00B769E8">
        <w:t>complicated to use</w:t>
      </w:r>
      <w:r w:rsidR="00633EF7">
        <w:t xml:space="preserve"> [1] [4] [7]</w:t>
      </w:r>
      <w:r w:rsidR="00B769E8">
        <w:t xml:space="preserve">. If a variety of payment options are included and it can be seen that multiple payment methods are </w:t>
      </w:r>
      <w:r w:rsidR="00B769E8">
        <w:lastRenderedPageBreak/>
        <w:t xml:space="preserve">utilised by users, then it shows their usefulness as some of those users may not of used the machines if </w:t>
      </w:r>
      <w:r w:rsidR="00633EF7">
        <w:t>payment options other than coin were not available</w:t>
      </w:r>
      <w:r w:rsidR="00034254">
        <w:t xml:space="preserve"> [8]</w:t>
      </w:r>
      <w:r w:rsidR="00633EF7">
        <w:t>.</w:t>
      </w:r>
    </w:p>
    <w:p w14:paraId="69635D3A" w14:textId="5BCEEFDE" w:rsidR="00BC4F46" w:rsidRPr="00BC4F46" w:rsidRDefault="00C215B3" w:rsidP="000B7EB7">
      <w:r>
        <w:t>Ticket machines onboard a moving vehicle such as a tram</w:t>
      </w:r>
      <w:r w:rsidR="006A2177">
        <w:t xml:space="preserve"> or train would need some kind of handle for users to hold onto for stability while the vehicle is in motion</w:t>
      </w:r>
      <w:r w:rsidR="00E47119">
        <w:t xml:space="preserve"> </w:t>
      </w:r>
      <w:r w:rsidR="000854FF">
        <w:t xml:space="preserve">[9] </w:t>
      </w:r>
      <w:r w:rsidR="00E47119">
        <w:t xml:space="preserve">[10], this would also help elderly </w:t>
      </w:r>
      <w:r w:rsidR="00B66F86">
        <w:t>and disabled people, who are more likely to use transport such as trams and trains [11]</w:t>
      </w:r>
      <w:r w:rsidR="00114428">
        <w:t xml:space="preserve"> [12] [13]</w:t>
      </w:r>
      <w:r w:rsidR="00B66F86">
        <w:t>.</w:t>
      </w:r>
    </w:p>
    <w:p w14:paraId="28AD4694" w14:textId="7DED28E8" w:rsidR="00AD1A07" w:rsidRPr="005B7969" w:rsidRDefault="00B3584A" w:rsidP="005B7969">
      <w:pPr>
        <w:jc w:val="center"/>
        <w:rPr>
          <w:b/>
          <w:bCs/>
          <w:sz w:val="32"/>
          <w:szCs w:val="32"/>
          <w:u w:val="single"/>
        </w:rPr>
      </w:pPr>
      <w:r w:rsidRPr="005B7969">
        <w:rPr>
          <w:b/>
          <w:bCs/>
          <w:sz w:val="32"/>
          <w:szCs w:val="32"/>
          <w:u w:val="single"/>
        </w:rPr>
        <w:t>Application of u</w:t>
      </w:r>
      <w:r w:rsidR="003B65BF" w:rsidRPr="005B7969">
        <w:rPr>
          <w:b/>
          <w:bCs/>
          <w:sz w:val="32"/>
          <w:szCs w:val="32"/>
          <w:u w:val="single"/>
        </w:rPr>
        <w:t xml:space="preserve">sability </w:t>
      </w:r>
      <w:r w:rsidRPr="005B7969">
        <w:rPr>
          <w:b/>
          <w:bCs/>
          <w:sz w:val="32"/>
          <w:szCs w:val="32"/>
          <w:u w:val="single"/>
        </w:rPr>
        <w:t>g</w:t>
      </w:r>
      <w:r w:rsidR="003B65BF" w:rsidRPr="005B7969">
        <w:rPr>
          <w:b/>
          <w:bCs/>
          <w:sz w:val="32"/>
          <w:szCs w:val="32"/>
          <w:u w:val="single"/>
        </w:rPr>
        <w:t>uidelines</w:t>
      </w:r>
    </w:p>
    <w:p w14:paraId="7EFE023C" w14:textId="518B4774" w:rsidR="00B5219E" w:rsidRDefault="0033139F" w:rsidP="003B65BF">
      <w:r>
        <w:t>Some of the guidelines</w:t>
      </w:r>
      <w:r w:rsidR="007E630B">
        <w:t xml:space="preserve">/rules for interface design laid out by Dix and Schneiderman are applicable to the two selected vending machine designs discussed previously. </w:t>
      </w:r>
      <w:r w:rsidR="00FB03B6">
        <w:t xml:space="preserve"> </w:t>
      </w:r>
      <w:r w:rsidR="00F91460">
        <w:t xml:space="preserve">Starting with the first vending machine looked into, there are </w:t>
      </w:r>
      <w:r w:rsidR="0008279C">
        <w:t>items to point out.</w:t>
      </w:r>
      <w:r w:rsidR="0008279C" w:rsidRPr="0008279C">
        <w:t xml:space="preserve"> </w:t>
      </w:r>
      <w:r w:rsidR="0008279C">
        <w:rPr>
          <w:noProof/>
        </w:rPr>
        <w:drawing>
          <wp:inline distT="0" distB="0" distL="0" distR="0" wp14:anchorId="30325DF1" wp14:editId="13449D45">
            <wp:extent cx="2973788" cy="3964502"/>
            <wp:effectExtent l="19050" t="19050" r="17145" b="17145"/>
            <wp:docPr id="14" name="Picture 14" descr="A picture containing text, vending machin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vending machine, several&#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83418" cy="3977340"/>
                    </a:xfrm>
                    <a:prstGeom prst="rect">
                      <a:avLst/>
                    </a:prstGeom>
                    <a:noFill/>
                    <a:ln>
                      <a:solidFill>
                        <a:schemeClr val="tx1"/>
                      </a:solidFill>
                    </a:ln>
                  </pic:spPr>
                </pic:pic>
              </a:graphicData>
            </a:graphic>
          </wp:inline>
        </w:drawing>
      </w:r>
      <w:r w:rsidR="007230C8">
        <w:t xml:space="preserve"> </w:t>
      </w:r>
      <w:r w:rsidR="00AD1F91">
        <w:t>R</w:t>
      </w:r>
      <w:r w:rsidR="007230C8">
        <w:t>egard</w:t>
      </w:r>
      <w:r w:rsidR="00AD1F91">
        <w:t>ing</w:t>
      </w:r>
      <w:r w:rsidR="007230C8">
        <w:t xml:space="preserve"> Schneiderman </w:t>
      </w:r>
      <w:r w:rsidR="00E62AB9">
        <w:t>the only rule followed is the reduced short-term memory load, with not much being on display that could overload a user</w:t>
      </w:r>
      <w:r w:rsidR="00A857F7">
        <w:t xml:space="preserve">, with the areas where user interaction is needed are minimal and all in the same location, not needing to be used at the same time, but correspondingly. </w:t>
      </w:r>
      <w:r w:rsidR="00591FDD">
        <w:t xml:space="preserve">Most of Schneiderman’s golden rules only find applicability when it comes to digital interface design, so are </w:t>
      </w:r>
      <w:r w:rsidR="008D28D5">
        <w:t xml:space="preserve">irrelevant </w:t>
      </w:r>
      <w:r w:rsidR="00B25703">
        <w:t>[14]</w:t>
      </w:r>
      <w:r w:rsidR="0067610B">
        <w:t>.</w:t>
      </w:r>
    </w:p>
    <w:p w14:paraId="125EC6A0" w14:textId="7A9BE231" w:rsidR="00B25703" w:rsidRDefault="00B25703" w:rsidP="003B65BF">
      <w:r>
        <w:t>Dix’s principles of design have more relevance here. Contrast is utilised with the metallic right hand side showing payment options being grey, compared to the colourful</w:t>
      </w:r>
      <w:r w:rsidR="00FB2DB2">
        <w:t xml:space="preserve"> sticker on the machine, which contrasts nicely, underneath too is usually a black coat of metallic paint. The areas to collect output are grey/blue, contrasting with each other, the glass and the main sticker.</w:t>
      </w:r>
      <w:r w:rsidR="00A23C91">
        <w:t xml:space="preserve"> The indents put emphasis on where user interaction is meant to be done – repetition exists mostly in that it follows the same simple formula as other snack vending machines. Space is provided with a nice distance between different areas where user interaction is meant to transpire</w:t>
      </w:r>
      <w:r w:rsidR="00565445">
        <w:t xml:space="preserve"> [15]</w:t>
      </w:r>
      <w:r w:rsidR="00A23C91">
        <w:t>.</w:t>
      </w:r>
    </w:p>
    <w:p w14:paraId="49416856" w14:textId="1CDA91EC" w:rsidR="004F07CD" w:rsidRPr="00B5219E" w:rsidRDefault="00D803AF" w:rsidP="003B65BF">
      <w:r>
        <w:rPr>
          <w:noProof/>
        </w:rPr>
        <w:lastRenderedPageBreak/>
        <w:drawing>
          <wp:inline distT="0" distB="0" distL="0" distR="0" wp14:anchorId="5DB89315" wp14:editId="0CEF76A8">
            <wp:extent cx="3169218" cy="4754880"/>
            <wp:effectExtent l="19050" t="19050" r="12700" b="26670"/>
            <wp:docPr id="15" name="Picture 15" descr="A picture containing text, floor, parking, vend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loor, parking, vending machin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3121" cy="4760735"/>
                    </a:xfrm>
                    <a:prstGeom prst="rect">
                      <a:avLst/>
                    </a:prstGeom>
                    <a:noFill/>
                    <a:ln>
                      <a:solidFill>
                        <a:schemeClr val="tx1"/>
                      </a:solidFill>
                    </a:ln>
                  </pic:spPr>
                </pic:pic>
              </a:graphicData>
            </a:graphic>
          </wp:inline>
        </w:drawing>
      </w:r>
      <w:r w:rsidR="00093D13">
        <w:t xml:space="preserve"> </w:t>
      </w:r>
      <w:r w:rsidR="006678B4">
        <w:t>The Schneiderman principle of consistency is used here with areas of output surrounded by a lime plastic outline</w:t>
      </w:r>
      <w:r w:rsidR="00FF6DE0">
        <w:t xml:space="preserve">, </w:t>
      </w:r>
      <w:r w:rsidR="00245183">
        <w:t>areas for user input signified by indents</w:t>
      </w:r>
      <w:r w:rsidR="00FF6DE0">
        <w:t>. Short term overload is reduced</w:t>
      </w:r>
      <w:r w:rsidR="00245183">
        <w:t xml:space="preserve"> f</w:t>
      </w:r>
      <w:r w:rsidR="00FF6DE0">
        <w:t xml:space="preserve">or similar reasons as the previous </w:t>
      </w:r>
      <w:r w:rsidR="000B5F36">
        <w:t xml:space="preserve">design. </w:t>
      </w:r>
      <w:r w:rsidR="003B274F">
        <w:t>With regards to Dix – contrast is used here for the lime plastic being distinct from the metallic grey majority of the machine</w:t>
      </w:r>
      <w:r w:rsidR="00C57731">
        <w:t>, there is a decent amount of space between options, but little pattern to their placements, and emphasis only used for the location where tickets are collected on the bottom right [14] [15].</w:t>
      </w:r>
    </w:p>
    <w:p w14:paraId="6F32238F" w14:textId="71FCAA8D" w:rsidR="003B65BF" w:rsidRDefault="00973C58" w:rsidP="003B65BF">
      <w:pPr>
        <w:rPr>
          <w:b/>
          <w:bCs/>
          <w:sz w:val="28"/>
          <w:szCs w:val="28"/>
          <w:u w:val="single"/>
        </w:rPr>
      </w:pPr>
      <w:r>
        <w:rPr>
          <w:b/>
          <w:bCs/>
          <w:sz w:val="28"/>
          <w:szCs w:val="28"/>
          <w:u w:val="single"/>
        </w:rPr>
        <w:t>Recommendations for accessibility</w:t>
      </w:r>
    </w:p>
    <w:p w14:paraId="0527EA53" w14:textId="23F4AB3C" w:rsidR="00C57731" w:rsidRPr="00C57731" w:rsidRDefault="00580FE9" w:rsidP="003B65BF">
      <w:r>
        <w:t>For increased a</w:t>
      </w:r>
      <w:r w:rsidR="004C613A">
        <w:t>ccessibility there are suggestions which could be made for the two machines. The first machine</w:t>
      </w:r>
      <w:r w:rsidR="007A6FD9">
        <w:t xml:space="preserve">, the snack vending machine, could utilise braille on its buttons for item selection </w:t>
      </w:r>
      <w:r w:rsidR="00050D61">
        <w:t xml:space="preserve">for visually impaired users. </w:t>
      </w:r>
      <w:r w:rsidR="002303F2">
        <w:t xml:space="preserve">The second machine could be pushed further back </w:t>
      </w:r>
      <w:r w:rsidR="00017512">
        <w:t>towards the wall and glass of the tram, allowing those who use wheelchairs, or are height impaired to reach the metal bars easier when using the machine while the tram is in motion.</w:t>
      </w:r>
    </w:p>
    <w:p w14:paraId="1FA427E0" w14:textId="54B57B6A" w:rsidR="00973C58" w:rsidRDefault="00973C58" w:rsidP="003B65BF">
      <w:pPr>
        <w:rPr>
          <w:b/>
          <w:bCs/>
          <w:sz w:val="28"/>
          <w:szCs w:val="28"/>
          <w:u w:val="single"/>
        </w:rPr>
      </w:pPr>
      <w:r>
        <w:rPr>
          <w:b/>
          <w:bCs/>
          <w:sz w:val="28"/>
          <w:szCs w:val="28"/>
          <w:u w:val="single"/>
        </w:rPr>
        <w:t>Applicability of web design advice to vending machine designers</w:t>
      </w:r>
    </w:p>
    <w:p w14:paraId="5F58DD1C" w14:textId="4D390F19" w:rsidR="004272AB" w:rsidRPr="00483B6F" w:rsidRDefault="008F70AB" w:rsidP="003B65BF">
      <w:r>
        <w:t>W3C</w:t>
      </w:r>
      <w:r w:rsidR="005D7F74">
        <w:t xml:space="preserve"> aims to make</w:t>
      </w:r>
      <w:r w:rsidR="00E329E3">
        <w:t xml:space="preserve"> the web accessible for those with disabilities that affect: auditory, cognitive, neurological, physical, speech and visual. While the measures taken do not all in their entirety find applicability to the design of vending machines, the cause of making machines accessible to those groups does</w:t>
      </w:r>
      <w:r w:rsidR="004272AB">
        <w:t xml:space="preserve"> [16] [17] [18]</w:t>
      </w:r>
      <w:r w:rsidR="00E329E3">
        <w:t xml:space="preserve">. </w:t>
      </w:r>
      <w:r w:rsidR="00ED2DF9">
        <w:t>Materials which have a different feel to touch are used in different aspects of most vending machines for example. Those with auditory issues though will find little issue given most vending machines – while usually having sound options nowadays – generally have instructions given via text (if at all)</w:t>
      </w:r>
      <w:r w:rsidR="003F25D0">
        <w:t>.</w:t>
      </w:r>
      <w:r w:rsidR="0032425D">
        <w:t xml:space="preserve"> T</w:t>
      </w:r>
      <w:r w:rsidR="00397445">
        <w:t xml:space="preserve">he means of helping individuals that the W3C takes to make the </w:t>
      </w:r>
      <w:r w:rsidR="00397445">
        <w:lastRenderedPageBreak/>
        <w:t>web more accessible seem to only be applicable to the web</w:t>
      </w:r>
      <w:r w:rsidR="005074A6">
        <w:t>. Vending machines which use touch screens however can still use measures such as captions and options perhaps for extra help</w:t>
      </w:r>
      <w:r w:rsidR="00A86300">
        <w:t xml:space="preserve"> with specific interfaces if need be.</w:t>
      </w:r>
      <w:r w:rsidR="00D426E4">
        <w:t xml:space="preserve"> Vending machines are in circulation to help those physically impaired, but they are few and not widespread as of yet</w:t>
      </w:r>
      <w:r w:rsidR="0006289C">
        <w:t xml:space="preserve"> [19] [20]</w:t>
      </w:r>
      <w:r w:rsidR="00D426E4">
        <w:t>.</w:t>
      </w:r>
      <w:r w:rsidR="0006289C">
        <w:t xml:space="preserve"> While both vending machine and web design are becoming more accessible, it is generally through different means, given their differences in concept.</w:t>
      </w:r>
    </w:p>
    <w:p w14:paraId="0FD88A85" w14:textId="28D9E406" w:rsidR="00AC4190" w:rsidRPr="00AC4190" w:rsidRDefault="00AC4190" w:rsidP="00AC4190">
      <w:pPr>
        <w:jc w:val="center"/>
        <w:rPr>
          <w:b/>
          <w:bCs/>
          <w:sz w:val="32"/>
          <w:szCs w:val="32"/>
          <w:u w:val="single"/>
        </w:rPr>
      </w:pPr>
      <w:r>
        <w:rPr>
          <w:b/>
          <w:bCs/>
          <w:sz w:val="32"/>
          <w:szCs w:val="32"/>
          <w:u w:val="single"/>
        </w:rPr>
        <w:t>References</w:t>
      </w:r>
    </w:p>
    <w:p w14:paraId="17BC8431" w14:textId="77777777" w:rsidR="000978E7" w:rsidRPr="000978E7" w:rsidRDefault="000978E7" w:rsidP="000978E7">
      <w:pPr>
        <w:rPr>
          <w:sz w:val="20"/>
          <w:szCs w:val="20"/>
        </w:rPr>
      </w:pPr>
      <w:r w:rsidRPr="000978E7">
        <w:rPr>
          <w:sz w:val="20"/>
          <w:szCs w:val="20"/>
        </w:rPr>
        <w:t xml:space="preserve">1. </w:t>
      </w:r>
      <w:proofErr w:type="spellStart"/>
      <w:r w:rsidRPr="000978E7">
        <w:rPr>
          <w:sz w:val="20"/>
          <w:szCs w:val="20"/>
        </w:rPr>
        <w:t>Bobrow</w:t>
      </w:r>
      <w:proofErr w:type="spellEnd"/>
      <w:r w:rsidRPr="000978E7">
        <w:rPr>
          <w:sz w:val="20"/>
          <w:szCs w:val="20"/>
        </w:rPr>
        <w:t xml:space="preserve"> DG, Norman DA. </w:t>
      </w:r>
      <w:r w:rsidRPr="00E64372">
        <w:rPr>
          <w:i/>
          <w:iCs/>
          <w:sz w:val="20"/>
          <w:szCs w:val="20"/>
        </w:rPr>
        <w:t>Some principles of memory schemata</w:t>
      </w:r>
      <w:r w:rsidRPr="000978E7">
        <w:rPr>
          <w:sz w:val="20"/>
          <w:szCs w:val="20"/>
        </w:rPr>
        <w:t xml:space="preserve">. </w:t>
      </w:r>
      <w:proofErr w:type="spellStart"/>
      <w:r w:rsidRPr="000978E7">
        <w:rPr>
          <w:sz w:val="20"/>
          <w:szCs w:val="20"/>
        </w:rPr>
        <w:t>InRepresentation</w:t>
      </w:r>
      <w:proofErr w:type="spellEnd"/>
      <w:r w:rsidRPr="000978E7">
        <w:rPr>
          <w:sz w:val="20"/>
          <w:szCs w:val="20"/>
        </w:rPr>
        <w:t xml:space="preserve"> and understanding; 1975</w:t>
      </w:r>
    </w:p>
    <w:p w14:paraId="36281083" w14:textId="77777777" w:rsidR="000978E7" w:rsidRPr="000978E7" w:rsidRDefault="000978E7" w:rsidP="000978E7">
      <w:pPr>
        <w:rPr>
          <w:sz w:val="20"/>
          <w:szCs w:val="20"/>
        </w:rPr>
      </w:pPr>
      <w:r w:rsidRPr="000978E7">
        <w:rPr>
          <w:sz w:val="20"/>
          <w:szCs w:val="20"/>
        </w:rPr>
        <w:t xml:space="preserve">2. Arai M, </w:t>
      </w:r>
      <w:proofErr w:type="spellStart"/>
      <w:r w:rsidRPr="000978E7">
        <w:rPr>
          <w:sz w:val="20"/>
          <w:szCs w:val="20"/>
        </w:rPr>
        <w:t>Hirao</w:t>
      </w:r>
      <w:proofErr w:type="spellEnd"/>
      <w:r w:rsidRPr="000978E7">
        <w:rPr>
          <w:sz w:val="20"/>
          <w:szCs w:val="20"/>
        </w:rPr>
        <w:t xml:space="preserve"> K. </w:t>
      </w:r>
      <w:r w:rsidRPr="00E64372">
        <w:rPr>
          <w:i/>
          <w:iCs/>
          <w:sz w:val="20"/>
          <w:szCs w:val="20"/>
        </w:rPr>
        <w:t>Present status and prospects for vending machines</w:t>
      </w:r>
      <w:r w:rsidRPr="000978E7">
        <w:rPr>
          <w:sz w:val="20"/>
          <w:szCs w:val="20"/>
        </w:rPr>
        <w:t xml:space="preserve">; </w:t>
      </w:r>
      <w:proofErr w:type="spellStart"/>
      <w:r w:rsidRPr="000978E7">
        <w:rPr>
          <w:sz w:val="20"/>
          <w:szCs w:val="20"/>
        </w:rPr>
        <w:t>Jido</w:t>
      </w:r>
      <w:proofErr w:type="spellEnd"/>
      <w:r w:rsidRPr="000978E7">
        <w:rPr>
          <w:sz w:val="20"/>
          <w:szCs w:val="20"/>
        </w:rPr>
        <w:t xml:space="preserve"> </w:t>
      </w:r>
      <w:proofErr w:type="spellStart"/>
      <w:r w:rsidRPr="000978E7">
        <w:rPr>
          <w:sz w:val="20"/>
          <w:szCs w:val="20"/>
        </w:rPr>
        <w:t>hanbaiki</w:t>
      </w:r>
      <w:proofErr w:type="spellEnd"/>
      <w:r w:rsidRPr="000978E7">
        <w:rPr>
          <w:sz w:val="20"/>
          <w:szCs w:val="20"/>
        </w:rPr>
        <w:t xml:space="preserve"> no </w:t>
      </w:r>
      <w:proofErr w:type="spellStart"/>
      <w:r w:rsidRPr="000978E7">
        <w:rPr>
          <w:sz w:val="20"/>
          <w:szCs w:val="20"/>
        </w:rPr>
        <w:t>genjo</w:t>
      </w:r>
      <w:proofErr w:type="spellEnd"/>
      <w:r w:rsidRPr="000978E7">
        <w:rPr>
          <w:sz w:val="20"/>
          <w:szCs w:val="20"/>
        </w:rPr>
        <w:t xml:space="preserve"> to </w:t>
      </w:r>
      <w:proofErr w:type="spellStart"/>
      <w:r w:rsidRPr="000978E7">
        <w:rPr>
          <w:sz w:val="20"/>
          <w:szCs w:val="20"/>
        </w:rPr>
        <w:t>tenbo</w:t>
      </w:r>
      <w:proofErr w:type="spellEnd"/>
      <w:r w:rsidRPr="000978E7">
        <w:rPr>
          <w:sz w:val="20"/>
          <w:szCs w:val="20"/>
        </w:rPr>
        <w:t>. Fuji Jiho (Fuji Electric Journal); 1996</w:t>
      </w:r>
    </w:p>
    <w:p w14:paraId="3A0E3AB8" w14:textId="77777777" w:rsidR="000978E7" w:rsidRPr="000978E7" w:rsidRDefault="000978E7" w:rsidP="000978E7">
      <w:pPr>
        <w:rPr>
          <w:sz w:val="20"/>
          <w:szCs w:val="20"/>
        </w:rPr>
      </w:pPr>
      <w:r w:rsidRPr="000978E7">
        <w:rPr>
          <w:sz w:val="20"/>
          <w:szCs w:val="20"/>
        </w:rPr>
        <w:t xml:space="preserve">3. Godin KM, Hammond D, </w:t>
      </w:r>
      <w:proofErr w:type="spellStart"/>
      <w:r w:rsidRPr="000978E7">
        <w:rPr>
          <w:sz w:val="20"/>
          <w:szCs w:val="20"/>
        </w:rPr>
        <w:t>Chaurasia</w:t>
      </w:r>
      <w:proofErr w:type="spellEnd"/>
      <w:r w:rsidRPr="000978E7">
        <w:rPr>
          <w:sz w:val="20"/>
          <w:szCs w:val="20"/>
        </w:rPr>
        <w:t xml:space="preserve"> A, Leatherdale ST. </w:t>
      </w:r>
      <w:r w:rsidRPr="00E64372">
        <w:rPr>
          <w:i/>
          <w:iCs/>
          <w:sz w:val="20"/>
          <w:szCs w:val="20"/>
        </w:rPr>
        <w:t>Examining changes in school vending machine beverage availability and sugar-sweetened beverage intake among Canadian adolescents participating in the COMPASS study: a longitudinal assessment of provincial school nutrition policy compliance and effectiveness</w:t>
      </w:r>
      <w:r w:rsidRPr="000978E7">
        <w:rPr>
          <w:sz w:val="20"/>
          <w:szCs w:val="20"/>
        </w:rPr>
        <w:t xml:space="preserve">. International Journal of </w:t>
      </w:r>
      <w:proofErr w:type="spellStart"/>
      <w:r w:rsidRPr="000978E7">
        <w:rPr>
          <w:sz w:val="20"/>
          <w:szCs w:val="20"/>
        </w:rPr>
        <w:t>Behavioral</w:t>
      </w:r>
      <w:proofErr w:type="spellEnd"/>
      <w:r w:rsidRPr="000978E7">
        <w:rPr>
          <w:sz w:val="20"/>
          <w:szCs w:val="20"/>
        </w:rPr>
        <w:t xml:space="preserve"> Nutrition and Physical Activity; 2018</w:t>
      </w:r>
    </w:p>
    <w:p w14:paraId="0A52D3D4" w14:textId="6522B245" w:rsidR="00BD4144" w:rsidRDefault="000978E7" w:rsidP="000978E7">
      <w:pPr>
        <w:rPr>
          <w:sz w:val="20"/>
          <w:szCs w:val="20"/>
        </w:rPr>
      </w:pPr>
      <w:r w:rsidRPr="000978E7">
        <w:rPr>
          <w:sz w:val="20"/>
          <w:szCs w:val="20"/>
        </w:rPr>
        <w:t xml:space="preserve">4. Nielsen J. </w:t>
      </w:r>
      <w:r w:rsidRPr="00E64372">
        <w:rPr>
          <w:i/>
          <w:iCs/>
          <w:sz w:val="20"/>
          <w:szCs w:val="20"/>
        </w:rPr>
        <w:t>How to conduct a heuristic evaluation</w:t>
      </w:r>
      <w:r w:rsidRPr="000978E7">
        <w:rPr>
          <w:sz w:val="20"/>
          <w:szCs w:val="20"/>
        </w:rPr>
        <w:t>. Nielsen Norman Group; 1995</w:t>
      </w:r>
    </w:p>
    <w:p w14:paraId="7F1DE11F" w14:textId="3E1618C1" w:rsidR="00EA4237" w:rsidRDefault="00EA4237" w:rsidP="000978E7">
      <w:pPr>
        <w:rPr>
          <w:sz w:val="20"/>
          <w:szCs w:val="20"/>
        </w:rPr>
      </w:pPr>
      <w:r>
        <w:rPr>
          <w:sz w:val="20"/>
          <w:szCs w:val="20"/>
        </w:rPr>
        <w:t xml:space="preserve">5. </w:t>
      </w:r>
      <w:r w:rsidRPr="00EA4237">
        <w:rPr>
          <w:sz w:val="20"/>
          <w:szCs w:val="20"/>
        </w:rPr>
        <w:t xml:space="preserve">Sprague JR, Horner RH. </w:t>
      </w:r>
      <w:r w:rsidRPr="00EA4237">
        <w:rPr>
          <w:i/>
          <w:iCs/>
          <w:sz w:val="20"/>
          <w:szCs w:val="20"/>
        </w:rPr>
        <w:t>The effects of single instance, multiple instance, and general case training on generalized vending machine use by moderately and severely handicapped students</w:t>
      </w:r>
      <w:r w:rsidRPr="00EA4237">
        <w:rPr>
          <w:sz w:val="20"/>
          <w:szCs w:val="20"/>
        </w:rPr>
        <w:t xml:space="preserve">. Journal of Applied </w:t>
      </w:r>
      <w:proofErr w:type="spellStart"/>
      <w:r w:rsidRPr="00EA4237">
        <w:rPr>
          <w:sz w:val="20"/>
          <w:szCs w:val="20"/>
        </w:rPr>
        <w:t>Behavior</w:t>
      </w:r>
      <w:proofErr w:type="spellEnd"/>
      <w:r w:rsidRPr="00EA4237">
        <w:rPr>
          <w:sz w:val="20"/>
          <w:szCs w:val="20"/>
        </w:rPr>
        <w:t xml:space="preserve"> Analysis; 1984</w:t>
      </w:r>
    </w:p>
    <w:p w14:paraId="70C07E53" w14:textId="37521659" w:rsidR="008A5D38" w:rsidRDefault="008A5D38" w:rsidP="000978E7">
      <w:pPr>
        <w:rPr>
          <w:sz w:val="20"/>
          <w:szCs w:val="20"/>
        </w:rPr>
      </w:pPr>
      <w:r>
        <w:rPr>
          <w:sz w:val="20"/>
          <w:szCs w:val="20"/>
        </w:rPr>
        <w:t xml:space="preserve">6. </w:t>
      </w:r>
      <w:proofErr w:type="spellStart"/>
      <w:r w:rsidRPr="008A5D38">
        <w:rPr>
          <w:sz w:val="20"/>
          <w:szCs w:val="20"/>
        </w:rPr>
        <w:t>Naddeo</w:t>
      </w:r>
      <w:proofErr w:type="spellEnd"/>
      <w:r w:rsidRPr="008A5D38">
        <w:rPr>
          <w:sz w:val="20"/>
          <w:szCs w:val="20"/>
        </w:rPr>
        <w:t xml:space="preserve"> A, </w:t>
      </w:r>
      <w:proofErr w:type="spellStart"/>
      <w:r w:rsidRPr="008A5D38">
        <w:rPr>
          <w:sz w:val="20"/>
          <w:szCs w:val="20"/>
        </w:rPr>
        <w:t>Califano</w:t>
      </w:r>
      <w:proofErr w:type="spellEnd"/>
      <w:r w:rsidRPr="008A5D38">
        <w:rPr>
          <w:sz w:val="20"/>
          <w:szCs w:val="20"/>
        </w:rPr>
        <w:t xml:space="preserve"> R, Vallone M, </w:t>
      </w:r>
      <w:proofErr w:type="spellStart"/>
      <w:r w:rsidRPr="008A5D38">
        <w:rPr>
          <w:sz w:val="20"/>
          <w:szCs w:val="20"/>
        </w:rPr>
        <w:t>Cicalese</w:t>
      </w:r>
      <w:proofErr w:type="spellEnd"/>
      <w:r w:rsidRPr="008A5D38">
        <w:rPr>
          <w:sz w:val="20"/>
          <w:szCs w:val="20"/>
        </w:rPr>
        <w:t xml:space="preserve"> A, </w:t>
      </w:r>
      <w:proofErr w:type="spellStart"/>
      <w:r w:rsidRPr="008A5D38">
        <w:rPr>
          <w:sz w:val="20"/>
          <w:szCs w:val="20"/>
        </w:rPr>
        <w:t>Coccaro</w:t>
      </w:r>
      <w:proofErr w:type="spellEnd"/>
      <w:r w:rsidRPr="008A5D38">
        <w:rPr>
          <w:sz w:val="20"/>
          <w:szCs w:val="20"/>
        </w:rPr>
        <w:t xml:space="preserve"> C, </w:t>
      </w:r>
      <w:proofErr w:type="spellStart"/>
      <w:r w:rsidRPr="008A5D38">
        <w:rPr>
          <w:sz w:val="20"/>
          <w:szCs w:val="20"/>
        </w:rPr>
        <w:t>Marcone</w:t>
      </w:r>
      <w:proofErr w:type="spellEnd"/>
      <w:r w:rsidRPr="008A5D38">
        <w:rPr>
          <w:sz w:val="20"/>
          <w:szCs w:val="20"/>
        </w:rPr>
        <w:t xml:space="preserve"> F, </w:t>
      </w:r>
      <w:proofErr w:type="spellStart"/>
      <w:r w:rsidRPr="008A5D38">
        <w:rPr>
          <w:sz w:val="20"/>
          <w:szCs w:val="20"/>
        </w:rPr>
        <w:t>Shullazi</w:t>
      </w:r>
      <w:proofErr w:type="spellEnd"/>
      <w:r w:rsidRPr="008A5D38">
        <w:rPr>
          <w:sz w:val="20"/>
          <w:szCs w:val="20"/>
        </w:rPr>
        <w:t xml:space="preserve"> E. </w:t>
      </w:r>
      <w:r w:rsidRPr="008A5D38">
        <w:rPr>
          <w:i/>
          <w:iCs/>
          <w:sz w:val="20"/>
          <w:szCs w:val="20"/>
        </w:rPr>
        <w:t>The effect of spine discomfort on the overall postural (dis) comfort</w:t>
      </w:r>
      <w:r w:rsidRPr="008A5D38">
        <w:rPr>
          <w:sz w:val="20"/>
          <w:szCs w:val="20"/>
        </w:rPr>
        <w:t>. Applied Ergonomics; 2019</w:t>
      </w:r>
    </w:p>
    <w:p w14:paraId="63301E0F" w14:textId="41D59BF7" w:rsidR="00061863" w:rsidRDefault="00061863" w:rsidP="000978E7">
      <w:pPr>
        <w:rPr>
          <w:sz w:val="20"/>
          <w:szCs w:val="20"/>
        </w:rPr>
      </w:pPr>
      <w:r>
        <w:rPr>
          <w:sz w:val="20"/>
          <w:szCs w:val="20"/>
        </w:rPr>
        <w:t xml:space="preserve">7. </w:t>
      </w:r>
      <w:r w:rsidRPr="00061863">
        <w:rPr>
          <w:sz w:val="20"/>
          <w:szCs w:val="20"/>
        </w:rPr>
        <w:t xml:space="preserve">Krishna VV, </w:t>
      </w:r>
      <w:proofErr w:type="spellStart"/>
      <w:r w:rsidRPr="00061863">
        <w:rPr>
          <w:sz w:val="20"/>
          <w:szCs w:val="20"/>
        </w:rPr>
        <w:t>Monisha</w:t>
      </w:r>
      <w:proofErr w:type="spellEnd"/>
      <w:r w:rsidRPr="00061863">
        <w:rPr>
          <w:sz w:val="20"/>
          <w:szCs w:val="20"/>
        </w:rPr>
        <w:t xml:space="preserve"> A, </w:t>
      </w:r>
      <w:proofErr w:type="spellStart"/>
      <w:r w:rsidRPr="00061863">
        <w:rPr>
          <w:sz w:val="20"/>
          <w:szCs w:val="20"/>
        </w:rPr>
        <w:t>Sadulla</w:t>
      </w:r>
      <w:proofErr w:type="spellEnd"/>
      <w:r w:rsidRPr="00061863">
        <w:rPr>
          <w:sz w:val="20"/>
          <w:szCs w:val="20"/>
        </w:rPr>
        <w:t xml:space="preserve"> S, </w:t>
      </w:r>
      <w:proofErr w:type="spellStart"/>
      <w:r w:rsidRPr="00061863">
        <w:rPr>
          <w:sz w:val="20"/>
          <w:szCs w:val="20"/>
        </w:rPr>
        <w:t>Prathiba</w:t>
      </w:r>
      <w:proofErr w:type="spellEnd"/>
      <w:r w:rsidRPr="00061863">
        <w:rPr>
          <w:sz w:val="20"/>
          <w:szCs w:val="20"/>
        </w:rPr>
        <w:t xml:space="preserve"> J. </w:t>
      </w:r>
      <w:r w:rsidRPr="00061863">
        <w:rPr>
          <w:i/>
          <w:iCs/>
          <w:sz w:val="20"/>
          <w:szCs w:val="20"/>
        </w:rPr>
        <w:t>Design and implementation of an automatic beverages vending machine and its performance evaluation using Xilinx ISE and Cadence</w:t>
      </w:r>
      <w:r w:rsidRPr="00061863">
        <w:rPr>
          <w:sz w:val="20"/>
          <w:szCs w:val="20"/>
        </w:rPr>
        <w:t>. In2013 Fourth International Conference on Computing, Communications and Networking Technologies (ICCCNT); 2013</w:t>
      </w:r>
    </w:p>
    <w:p w14:paraId="3990D50E" w14:textId="29E78D0D" w:rsidR="00BE150A" w:rsidRDefault="00BE150A" w:rsidP="000978E7">
      <w:pPr>
        <w:rPr>
          <w:sz w:val="20"/>
          <w:szCs w:val="20"/>
        </w:rPr>
      </w:pPr>
      <w:r>
        <w:rPr>
          <w:sz w:val="20"/>
          <w:szCs w:val="20"/>
        </w:rPr>
        <w:t xml:space="preserve">8. </w:t>
      </w:r>
      <w:proofErr w:type="spellStart"/>
      <w:r w:rsidRPr="00BE150A">
        <w:rPr>
          <w:sz w:val="20"/>
          <w:szCs w:val="20"/>
        </w:rPr>
        <w:t>Naeini</w:t>
      </w:r>
      <w:proofErr w:type="spellEnd"/>
      <w:r w:rsidRPr="00BE150A">
        <w:rPr>
          <w:sz w:val="20"/>
          <w:szCs w:val="20"/>
        </w:rPr>
        <w:t xml:space="preserve"> HS, </w:t>
      </w:r>
      <w:proofErr w:type="spellStart"/>
      <w:r w:rsidRPr="00BE150A">
        <w:rPr>
          <w:sz w:val="20"/>
          <w:szCs w:val="20"/>
        </w:rPr>
        <w:t>Mostowfi</w:t>
      </w:r>
      <w:proofErr w:type="spellEnd"/>
      <w:r w:rsidRPr="00BE150A">
        <w:rPr>
          <w:sz w:val="20"/>
          <w:szCs w:val="20"/>
        </w:rPr>
        <w:t xml:space="preserve"> S. </w:t>
      </w:r>
      <w:r w:rsidRPr="00EF1E37">
        <w:rPr>
          <w:i/>
          <w:iCs/>
          <w:sz w:val="20"/>
          <w:szCs w:val="20"/>
        </w:rPr>
        <w:t>Using QUIS as a measurement tool for user satisfaction evaluation (case study: vending machine).</w:t>
      </w:r>
      <w:r w:rsidRPr="00BE150A">
        <w:rPr>
          <w:sz w:val="20"/>
          <w:szCs w:val="20"/>
        </w:rPr>
        <w:t xml:space="preserve"> International Journal of Information Science; 2015</w:t>
      </w:r>
    </w:p>
    <w:p w14:paraId="331AEF89" w14:textId="15E972C7" w:rsidR="00447BFF" w:rsidRDefault="00447BFF" w:rsidP="000978E7">
      <w:pPr>
        <w:rPr>
          <w:sz w:val="20"/>
          <w:szCs w:val="20"/>
        </w:rPr>
      </w:pPr>
      <w:r w:rsidRPr="00447BFF">
        <w:rPr>
          <w:sz w:val="20"/>
          <w:szCs w:val="20"/>
        </w:rPr>
        <w:t xml:space="preserve">9. </w:t>
      </w:r>
      <w:proofErr w:type="spellStart"/>
      <w:r w:rsidRPr="00447BFF">
        <w:rPr>
          <w:sz w:val="20"/>
          <w:szCs w:val="20"/>
        </w:rPr>
        <w:t>Sandnes</w:t>
      </w:r>
      <w:proofErr w:type="spellEnd"/>
      <w:r w:rsidRPr="00447BFF">
        <w:rPr>
          <w:sz w:val="20"/>
          <w:szCs w:val="20"/>
        </w:rPr>
        <w:t xml:space="preserve"> FE, Jian HL, Huang YP, Huang YM. </w:t>
      </w:r>
      <w:r w:rsidRPr="006070F8">
        <w:rPr>
          <w:i/>
          <w:iCs/>
          <w:sz w:val="20"/>
          <w:szCs w:val="20"/>
        </w:rPr>
        <w:t>User interface design for public kiosks: an evaluation of the Taiwan high speed rail ticket vending machine</w:t>
      </w:r>
      <w:r w:rsidRPr="00447BFF">
        <w:rPr>
          <w:sz w:val="20"/>
          <w:szCs w:val="20"/>
        </w:rPr>
        <w:t>; 2010</w:t>
      </w:r>
    </w:p>
    <w:p w14:paraId="37E504E6" w14:textId="11DCCFCA" w:rsidR="00447BFF" w:rsidRDefault="006070F8" w:rsidP="000978E7">
      <w:pPr>
        <w:rPr>
          <w:sz w:val="20"/>
          <w:szCs w:val="20"/>
        </w:rPr>
      </w:pPr>
      <w:r w:rsidRPr="006070F8">
        <w:rPr>
          <w:sz w:val="20"/>
          <w:szCs w:val="20"/>
        </w:rPr>
        <w:t xml:space="preserve">10. </w:t>
      </w:r>
      <w:proofErr w:type="spellStart"/>
      <w:r w:rsidRPr="006070F8">
        <w:rPr>
          <w:sz w:val="20"/>
          <w:szCs w:val="20"/>
        </w:rPr>
        <w:t>Pashkevich</w:t>
      </w:r>
      <w:proofErr w:type="spellEnd"/>
      <w:r w:rsidRPr="006070F8">
        <w:rPr>
          <w:sz w:val="20"/>
          <w:szCs w:val="20"/>
        </w:rPr>
        <w:t xml:space="preserve"> A, </w:t>
      </w:r>
      <w:proofErr w:type="spellStart"/>
      <w:r w:rsidRPr="006070F8">
        <w:rPr>
          <w:sz w:val="20"/>
          <w:szCs w:val="20"/>
        </w:rPr>
        <w:t>Szarata</w:t>
      </w:r>
      <w:proofErr w:type="spellEnd"/>
      <w:r w:rsidRPr="006070F8">
        <w:rPr>
          <w:sz w:val="20"/>
          <w:szCs w:val="20"/>
        </w:rPr>
        <w:t xml:space="preserve"> A, Burghardt TE, </w:t>
      </w:r>
      <w:proofErr w:type="spellStart"/>
      <w:r w:rsidRPr="006070F8">
        <w:rPr>
          <w:sz w:val="20"/>
          <w:szCs w:val="20"/>
        </w:rPr>
        <w:t>Jaremski</w:t>
      </w:r>
      <w:proofErr w:type="spellEnd"/>
      <w:r w:rsidRPr="006070F8">
        <w:rPr>
          <w:sz w:val="20"/>
          <w:szCs w:val="20"/>
        </w:rPr>
        <w:t xml:space="preserve"> R, </w:t>
      </w:r>
      <w:proofErr w:type="spellStart"/>
      <w:r w:rsidRPr="006070F8">
        <w:rPr>
          <w:sz w:val="20"/>
          <w:szCs w:val="20"/>
        </w:rPr>
        <w:t>Šucha</w:t>
      </w:r>
      <w:proofErr w:type="spellEnd"/>
      <w:r w:rsidRPr="006070F8">
        <w:rPr>
          <w:sz w:val="20"/>
          <w:szCs w:val="20"/>
        </w:rPr>
        <w:t xml:space="preserve"> M. </w:t>
      </w:r>
      <w:r w:rsidRPr="006070F8">
        <w:rPr>
          <w:i/>
          <w:iCs/>
          <w:sz w:val="20"/>
          <w:szCs w:val="20"/>
        </w:rPr>
        <w:t>Operation of Public Transportation Ticket Vending Machine in Kraków, Poland: An Eye Tracking Study</w:t>
      </w:r>
      <w:r w:rsidRPr="006070F8">
        <w:rPr>
          <w:sz w:val="20"/>
          <w:szCs w:val="20"/>
        </w:rPr>
        <w:t>. Sustainability; 2021</w:t>
      </w:r>
    </w:p>
    <w:p w14:paraId="5F1C2BC8" w14:textId="3C7B4F8E" w:rsidR="006070F8" w:rsidRDefault="006070F8" w:rsidP="000978E7">
      <w:pPr>
        <w:rPr>
          <w:sz w:val="20"/>
          <w:szCs w:val="20"/>
        </w:rPr>
      </w:pPr>
      <w:r w:rsidRPr="006070F8">
        <w:rPr>
          <w:sz w:val="20"/>
          <w:szCs w:val="20"/>
        </w:rPr>
        <w:t xml:space="preserve">11. </w:t>
      </w:r>
      <w:proofErr w:type="spellStart"/>
      <w:r w:rsidRPr="006070F8">
        <w:rPr>
          <w:sz w:val="20"/>
          <w:szCs w:val="20"/>
        </w:rPr>
        <w:t>Podciborski</w:t>
      </w:r>
      <w:proofErr w:type="spellEnd"/>
      <w:r w:rsidRPr="006070F8">
        <w:rPr>
          <w:sz w:val="20"/>
          <w:szCs w:val="20"/>
        </w:rPr>
        <w:t xml:space="preserve"> T</w:t>
      </w:r>
      <w:r w:rsidRPr="006070F8">
        <w:rPr>
          <w:i/>
          <w:iCs/>
          <w:sz w:val="20"/>
          <w:szCs w:val="20"/>
        </w:rPr>
        <w:t>. A method for evaluating tram stops based on passenger expectations and the needs of disabled persons.</w:t>
      </w:r>
      <w:r w:rsidRPr="006070F8">
        <w:rPr>
          <w:sz w:val="20"/>
          <w:szCs w:val="20"/>
        </w:rPr>
        <w:t xml:space="preserve"> </w:t>
      </w:r>
      <w:proofErr w:type="spellStart"/>
      <w:r w:rsidRPr="006070F8">
        <w:rPr>
          <w:sz w:val="20"/>
          <w:szCs w:val="20"/>
        </w:rPr>
        <w:t>InEnvironmental</w:t>
      </w:r>
      <w:proofErr w:type="spellEnd"/>
      <w:r w:rsidRPr="006070F8">
        <w:rPr>
          <w:sz w:val="20"/>
          <w:szCs w:val="20"/>
        </w:rPr>
        <w:t xml:space="preserve"> Engineering. Proceedings of the International Conference on Environmental Engineering. Vilnius Gediminas Technical University, Department of Construction Economics &amp; Property; 2011</w:t>
      </w:r>
    </w:p>
    <w:p w14:paraId="61A7CDC1" w14:textId="0E2394C4" w:rsidR="00A06472" w:rsidRDefault="00A06472" w:rsidP="000978E7">
      <w:pPr>
        <w:rPr>
          <w:sz w:val="20"/>
          <w:szCs w:val="20"/>
        </w:rPr>
      </w:pPr>
      <w:r>
        <w:rPr>
          <w:sz w:val="20"/>
          <w:szCs w:val="20"/>
        </w:rPr>
        <w:t xml:space="preserve">12. </w:t>
      </w:r>
      <w:r w:rsidRPr="00A06472">
        <w:rPr>
          <w:sz w:val="20"/>
          <w:szCs w:val="20"/>
        </w:rPr>
        <w:t xml:space="preserve">Jones A, Goodman A, Roberts H, Steinbach R, Green J. </w:t>
      </w:r>
      <w:r w:rsidRPr="00A06472">
        <w:rPr>
          <w:i/>
          <w:iCs/>
          <w:sz w:val="20"/>
          <w:szCs w:val="20"/>
        </w:rPr>
        <w:t>Entitlement to concessionary public transport and wellbeing: a qualitative study of young people and older citizens in London, UK</w:t>
      </w:r>
      <w:r w:rsidRPr="00A06472">
        <w:rPr>
          <w:sz w:val="20"/>
          <w:szCs w:val="20"/>
        </w:rPr>
        <w:t>. Social Science &amp; Medicine</w:t>
      </w:r>
      <w:r>
        <w:rPr>
          <w:sz w:val="20"/>
          <w:szCs w:val="20"/>
        </w:rPr>
        <w:t xml:space="preserve">; </w:t>
      </w:r>
      <w:r w:rsidRPr="00A06472">
        <w:rPr>
          <w:sz w:val="20"/>
          <w:szCs w:val="20"/>
        </w:rPr>
        <w:t>2013</w:t>
      </w:r>
    </w:p>
    <w:p w14:paraId="060ED196" w14:textId="5F06FEE7" w:rsidR="00A06472" w:rsidRDefault="00A06472" w:rsidP="000978E7">
      <w:pPr>
        <w:rPr>
          <w:sz w:val="20"/>
          <w:szCs w:val="20"/>
        </w:rPr>
      </w:pPr>
      <w:r>
        <w:rPr>
          <w:sz w:val="20"/>
          <w:szCs w:val="20"/>
        </w:rPr>
        <w:t xml:space="preserve">13. </w:t>
      </w:r>
      <w:proofErr w:type="spellStart"/>
      <w:r w:rsidR="00114428" w:rsidRPr="00114428">
        <w:rPr>
          <w:sz w:val="20"/>
          <w:szCs w:val="20"/>
        </w:rPr>
        <w:t>Eskytė</w:t>
      </w:r>
      <w:proofErr w:type="spellEnd"/>
      <w:r w:rsidR="00114428" w:rsidRPr="00114428">
        <w:rPr>
          <w:sz w:val="20"/>
          <w:szCs w:val="20"/>
        </w:rPr>
        <w:t xml:space="preserve"> I, Lawson A, Orchard M, Andrews E. </w:t>
      </w:r>
      <w:r w:rsidR="00114428" w:rsidRPr="00114428">
        <w:rPr>
          <w:i/>
          <w:iCs/>
          <w:sz w:val="20"/>
          <w:szCs w:val="20"/>
        </w:rPr>
        <w:t>Out on the streets–crisis, opportunity and disabled people in the era of Covid-19: reflections from the UK.</w:t>
      </w:r>
      <w:r w:rsidR="00114428" w:rsidRPr="00114428">
        <w:rPr>
          <w:sz w:val="20"/>
          <w:szCs w:val="20"/>
        </w:rPr>
        <w:t xml:space="preserve"> Alter</w:t>
      </w:r>
      <w:r w:rsidR="00114428">
        <w:rPr>
          <w:sz w:val="20"/>
          <w:szCs w:val="20"/>
        </w:rPr>
        <w:t>; 2020</w:t>
      </w:r>
    </w:p>
    <w:p w14:paraId="2A6DDB6E" w14:textId="05745005" w:rsidR="008D7E05" w:rsidRDefault="008D7E05" w:rsidP="000978E7">
      <w:pPr>
        <w:rPr>
          <w:sz w:val="20"/>
          <w:szCs w:val="20"/>
        </w:rPr>
      </w:pPr>
      <w:r>
        <w:rPr>
          <w:sz w:val="20"/>
          <w:szCs w:val="20"/>
        </w:rPr>
        <w:t xml:space="preserve">14. </w:t>
      </w:r>
      <w:proofErr w:type="spellStart"/>
      <w:r w:rsidRPr="008D7E05">
        <w:rPr>
          <w:sz w:val="20"/>
          <w:szCs w:val="20"/>
        </w:rPr>
        <w:t>Shneiderman</w:t>
      </w:r>
      <w:proofErr w:type="spellEnd"/>
      <w:r w:rsidRPr="008D7E05">
        <w:rPr>
          <w:sz w:val="20"/>
          <w:szCs w:val="20"/>
        </w:rPr>
        <w:t xml:space="preserve"> B. </w:t>
      </w:r>
      <w:proofErr w:type="spellStart"/>
      <w:r w:rsidRPr="008D7E05">
        <w:rPr>
          <w:sz w:val="20"/>
          <w:szCs w:val="20"/>
        </w:rPr>
        <w:t>Shneiderman's</w:t>
      </w:r>
      <w:proofErr w:type="spellEnd"/>
      <w:r w:rsidRPr="008D7E05">
        <w:rPr>
          <w:sz w:val="20"/>
          <w:szCs w:val="20"/>
        </w:rPr>
        <w:t xml:space="preserve">" </w:t>
      </w:r>
      <w:r w:rsidRPr="00424D5B">
        <w:rPr>
          <w:i/>
          <w:iCs/>
          <w:sz w:val="20"/>
          <w:szCs w:val="20"/>
        </w:rPr>
        <w:t>Eight Golden Rules of Interface Design</w:t>
      </w:r>
      <w:r w:rsidRPr="008D7E05">
        <w:rPr>
          <w:sz w:val="20"/>
          <w:szCs w:val="20"/>
        </w:rPr>
        <w:t>"</w:t>
      </w:r>
      <w:r>
        <w:rPr>
          <w:sz w:val="20"/>
          <w:szCs w:val="20"/>
        </w:rPr>
        <w:t>; 2013</w:t>
      </w:r>
    </w:p>
    <w:p w14:paraId="5A2E76A1" w14:textId="0DE5332A" w:rsidR="00565445" w:rsidRDefault="00565445" w:rsidP="000978E7">
      <w:pPr>
        <w:rPr>
          <w:sz w:val="20"/>
          <w:szCs w:val="20"/>
        </w:rPr>
      </w:pPr>
      <w:r>
        <w:rPr>
          <w:sz w:val="20"/>
          <w:szCs w:val="20"/>
        </w:rPr>
        <w:t xml:space="preserve">15. </w:t>
      </w:r>
      <w:r w:rsidRPr="00565445">
        <w:rPr>
          <w:sz w:val="20"/>
          <w:szCs w:val="20"/>
        </w:rPr>
        <w:t>Rosen</w:t>
      </w:r>
      <w:r>
        <w:rPr>
          <w:sz w:val="20"/>
          <w:szCs w:val="20"/>
        </w:rPr>
        <w:t xml:space="preserve"> </w:t>
      </w:r>
      <w:r w:rsidRPr="00565445">
        <w:rPr>
          <w:sz w:val="20"/>
          <w:szCs w:val="20"/>
        </w:rPr>
        <w:t xml:space="preserve">DW. </w:t>
      </w:r>
      <w:r w:rsidRPr="00424D5B">
        <w:rPr>
          <w:i/>
          <w:iCs/>
          <w:sz w:val="20"/>
          <w:szCs w:val="20"/>
        </w:rPr>
        <w:t>Research supporting principles for design for additive manufacturing: This paper provides a comprehensive review on current design principles and strategies for AM</w:t>
      </w:r>
      <w:r w:rsidRPr="00565445">
        <w:rPr>
          <w:sz w:val="20"/>
          <w:szCs w:val="20"/>
        </w:rPr>
        <w:t>. Virtual and physical prototyping</w:t>
      </w:r>
      <w:r>
        <w:rPr>
          <w:sz w:val="20"/>
          <w:szCs w:val="20"/>
        </w:rPr>
        <w:t xml:space="preserve">; </w:t>
      </w:r>
      <w:r w:rsidRPr="00565445">
        <w:rPr>
          <w:sz w:val="20"/>
          <w:szCs w:val="20"/>
        </w:rPr>
        <w:t>2014</w:t>
      </w:r>
    </w:p>
    <w:p w14:paraId="2CE878FF" w14:textId="5476658D" w:rsidR="00BE643C" w:rsidRDefault="00BE643C" w:rsidP="000978E7">
      <w:pPr>
        <w:rPr>
          <w:sz w:val="20"/>
          <w:szCs w:val="20"/>
        </w:rPr>
      </w:pPr>
      <w:r>
        <w:rPr>
          <w:sz w:val="20"/>
          <w:szCs w:val="20"/>
        </w:rPr>
        <w:lastRenderedPageBreak/>
        <w:t>16.</w:t>
      </w:r>
      <w:r w:rsidR="007C5EE8">
        <w:rPr>
          <w:sz w:val="20"/>
          <w:szCs w:val="20"/>
        </w:rPr>
        <w:t xml:space="preserve"> </w:t>
      </w:r>
      <w:r w:rsidR="007C5EE8" w:rsidRPr="007C5EE8">
        <w:rPr>
          <w:sz w:val="20"/>
          <w:szCs w:val="20"/>
        </w:rPr>
        <w:t xml:space="preserve">Brophy P, Craven J. </w:t>
      </w:r>
      <w:r w:rsidR="007C5EE8" w:rsidRPr="007C5EE8">
        <w:rPr>
          <w:i/>
          <w:iCs/>
          <w:sz w:val="20"/>
          <w:szCs w:val="20"/>
        </w:rPr>
        <w:t>Web accessibility</w:t>
      </w:r>
      <w:r w:rsidR="007C5EE8" w:rsidRPr="007C5EE8">
        <w:rPr>
          <w:sz w:val="20"/>
          <w:szCs w:val="20"/>
        </w:rPr>
        <w:t>. Library trends; 2007</w:t>
      </w:r>
    </w:p>
    <w:p w14:paraId="2EFEAFB8" w14:textId="162554A7" w:rsidR="00BE643C" w:rsidRDefault="00BE643C" w:rsidP="000978E7">
      <w:pPr>
        <w:rPr>
          <w:sz w:val="20"/>
          <w:szCs w:val="20"/>
        </w:rPr>
      </w:pPr>
      <w:r>
        <w:rPr>
          <w:sz w:val="20"/>
          <w:szCs w:val="20"/>
        </w:rPr>
        <w:t>17.</w:t>
      </w:r>
      <w:r w:rsidR="007C5EE8">
        <w:rPr>
          <w:sz w:val="20"/>
          <w:szCs w:val="20"/>
        </w:rPr>
        <w:t xml:space="preserve"> </w:t>
      </w:r>
      <w:r w:rsidR="007C5EE8" w:rsidRPr="007C5EE8">
        <w:rPr>
          <w:sz w:val="20"/>
          <w:szCs w:val="20"/>
        </w:rPr>
        <w:t xml:space="preserve">Brewer J. </w:t>
      </w:r>
      <w:r w:rsidR="007C5EE8" w:rsidRPr="007C5EE8">
        <w:rPr>
          <w:i/>
          <w:iCs/>
          <w:sz w:val="20"/>
          <w:szCs w:val="20"/>
        </w:rPr>
        <w:t>Web accessibility highlights and trends</w:t>
      </w:r>
      <w:r w:rsidR="007C5EE8" w:rsidRPr="007C5EE8">
        <w:rPr>
          <w:sz w:val="20"/>
          <w:szCs w:val="20"/>
        </w:rPr>
        <w:t xml:space="preserve">. </w:t>
      </w:r>
      <w:proofErr w:type="spellStart"/>
      <w:r w:rsidR="007C5EE8" w:rsidRPr="007C5EE8">
        <w:rPr>
          <w:sz w:val="20"/>
          <w:szCs w:val="20"/>
        </w:rPr>
        <w:t>InProceedings</w:t>
      </w:r>
      <w:proofErr w:type="spellEnd"/>
      <w:r w:rsidR="007C5EE8" w:rsidRPr="007C5EE8">
        <w:rPr>
          <w:sz w:val="20"/>
          <w:szCs w:val="20"/>
        </w:rPr>
        <w:t xml:space="preserve"> of the 2004 international cross-disciplinary workshop on Web accessibility; 2004</w:t>
      </w:r>
    </w:p>
    <w:p w14:paraId="08A1CADB" w14:textId="6E100F05" w:rsidR="00BE643C" w:rsidRDefault="00BE643C" w:rsidP="000978E7">
      <w:pPr>
        <w:rPr>
          <w:sz w:val="20"/>
          <w:szCs w:val="20"/>
        </w:rPr>
      </w:pPr>
      <w:r>
        <w:rPr>
          <w:sz w:val="20"/>
          <w:szCs w:val="20"/>
        </w:rPr>
        <w:t>18.</w:t>
      </w:r>
      <w:r w:rsidR="007C5EE8">
        <w:rPr>
          <w:sz w:val="20"/>
          <w:szCs w:val="20"/>
        </w:rPr>
        <w:t xml:space="preserve"> </w:t>
      </w:r>
      <w:r w:rsidR="007C5EE8" w:rsidRPr="007C5EE8">
        <w:rPr>
          <w:sz w:val="20"/>
          <w:szCs w:val="20"/>
        </w:rPr>
        <w:t xml:space="preserve">Abou-Zahra S, Brewer J, Henry SL. </w:t>
      </w:r>
      <w:r w:rsidR="007C5EE8" w:rsidRPr="007C5EE8">
        <w:rPr>
          <w:i/>
          <w:iCs/>
          <w:sz w:val="20"/>
          <w:szCs w:val="20"/>
        </w:rPr>
        <w:t>Essential components of mobile web accessibility</w:t>
      </w:r>
      <w:r w:rsidR="007C5EE8" w:rsidRPr="007C5EE8">
        <w:rPr>
          <w:sz w:val="20"/>
          <w:szCs w:val="20"/>
        </w:rPr>
        <w:t xml:space="preserve">. </w:t>
      </w:r>
      <w:proofErr w:type="spellStart"/>
      <w:r w:rsidR="007C5EE8" w:rsidRPr="007C5EE8">
        <w:rPr>
          <w:sz w:val="20"/>
          <w:szCs w:val="20"/>
        </w:rPr>
        <w:t>InProceedings</w:t>
      </w:r>
      <w:proofErr w:type="spellEnd"/>
      <w:r w:rsidR="007C5EE8" w:rsidRPr="007C5EE8">
        <w:rPr>
          <w:sz w:val="20"/>
          <w:szCs w:val="20"/>
        </w:rPr>
        <w:t xml:space="preserve"> of the 10th International Cross-Disciplinary Conference on Web Accessibility; 2013</w:t>
      </w:r>
    </w:p>
    <w:p w14:paraId="185DF923" w14:textId="45C2D4DD" w:rsidR="00BE643C" w:rsidRDefault="00BE643C" w:rsidP="000978E7">
      <w:pPr>
        <w:rPr>
          <w:sz w:val="20"/>
          <w:szCs w:val="20"/>
        </w:rPr>
      </w:pPr>
      <w:r>
        <w:rPr>
          <w:sz w:val="20"/>
          <w:szCs w:val="20"/>
        </w:rPr>
        <w:t>19.</w:t>
      </w:r>
      <w:r w:rsidR="007C5EE8" w:rsidRPr="007C5EE8">
        <w:t xml:space="preserve"> </w:t>
      </w:r>
      <w:r w:rsidR="007C5EE8" w:rsidRPr="007C5EE8">
        <w:rPr>
          <w:sz w:val="20"/>
          <w:szCs w:val="20"/>
        </w:rPr>
        <w:t xml:space="preserve">Diamond BJ, Shreve GM, Bonilla JM, Johnston MV, </w:t>
      </w:r>
      <w:proofErr w:type="spellStart"/>
      <w:r w:rsidR="007C5EE8" w:rsidRPr="007C5EE8">
        <w:rPr>
          <w:sz w:val="20"/>
          <w:szCs w:val="20"/>
        </w:rPr>
        <w:t>Morodan</w:t>
      </w:r>
      <w:proofErr w:type="spellEnd"/>
      <w:r w:rsidR="007C5EE8" w:rsidRPr="007C5EE8">
        <w:rPr>
          <w:sz w:val="20"/>
          <w:szCs w:val="20"/>
        </w:rPr>
        <w:t xml:space="preserve"> J, </w:t>
      </w:r>
      <w:proofErr w:type="spellStart"/>
      <w:r w:rsidR="007C5EE8" w:rsidRPr="007C5EE8">
        <w:rPr>
          <w:sz w:val="20"/>
          <w:szCs w:val="20"/>
        </w:rPr>
        <w:t>Branneck</w:t>
      </w:r>
      <w:proofErr w:type="spellEnd"/>
      <w:r w:rsidR="007C5EE8" w:rsidRPr="007C5EE8">
        <w:rPr>
          <w:sz w:val="20"/>
          <w:szCs w:val="20"/>
        </w:rPr>
        <w:t xml:space="preserve"> R</w:t>
      </w:r>
      <w:r w:rsidR="007C5EE8" w:rsidRPr="007C5EE8">
        <w:rPr>
          <w:i/>
          <w:iCs/>
          <w:sz w:val="20"/>
          <w:szCs w:val="20"/>
        </w:rPr>
        <w:t>. Telerehabilitation, cognition and user-accessibility.</w:t>
      </w:r>
      <w:r w:rsidR="007C5EE8" w:rsidRPr="007C5EE8">
        <w:rPr>
          <w:sz w:val="20"/>
          <w:szCs w:val="20"/>
        </w:rPr>
        <w:t xml:space="preserve"> </w:t>
      </w:r>
      <w:proofErr w:type="spellStart"/>
      <w:r w:rsidR="007C5EE8" w:rsidRPr="007C5EE8">
        <w:rPr>
          <w:sz w:val="20"/>
          <w:szCs w:val="20"/>
        </w:rPr>
        <w:t>NeuroRehabilitation</w:t>
      </w:r>
      <w:proofErr w:type="spellEnd"/>
      <w:r w:rsidR="007C5EE8" w:rsidRPr="007C5EE8">
        <w:rPr>
          <w:sz w:val="20"/>
          <w:szCs w:val="20"/>
        </w:rPr>
        <w:t>; 2003</w:t>
      </w:r>
    </w:p>
    <w:p w14:paraId="5E6CF0E2" w14:textId="6F7F6990" w:rsidR="007C5EE8" w:rsidRPr="000978E7" w:rsidRDefault="007C5EE8" w:rsidP="000978E7">
      <w:pPr>
        <w:rPr>
          <w:sz w:val="20"/>
          <w:szCs w:val="20"/>
        </w:rPr>
      </w:pPr>
      <w:r>
        <w:rPr>
          <w:sz w:val="20"/>
          <w:szCs w:val="20"/>
        </w:rPr>
        <w:t xml:space="preserve">20. </w:t>
      </w:r>
      <w:proofErr w:type="spellStart"/>
      <w:r w:rsidRPr="007C5EE8">
        <w:rPr>
          <w:sz w:val="20"/>
          <w:szCs w:val="20"/>
        </w:rPr>
        <w:t>Caporusso</w:t>
      </w:r>
      <w:proofErr w:type="spellEnd"/>
      <w:r w:rsidRPr="007C5EE8">
        <w:rPr>
          <w:sz w:val="20"/>
          <w:szCs w:val="20"/>
        </w:rPr>
        <w:t xml:space="preserve"> N, </w:t>
      </w:r>
      <w:proofErr w:type="spellStart"/>
      <w:r w:rsidRPr="007C5EE8">
        <w:rPr>
          <w:sz w:val="20"/>
          <w:szCs w:val="20"/>
        </w:rPr>
        <w:t>Udenze</w:t>
      </w:r>
      <w:proofErr w:type="spellEnd"/>
      <w:r w:rsidRPr="007C5EE8">
        <w:rPr>
          <w:sz w:val="20"/>
          <w:szCs w:val="20"/>
        </w:rPr>
        <w:t xml:space="preserve"> K, </w:t>
      </w:r>
      <w:proofErr w:type="spellStart"/>
      <w:r w:rsidRPr="007C5EE8">
        <w:rPr>
          <w:sz w:val="20"/>
          <w:szCs w:val="20"/>
        </w:rPr>
        <w:t>Imaji</w:t>
      </w:r>
      <w:proofErr w:type="spellEnd"/>
      <w:r w:rsidRPr="007C5EE8">
        <w:rPr>
          <w:sz w:val="20"/>
          <w:szCs w:val="20"/>
        </w:rPr>
        <w:t xml:space="preserve"> A, Cui Y, Li Y, </w:t>
      </w:r>
      <w:proofErr w:type="spellStart"/>
      <w:r w:rsidRPr="007C5EE8">
        <w:rPr>
          <w:sz w:val="20"/>
          <w:szCs w:val="20"/>
        </w:rPr>
        <w:t>Romeiser</w:t>
      </w:r>
      <w:proofErr w:type="spellEnd"/>
      <w:r w:rsidRPr="007C5EE8">
        <w:rPr>
          <w:sz w:val="20"/>
          <w:szCs w:val="20"/>
        </w:rPr>
        <w:t xml:space="preserve"> S</w:t>
      </w:r>
      <w:r w:rsidRPr="007C5EE8">
        <w:rPr>
          <w:i/>
          <w:iCs/>
          <w:sz w:val="20"/>
          <w:szCs w:val="20"/>
        </w:rPr>
        <w:t>. Accessibility evaluation of automated vending machines.</w:t>
      </w:r>
      <w:r w:rsidRPr="007C5EE8">
        <w:rPr>
          <w:sz w:val="20"/>
          <w:szCs w:val="20"/>
        </w:rPr>
        <w:t xml:space="preserve"> </w:t>
      </w:r>
      <w:proofErr w:type="spellStart"/>
      <w:r w:rsidRPr="007C5EE8">
        <w:rPr>
          <w:sz w:val="20"/>
          <w:szCs w:val="20"/>
        </w:rPr>
        <w:t>InInternational</w:t>
      </w:r>
      <w:proofErr w:type="spellEnd"/>
      <w:r w:rsidRPr="007C5EE8">
        <w:rPr>
          <w:sz w:val="20"/>
          <w:szCs w:val="20"/>
        </w:rPr>
        <w:t xml:space="preserve"> Conference on Applied Human Factors and Ergonomics; 2014</w:t>
      </w:r>
    </w:p>
    <w:sectPr w:rsidR="007C5EE8" w:rsidRPr="000978E7" w:rsidSect="008A0163">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E0C87"/>
    <w:multiLevelType w:val="hybridMultilevel"/>
    <w:tmpl w:val="723CF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F223A"/>
    <w:multiLevelType w:val="hybridMultilevel"/>
    <w:tmpl w:val="A9686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1900465">
    <w:abstractNumId w:val="1"/>
  </w:num>
  <w:num w:numId="2" w16cid:durableId="1630817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C400A3"/>
    <w:rsid w:val="000135E2"/>
    <w:rsid w:val="00017512"/>
    <w:rsid w:val="00024ED8"/>
    <w:rsid w:val="00034254"/>
    <w:rsid w:val="00047F4F"/>
    <w:rsid w:val="00050D61"/>
    <w:rsid w:val="00061863"/>
    <w:rsid w:val="0006289C"/>
    <w:rsid w:val="0006699B"/>
    <w:rsid w:val="0008279C"/>
    <w:rsid w:val="000854FF"/>
    <w:rsid w:val="000860D5"/>
    <w:rsid w:val="00090791"/>
    <w:rsid w:val="00093D13"/>
    <w:rsid w:val="000978E7"/>
    <w:rsid w:val="000B0C5C"/>
    <w:rsid w:val="000B5F36"/>
    <w:rsid w:val="000B7EB7"/>
    <w:rsid w:val="000C35DF"/>
    <w:rsid w:val="000C67B4"/>
    <w:rsid w:val="000D0453"/>
    <w:rsid w:val="000D6268"/>
    <w:rsid w:val="000E6905"/>
    <w:rsid w:val="001126B8"/>
    <w:rsid w:val="00114428"/>
    <w:rsid w:val="0012567A"/>
    <w:rsid w:val="00125B63"/>
    <w:rsid w:val="00126F2F"/>
    <w:rsid w:val="0016483F"/>
    <w:rsid w:val="00167652"/>
    <w:rsid w:val="001A1DAC"/>
    <w:rsid w:val="001C0454"/>
    <w:rsid w:val="001E52AF"/>
    <w:rsid w:val="001F58A3"/>
    <w:rsid w:val="00201A6B"/>
    <w:rsid w:val="00213608"/>
    <w:rsid w:val="00215FD5"/>
    <w:rsid w:val="002303F2"/>
    <w:rsid w:val="00245183"/>
    <w:rsid w:val="0024738E"/>
    <w:rsid w:val="00251AE1"/>
    <w:rsid w:val="00257C9F"/>
    <w:rsid w:val="00272295"/>
    <w:rsid w:val="00283353"/>
    <w:rsid w:val="002944F0"/>
    <w:rsid w:val="002A67C9"/>
    <w:rsid w:val="002C0C9B"/>
    <w:rsid w:val="002C58A7"/>
    <w:rsid w:val="002C5AAB"/>
    <w:rsid w:val="002F60DE"/>
    <w:rsid w:val="00312A1A"/>
    <w:rsid w:val="0032425D"/>
    <w:rsid w:val="0032566D"/>
    <w:rsid w:val="0033139F"/>
    <w:rsid w:val="00341195"/>
    <w:rsid w:val="00360A18"/>
    <w:rsid w:val="00377461"/>
    <w:rsid w:val="00397445"/>
    <w:rsid w:val="003A3629"/>
    <w:rsid w:val="003A7BEC"/>
    <w:rsid w:val="003B274F"/>
    <w:rsid w:val="003B65BF"/>
    <w:rsid w:val="003C1DD9"/>
    <w:rsid w:val="003D7A11"/>
    <w:rsid w:val="003E5B4A"/>
    <w:rsid w:val="003F067C"/>
    <w:rsid w:val="003F0BCB"/>
    <w:rsid w:val="003F25D0"/>
    <w:rsid w:val="00400A59"/>
    <w:rsid w:val="00404AD0"/>
    <w:rsid w:val="004207BB"/>
    <w:rsid w:val="00422971"/>
    <w:rsid w:val="00424D5B"/>
    <w:rsid w:val="004272AB"/>
    <w:rsid w:val="00447BFF"/>
    <w:rsid w:val="00470A2F"/>
    <w:rsid w:val="00476ACF"/>
    <w:rsid w:val="00480761"/>
    <w:rsid w:val="00483B6F"/>
    <w:rsid w:val="004865DB"/>
    <w:rsid w:val="00491B89"/>
    <w:rsid w:val="004935F6"/>
    <w:rsid w:val="004C613A"/>
    <w:rsid w:val="004D0B33"/>
    <w:rsid w:val="004D7155"/>
    <w:rsid w:val="004F07CD"/>
    <w:rsid w:val="004F4F7E"/>
    <w:rsid w:val="005074A6"/>
    <w:rsid w:val="00543B2E"/>
    <w:rsid w:val="0056288C"/>
    <w:rsid w:val="00565445"/>
    <w:rsid w:val="00580FE9"/>
    <w:rsid w:val="00591FDD"/>
    <w:rsid w:val="00592E51"/>
    <w:rsid w:val="005A2C25"/>
    <w:rsid w:val="005A3FCD"/>
    <w:rsid w:val="005B7969"/>
    <w:rsid w:val="005D29C6"/>
    <w:rsid w:val="005D7F74"/>
    <w:rsid w:val="005E33BC"/>
    <w:rsid w:val="005E3FDA"/>
    <w:rsid w:val="006070F8"/>
    <w:rsid w:val="00611762"/>
    <w:rsid w:val="006336FD"/>
    <w:rsid w:val="00633EF7"/>
    <w:rsid w:val="006512B1"/>
    <w:rsid w:val="00656A4B"/>
    <w:rsid w:val="006678B4"/>
    <w:rsid w:val="0067610B"/>
    <w:rsid w:val="0068413A"/>
    <w:rsid w:val="006A2177"/>
    <w:rsid w:val="006B5272"/>
    <w:rsid w:val="006C6298"/>
    <w:rsid w:val="006D69D5"/>
    <w:rsid w:val="006E277B"/>
    <w:rsid w:val="006F32DB"/>
    <w:rsid w:val="006F6592"/>
    <w:rsid w:val="007054AF"/>
    <w:rsid w:val="00710F9B"/>
    <w:rsid w:val="00714B48"/>
    <w:rsid w:val="007230C8"/>
    <w:rsid w:val="007265E7"/>
    <w:rsid w:val="0073127C"/>
    <w:rsid w:val="00772B19"/>
    <w:rsid w:val="0079175A"/>
    <w:rsid w:val="007A6FD9"/>
    <w:rsid w:val="007B300D"/>
    <w:rsid w:val="007C5EE8"/>
    <w:rsid w:val="007D27D7"/>
    <w:rsid w:val="007E630B"/>
    <w:rsid w:val="00823721"/>
    <w:rsid w:val="008471CF"/>
    <w:rsid w:val="008600C6"/>
    <w:rsid w:val="00880BE4"/>
    <w:rsid w:val="008824BB"/>
    <w:rsid w:val="008A0163"/>
    <w:rsid w:val="008A33EF"/>
    <w:rsid w:val="008A5D38"/>
    <w:rsid w:val="008B4D30"/>
    <w:rsid w:val="008C0C7A"/>
    <w:rsid w:val="008C1C82"/>
    <w:rsid w:val="008C4ED6"/>
    <w:rsid w:val="008D28D5"/>
    <w:rsid w:val="008D30F6"/>
    <w:rsid w:val="008D7E05"/>
    <w:rsid w:val="008E2609"/>
    <w:rsid w:val="008F70AB"/>
    <w:rsid w:val="0090475B"/>
    <w:rsid w:val="00910550"/>
    <w:rsid w:val="00926EA2"/>
    <w:rsid w:val="00934C40"/>
    <w:rsid w:val="00964363"/>
    <w:rsid w:val="00964511"/>
    <w:rsid w:val="00973C58"/>
    <w:rsid w:val="009807F3"/>
    <w:rsid w:val="009A4312"/>
    <w:rsid w:val="009A5590"/>
    <w:rsid w:val="009B13D7"/>
    <w:rsid w:val="009B6966"/>
    <w:rsid w:val="009E5498"/>
    <w:rsid w:val="009F5795"/>
    <w:rsid w:val="00A06472"/>
    <w:rsid w:val="00A12121"/>
    <w:rsid w:val="00A21F17"/>
    <w:rsid w:val="00A23C91"/>
    <w:rsid w:val="00A3727B"/>
    <w:rsid w:val="00A43D5A"/>
    <w:rsid w:val="00A45622"/>
    <w:rsid w:val="00A56BE1"/>
    <w:rsid w:val="00A8152A"/>
    <w:rsid w:val="00A819E8"/>
    <w:rsid w:val="00A857F7"/>
    <w:rsid w:val="00A86300"/>
    <w:rsid w:val="00AA1586"/>
    <w:rsid w:val="00AB2240"/>
    <w:rsid w:val="00AB33AB"/>
    <w:rsid w:val="00AC4190"/>
    <w:rsid w:val="00AD1A07"/>
    <w:rsid w:val="00AD1F91"/>
    <w:rsid w:val="00B00596"/>
    <w:rsid w:val="00B056E8"/>
    <w:rsid w:val="00B0757A"/>
    <w:rsid w:val="00B1137F"/>
    <w:rsid w:val="00B25703"/>
    <w:rsid w:val="00B27129"/>
    <w:rsid w:val="00B336CC"/>
    <w:rsid w:val="00B3584A"/>
    <w:rsid w:val="00B361B3"/>
    <w:rsid w:val="00B5219E"/>
    <w:rsid w:val="00B6399C"/>
    <w:rsid w:val="00B654EF"/>
    <w:rsid w:val="00B66F86"/>
    <w:rsid w:val="00B769E8"/>
    <w:rsid w:val="00B76E2C"/>
    <w:rsid w:val="00B83269"/>
    <w:rsid w:val="00B97185"/>
    <w:rsid w:val="00BA0929"/>
    <w:rsid w:val="00BA452A"/>
    <w:rsid w:val="00BB0D46"/>
    <w:rsid w:val="00BB354E"/>
    <w:rsid w:val="00BB5A1C"/>
    <w:rsid w:val="00BC4F46"/>
    <w:rsid w:val="00BD4144"/>
    <w:rsid w:val="00BE150A"/>
    <w:rsid w:val="00BE21A2"/>
    <w:rsid w:val="00BE643C"/>
    <w:rsid w:val="00BF02E0"/>
    <w:rsid w:val="00BF1FEB"/>
    <w:rsid w:val="00C146F9"/>
    <w:rsid w:val="00C215B3"/>
    <w:rsid w:val="00C33862"/>
    <w:rsid w:val="00C3617A"/>
    <w:rsid w:val="00C443B3"/>
    <w:rsid w:val="00C47BD7"/>
    <w:rsid w:val="00C57731"/>
    <w:rsid w:val="00C64B4F"/>
    <w:rsid w:val="00CA5830"/>
    <w:rsid w:val="00CA61AB"/>
    <w:rsid w:val="00CB63CE"/>
    <w:rsid w:val="00CD75F5"/>
    <w:rsid w:val="00CE0BD0"/>
    <w:rsid w:val="00CE173D"/>
    <w:rsid w:val="00D00C71"/>
    <w:rsid w:val="00D02701"/>
    <w:rsid w:val="00D03702"/>
    <w:rsid w:val="00D30AE8"/>
    <w:rsid w:val="00D426E4"/>
    <w:rsid w:val="00D50A42"/>
    <w:rsid w:val="00D803AF"/>
    <w:rsid w:val="00D84AF8"/>
    <w:rsid w:val="00D91B95"/>
    <w:rsid w:val="00DA0591"/>
    <w:rsid w:val="00DB1879"/>
    <w:rsid w:val="00DC0F07"/>
    <w:rsid w:val="00DD5057"/>
    <w:rsid w:val="00DE744E"/>
    <w:rsid w:val="00E1446B"/>
    <w:rsid w:val="00E329E3"/>
    <w:rsid w:val="00E4187B"/>
    <w:rsid w:val="00E47119"/>
    <w:rsid w:val="00E50D0F"/>
    <w:rsid w:val="00E62AB9"/>
    <w:rsid w:val="00E64372"/>
    <w:rsid w:val="00E82F06"/>
    <w:rsid w:val="00E970C5"/>
    <w:rsid w:val="00EA38CB"/>
    <w:rsid w:val="00EA4237"/>
    <w:rsid w:val="00EB0C74"/>
    <w:rsid w:val="00EB270E"/>
    <w:rsid w:val="00ED2DF9"/>
    <w:rsid w:val="00ED5B8D"/>
    <w:rsid w:val="00EF1E37"/>
    <w:rsid w:val="00EF3ECA"/>
    <w:rsid w:val="00EF6F25"/>
    <w:rsid w:val="00F23A4F"/>
    <w:rsid w:val="00F35D5F"/>
    <w:rsid w:val="00F36243"/>
    <w:rsid w:val="00F44C69"/>
    <w:rsid w:val="00F614A3"/>
    <w:rsid w:val="00F7216F"/>
    <w:rsid w:val="00F91460"/>
    <w:rsid w:val="00F95120"/>
    <w:rsid w:val="00FB03B6"/>
    <w:rsid w:val="00FB2DB2"/>
    <w:rsid w:val="00FB4128"/>
    <w:rsid w:val="00FF6DE0"/>
    <w:rsid w:val="26C40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400A3"/>
  <w15:chartTrackingRefBased/>
  <w15:docId w15:val="{D44EE0DB-F4A1-4C59-B49A-B230780CC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01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0163"/>
    <w:rPr>
      <w:rFonts w:eastAsiaTheme="minorEastAsia"/>
      <w:lang w:val="en-US"/>
    </w:rPr>
  </w:style>
  <w:style w:type="paragraph" w:styleId="ListParagraph">
    <w:name w:val="List Paragraph"/>
    <w:basedOn w:val="Normal"/>
    <w:uiPriority w:val="34"/>
    <w:qFormat/>
    <w:rsid w:val="008B4D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665</TotalTime>
  <Pages>12</Pages>
  <Words>3195</Words>
  <Characters>18217</Characters>
  <Application>Microsoft Office Word</Application>
  <DocSecurity>0</DocSecurity>
  <Lines>151</Lines>
  <Paragraphs>42</Paragraphs>
  <ScaleCrop>false</ScaleCrop>
  <Company/>
  <LinksUpToDate>false</LinksUpToDate>
  <CharactersWithSpaces>21370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 Vending Machines</dc:title>
  <dc:subject/>
  <dc:creator>256602 (Jake Mason)</dc:creator>
  <cp:keywords/>
  <dc:description/>
  <cp:lastModifiedBy>256602 (Jake Mason)</cp:lastModifiedBy>
  <cp:revision>267</cp:revision>
  <dcterms:created xsi:type="dcterms:W3CDTF">2022-05-06T12:01:00Z</dcterms:created>
  <dcterms:modified xsi:type="dcterms:W3CDTF">2022-05-17T17:03:00Z</dcterms:modified>
</cp:coreProperties>
</file>