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F7292" w14:textId="272703AF" w:rsidR="000141FC" w:rsidRPr="004F666C" w:rsidRDefault="00CA79B8" w:rsidP="004F666C">
      <w:pPr>
        <w:spacing w:line="360" w:lineRule="auto"/>
        <w:rPr>
          <w:rFonts w:ascii="Times New Roman" w:hAnsi="Times New Roman" w:cs="Times New Roman"/>
          <w:sz w:val="24"/>
          <w:szCs w:val="24"/>
          <w:lang w:val="en-IN"/>
        </w:rPr>
      </w:pPr>
      <w:r>
        <w:rPr>
          <w:rFonts w:ascii="Times New Roman" w:hAnsi="Times New Roman" w:cs="Times New Roman"/>
          <w:noProof/>
          <w:sz w:val="24"/>
          <w:szCs w:val="24"/>
          <w:lang w:val="en-IN"/>
        </w:rPr>
        <w:drawing>
          <wp:inline distT="0" distB="0" distL="0" distR="0" wp14:anchorId="1EC524CC" wp14:editId="147D7CA4">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25C63A0D" w14:textId="77777777" w:rsidR="000141FC" w:rsidRPr="004F666C" w:rsidRDefault="000141FC" w:rsidP="004F666C">
      <w:pPr>
        <w:spacing w:line="360" w:lineRule="auto"/>
        <w:rPr>
          <w:rFonts w:ascii="Times New Roman" w:hAnsi="Times New Roman" w:cs="Times New Roman"/>
          <w:sz w:val="24"/>
          <w:szCs w:val="24"/>
          <w:lang w:val="en-IN"/>
        </w:rPr>
      </w:pPr>
    </w:p>
    <w:p w14:paraId="67BBFD71" w14:textId="1630F267" w:rsidR="000141FC" w:rsidRPr="00CA79B8" w:rsidRDefault="00CA79B8" w:rsidP="00CA79B8">
      <w:pPr>
        <w:spacing w:line="360" w:lineRule="auto"/>
        <w:jc w:val="both"/>
        <w:rPr>
          <w:rFonts w:ascii="Times New Roman" w:hAnsi="Times New Roman" w:cs="Times New Roman"/>
          <w:sz w:val="40"/>
          <w:szCs w:val="40"/>
          <w:lang w:val="en-IN"/>
        </w:rPr>
      </w:pPr>
      <w:r>
        <w:rPr>
          <w:rFonts w:ascii="Times New Roman" w:hAnsi="Times New Roman" w:cs="Times New Roman"/>
          <w:sz w:val="40"/>
          <w:szCs w:val="40"/>
          <w:lang w:val="en-IN"/>
        </w:rPr>
        <w:t>Accounting Fundamental</w:t>
      </w:r>
    </w:p>
    <w:p w14:paraId="62E4C90A" w14:textId="7263FF62" w:rsidR="000141FC" w:rsidRPr="00CA79B8" w:rsidRDefault="00CA79B8" w:rsidP="004F666C">
      <w:pPr>
        <w:spacing w:line="360" w:lineRule="auto"/>
        <w:rPr>
          <w:rFonts w:ascii="Times New Roman" w:hAnsi="Times New Roman" w:cs="Times New Roman"/>
          <w:sz w:val="40"/>
          <w:szCs w:val="40"/>
          <w:lang w:val="en-IN"/>
        </w:rPr>
      </w:pPr>
      <w:proofErr w:type="spellStart"/>
      <w:r>
        <w:rPr>
          <w:rFonts w:ascii="Times New Roman" w:hAnsi="Times New Roman" w:cs="Times New Roman"/>
          <w:sz w:val="40"/>
          <w:szCs w:val="40"/>
          <w:lang w:val="en-IN"/>
        </w:rPr>
        <w:t>Borislava</w:t>
      </w:r>
      <w:proofErr w:type="spellEnd"/>
      <w:r>
        <w:rPr>
          <w:rFonts w:ascii="Times New Roman" w:hAnsi="Times New Roman" w:cs="Times New Roman"/>
          <w:sz w:val="40"/>
          <w:szCs w:val="40"/>
          <w:lang w:val="en-IN"/>
        </w:rPr>
        <w:t xml:space="preserve"> </w:t>
      </w:r>
      <w:proofErr w:type="spellStart"/>
      <w:r>
        <w:rPr>
          <w:rFonts w:ascii="Times New Roman" w:hAnsi="Times New Roman" w:cs="Times New Roman"/>
          <w:sz w:val="40"/>
          <w:szCs w:val="40"/>
          <w:lang w:val="en-IN"/>
        </w:rPr>
        <w:t>Borisova</w:t>
      </w:r>
      <w:proofErr w:type="spellEnd"/>
    </w:p>
    <w:p w14:paraId="15B777F3" w14:textId="7BCD1BEB" w:rsidR="000141FC" w:rsidRPr="004F666C" w:rsidRDefault="00CA79B8" w:rsidP="004F666C">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Student Number ID2114506</w:t>
      </w:r>
    </w:p>
    <w:p w14:paraId="12A08E79" w14:textId="05A749EC" w:rsidR="000141FC" w:rsidRPr="004F666C" w:rsidRDefault="00CA79B8" w:rsidP="004F666C">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Date of submission :01.04.2022</w:t>
      </w:r>
    </w:p>
    <w:p w14:paraId="25BCFD03" w14:textId="7929F304" w:rsidR="000141FC" w:rsidRPr="004F666C" w:rsidRDefault="003878E5" w:rsidP="004F666C">
      <w:pPr>
        <w:spacing w:line="360" w:lineRule="auto"/>
        <w:rPr>
          <w:rFonts w:ascii="Times New Roman" w:hAnsi="Times New Roman" w:cs="Times New Roman"/>
          <w:sz w:val="24"/>
          <w:szCs w:val="24"/>
          <w:lang w:val="en-IN"/>
        </w:rPr>
      </w:pPr>
      <w:proofErr w:type="spellStart"/>
      <w:proofErr w:type="gramStart"/>
      <w:r>
        <w:rPr>
          <w:rFonts w:ascii="Times New Roman" w:hAnsi="Times New Roman" w:cs="Times New Roman"/>
          <w:sz w:val="24"/>
          <w:szCs w:val="24"/>
          <w:lang w:val="en-IN"/>
        </w:rPr>
        <w:t>Tittle:Assignment</w:t>
      </w:r>
      <w:proofErr w:type="spellEnd"/>
      <w:proofErr w:type="gramEnd"/>
      <w:r>
        <w:rPr>
          <w:rFonts w:ascii="Times New Roman" w:hAnsi="Times New Roman" w:cs="Times New Roman"/>
          <w:sz w:val="24"/>
          <w:szCs w:val="24"/>
          <w:lang w:val="en-IN"/>
        </w:rPr>
        <w:t xml:space="preserve"> 1 Word count (or </w:t>
      </w:r>
      <w:r w:rsidR="00D64272">
        <w:rPr>
          <w:rFonts w:ascii="Times New Roman" w:hAnsi="Times New Roman" w:cs="Times New Roman"/>
          <w:sz w:val="24"/>
          <w:szCs w:val="24"/>
          <w:lang w:val="en-IN"/>
        </w:rPr>
        <w:t>equivalent)</w:t>
      </w:r>
    </w:p>
    <w:p w14:paraId="51E64F3D" w14:textId="17ACDC4A" w:rsidR="000141FC" w:rsidRPr="004F666C" w:rsidRDefault="00D64272" w:rsidP="004F666C">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t xml:space="preserve">Module Lecture Rita </w:t>
      </w:r>
      <w:proofErr w:type="spellStart"/>
      <w:r>
        <w:rPr>
          <w:rFonts w:ascii="Times New Roman" w:hAnsi="Times New Roman" w:cs="Times New Roman"/>
          <w:sz w:val="24"/>
          <w:szCs w:val="24"/>
          <w:lang w:val="en-IN"/>
        </w:rPr>
        <w:t>Ukarchi</w:t>
      </w:r>
      <w:proofErr w:type="spellEnd"/>
      <w:r>
        <w:rPr>
          <w:rFonts w:ascii="Times New Roman" w:hAnsi="Times New Roman" w:cs="Times New Roman"/>
          <w:sz w:val="24"/>
          <w:szCs w:val="24"/>
          <w:lang w:val="en-IN"/>
        </w:rPr>
        <w:t>-Lois</w:t>
      </w:r>
    </w:p>
    <w:p w14:paraId="7D0D5CDC" w14:textId="77777777" w:rsidR="000141FC" w:rsidRPr="004F666C" w:rsidRDefault="000141FC" w:rsidP="004F666C">
      <w:pPr>
        <w:spacing w:line="360" w:lineRule="auto"/>
        <w:rPr>
          <w:rFonts w:ascii="Times New Roman" w:hAnsi="Times New Roman" w:cs="Times New Roman"/>
          <w:sz w:val="24"/>
          <w:szCs w:val="24"/>
          <w:lang w:val="en-IN"/>
        </w:rPr>
      </w:pPr>
    </w:p>
    <w:p w14:paraId="7B071383" w14:textId="77777777" w:rsidR="000141FC" w:rsidRPr="004F666C" w:rsidRDefault="000141FC" w:rsidP="004F666C">
      <w:pPr>
        <w:spacing w:line="360" w:lineRule="auto"/>
        <w:rPr>
          <w:rFonts w:ascii="Times New Roman" w:hAnsi="Times New Roman" w:cs="Times New Roman"/>
          <w:sz w:val="24"/>
          <w:szCs w:val="24"/>
          <w:lang w:val="en-IN"/>
        </w:rPr>
      </w:pPr>
    </w:p>
    <w:p w14:paraId="49CBE4BC" w14:textId="77777777" w:rsidR="000141FC" w:rsidRPr="004F666C" w:rsidRDefault="000141FC" w:rsidP="004F666C">
      <w:pPr>
        <w:spacing w:line="360" w:lineRule="auto"/>
        <w:rPr>
          <w:rFonts w:ascii="Times New Roman" w:hAnsi="Times New Roman" w:cs="Times New Roman"/>
          <w:sz w:val="24"/>
          <w:szCs w:val="24"/>
          <w:lang w:val="en-IN"/>
        </w:rPr>
      </w:pPr>
    </w:p>
    <w:p w14:paraId="25A8D27B" w14:textId="77777777" w:rsidR="000141FC" w:rsidRPr="004F666C" w:rsidRDefault="000141FC" w:rsidP="004F666C">
      <w:pPr>
        <w:spacing w:line="360" w:lineRule="auto"/>
        <w:rPr>
          <w:rFonts w:ascii="Times New Roman" w:hAnsi="Times New Roman" w:cs="Times New Roman"/>
          <w:sz w:val="24"/>
          <w:szCs w:val="24"/>
          <w:lang w:val="en-IN"/>
        </w:rPr>
      </w:pPr>
    </w:p>
    <w:p w14:paraId="68168D4D" w14:textId="6CF552CA" w:rsidR="000141FC" w:rsidRPr="004F666C" w:rsidRDefault="000141FC" w:rsidP="004F666C">
      <w:pPr>
        <w:spacing w:line="360" w:lineRule="auto"/>
        <w:jc w:val="center"/>
        <w:rPr>
          <w:rFonts w:ascii="Times New Roman" w:hAnsi="Times New Roman" w:cs="Times New Roman"/>
          <w:sz w:val="24"/>
          <w:szCs w:val="24"/>
          <w:lang w:val="en-IN"/>
        </w:rPr>
      </w:pPr>
      <w:r w:rsidRPr="004F666C">
        <w:rPr>
          <w:rFonts w:ascii="Times New Roman" w:hAnsi="Times New Roman" w:cs="Times New Roman"/>
          <w:sz w:val="24"/>
          <w:szCs w:val="24"/>
          <w:lang w:val="en-IN"/>
        </w:rPr>
        <w:br w:type="page"/>
      </w:r>
    </w:p>
    <w:sdt>
      <w:sdtPr>
        <w:rPr>
          <w:rFonts w:ascii="Times New Roman" w:eastAsiaTheme="minorHAnsi" w:hAnsi="Times New Roman" w:cs="Times New Roman"/>
          <w:color w:val="auto"/>
          <w:sz w:val="24"/>
          <w:szCs w:val="24"/>
          <w:lang w:val="en-GB"/>
        </w:rPr>
        <w:id w:val="263500385"/>
        <w:docPartObj>
          <w:docPartGallery w:val="Table of Contents"/>
          <w:docPartUnique/>
        </w:docPartObj>
      </w:sdtPr>
      <w:sdtEndPr>
        <w:rPr>
          <w:b/>
          <w:bCs/>
          <w:noProof/>
        </w:rPr>
      </w:sdtEndPr>
      <w:sdtContent>
        <w:p w14:paraId="24F94AD3" w14:textId="563EF17B" w:rsidR="000141FC" w:rsidRPr="004F666C" w:rsidRDefault="000141FC" w:rsidP="004F666C">
          <w:pPr>
            <w:pStyle w:val="TOCHeading"/>
            <w:spacing w:line="360" w:lineRule="auto"/>
            <w:rPr>
              <w:rFonts w:ascii="Times New Roman" w:hAnsi="Times New Roman" w:cs="Times New Roman"/>
              <w:sz w:val="24"/>
              <w:szCs w:val="24"/>
            </w:rPr>
          </w:pPr>
          <w:r w:rsidRPr="004F666C">
            <w:rPr>
              <w:rFonts w:ascii="Times New Roman" w:hAnsi="Times New Roman" w:cs="Times New Roman"/>
              <w:sz w:val="24"/>
              <w:szCs w:val="24"/>
            </w:rPr>
            <w:t>Table of Contents</w:t>
          </w:r>
        </w:p>
        <w:p w14:paraId="659B0F5D" w14:textId="5ED36D49" w:rsidR="004F666C" w:rsidRPr="004F666C" w:rsidRDefault="000141FC" w:rsidP="004F666C">
          <w:pPr>
            <w:pStyle w:val="TOC1"/>
            <w:tabs>
              <w:tab w:val="right" w:leader="dot" w:pos="9016"/>
            </w:tabs>
            <w:spacing w:line="360" w:lineRule="auto"/>
            <w:rPr>
              <w:rFonts w:ascii="Times New Roman" w:eastAsiaTheme="minorEastAsia" w:hAnsi="Times New Roman" w:cs="Times New Roman"/>
              <w:noProof/>
              <w:sz w:val="24"/>
              <w:szCs w:val="24"/>
              <w:lang w:val="en-IN" w:eastAsia="en-IN"/>
            </w:rPr>
          </w:pPr>
          <w:r w:rsidRPr="004F666C">
            <w:rPr>
              <w:rFonts w:ascii="Times New Roman" w:hAnsi="Times New Roman" w:cs="Times New Roman"/>
              <w:sz w:val="24"/>
              <w:szCs w:val="24"/>
            </w:rPr>
            <w:fldChar w:fldCharType="begin"/>
          </w:r>
          <w:r w:rsidRPr="004F666C">
            <w:rPr>
              <w:rFonts w:ascii="Times New Roman" w:hAnsi="Times New Roman" w:cs="Times New Roman"/>
              <w:sz w:val="24"/>
              <w:szCs w:val="24"/>
            </w:rPr>
            <w:instrText xml:space="preserve"> TOC \o "1-3" \h \z \u </w:instrText>
          </w:r>
          <w:r w:rsidRPr="004F666C">
            <w:rPr>
              <w:rFonts w:ascii="Times New Roman" w:hAnsi="Times New Roman" w:cs="Times New Roman"/>
              <w:sz w:val="24"/>
              <w:szCs w:val="24"/>
            </w:rPr>
            <w:fldChar w:fldCharType="separate"/>
          </w:r>
          <w:hyperlink w:anchor="_Toc99231381" w:history="1">
            <w:r w:rsidR="004F666C" w:rsidRPr="004F666C">
              <w:rPr>
                <w:rStyle w:val="Hyperlink"/>
                <w:rFonts w:ascii="Times New Roman" w:hAnsi="Times New Roman" w:cs="Times New Roman"/>
                <w:noProof/>
                <w:sz w:val="24"/>
                <w:szCs w:val="24"/>
                <w:lang w:val="en-IN"/>
              </w:rPr>
              <w:t>Question 1:</w:t>
            </w:r>
            <w:r w:rsidR="004F666C" w:rsidRPr="004F666C">
              <w:rPr>
                <w:rFonts w:ascii="Times New Roman" w:hAnsi="Times New Roman" w:cs="Times New Roman"/>
                <w:noProof/>
                <w:webHidden/>
                <w:sz w:val="24"/>
                <w:szCs w:val="24"/>
              </w:rPr>
              <w:tab/>
            </w:r>
            <w:r w:rsidR="004F666C" w:rsidRPr="004F666C">
              <w:rPr>
                <w:rFonts w:ascii="Times New Roman" w:hAnsi="Times New Roman" w:cs="Times New Roman"/>
                <w:noProof/>
                <w:webHidden/>
                <w:sz w:val="24"/>
                <w:szCs w:val="24"/>
              </w:rPr>
              <w:fldChar w:fldCharType="begin"/>
            </w:r>
            <w:r w:rsidR="004F666C" w:rsidRPr="004F666C">
              <w:rPr>
                <w:rFonts w:ascii="Times New Roman" w:hAnsi="Times New Roman" w:cs="Times New Roman"/>
                <w:noProof/>
                <w:webHidden/>
                <w:sz w:val="24"/>
                <w:szCs w:val="24"/>
              </w:rPr>
              <w:instrText xml:space="preserve"> PAGEREF _Toc99231381 \h </w:instrText>
            </w:r>
            <w:r w:rsidR="004F666C" w:rsidRPr="004F666C">
              <w:rPr>
                <w:rFonts w:ascii="Times New Roman" w:hAnsi="Times New Roman" w:cs="Times New Roman"/>
                <w:noProof/>
                <w:webHidden/>
                <w:sz w:val="24"/>
                <w:szCs w:val="24"/>
              </w:rPr>
            </w:r>
            <w:r w:rsidR="004F666C" w:rsidRPr="004F666C">
              <w:rPr>
                <w:rFonts w:ascii="Times New Roman" w:hAnsi="Times New Roman" w:cs="Times New Roman"/>
                <w:noProof/>
                <w:webHidden/>
                <w:sz w:val="24"/>
                <w:szCs w:val="24"/>
              </w:rPr>
              <w:fldChar w:fldCharType="separate"/>
            </w:r>
            <w:r w:rsidR="004F666C" w:rsidRPr="004F666C">
              <w:rPr>
                <w:rFonts w:ascii="Times New Roman" w:hAnsi="Times New Roman" w:cs="Times New Roman"/>
                <w:noProof/>
                <w:webHidden/>
                <w:sz w:val="24"/>
                <w:szCs w:val="24"/>
              </w:rPr>
              <w:t>3</w:t>
            </w:r>
            <w:r w:rsidR="004F666C" w:rsidRPr="004F666C">
              <w:rPr>
                <w:rFonts w:ascii="Times New Roman" w:hAnsi="Times New Roman" w:cs="Times New Roman"/>
                <w:noProof/>
                <w:webHidden/>
                <w:sz w:val="24"/>
                <w:szCs w:val="24"/>
              </w:rPr>
              <w:fldChar w:fldCharType="end"/>
            </w:r>
          </w:hyperlink>
        </w:p>
        <w:p w14:paraId="08A94326" w14:textId="00F2CED7" w:rsidR="004F666C" w:rsidRPr="004F666C" w:rsidRDefault="001C2E45" w:rsidP="004F666C">
          <w:pPr>
            <w:pStyle w:val="TOC2"/>
            <w:tabs>
              <w:tab w:val="right" w:leader="dot" w:pos="9016"/>
            </w:tabs>
            <w:spacing w:line="360" w:lineRule="auto"/>
            <w:rPr>
              <w:rFonts w:ascii="Times New Roman" w:eastAsiaTheme="minorEastAsia" w:hAnsi="Times New Roman" w:cs="Times New Roman"/>
              <w:noProof/>
              <w:sz w:val="24"/>
              <w:szCs w:val="24"/>
              <w:lang w:val="en-IN" w:eastAsia="en-IN"/>
            </w:rPr>
          </w:pPr>
          <w:hyperlink w:anchor="_Toc99231382" w:history="1">
            <w:r w:rsidR="004F666C" w:rsidRPr="004F666C">
              <w:rPr>
                <w:rStyle w:val="Hyperlink"/>
                <w:rFonts w:ascii="Times New Roman" w:hAnsi="Times New Roman" w:cs="Times New Roman"/>
                <w:noProof/>
                <w:sz w:val="24"/>
                <w:szCs w:val="24"/>
                <w:lang w:val="en-IN"/>
              </w:rPr>
              <w:t>Income Statement:</w:t>
            </w:r>
            <w:r w:rsidR="004F666C" w:rsidRPr="004F666C">
              <w:rPr>
                <w:rFonts w:ascii="Times New Roman" w:hAnsi="Times New Roman" w:cs="Times New Roman"/>
                <w:noProof/>
                <w:webHidden/>
                <w:sz w:val="24"/>
                <w:szCs w:val="24"/>
              </w:rPr>
              <w:tab/>
            </w:r>
            <w:r w:rsidR="004F666C" w:rsidRPr="004F666C">
              <w:rPr>
                <w:rFonts w:ascii="Times New Roman" w:hAnsi="Times New Roman" w:cs="Times New Roman"/>
                <w:noProof/>
                <w:webHidden/>
                <w:sz w:val="24"/>
                <w:szCs w:val="24"/>
              </w:rPr>
              <w:fldChar w:fldCharType="begin"/>
            </w:r>
            <w:r w:rsidR="004F666C" w:rsidRPr="004F666C">
              <w:rPr>
                <w:rFonts w:ascii="Times New Roman" w:hAnsi="Times New Roman" w:cs="Times New Roman"/>
                <w:noProof/>
                <w:webHidden/>
                <w:sz w:val="24"/>
                <w:szCs w:val="24"/>
              </w:rPr>
              <w:instrText xml:space="preserve"> PAGEREF _Toc99231382 \h </w:instrText>
            </w:r>
            <w:r w:rsidR="004F666C" w:rsidRPr="004F666C">
              <w:rPr>
                <w:rFonts w:ascii="Times New Roman" w:hAnsi="Times New Roman" w:cs="Times New Roman"/>
                <w:noProof/>
                <w:webHidden/>
                <w:sz w:val="24"/>
                <w:szCs w:val="24"/>
              </w:rPr>
            </w:r>
            <w:r w:rsidR="004F666C" w:rsidRPr="004F666C">
              <w:rPr>
                <w:rFonts w:ascii="Times New Roman" w:hAnsi="Times New Roman" w:cs="Times New Roman"/>
                <w:noProof/>
                <w:webHidden/>
                <w:sz w:val="24"/>
                <w:szCs w:val="24"/>
              </w:rPr>
              <w:fldChar w:fldCharType="separate"/>
            </w:r>
            <w:r w:rsidR="004F666C" w:rsidRPr="004F666C">
              <w:rPr>
                <w:rFonts w:ascii="Times New Roman" w:hAnsi="Times New Roman" w:cs="Times New Roman"/>
                <w:noProof/>
                <w:webHidden/>
                <w:sz w:val="24"/>
                <w:szCs w:val="24"/>
              </w:rPr>
              <w:t>3</w:t>
            </w:r>
            <w:r w:rsidR="004F666C" w:rsidRPr="004F666C">
              <w:rPr>
                <w:rFonts w:ascii="Times New Roman" w:hAnsi="Times New Roman" w:cs="Times New Roman"/>
                <w:noProof/>
                <w:webHidden/>
                <w:sz w:val="24"/>
                <w:szCs w:val="24"/>
              </w:rPr>
              <w:fldChar w:fldCharType="end"/>
            </w:r>
          </w:hyperlink>
        </w:p>
        <w:p w14:paraId="6081AC8B" w14:textId="0F311B2F" w:rsidR="004F666C" w:rsidRPr="004F666C" w:rsidRDefault="001C2E45" w:rsidP="004F666C">
          <w:pPr>
            <w:pStyle w:val="TOC2"/>
            <w:tabs>
              <w:tab w:val="right" w:leader="dot" w:pos="9016"/>
            </w:tabs>
            <w:spacing w:line="360" w:lineRule="auto"/>
            <w:rPr>
              <w:rFonts w:ascii="Times New Roman" w:eastAsiaTheme="minorEastAsia" w:hAnsi="Times New Roman" w:cs="Times New Roman"/>
              <w:noProof/>
              <w:sz w:val="24"/>
              <w:szCs w:val="24"/>
              <w:lang w:val="en-IN" w:eastAsia="en-IN"/>
            </w:rPr>
          </w:pPr>
          <w:hyperlink w:anchor="_Toc99231383" w:history="1">
            <w:r w:rsidR="004F666C" w:rsidRPr="004F666C">
              <w:rPr>
                <w:rStyle w:val="Hyperlink"/>
                <w:rFonts w:ascii="Times New Roman" w:hAnsi="Times New Roman" w:cs="Times New Roman"/>
                <w:noProof/>
                <w:sz w:val="24"/>
                <w:szCs w:val="24"/>
                <w:lang w:val="en-IN"/>
              </w:rPr>
              <w:t>Balance Sheet:</w:t>
            </w:r>
            <w:r w:rsidR="004F666C" w:rsidRPr="004F666C">
              <w:rPr>
                <w:rFonts w:ascii="Times New Roman" w:hAnsi="Times New Roman" w:cs="Times New Roman"/>
                <w:noProof/>
                <w:webHidden/>
                <w:sz w:val="24"/>
                <w:szCs w:val="24"/>
              </w:rPr>
              <w:tab/>
            </w:r>
            <w:r w:rsidR="004F666C" w:rsidRPr="004F666C">
              <w:rPr>
                <w:rFonts w:ascii="Times New Roman" w:hAnsi="Times New Roman" w:cs="Times New Roman"/>
                <w:noProof/>
                <w:webHidden/>
                <w:sz w:val="24"/>
                <w:szCs w:val="24"/>
              </w:rPr>
              <w:fldChar w:fldCharType="begin"/>
            </w:r>
            <w:r w:rsidR="004F666C" w:rsidRPr="004F666C">
              <w:rPr>
                <w:rFonts w:ascii="Times New Roman" w:hAnsi="Times New Roman" w:cs="Times New Roman"/>
                <w:noProof/>
                <w:webHidden/>
                <w:sz w:val="24"/>
                <w:szCs w:val="24"/>
              </w:rPr>
              <w:instrText xml:space="preserve"> PAGEREF _Toc99231383 \h </w:instrText>
            </w:r>
            <w:r w:rsidR="004F666C" w:rsidRPr="004F666C">
              <w:rPr>
                <w:rFonts w:ascii="Times New Roman" w:hAnsi="Times New Roman" w:cs="Times New Roman"/>
                <w:noProof/>
                <w:webHidden/>
                <w:sz w:val="24"/>
                <w:szCs w:val="24"/>
              </w:rPr>
            </w:r>
            <w:r w:rsidR="004F666C" w:rsidRPr="004F666C">
              <w:rPr>
                <w:rFonts w:ascii="Times New Roman" w:hAnsi="Times New Roman" w:cs="Times New Roman"/>
                <w:noProof/>
                <w:webHidden/>
                <w:sz w:val="24"/>
                <w:szCs w:val="24"/>
              </w:rPr>
              <w:fldChar w:fldCharType="separate"/>
            </w:r>
            <w:r w:rsidR="004F666C" w:rsidRPr="004F666C">
              <w:rPr>
                <w:rFonts w:ascii="Times New Roman" w:hAnsi="Times New Roman" w:cs="Times New Roman"/>
                <w:noProof/>
                <w:webHidden/>
                <w:sz w:val="24"/>
                <w:szCs w:val="24"/>
              </w:rPr>
              <w:t>3</w:t>
            </w:r>
            <w:r w:rsidR="004F666C" w:rsidRPr="004F666C">
              <w:rPr>
                <w:rFonts w:ascii="Times New Roman" w:hAnsi="Times New Roman" w:cs="Times New Roman"/>
                <w:noProof/>
                <w:webHidden/>
                <w:sz w:val="24"/>
                <w:szCs w:val="24"/>
              </w:rPr>
              <w:fldChar w:fldCharType="end"/>
            </w:r>
          </w:hyperlink>
        </w:p>
        <w:p w14:paraId="69C542FC" w14:textId="7B5ACB67" w:rsidR="004F666C" w:rsidRPr="004F666C" w:rsidRDefault="001C2E45" w:rsidP="004F666C">
          <w:pPr>
            <w:pStyle w:val="TOC2"/>
            <w:tabs>
              <w:tab w:val="right" w:leader="dot" w:pos="9016"/>
            </w:tabs>
            <w:spacing w:line="360" w:lineRule="auto"/>
            <w:rPr>
              <w:rFonts w:ascii="Times New Roman" w:eastAsiaTheme="minorEastAsia" w:hAnsi="Times New Roman" w:cs="Times New Roman"/>
              <w:noProof/>
              <w:sz w:val="24"/>
              <w:szCs w:val="24"/>
              <w:lang w:val="en-IN" w:eastAsia="en-IN"/>
            </w:rPr>
          </w:pPr>
          <w:hyperlink w:anchor="_Toc99231384" w:history="1">
            <w:r w:rsidR="004F666C" w:rsidRPr="004F666C">
              <w:rPr>
                <w:rStyle w:val="Hyperlink"/>
                <w:rFonts w:ascii="Times New Roman" w:hAnsi="Times New Roman" w:cs="Times New Roman"/>
                <w:noProof/>
                <w:sz w:val="24"/>
                <w:szCs w:val="24"/>
              </w:rPr>
              <w:t>Statement of financial position balance:</w:t>
            </w:r>
            <w:r w:rsidR="004F666C" w:rsidRPr="004F666C">
              <w:rPr>
                <w:rFonts w:ascii="Times New Roman" w:hAnsi="Times New Roman" w:cs="Times New Roman"/>
                <w:noProof/>
                <w:webHidden/>
                <w:sz w:val="24"/>
                <w:szCs w:val="24"/>
              </w:rPr>
              <w:tab/>
            </w:r>
            <w:r w:rsidR="004F666C" w:rsidRPr="004F666C">
              <w:rPr>
                <w:rFonts w:ascii="Times New Roman" w:hAnsi="Times New Roman" w:cs="Times New Roman"/>
                <w:noProof/>
                <w:webHidden/>
                <w:sz w:val="24"/>
                <w:szCs w:val="24"/>
              </w:rPr>
              <w:fldChar w:fldCharType="begin"/>
            </w:r>
            <w:r w:rsidR="004F666C" w:rsidRPr="004F666C">
              <w:rPr>
                <w:rFonts w:ascii="Times New Roman" w:hAnsi="Times New Roman" w:cs="Times New Roman"/>
                <w:noProof/>
                <w:webHidden/>
                <w:sz w:val="24"/>
                <w:szCs w:val="24"/>
              </w:rPr>
              <w:instrText xml:space="preserve"> PAGEREF _Toc99231384 \h </w:instrText>
            </w:r>
            <w:r w:rsidR="004F666C" w:rsidRPr="004F666C">
              <w:rPr>
                <w:rFonts w:ascii="Times New Roman" w:hAnsi="Times New Roman" w:cs="Times New Roman"/>
                <w:noProof/>
                <w:webHidden/>
                <w:sz w:val="24"/>
                <w:szCs w:val="24"/>
              </w:rPr>
            </w:r>
            <w:r w:rsidR="004F666C" w:rsidRPr="004F666C">
              <w:rPr>
                <w:rFonts w:ascii="Times New Roman" w:hAnsi="Times New Roman" w:cs="Times New Roman"/>
                <w:noProof/>
                <w:webHidden/>
                <w:sz w:val="24"/>
                <w:szCs w:val="24"/>
              </w:rPr>
              <w:fldChar w:fldCharType="separate"/>
            </w:r>
            <w:r w:rsidR="004F666C" w:rsidRPr="004F666C">
              <w:rPr>
                <w:rFonts w:ascii="Times New Roman" w:hAnsi="Times New Roman" w:cs="Times New Roman"/>
                <w:noProof/>
                <w:webHidden/>
                <w:sz w:val="24"/>
                <w:szCs w:val="24"/>
              </w:rPr>
              <w:t>4</w:t>
            </w:r>
            <w:r w:rsidR="004F666C" w:rsidRPr="004F666C">
              <w:rPr>
                <w:rFonts w:ascii="Times New Roman" w:hAnsi="Times New Roman" w:cs="Times New Roman"/>
                <w:noProof/>
                <w:webHidden/>
                <w:sz w:val="24"/>
                <w:szCs w:val="24"/>
              </w:rPr>
              <w:fldChar w:fldCharType="end"/>
            </w:r>
          </w:hyperlink>
        </w:p>
        <w:p w14:paraId="4FA7AC5D" w14:textId="57A79BFD" w:rsidR="004F666C" w:rsidRPr="004F666C" w:rsidRDefault="001C2E45" w:rsidP="004F666C">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99231385" w:history="1">
            <w:r w:rsidR="004F666C" w:rsidRPr="004F666C">
              <w:rPr>
                <w:rStyle w:val="Hyperlink"/>
                <w:rFonts w:ascii="Times New Roman" w:hAnsi="Times New Roman" w:cs="Times New Roman"/>
                <w:noProof/>
                <w:sz w:val="24"/>
                <w:szCs w:val="24"/>
                <w:lang w:val="en-IN"/>
              </w:rPr>
              <w:t>Question 2:</w:t>
            </w:r>
            <w:r w:rsidR="004F666C" w:rsidRPr="004F666C">
              <w:rPr>
                <w:rFonts w:ascii="Times New Roman" w:hAnsi="Times New Roman" w:cs="Times New Roman"/>
                <w:noProof/>
                <w:webHidden/>
                <w:sz w:val="24"/>
                <w:szCs w:val="24"/>
              </w:rPr>
              <w:tab/>
            </w:r>
            <w:r w:rsidR="004F666C" w:rsidRPr="004F666C">
              <w:rPr>
                <w:rFonts w:ascii="Times New Roman" w:hAnsi="Times New Roman" w:cs="Times New Roman"/>
                <w:noProof/>
                <w:webHidden/>
                <w:sz w:val="24"/>
                <w:szCs w:val="24"/>
              </w:rPr>
              <w:fldChar w:fldCharType="begin"/>
            </w:r>
            <w:r w:rsidR="004F666C" w:rsidRPr="004F666C">
              <w:rPr>
                <w:rFonts w:ascii="Times New Roman" w:hAnsi="Times New Roman" w:cs="Times New Roman"/>
                <w:noProof/>
                <w:webHidden/>
                <w:sz w:val="24"/>
                <w:szCs w:val="24"/>
              </w:rPr>
              <w:instrText xml:space="preserve"> PAGEREF _Toc99231385 \h </w:instrText>
            </w:r>
            <w:r w:rsidR="004F666C" w:rsidRPr="004F666C">
              <w:rPr>
                <w:rFonts w:ascii="Times New Roman" w:hAnsi="Times New Roman" w:cs="Times New Roman"/>
                <w:noProof/>
                <w:webHidden/>
                <w:sz w:val="24"/>
                <w:szCs w:val="24"/>
              </w:rPr>
            </w:r>
            <w:r w:rsidR="004F666C" w:rsidRPr="004F666C">
              <w:rPr>
                <w:rFonts w:ascii="Times New Roman" w:hAnsi="Times New Roman" w:cs="Times New Roman"/>
                <w:noProof/>
                <w:webHidden/>
                <w:sz w:val="24"/>
                <w:szCs w:val="24"/>
              </w:rPr>
              <w:fldChar w:fldCharType="separate"/>
            </w:r>
            <w:r w:rsidR="004F666C" w:rsidRPr="004F666C">
              <w:rPr>
                <w:rFonts w:ascii="Times New Roman" w:hAnsi="Times New Roman" w:cs="Times New Roman"/>
                <w:noProof/>
                <w:webHidden/>
                <w:sz w:val="24"/>
                <w:szCs w:val="24"/>
              </w:rPr>
              <w:t>5</w:t>
            </w:r>
            <w:r w:rsidR="004F666C" w:rsidRPr="004F666C">
              <w:rPr>
                <w:rFonts w:ascii="Times New Roman" w:hAnsi="Times New Roman" w:cs="Times New Roman"/>
                <w:noProof/>
                <w:webHidden/>
                <w:sz w:val="24"/>
                <w:szCs w:val="24"/>
              </w:rPr>
              <w:fldChar w:fldCharType="end"/>
            </w:r>
          </w:hyperlink>
        </w:p>
        <w:p w14:paraId="6E8C5E6C" w14:textId="6DAF3F28" w:rsidR="004F666C" w:rsidRPr="004F666C" w:rsidRDefault="001C2E45" w:rsidP="004F666C">
          <w:pPr>
            <w:pStyle w:val="TOC2"/>
            <w:tabs>
              <w:tab w:val="right" w:leader="dot" w:pos="9016"/>
            </w:tabs>
            <w:spacing w:line="360" w:lineRule="auto"/>
            <w:rPr>
              <w:rFonts w:ascii="Times New Roman" w:eastAsiaTheme="minorEastAsia" w:hAnsi="Times New Roman" w:cs="Times New Roman"/>
              <w:noProof/>
              <w:sz w:val="24"/>
              <w:szCs w:val="24"/>
              <w:lang w:val="en-IN" w:eastAsia="en-IN"/>
            </w:rPr>
          </w:pPr>
          <w:hyperlink w:anchor="_Toc99231386" w:history="1">
            <w:r w:rsidR="004F666C" w:rsidRPr="004F666C">
              <w:rPr>
                <w:rStyle w:val="Hyperlink"/>
                <w:rFonts w:ascii="Times New Roman" w:hAnsi="Times New Roman" w:cs="Times New Roman"/>
                <w:noProof/>
                <w:sz w:val="24"/>
                <w:szCs w:val="24"/>
                <w:lang w:val="en-IN"/>
              </w:rPr>
              <w:t>Ratio Analysis:</w:t>
            </w:r>
            <w:r w:rsidR="004F666C" w:rsidRPr="004F666C">
              <w:rPr>
                <w:rFonts w:ascii="Times New Roman" w:hAnsi="Times New Roman" w:cs="Times New Roman"/>
                <w:noProof/>
                <w:webHidden/>
                <w:sz w:val="24"/>
                <w:szCs w:val="24"/>
              </w:rPr>
              <w:tab/>
            </w:r>
            <w:r w:rsidR="004F666C" w:rsidRPr="004F666C">
              <w:rPr>
                <w:rFonts w:ascii="Times New Roman" w:hAnsi="Times New Roman" w:cs="Times New Roman"/>
                <w:noProof/>
                <w:webHidden/>
                <w:sz w:val="24"/>
                <w:szCs w:val="24"/>
              </w:rPr>
              <w:fldChar w:fldCharType="begin"/>
            </w:r>
            <w:r w:rsidR="004F666C" w:rsidRPr="004F666C">
              <w:rPr>
                <w:rFonts w:ascii="Times New Roman" w:hAnsi="Times New Roman" w:cs="Times New Roman"/>
                <w:noProof/>
                <w:webHidden/>
                <w:sz w:val="24"/>
                <w:szCs w:val="24"/>
              </w:rPr>
              <w:instrText xml:space="preserve"> PAGEREF _Toc99231386 \h </w:instrText>
            </w:r>
            <w:r w:rsidR="004F666C" w:rsidRPr="004F666C">
              <w:rPr>
                <w:rFonts w:ascii="Times New Roman" w:hAnsi="Times New Roman" w:cs="Times New Roman"/>
                <w:noProof/>
                <w:webHidden/>
                <w:sz w:val="24"/>
                <w:szCs w:val="24"/>
              </w:rPr>
            </w:r>
            <w:r w:rsidR="004F666C" w:rsidRPr="004F666C">
              <w:rPr>
                <w:rFonts w:ascii="Times New Roman" w:hAnsi="Times New Roman" w:cs="Times New Roman"/>
                <w:noProof/>
                <w:webHidden/>
                <w:sz w:val="24"/>
                <w:szCs w:val="24"/>
              </w:rPr>
              <w:fldChar w:fldCharType="separate"/>
            </w:r>
            <w:r w:rsidR="004F666C" w:rsidRPr="004F666C">
              <w:rPr>
                <w:rFonts w:ascii="Times New Roman" w:hAnsi="Times New Roman" w:cs="Times New Roman"/>
                <w:noProof/>
                <w:webHidden/>
                <w:sz w:val="24"/>
                <w:szCs w:val="24"/>
              </w:rPr>
              <w:t>5</w:t>
            </w:r>
            <w:r w:rsidR="004F666C" w:rsidRPr="004F666C">
              <w:rPr>
                <w:rFonts w:ascii="Times New Roman" w:hAnsi="Times New Roman" w:cs="Times New Roman"/>
                <w:noProof/>
                <w:webHidden/>
                <w:sz w:val="24"/>
                <w:szCs w:val="24"/>
              </w:rPr>
              <w:fldChar w:fldCharType="end"/>
            </w:r>
          </w:hyperlink>
        </w:p>
        <w:p w14:paraId="1A0F51FE" w14:textId="5556DD8A" w:rsidR="004F666C" w:rsidRPr="004F666C" w:rsidRDefault="001C2E45" w:rsidP="004F666C">
          <w:pPr>
            <w:pStyle w:val="TOC2"/>
            <w:tabs>
              <w:tab w:val="right" w:leader="dot" w:pos="9016"/>
            </w:tabs>
            <w:spacing w:line="360" w:lineRule="auto"/>
            <w:rPr>
              <w:rFonts w:ascii="Times New Roman" w:eastAsiaTheme="minorEastAsia" w:hAnsi="Times New Roman" w:cs="Times New Roman"/>
              <w:noProof/>
              <w:sz w:val="24"/>
              <w:szCs w:val="24"/>
              <w:lang w:val="en-IN" w:eastAsia="en-IN"/>
            </w:rPr>
          </w:pPr>
          <w:hyperlink w:anchor="_Toc99231387" w:history="1">
            <w:r w:rsidR="004F666C" w:rsidRPr="004F666C">
              <w:rPr>
                <w:rStyle w:val="Hyperlink"/>
                <w:rFonts w:ascii="Times New Roman" w:hAnsi="Times New Roman" w:cs="Times New Roman"/>
                <w:noProof/>
                <w:sz w:val="24"/>
                <w:szCs w:val="24"/>
                <w:lang w:val="en-IN"/>
              </w:rPr>
              <w:t>Comment on Financial Performance of Sweets Plc:</w:t>
            </w:r>
            <w:r w:rsidR="004F666C" w:rsidRPr="004F666C">
              <w:rPr>
                <w:rFonts w:ascii="Times New Roman" w:hAnsi="Times New Roman" w:cs="Times New Roman"/>
                <w:noProof/>
                <w:webHidden/>
                <w:sz w:val="24"/>
                <w:szCs w:val="24"/>
              </w:rPr>
              <w:tab/>
            </w:r>
            <w:r w:rsidR="004F666C" w:rsidRPr="004F666C">
              <w:rPr>
                <w:rFonts w:ascii="Times New Roman" w:hAnsi="Times New Roman" w:cs="Times New Roman"/>
                <w:noProof/>
                <w:webHidden/>
                <w:sz w:val="24"/>
                <w:szCs w:val="24"/>
              </w:rPr>
              <w:fldChar w:fldCharType="begin"/>
            </w:r>
            <w:r w:rsidR="004F666C" w:rsidRPr="004F666C">
              <w:rPr>
                <w:rFonts w:ascii="Times New Roman" w:hAnsi="Times New Roman" w:cs="Times New Roman"/>
                <w:noProof/>
                <w:webHidden/>
                <w:sz w:val="24"/>
                <w:szCs w:val="24"/>
              </w:rPr>
              <w:instrText xml:space="preserve"> PAGEREF _Toc99231387 \h </w:instrText>
            </w:r>
            <w:r w:rsidR="004F666C" w:rsidRPr="004F666C">
              <w:rPr>
                <w:rFonts w:ascii="Times New Roman" w:hAnsi="Times New Roman" w:cs="Times New Roman"/>
                <w:noProof/>
                <w:webHidden/>
                <w:sz w:val="24"/>
                <w:szCs w:val="24"/>
              </w:rPr>
            </w:r>
            <w:r w:rsidR="004F666C" w:rsidRPr="004F666C">
              <w:rPr>
                <w:rFonts w:ascii="Times New Roman" w:hAnsi="Times New Roman" w:cs="Times New Roman"/>
                <w:noProof/>
                <w:webHidden/>
                <w:sz w:val="24"/>
                <w:szCs w:val="24"/>
              </w:rPr>
              <w:fldChar w:fldCharType="separate"/>
            </w:r>
            <w:r w:rsidR="004F666C" w:rsidRPr="004F666C">
              <w:rPr>
                <w:rFonts w:ascii="Times New Roman" w:hAnsi="Times New Roman" w:cs="Times New Roman"/>
                <w:noProof/>
                <w:webHidden/>
                <w:sz w:val="24"/>
                <w:szCs w:val="24"/>
              </w:rPr>
              <w:t>6</w:t>
            </w:r>
            <w:r w:rsidR="004F666C" w:rsidRPr="004F666C">
              <w:rPr>
                <w:rFonts w:ascii="Times New Roman" w:hAnsi="Times New Roman" w:cs="Times New Roman"/>
                <w:noProof/>
                <w:webHidden/>
                <w:sz w:val="24"/>
                <w:szCs w:val="24"/>
              </w:rPr>
              <w:fldChar w:fldCharType="end"/>
            </w:r>
          </w:hyperlink>
        </w:p>
        <w:p w14:paraId="58C94162" w14:textId="0A3D0373" w:rsidR="004F666C" w:rsidRPr="004F666C" w:rsidRDefault="001C2E45" w:rsidP="004F666C">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99231388" w:history="1">
            <w:r w:rsidR="004F666C" w:rsidRPr="004F666C">
              <w:rPr>
                <w:rStyle w:val="Hyperlink"/>
                <w:rFonts w:ascii="Times New Roman" w:hAnsi="Times New Roman" w:cs="Times New Roman"/>
                <w:noProof/>
                <w:sz w:val="24"/>
                <w:szCs w:val="24"/>
                <w:lang w:val="en-IN"/>
              </w:rPr>
              <w:t>References:</w:t>
            </w:r>
            <w:r w:rsidR="004F666C" w:rsidRPr="004F666C">
              <w:rPr>
                <w:rFonts w:ascii="Times New Roman" w:hAnsi="Times New Roman" w:cs="Times New Roman"/>
                <w:noProof/>
                <w:webHidden/>
                <w:sz w:val="24"/>
                <w:szCs w:val="24"/>
              </w:rPr>
              <w:tab/>
            </w:r>
            <w:r w:rsidR="004F666C" w:rsidRPr="004F666C">
              <w:rPr>
                <w:rFonts w:ascii="Times New Roman" w:hAnsi="Times New Roman" w:cs="Times New Roman"/>
                <w:noProof/>
                <w:webHidden/>
                <w:sz w:val="24"/>
                <w:szCs w:val="24"/>
              </w:rPr>
              <w:fldChar w:fldCharType="begin"/>
            </w:r>
            <w:r w:rsidR="004F666C" w:rsidRPr="004F666C">
              <w:rPr>
                <w:rFonts w:ascii="Times New Roman" w:hAnsi="Times New Roman" w:cs="Times New Roman"/>
                <w:noProof/>
                <w:webHidden/>
                <w:sz w:val="24"/>
                <w:szCs w:val="24"/>
              </w:rPr>
              <w:instrText xml:space="preserve"> PAGEREF _Toc99231388 \h </w:instrText>
            </w:r>
            <w:r w:rsidR="004F666C" w:rsidRPr="004F666C">
              <w:rPr>
                <w:rFonts w:ascii="Times New Roman" w:hAnsi="Times New Roman" w:cs="Times New Roman"/>
                <w:noProof/>
                <w:webHidden/>
                <w:sz w:val="24"/>
                <w:szCs w:val="24"/>
              </w:rPr>
            </w:r>
            <w:r w:rsidR="004F666C" w:rsidRPr="004F666C">
              <w:rPr>
                <w:rFonts w:ascii="Times New Roman" w:hAnsi="Times New Roman" w:cs="Times New Roman"/>
                <w:noProof/>
                <w:webHidden/>
                <w:sz w:val="24"/>
                <w:szCs w:val="24"/>
              </w:rPr>
              <w:fldChar w:fldCharType="separate"/>
            </w:r>
            <w:r w:rsidR="004F666C" w:rsidRPr="004F666C">
              <w:rPr>
                <w:rFonts w:ascii="Times New Roman" w:hAnsi="Times New Roman" w:cs="Times New Roman"/>
                <w:noProof/>
                <w:webHidden/>
                <w:sz w:val="24"/>
                <w:szCs w:val="24"/>
              </w:rPr>
              <w:t>10</w:t>
            </w:r>
            <w:r w:rsidR="004F666C" w:rsidRPr="004F666C">
              <w:rPr>
                <w:rFonts w:ascii="Times New Roman" w:hAnsi="Times New Roman" w:cs="Times New Roman"/>
                <w:noProof/>
                <w:webHidden/>
                <w:sz w:val="24"/>
                <w:szCs w:val="24"/>
              </w:rPr>
              <w:fldChar w:fldCharType="end"/>
            </w:r>
          </w:hyperlink>
        </w:p>
        <w:p w14:paraId="0AB83422" w14:textId="3BDE2AB6" w:rsidR="000141FC" w:rsidRPr="004F666C" w:rsidRDefault="000141FC" w:rsidP="004F666C">
          <w:pPr>
            <w:spacing w:line="360" w:lineRule="auto"/>
            <w:rPr>
              <w:rFonts w:ascii="Times New Roman" w:hAnsi="Times New Roman" w:cs="Times New Roman"/>
              <w:sz w:val="24"/>
              <w:szCs w:val="24"/>
            </w:rPr>
          </w:pPr>
          <w:r w:rsidRPr="004F666C">
            <w:rPr>
              <w:rFonts w:ascii="Times New Roman" w:hAnsi="Times New Roman" w:cs="Times New Roman"/>
              <w:b/>
              <w:bCs/>
              <w:noProof/>
              <w:sz w:val="24"/>
              <w:szCs w:val="24"/>
            </w:rPr>
            <w:fldChar w:fldCharType="end"/>
          </w:r>
        </w:p>
      </w:sdtContent>
    </w:sdt>
    <w:p w14:paraId="207EA746" w14:textId="278D0571" w:rsidR="00863174" w:rsidRPr="004F666C" w:rsidRDefault="00E87D02" w:rsidP="004F666C">
      <w:pPr>
        <w:spacing w:line="360" w:lineRule="auto"/>
        <w:rPr>
          <w:rFonts w:ascii="Times New Roman" w:hAnsi="Times New Roman" w:cs="Times New Roman"/>
          <w:sz w:val="24"/>
          <w:szCs w:val="24"/>
          <w:lang w:val="en-IN"/>
        </w:rPr>
      </w:pPr>
      <w:r w:rsidRPr="004F666C">
        <w:rPr>
          <w:rFonts w:ascii="Times New Roman" w:hAnsi="Times New Roman" w:cs="Times New Roman"/>
          <w:sz w:val="24"/>
          <w:szCs w:val="24"/>
          <w:lang w:val="en-IN"/>
        </w:rPr>
        <w:br w:type="page"/>
      </w:r>
    </w:p>
    <w:p w14:paraId="0FBA4170" w14:textId="50880E90" w:rsidR="00863174" w:rsidRPr="004F666C" w:rsidRDefault="00863174" w:rsidP="004F666C">
      <w:pPr>
        <w:pStyle w:val="Heading1"/>
        <w:spacing w:line="360" w:lineRule="auto"/>
        <w:rPr>
          <w:rFonts w:ascii="Times New Roman" w:hAnsi="Times New Roman" w:cs="Times New Roman"/>
          <w:sz w:val="24"/>
          <w:szCs w:val="24"/>
          <w:lang w:val="en-IN"/>
        </w:rPr>
      </w:pPr>
      <w:bookmarkStart w:id="0" w:name="_Toc99231381"/>
      <w:r w:rsidRPr="004F666C">
        <w:rPr>
          <w:rFonts w:ascii="Times New Roman" w:hAnsi="Times New Roman" w:cs="Times New Roman"/>
          <w:sz w:val="24"/>
          <w:szCs w:val="24"/>
          <w:lang w:val="en-IN"/>
        </w:rPr>
        <w:lastRenderedPageBreak/>
        <w:t>Question 1:</w:t>
      </w:r>
      <w:bookmarkEnd w:id="0"/>
      <w:r w:rsidRPr="004F666C">
        <w:rPr>
          <w:rFonts w:ascii="Times New Roman" w:hAnsi="Times New Roman" w:cs="Times New Roman"/>
          <w:sz w:val="24"/>
          <w:szCs w:val="24"/>
          <w:lang w:val="en-IN"/>
        </w:rPr>
        <w:t xml:space="preserve"> </w:t>
      </w:r>
    </w:p>
    <w:p w14:paraId="0EA39D2E" w14:textId="788F61C3" w:rsidR="00863174" w:rsidRPr="004F666C" w:rsidRDefault="00863174" w:rsidP="004F666C">
      <w:pPr>
        <w:pStyle w:val="Heading2"/>
        <w:spacing w:line="360" w:lineRule="auto"/>
        <w:rPr>
          <w:rFonts w:ascii="Times New Roman" w:hAnsi="Times New Roman" w:cs="Times New Roman"/>
          <w:sz w:val="24"/>
          <w:szCs w:val="24"/>
          <w:lang w:val="en-IN"/>
        </w:rPr>
      </w:pPr>
      <w:bookmarkStart w:id="1" w:name="_Toc99231382"/>
      <w:r w:rsidRPr="004F666C">
        <w:rPr>
          <w:rFonts w:ascii="Times New Roman" w:hAnsi="Times New Roman" w:cs="Times New Roman"/>
          <w:sz w:val="24"/>
          <w:szCs w:val="24"/>
          <w:lang w:val="en-IN"/>
        </w:rPr>
        <w:t>Income Statement:</w:t>
      </w:r>
      <w:bookmarkEnd w:id="1"/>
    </w:p>
    <w:p w14:paraId="2FA66FAD" w14:textId="31F5449F" w:rsidR="000E427C" w:rsidRDefault="000E427C"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sz w:val="24"/>
          <w:szCs w:val="24"/>
          <w:lang w:val="en-IN"/>
        </w:rPr>
        <w:t xml:space="preserve">This statement is prepared by including the expense and income of the firm during the financial year </w:t>
      </w:r>
      <w:r w:rsidR="00DF014F" w:rsidRPr="004F666C">
        <w:rPr>
          <w:rFonts w:ascii="Times New Roman" w:hAnsi="Times New Roman" w:cs="Times New Roman"/>
          <w:sz w:val="24"/>
          <w:szCs w:val="24"/>
          <w:lang w:val="en-IN"/>
        </w:rPr>
        <w:t>which may aid to ascertain the profit or loss of the company during the year</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color w:val="222222"/>
          <w:sz w:val="24"/>
          <w:szCs w:val="24"/>
          <w:shd w:val="clear" w:color="auto" w:fill="FFFFFF"/>
        </w:rPr>
        <w:t>Brooks and Mukherjee, 2013)</w:t>
      </w:r>
      <w:r w:rsidR="00DF014F" w:rsidRPr="004F666C">
        <w:rPr>
          <w:rFonts w:ascii="Times New Roman" w:hAnsi="Times New Roman" w:cs="Times New Roman"/>
          <w:sz w:val="24"/>
          <w:szCs w:val="24"/>
          <w:lang w:val="en-IN"/>
        </w:rPr>
        <w:t xml:space="preserve">. </w:t>
      </w:r>
    </w:p>
    <w:p w14:paraId="2956558A" w14:textId="701C5770" w:rsidR="00F05290" w:rsidRDefault="00F05290" w:rsidP="004F666C">
      <w:pPr>
        <w:spacing w:line="360" w:lineRule="auto"/>
        <w:jc w:val="both"/>
        <w:rPr>
          <w:rFonts w:ascii="Times New Roman" w:hAnsi="Times New Roman" w:cs="Times New Roman"/>
          <w:sz w:val="24"/>
          <w:szCs w:val="24"/>
          <w:lang w:val="en-IN"/>
        </w:rPr>
      </w:pPr>
    </w:p>
    <w:p w14:paraId="0A534865" w14:textId="77777777" w:rsidR="00F05290" w:rsidRPr="004F666C" w:rsidRDefault="00F05290" w:rsidP="004F666C">
      <w:pPr>
        <w:spacing w:line="360" w:lineRule="auto"/>
        <w:jc w:val="both"/>
        <w:rPr>
          <w:rFonts w:ascii="Times New Roman" w:hAnsi="Times New Roman" w:cs="Times New Roman"/>
          <w:sz w:val="24"/>
          <w:szCs w:val="24"/>
          <w:lang w:val="en-IN"/>
        </w:rPr>
      </w:pPr>
    </w:p>
    <w:tbl>
      <w:tblPr>
        <w:tblW w:w="8618" w:type="dxa"/>
        <w:shd w:val="clear" w:color="auto" w:fill="DBDBDB" w:themeFill="accent3" w:themeFillTint="66"/>
        <w:tblLook w:val="04A0" w:firstRow="1" w:lastRow="0" w:firstColumn="1" w:lastColumn="0" w:noHBand="0" w:noVBand="1"/>
      </w:tblPr>
      <w:tblGrid>
        <w:gridCol w:w="5013"/>
        <w:gridCol w:w="1955"/>
        <w:gridCol w:w="1650"/>
      </w:tblGrid>
      <w:tr w:rsidR="00F05290" w:rsidRPr="00F05290" w14:paraId="4F400C53" w14:textId="77777777" w:rsidTr="0068050A">
        <w:trPr>
          <w:trHeight w:val="477"/>
        </w:trPr>
        <w:tc>
          <w:tcPr>
            <w:tcW w:w="8618" w:type="dxa"/>
            <w:gridSpan w:val="3"/>
            <w:tcBorders>
              <w:top w:val="single" w:sz="8" w:space="0" w:color="auto"/>
              <w:left w:val="single" w:sz="8" w:space="0" w:color="auto"/>
              <w:bottom w:val="single" w:sz="8" w:space="0" w:color="auto"/>
              <w:right w:val="single" w:sz="8" w:space="0" w:color="000000"/>
            </w:tcBorders>
            <w:shd w:val="clear" w:color="auto" w:fill="DBDBDB" w:themeFill="accent3" w:themeFillTint="66"/>
            <w:noWrap/>
            <w:vAlign w:val="center"/>
            <w:hideMark/>
          </w:tcPr>
          <w:p w14:paraId="3D5DB6F1"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Wales plc Statement of Comprehensive Income for the year ended 31st Dec 2021</w:t>
            </w:r>
          </w:p>
        </w:tc>
      </w:tr>
      <w:tr w:rsidR="00F05290" w:rsidRPr="00F05290" w14:paraId="38BB35B1" w14:textId="77777777" w:rsidTr="0068050A">
        <w:trPr>
          <w:trHeight w:val="477"/>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67259EA5"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Particulars</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29441F9F"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Amount (£)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357DDE05"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Amount (£) </w:t>
            </w:r>
          </w:p>
        </w:tc>
      </w:tr>
      <w:tr w:rsidR="00F05290" w:rsidRPr="00F05290" w14:paraId="5F400647" w14:textId="77777777" w:rsidTr="0068050A">
        <w:trPr>
          <w:trHeight w:val="493"/>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010792E8"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Sales</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1A9B8C53"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5C630EEA"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800,980 </w:t>
            </w:r>
          </w:p>
        </w:tc>
      </w:tr>
      <w:tr w:rsidR="00F05290" w:rsidRPr="00F05290" w14:paraId="22732529" w14:textId="77777777" w:rsidTr="0068050A">
        <w:trPr>
          <w:trHeight w:val="493"/>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363DBD17"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Less: Cost of goods sold</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798BF963"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09EB4999" w14:textId="77777777" w:rsidR="00F05290" w:rsidRPr="00F05290" w:rsidRDefault="00F05290" w:rsidP="00F05290">
            <w:pPr>
              <w:spacing w:after="0" w:line="240" w:lineRule="auto"/>
              <w:jc w:val="both"/>
              <w:rPr>
                <w:rFonts w:ascii="Times New Roman" w:eastAsia="Times New Roman" w:hAnsi="Times New Roman" w:cs="Times New Roman"/>
                <w:color w:val="FF0000"/>
                <w:sz w:val="24"/>
                <w:szCs w:val="24"/>
                <w:lang w:eastAsia="en-GB"/>
              </w:rPr>
            </w:pPr>
            <w:r w:rsidRPr="00F05290">
              <w:rPr>
                <w:rFonts w:ascii="Times New Roman" w:eastAsia="Times New Roman" w:hAnsi="Times New Roman" w:cs="Times New Roman"/>
                <w:color w:val="FF0000"/>
                <w:sz w:val="24"/>
                <w:szCs w:val="24"/>
                <w:lang w:val="en-IN" w:eastAsia="en-GB"/>
              </w:rPr>
              <w:t xml:space="preserve">-      578,650 </w:t>
            </w:r>
          </w:p>
        </w:tc>
      </w:tr>
      <w:tr w:rsidR="00F05290" w:rsidRPr="00F05290" w14:paraId="767C5183" w14:textId="77777777" w:rsidTr="0068050A">
        <w:trPr>
          <w:trHeight w:val="477"/>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366560AD"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Gross Profit</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6A3A8AF6"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62F1EF75"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222,330 </w:t>
            </w:r>
          </w:p>
        </w:tc>
      </w:tr>
      <w:tr w:rsidR="00F05290" w:rsidRPr="00F05290" w14:paraId="04FB6A12" w14:textId="77777777" w:rsidTr="0068050A">
        <w:trPr>
          <w:trHeight w:val="493"/>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1A501204"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Less: Expenses</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0CCFEE03"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1FEA924D"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315D9510" w14:textId="77777777" w:rsidTr="0068050A">
        <w:trPr>
          <w:trHeight w:val="493"/>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3C20DCB4"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Administrative expenses</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53BFA6A7"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30,000.00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7A693685"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5349C28C" w14:textId="77777777" w:rsidTr="0068050A">
        <w:trPr>
          <w:trHeight w:val="493"/>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6E2C4D51"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Interest paid</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349F19B5"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2,000.00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56AA0334"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021B5DF3" w14:textId="77777777" w:rsidTr="0068050A">
        <w:trPr>
          <w:trHeight w:val="493"/>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4FB95AD6"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Director's remuneration</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14DEA5C0"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5,000.00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3C8980B4"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1B4DA4CE" w14:textId="77777777" w:rsidTr="0068050A">
        <w:trPr>
          <w:trHeight w:val="493"/>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6EEFDD9C"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distribution cost</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03159B92"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28,000.00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6EFDD7D3"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12B43F42" w14:textId="77777777" w:rsidTr="0068050A">
        <w:trPr>
          <w:trHeight w:val="493"/>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0CB833A7"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sales commission</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11A245B8"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xml:space="preserve">           3,000.00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1959523A"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w:t>
            </w:r>
          </w:p>
        </w:tc>
      </w:tr>
      <w:tr w:rsidR="00F05290" w:rsidRPr="00F05290" w14:paraId="61C43E47" w14:textId="77777777" w:rsidTr="0068050A">
        <w:trPr>
          <w:trHeight w:val="477"/>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27EB85B1"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eastAsia="en-GB"/>
              </w:rPr>
              <w:t>Total Trading Expenditure</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1174B26B"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eastAsia="en-GB"/>
              </w:rPr>
              <w:t>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44ED618D" w14:textId="77777777" w:rsidR="00F05290" w:rsidRPr="00F05290" w:rsidRDefault="00F05290" w:rsidP="00F05290">
            <w:pPr>
              <w:spacing w:after="0" w:line="240" w:lineRule="auto"/>
              <w:jc w:val="both"/>
              <w:rPr>
                <w:rFonts w:ascii="Times New Roman" w:eastAsia="Times New Roman" w:hAnsi="Times New Roman" w:cs="Times New Roman"/>
                <w:b/>
                <w:bCs/>
                <w:color w:val="FF0000"/>
                <w:sz w:val="24"/>
                <w:szCs w:val="24"/>
                <w:lang w:eastAsia="en-GB"/>
              </w:rPr>
            </w:pPr>
            <w:r w:rsidRPr="00F05290">
              <w:rPr>
                <w:rFonts w:ascii="Times New Roman" w:eastAsia="Times New Roman" w:hAnsi="Times New Roman" w:cs="Times New Roman"/>
                <w:b/>
                <w:bCs/>
                <w:color w:val="FF0000"/>
                <w:sz w:val="24"/>
                <w:szCs w:val="24"/>
                <w:lang w:val="en-IN" w:eastAsia="en-GB"/>
              </w:rPr>
              <w:t xml:space="preserve">-        68,000 </w:t>
            </w:r>
          </w:p>
        </w:tc>
      </w:tr>
      <w:tr w:rsidR="00F05290" w:rsidRPr="00F05290" w14:paraId="143A5764" w14:textId="77777777" w:rsidTr="0068050A">
        <w:trPr>
          <w:trHeight w:val="477"/>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409624C0"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Profit before tax</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5B0CB65C"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11BCD4BF"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154,330 </w:t>
            </w:r>
          </w:p>
        </w:tc>
      </w:tr>
      <w:tr w:rsidR="00F05290" w:rsidRPr="00F05290" w14:paraId="4D6E07C8" w14:textId="77777777" w:rsidTr="0068050A">
        <w:trPr>
          <w:trHeight w:val="493"/>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1D374D0E"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corporate taxation </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6D93CEA0"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100,000.00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5A6AC756"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w:t>
            </w:r>
          </w:p>
        </w:tc>
      </w:tr>
      <w:tr w:rsidR="00F05290" w:rsidRPr="00F05290" w14:paraId="0705FD5F" w14:textId="77777777" w:rsidTr="0068050A">
        <w:trPr>
          <w:trHeight w:val="972"/>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112D5FD2"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Dividend Paid (preference and ordinary)</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14C1BECD"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xml:space="preserve">         50,000.00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67C18B32" w14:textId="77777777" w:rsidR="00F05290" w:rsidRPr="00F05290" w:rsidRDefault="00F05290" w:rsidP="00F05290">
            <w:pPr>
              <w:spacing w:after="0" w:line="240" w:lineRule="auto"/>
              <w:jc w:val="both"/>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w:t>
            </w:r>
          </w:p>
        </w:tc>
      </w:tr>
      <w:tr w:rsidR="00F05290" w:rsidRPr="00F05290" w14:paraId="6FE8FA70" w14:textId="77777777" w:rsidTr="0068050A">
        <w:trPr>
          <w:trHeight w:val="477"/>
        </w:trPr>
        <w:tc>
          <w:tcPr>
            <w:tcW w:w="5013" w:type="dxa"/>
            <w:tcBorders>
              <w:top w:val="nil"/>
              <w:left w:val="single" w:sz="8" w:space="0" w:color="auto"/>
              <w:bottom w:val="single" w:sz="8" w:space="0" w:color="auto"/>
              <w:right w:val="single" w:sz="8" w:space="0" w:color="auto"/>
            </w:tcBorders>
            <w:shd w:val="clear" w:color="auto" w:fill="DBDBDB" w:themeFill="accent3" w:themeFillTint="66"/>
            <w:noWrap/>
            <w:vAlign w:val="center"/>
            <w:hideMark/>
          </w:tcPr>
          <w:p w14:paraId="0BD5D0D3"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Profit for the year</w:t>
            </w:r>
          </w:p>
        </w:tc>
        <w:tc>
          <w:tcPr>
            <w:tcW w:w="1955" w:type="dxa"/>
            <w:tcBorders>
              <w:top w:val="nil"/>
              <w:left w:val="nil"/>
              <w:bottom w:val="single" w:sz="8" w:space="0" w:color="auto"/>
              <w:right w:val="single" w:sz="8" w:space="0" w:color="auto"/>
            </w:tcBorders>
            <w:shd w:val="clear" w:color="auto" w:fill="DBDBDB" w:themeFill="accent3" w:themeFillTint="66"/>
            <w:noWrap/>
            <w:vAlign w:val="center"/>
            <w:hideMark/>
          </w:tcPr>
          <w:p w14:paraId="24B8E1AE"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w:t>
            </w:r>
          </w:p>
        </w:tc>
        <w:tc>
          <w:tcPr>
            <w:tcW w:w="1649" w:type="dxa"/>
            <w:tcBorders>
              <w:top w:val="nil"/>
              <w:left w:val="nil"/>
              <w:bottom w:val="single" w:sz="8" w:space="0" w:color="auto"/>
              <w:right w:val="single" w:sz="8" w:space="0" w:color="auto"/>
            </w:tcBorders>
            <w:shd w:val="clear" w:color="auto" w:fill="DBDBDB" w:themeFill="accent3" w:themeFillTint="66"/>
            <w:noWrap/>
            <w:vAlign w:val="center"/>
            <w:hideMark/>
          </w:tcPr>
          <w:p w14:paraId="63B69E6F" w14:textId="77777777" w:rsidR="00F05290" w:rsidRPr="00F05290" w:rsidRDefault="00F05290" w:rsidP="00F05290">
            <w:pPr>
              <w:spacing w:after="0" w:line="240" w:lineRule="auto"/>
              <w:jc w:val="both"/>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4,330 </w:t>
            </w:r>
          </w:p>
        </w:tc>
      </w:tr>
    </w:tbl>
    <w:p w14:paraId="5C2D276A" w14:textId="7A1A9683" w:rsidR="00863174" w:rsidRDefault="00863174" w:rsidP="004F666C">
      <w:pPr>
        <w:spacing w:line="360" w:lineRule="auto"/>
        <w:jc w:val="both"/>
        <w:rPr>
          <w:rFonts w:ascii="Times New Roman" w:hAnsi="Times New Roman" w:cs="Times New Roman"/>
          <w:sz w:val="24"/>
          <w:szCs w:val="24"/>
          <w:lang w:val="en-IN"/>
        </w:rPr>
      </w:pPr>
    </w:p>
    <w:p w14:paraId="690D129A" w14:textId="77777777" w:rsidR="00F05290" w:rsidRDefault="00F05290" w:rsidP="004F666C">
      <w:pPr>
        <w:spacing w:line="360" w:lineRule="auto"/>
        <w:jc w:val="both"/>
        <w:rPr>
          <w:rFonts w:ascii="Times New Roman" w:hAnsi="Times New Roman" w:cs="Times New Roman"/>
          <w:sz w:val="24"/>
          <w:szCs w:val="24"/>
          <w:lang w:val="en-IN"/>
        </w:rPr>
      </w:pPr>
    </w:p>
    <w:p w14:paraId="2C7B23D1" w14:textId="77777777" w:rsidR="00F05290" w:rsidRPr="004F666C" w:rsidRDefault="00F05290" w:rsidP="00F05290">
      <w:pPr>
        <w:pStyle w:val="Heading2"/>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lastRenderedPageBreak/>
        <w:t>Statement of Financial Position</w:t>
      </w:r>
      <w:r w:rsidRPr="004F666C">
        <w:rPr>
          <w:rFonts w:ascii="Times New Roman" w:hAnsi="Times New Roman" w:cs="Times New Roman"/>
          <w:sz w:val="24"/>
          <w:szCs w:val="24"/>
          <w:lang w:val="en-IN"/>
        </w:rPr>
        <w:t>:</w:t>
      </w:r>
    </w:p>
    <w:p w14:paraId="0B19DC06" w14:textId="77777777" w:rsidR="00F05290" w:rsidRPr="004F666C" w:rsidRDefault="00F05290" w:rsidP="00F05290">
      <w:pPr>
        <w:spacing w:line="360" w:lineRule="auto"/>
        <w:jc w:val="both"/>
        <w:rPr>
          <w:rFonts w:ascii="Times New Roman" w:hAnsi="Times New Roman" w:cs="Times New Roman"/>
          <w:sz w:val="24"/>
          <w:szCs w:val="24"/>
          <w:lang w:val="en-IN"/>
        </w:rPr>
      </w:pPr>
      <w:r w:rsidRPr="004F666C">
        <w:rPr>
          <w:rFonts w:ascii="Times New Roman" w:hAnsi="Times New Roman" w:cs="Times New Roman"/>
          <w:sz w:val="24"/>
          <w:szCs w:val="24"/>
          <w:lang w:val="en-IN"/>
        </w:rPr>
        <w:t>This statement is prepared with the purpose of disclosing information about the assets and liabilities of the organization so that the concerned stakeholder may get insight into the assets and capitalization of the company. This may aid to attract potential investors (</w:t>
      </w:r>
      <w:r w:rsidRPr="004F666C">
        <w:rPr>
          <w:rFonts w:ascii="Times New Roman" w:hAnsi="Times New Roman" w:cs="Times New Roman"/>
          <w:color w:val="222222"/>
          <w:sz w:val="24"/>
          <w:szCs w:val="24"/>
          <w:shd w:val="clear" w:color="auto" w:fill="FFFFFF"/>
        </w:rPr>
        <w:t>Brooks and Mukherjee, 2013)</w:t>
      </w:r>
      <w:r w:rsidRPr="004F666C">
        <w:rPr>
          <w:rFonts w:ascii="Times New Roman" w:hAnsi="Times New Roman" w:cs="Times New Roman"/>
          <w:sz w:val="24"/>
          <w:szCs w:val="24"/>
          <w:lang w:val="en-IN"/>
        </w:rPr>
        <w:t xml:space="preserve">. </w:t>
      </w:r>
    </w:p>
    <w:p w14:paraId="6984D76A" w14:textId="77777777" w:rsidR="00F05290" w:rsidRDefault="00F05290" w:rsidP="004F666C">
      <w:pPr>
        <w:spacing w:line="360" w:lineRule="auto"/>
        <w:jc w:val="both"/>
        <w:rPr>
          <w:rFonts w:ascii="Times New Roman" w:hAnsi="Times New Roman" w:cs="Times New Roman"/>
          <w:sz w:val="24"/>
          <w:szCs w:val="24"/>
          <w:lang w:val="en-IN"/>
        </w:rPr>
      </w:pPr>
    </w:p>
    <w:tbl>
      <w:tblPr>
        <w:tblW w:w="8915" w:type="dxa"/>
        <w:shd w:val="clear" w:color="auto" w:fill="C9C9C9" w:themeFill="accent3" w:themeFillTint="99"/>
        <w:tblLook w:val="04A0" w:firstRow="1" w:lastRow="0" w:firstColumn="1" w:lastColumn="0" w:noHBand="0" w:noVBand="1"/>
      </w:tblPr>
      <w:tblGrid>
        <w:gridCol w:w="4486"/>
        <w:gridCol w:w="2407"/>
        <w:gridCol w:w="2022"/>
      </w:tblGrid>
      <w:tr w:rsidR="00F05290" w:rsidRPr="00F05290" w14:paraId="4083B310" w14:textId="77777777" w:rsidTr="0068050A">
        <w:trPr>
          <w:trHeight w:val="336"/>
        </w:trPr>
        <w:tc>
          <w:tcPr>
            <w:tcW w:w="8915" w:type="dxa"/>
            <w:gridSpan w:val="3"/>
            <w:tcBorders>
              <w:top w:val="single" w:sz="8" w:space="0" w:color="auto"/>
              <w:left w:val="single" w:sz="8" w:space="0" w:color="auto"/>
              <w:bottom w:val="single" w:sz="8" w:space="0" w:color="auto"/>
              <w:right w:val="single" w:sz="8" w:space="0" w:color="000000"/>
            </w:tcBorders>
            <w:shd w:val="clear" w:color="auto" w:fill="C9C9C9" w:themeFill="accent3" w:themeFillTint="99"/>
            <w:noWrap/>
            <w:vAlign w:val="center"/>
            <w:hideMark/>
          </w:tcPr>
          <w:p w14:paraId="7AD10A43" w14:textId="77777777" w:rsidR="00F05290" w:rsidRPr="00F05290" w:rsidRDefault="00F05290" w:rsidP="00F05290">
            <w:pPr>
              <w:spacing w:after="0" w:line="240" w:lineRule="auto"/>
              <w:jc w:val="center"/>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Wales plc Statement of Financial position as at 31st Dec 2021</w:t>
            </w:r>
          </w:p>
        </w:tc>
      </w:tr>
      <w:tr w:rsidR="00F05290" w:rsidRPr="00F05290" w14:paraId="6C61EAAF" w14:textId="77777777" w:rsidTr="0068050A">
        <w:trPr>
          <w:trHeight w:val="336"/>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17793712" w14:textId="77777777" w:rsidR="00F05290" w:rsidRPr="00F05290" w:rsidRDefault="00F05290" w:rsidP="00F05290">
            <w:pPr>
              <w:spacing w:after="0" w:line="240" w:lineRule="auto"/>
              <w:jc w:val="center"/>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Particulars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2042613E" w14:textId="77777777" w:rsidR="00F05290" w:rsidRPr="00F05290" w:rsidRDefault="00F05290" w:rsidP="00F05290">
            <w:pPr>
              <w:spacing w:after="0" w:line="240" w:lineRule="auto"/>
              <w:jc w:val="center"/>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Amount (£)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2D9947BD" w14:textId="77777777" w:rsidR="00F05290" w:rsidRPr="00F05290" w:rsidRDefault="00F05290" w:rsidP="00F05290">
            <w:pPr>
              <w:spacing w:after="0" w:line="240" w:lineRule="auto"/>
              <w:jc w:val="center"/>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Amount (£) </w:t>
            </w:r>
          </w:p>
        </w:tc>
      </w:tr>
      <w:tr w:rsidR="00F05290" w:rsidRPr="00F05290" w14:paraId="37BA6BFE"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0375314A" w14:textId="77777777" w:rsidR="00F05290" w:rsidRPr="00F05290" w:rsidRDefault="00F05290" w:rsidP="00F05290">
            <w:pPr>
              <w:spacing w:after="0" w:line="240" w:lineRule="auto"/>
              <w:jc w:val="center"/>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Assets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41F0A525"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47FC5E4C"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0102ACA7"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05CDB5B6"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Current Assets: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3FC0B0B4"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5E47BBF6"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193D78EB"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5EA645CD"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Cash </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2BD0C016" w14:textId="77777777" w:rsidR="00F05290" w:rsidRPr="00F05290" w:rsidRDefault="00F05290" w:rsidP="00F05290">
            <w:pPr>
              <w:spacing w:after="0" w:line="240" w:lineRule="auto"/>
              <w:jc w:val="right"/>
              <w:rPr>
                <w:rFonts w:ascii="Calibri" w:eastAsia="Times New Roman" w:hAnsi="Calibri" w:cs="Calibri"/>
                <w:color w:val="000000"/>
                <w:lang w:eastAsia="en-GB"/>
              </w:rPr>
            </w:pPr>
            <w:r w:rsidRPr="00F05290">
              <w:rPr>
                <w:rFonts w:ascii="Calibri" w:eastAsia="Times New Roman" w:hAnsi="Calibri" w:cs="Calibri"/>
                <w:color w:val="000000"/>
                <w:lang w:val="en-IN" w:eastAsia="en-GB"/>
              </w:rPr>
              <w:t xml:space="preserve">                  76,250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0265DF8B"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33232F7D"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6654834C"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Closing Inventory</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533DE6BB"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330,600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08C971E6"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5D005D2A"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67E1AB52"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Trade Receivables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57764B9E"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170,125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703FDCA3"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6B2DBCC7"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7202E926"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Accrued Income</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74B74F49"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980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3769A6B8"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324A82B0" w14:textId="77777777" w:rsidTr="0068050A">
        <w:trPr>
          <w:trHeight w:val="336"/>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54B019A0"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Total Current Assets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02D3E85E"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16861E71" w14:textId="77777777" w:rsidR="00F05290" w:rsidRPr="00F05290" w:rsidRDefault="00F05290" w:rsidP="00F05290">
            <w:pPr>
              <w:spacing w:after="0" w:line="240" w:lineRule="auto"/>
              <w:jc w:val="right"/>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577,955 </w:t>
            </w:r>
          </w:p>
        </w:tc>
      </w:tr>
      <w:tr w:rsidR="00F05290" w:rsidRPr="00F05290" w14:paraId="18046520"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6F8455CD"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Non-Current Assets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42DC9EB2"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24C0EB02"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6A566A60"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7BA83558"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Plant and Equipment</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7F135E10"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632,730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250C77A3"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297E4587"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103BCDA1"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614C4A6A"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46CFB5CD"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226396FD" w14:textId="77777777" w:rsidTr="0068050A">
        <w:trPr>
          <w:trHeight w:val="336"/>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6C3E0D87"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Total Non-Current Assets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2399EACE"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62D1B6ED" w14:textId="77777777" w:rsidR="00F05290" w:rsidRPr="00F05290" w:rsidRDefault="00F05290" w:rsidP="00F05290">
            <w:pPr>
              <w:spacing w:after="0" w:line="240" w:lineRule="auto"/>
              <w:jc w:val="right"/>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632,730 </w:t>
            </w:r>
          </w:p>
        </w:tc>
      </w:tr>
      <w:tr w:rsidR="00F05290" w:rsidRPr="00F05290" w14:paraId="0939C1EC" w14:textId="77777777" w:rsidTr="0068050A">
        <w:trPr>
          <w:trHeight w:val="336"/>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61A4292C"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Total Assets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71CC5ED7"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485F407C" w14:textId="77777777" w:rsidR="00F05290" w:rsidRPr="00F05290" w:rsidRDefault="00F05290" w:rsidP="00F05290">
            <w:pPr>
              <w:spacing w:after="0" w:line="240" w:lineRule="auto"/>
              <w:jc w:val="right"/>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1,210,685 </w:t>
            </w:r>
          </w:p>
        </w:tc>
      </w:tr>
      <w:tr w:rsidR="00F05290" w:rsidRPr="00F05290" w14:paraId="073F1AE7"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07D12B4B" w14:textId="77777777" w:rsidR="00F05290" w:rsidRPr="00F05290" w:rsidRDefault="00F05290" w:rsidP="00F05290">
            <w:pPr>
              <w:spacing w:after="0" w:line="240" w:lineRule="auto"/>
              <w:jc w:val="center"/>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Liabilities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7E768454"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23BF918A"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6A39F892"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1AF7B323"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Current Liabilities: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2BA0076E"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3549C5E7"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44C5CB61" w14:textId="77777777" w:rsidTr="0068050A">
        <w:trPr>
          <w:trHeight w:val="673"/>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4D01E815"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Trade payables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5D314ECF"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171,355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47A94B97"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2F00F20C" w14:textId="77777777" w:rsidTr="0068050A">
        <w:trPr>
          <w:trHeight w:val="673"/>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731814D0"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Accruals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7DE361D3"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xml:space="preserve">                3,000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172CDC02"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w:t>
            </w:r>
          </w:p>
        </w:tc>
      </w:tr>
      <w:tr w:rsidR="00F05290" w:rsidRPr="00F05290" w14:paraId="649FAFEE"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52528E79"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Corporate Tax rate</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4430A92C"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100,000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19D6E86F"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1B4D355C"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5D2D33D9"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Long term liability:</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2A2AE55F"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4AAE49AC"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1AAB154C"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7C04D725"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4% Debentures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60BEA6A4"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100,000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0D0BD9B1"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5DF6A157"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305CCEB7"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Total Current Liabilities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73730E9B"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20043F21"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374,355 </w:t>
            </w:r>
          </w:p>
        </w:tc>
      </w:tr>
      <w:tr w:rsidR="00F05290" w:rsidRPr="00F05290" w14:paraId="1278E75C"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599863F7"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proofErr w:type="spellStart"/>
            <w:r w:rsidRPr="00F05290">
              <w:rPr>
                <w:rFonts w:ascii="Times New Roman" w:eastAsia="Times New Roman" w:hAnsi="Times New Roman" w:cs="Times New Roman"/>
                <w:b/>
                <w:bCs/>
                <w:color w:val="000000"/>
                <w:sz w:val="24"/>
                <w:szCs w:val="24"/>
                <w:lang w:val="en-IN" w:eastAsia="en-GB"/>
              </w:rPr>
              <w:t>Shareholders</w:t>
            </w:r>
            <w:proofErr w:type="spellEnd"/>
            <w:r w:rsidRPr="00F05290">
              <w:rPr>
                <w:rFonts w:ascii="Times New Roman" w:eastAsia="Times New Roman" w:hAnsi="Times New Roman" w:cs="Times New Roman"/>
                <w:b/>
                <w:bCs/>
                <w:color w:val="000000"/>
                <w:sz w:val="24"/>
                <w:szCs w:val="24"/>
                <w:lang w:val="en-IN" w:eastAsia="en-GB"/>
              </w:rPr>
              <w:t xml:space="preserve"> Equity:</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463FE102"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1BA7E13F"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r>
      <w:tr w:rsidR="00F05290" w:rsidRPr="00F05290" w14:paraId="7C140424"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4350741C"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£1 ordinary shares</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00833F27"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400,000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461A5AA3"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w:t>
            </w:r>
          </w:p>
        </w:tc>
      </w:tr>
      <w:tr w:rsidR="00F05290" w:rsidRPr="00F05290" w14:paraId="2A7620A8"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26EFD815"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10% £1 preference shares </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5A4172F9"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300,000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1BE49007"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w:t>
            </w:r>
          </w:p>
        </w:tc>
      </w:tr>
      <w:tr w:rsidR="00F05290" w:rsidRPr="00F05290" w14:paraId="05C429B3"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10CF84C8"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Retained Profit</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0425A588"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136,330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334C00B7"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eastAsia="en-GB"/>
              </w:rPr>
              <w:t> </w:t>
            </w:r>
          </w:p>
        </w:tc>
      </w:tr>
      <w:tr w:rsidR="00F05290" w:rsidRPr="00F05290" w14:paraId="0D1B56B1" w14:textId="77777777" w:rsidTr="0068050A">
        <w:trPr>
          <w:trHeight w:val="347"/>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51807ADD"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Total Share capital</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48F64B06" w14:textId="77777777" w:rsidR="00F05290" w:rsidRPr="00F05290" w:rsidRDefault="00F05290" w:rsidP="00F05290">
            <w:pPr>
              <w:spacing w:after="0" w:line="240" w:lineRule="auto"/>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2BA8FDBF" w14:textId="77777777" w:rsidR="00F05290" w:rsidRPr="00F05290" w:rsidRDefault="00F05290" w:rsidP="00F05290">
            <w:pPr>
              <w:spacing w:after="0" w:line="240" w:lineRule="auto"/>
              <w:jc w:val="right"/>
              <w:rPr>
                <w:rFonts w:ascii="Times New Roman" w:eastAsia="Times New Roman" w:hAnsi="Times New Roman" w:cs="Times New Roman"/>
                <w:color w:val="000000"/>
                <w:sz w:val="24"/>
                <w:szCs w:val="24"/>
                <w:lang w:eastAsia="en-GB"/>
              </w:rPr>
            </w:pPr>
            <w:r w:rsidRPr="00F05290">
              <w:rPr>
                <w:rFonts w:ascii="Times New Roman" w:eastAsia="Times New Roman" w:hAnsi="Times New Roman" w:cs="Times New Roman"/>
                <w:color w:val="000000"/>
                <w:sz w:val="24"/>
                <w:szCs w:val="24"/>
                <w:lang w:val="en-IN" w:eastAsia="en-GB"/>
              </w:rPr>
              <w:t xml:space="preserve">        836,330 </w:t>
            </w:r>
          </w:p>
        </w:tc>
      </w:tr>
      <w:tr w:rsidR="00F05290" w:rsidRPr="00F05290" w14:paraId="2FB6272C" w14:textId="77777777" w:rsidTr="0068050A">
        <w:trPr>
          <w:trHeight w:val="336"/>
        </w:trPr>
        <w:tc>
          <w:tcPr>
            <w:tcW w:w="4486" w:type="dxa"/>
            <w:tcBorders>
              <w:top w:val="nil"/>
              <w:left w:val="single" w:sz="8" w:space="0" w:color="auto"/>
              <w:bottom w:val="single" w:sz="8" w:space="0" w:color="auto"/>
              <w:right w:val="single" w:sz="8" w:space="0" w:color="auto"/>
            </w:tcBorders>
            <w:shd w:val="clear" w:color="auto" w:fill="C9C9C9" w:themeFill="accent3" w:themeFillTint="99"/>
            <w:noWrap/>
            <w:vAlign w:val="center"/>
            <w:hideMark/>
          </w:tcPr>
          <w:p w14:paraId="6CD970A8"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Total Liabilities and Equity</w:t>
            </w:r>
          </w:p>
        </w:tc>
        <w:tc>
          <w:tcPr>
            <w:tcW w:w="2407" w:type="dxa"/>
            <w:tcBorders>
              <w:top w:val="nil"/>
              <w:left w:val="nil"/>
              <w:bottom w:val="single" w:sz="8" w:space="0" w:color="auto"/>
              <w:right w:val="single" w:sz="8" w:space="0" w:color="auto"/>
            </w:tcBorders>
            <w:shd w:val="clear" w:color="auto" w:fill="C9C9C9" w:themeFill="accent3" w:themeFillTint="99"/>
            <w:noWrap/>
            <w:vAlign w:val="center"/>
            <w:hideMark/>
          </w:tcPr>
          <w:p w14:paraId="6CC3CB40" w14:textId="77777777" w:rsidR="00F05290" w:rsidRPr="00F05290" w:rsidRDefault="00F05290" w:rsidP="00F05290">
            <w:pPr>
              <w:spacing w:after="0" w:line="240" w:lineRule="auto"/>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w:t>
            </w:r>
          </w:p>
        </w:tc>
        <w:tc>
          <w:tcPr>
            <w:tcW w:w="2020" w:type="dxa"/>
            <w:tcBorders>
              <w:top w:val="nil"/>
              <w:left w:val="nil"/>
              <w:bottom w:val="single" w:sz="8" w:space="0" w:color="auto"/>
              <w:right w:val="single" w:sz="8" w:space="0" w:color="auto"/>
            </w:tcBorders>
            <w:shd w:val="clear" w:color="auto" w:fill="C9C9C9" w:themeFill="accent3" w:themeFillTint="99"/>
            <w:noWrap/>
            <w:vAlign w:val="center"/>
            <w:hideMark/>
          </w:tcPr>
          <w:p w14:paraId="2E593795" w14:textId="77777777" w:rsidR="00F05290" w:rsidRPr="00F05290" w:rsidRDefault="00F05290" w:rsidP="00F05290">
            <w:pPr>
              <w:spacing w:after="0" w:line="240" w:lineRule="auto"/>
              <w:jc w:val="right"/>
              <w:rPr>
                <w:rFonts w:ascii="Times New Roman" w:eastAsia="Times New Roman" w:hAnsi="Times New Roman" w:cs="Times New Roman"/>
                <w:b/>
                <w:bCs/>
                <w:color w:val="000000"/>
                <w:sz w:val="24"/>
                <w:szCs w:val="24"/>
                <w:lang w:eastAsia="en-GB"/>
              </w:rPr>
            </w:pPr>
            <w:r w:rsidRPr="00F05290">
              <w:rPr>
                <w:rFonts w:ascii="Times New Roman" w:eastAsia="Times New Roman" w:hAnsi="Times New Roman" w:cs="Times New Roman"/>
                <w:b/>
                <w:bCs/>
                <w:color w:val="000000"/>
                <w:sz w:val="24"/>
                <w:szCs w:val="24"/>
                <w:lang w:val="en-IN" w:eastAsia="en-GB"/>
              </w:rPr>
              <w:t xml:space="preserve">     1,210,685 </w:t>
            </w:r>
          </w:p>
        </w:tc>
      </w:tr>
    </w:tbl>
    <w:p w14:paraId="499C331E" w14:textId="74ED5891" w:rsidR="00863174" w:rsidRPr="004F666C" w:rsidRDefault="00863174" w:rsidP="004F666C">
      <w:pPr>
        <w:pStyle w:val="Heading2"/>
        <w:spacing w:line="360" w:lineRule="auto"/>
        <w:rPr>
          <w:rFonts w:ascii="Times New Roman" w:hAnsi="Times New Roman" w:cs="Times New Roman"/>
          <w:sz w:val="24"/>
          <w:szCs w:val="24"/>
        </w:rPr>
      </w:pPr>
      <w:bookmarkStart w:id="2" w:name="_Toc99231384"/>
      <w:r w:rsidRPr="004F666C">
        <w:rPr>
          <w:rFonts w:ascii="Times New Roman" w:hAnsi="Times New Roman" w:cs="Times New Roman"/>
          <w:sz w:val="24"/>
          <w:szCs w:val="24"/>
        </w:rPr>
        <w:lastRenderedPageBreak/>
        <w:t>Statement of financial position balance:</w:t>
      </w:r>
      <w:bookmarkEnd w:id="2"/>
    </w:p>
    <w:p w14:paraId="0E51CC86" w14:textId="12BF627A" w:rsidR="00863174" w:rsidRPr="004F666C" w:rsidRDefault="00863174"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sz w:val="24"/>
          <w:szCs w:val="24"/>
          <w:lang w:val="en-IN"/>
        </w:rPr>
        <w:t xml:space="preserve">The statement of the financial position can be described </w:t>
      </w:r>
      <w:r w:rsidR="00824380" w:rsidRPr="004F666C">
        <w:rPr>
          <w:rFonts w:ascii="Times New Roman" w:hAnsi="Times New Roman" w:cs="Times New Roman"/>
          <w:sz w:val="24"/>
          <w:szCs w:val="24"/>
          <w:lang w:val="en-IN"/>
        </w:rPr>
        <w:t xml:space="preserve">as </w:t>
      </w:r>
      <w:r w:rsidRPr="004F666C">
        <w:rPr>
          <w:rFonts w:ascii="Times New Roman" w:hAnsi="Times New Roman" w:cs="Times New Roman"/>
          <w:sz w:val="24"/>
          <w:szCs w:val="24"/>
          <w:lang w:val="en-IN"/>
        </w:rPr>
        <w:t xml:space="preserve">the statement which is used and prepared by the organization for demonstrating the financial position of the organization. This statement </w:t>
      </w:r>
      <w:r w:rsidR="00AB0522" w:rsidRPr="004F666C">
        <w:rPr>
          <w:rFonts w:ascii="Times New Roman" w:hAnsi="Times New Roman" w:cs="Times New Roman"/>
          <w:sz w:val="24"/>
          <w:szCs w:val="24"/>
          <w:lang w:val="en-IN"/>
        </w:rPr>
        <w:t>comprises</w:t>
      </w:r>
      <w:r w:rsidRPr="004F666C">
        <w:rPr>
          <w:rFonts w:ascii="Times New Roman" w:hAnsi="Times New Roman" w:cs="Times New Roman"/>
          <w:sz w:val="24"/>
          <w:szCs w:val="24"/>
          <w:lang w:val="en-IN"/>
        </w:rPr>
        <w:t xml:space="preserve"> the assets, </w:t>
      </w:r>
      <w:r w:rsidR="00AB0522" w:rsidRPr="004F666C">
        <w:rPr>
          <w:rFonts w:ascii="Times New Roman" w:hAnsi="Times New Roman" w:cs="Times New Roman"/>
          <w:sz w:val="24"/>
          <w:szCs w:val="24"/>
          <w:lang w:val="en-IN"/>
        </w:rPr>
        <w:t>liabilities</w:t>
      </w:r>
      <w:r w:rsidRPr="004F666C">
        <w:rPr>
          <w:rFonts w:ascii="Times New Roman" w:hAnsi="Times New Roman" w:cs="Times New Roman"/>
          <w:sz w:val="24"/>
          <w:szCs w:val="24"/>
          <w:lang w:val="en-IN"/>
        </w:rPr>
        <w:t xml:space="preserve"> and equity </w:t>
      </w:r>
      <w:r w:rsidR="00AB0522" w:rsidRPr="004F666C">
        <w:rPr>
          <w:rFonts w:ascii="Times New Roman" w:hAnsi="Times New Roman" w:cs="Times New Roman"/>
          <w:sz w:val="24"/>
          <w:szCs w:val="24"/>
          <w:lang w:val="en-IN"/>
        </w:rPr>
        <w:t>capital of the organization that may influence the decision of the companies and investors because the financial position statement reveals the position of the company whether it may pay out the debts and capital of the investors</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sz w:val="24"/>
          <w:szCs w:val="24"/>
        </w:rPr>
        <w:t>Brigham and Houston, 2012)</w:t>
      </w:r>
      <w:r w:rsidR="00AB0522" w:rsidRPr="004F666C">
        <w:rPr>
          <w:rFonts w:ascii="Times New Roman" w:hAnsi="Times New Roman" w:cs="Times New Roman"/>
          <w:sz w:val="24"/>
          <w:szCs w:val="24"/>
          <w:lang w:val="en-IN"/>
        </w:rPr>
        <w:t>. This is an important financial statement like the income statement, cash flow statement, statemen</w:t>
      </w:r>
      <w:r w:rsidR="00824380" w:rsidRPr="004F666C">
        <w:rPr>
          <w:rFonts w:ascii="Times New Roman" w:hAnsi="Times New Roman" w:cs="Times New Roman"/>
          <w:sz w:val="24"/>
          <w:szCs w:val="24"/>
          <w:lang w:val="en-IN"/>
        </w:rPr>
        <w:t>t</w:t>
      </w:r>
      <w:r w:rsidR="00AB0522" w:rsidRPr="004F666C">
        <w:rPr>
          <w:rFonts w:ascii="Times New Roman" w:hAnsi="Times New Roman" w:cs="Times New Roman"/>
          <w:sz w:val="24"/>
          <w:szCs w:val="24"/>
          <w:lang w:val="en-IN"/>
        </w:rPr>
        <w:t xml:space="preserve"> of change in equity and others which aids to provide required information to the stakeholders</w:t>
      </w:r>
      <w:r w:rsidR="009A7E35" w:rsidRPr="004F666C">
        <w:rPr>
          <w:rFonts w:ascii="Times New Roman" w:hAnsi="Times New Roman" w:cs="Times New Roman"/>
          <w:sz w:val="24"/>
          <w:szCs w:val="24"/>
          <w:lang w:val="en-IN"/>
        </w:rPr>
        <w:t xml:space="preserve"> (</w:t>
      </w:r>
      <w:r w:rsidR="009A7E35" w:rsidRPr="004F666C">
        <w:rPr>
          <w:rFonts w:ascii="Times New Roman" w:hAnsi="Times New Roman" w:cs="Times New Roman"/>
          <w:color w:val="222222"/>
          <w:sz w:val="24"/>
          <w:szCs w:val="24"/>
          <w:shd w:val="clear" w:color="auto" w:fill="FFFFFF"/>
        </w:rPr>
        <w:t>Madura, 2011)</w:t>
      </w:r>
      <w:r w:rsidR="00AB0522" w:rsidRPr="004F666C">
        <w:rPr>
          <w:rFonts w:ascii="Times New Roman" w:hAnsi="Times New Roman" w:cs="Times New Roman"/>
          <w:sz w:val="24"/>
          <w:szCs w:val="24"/>
          <w:lang w:val="en-IN"/>
        </w:rPr>
        <w:t xml:space="preserve">. The stakeholders of the statement of the financial position may be </w:t>
      </w:r>
      <w:r w:rsidR="00824380" w:rsidRPr="004F666C">
        <w:rPr>
          <w:rFonts w:ascii="Times New Roman" w:hAnsi="Times New Roman" w:cs="Times New Roman"/>
          <w:sz w:val="24"/>
          <w:szCs w:val="24"/>
          <w:lang w:val="en-IN"/>
        </w:rPr>
        <w:t xml:space="preserve">the </w:t>
      </w:r>
      <w:r w:rsidR="00AB0522" w:rsidRPr="004F666C">
        <w:rPr>
          <w:rFonts w:ascii="Times New Roman" w:hAnsi="Times New Roman" w:cs="Times New Roman"/>
          <w:sz w:val="24"/>
          <w:szCs w:val="24"/>
          <w:lang w:val="en-IN"/>
        </w:rPr>
        <w:t xml:space="preserve">company, managers, lenders, investors, suppliers and government to keep eye on the position of the company and to get insight into </w:t>
      </w:r>
      <w:r w:rsidR="00824380" w:rsidRPr="004F666C">
        <w:rPr>
          <w:rFonts w:ascii="Times New Roman" w:hAnsi="Times New Roman" w:cs="Times New Roman"/>
          <w:sz w:val="24"/>
          <w:szCs w:val="24"/>
          <w:lang w:val="en-IN"/>
        </w:rPr>
        <w:t xml:space="preserve">the </w:t>
      </w:r>
      <w:r w:rsidR="00AB0522" w:rsidRPr="004F666C">
        <w:rPr>
          <w:rFonts w:ascii="Times New Roman" w:hAnsi="Times New Roman" w:cs="Times New Roman"/>
          <w:sz w:val="24"/>
          <w:szCs w:val="24"/>
          <w:lang w:val="en-IN"/>
        </w:rPr>
        <w:t xml:space="preserve">strength of the organization. </w:t>
      </w:r>
    </w:p>
    <w:p w14:paraId="31556EAA" w14:textId="1893458E" w:rsidR="00AC22B4" w:rsidRPr="004F666C" w:rsidRDefault="00AC22B4"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sz w:val="24"/>
          <w:szCs w:val="24"/>
          <w:lang w:val="en-IN"/>
        </w:rPr>
        <w:t xml:space="preserve">This statement is comprised of </w:t>
      </w:r>
      <w:r w:rsidR="00824380" w:rsidRPr="004F666C">
        <w:rPr>
          <w:rFonts w:ascii="Times New Roman" w:hAnsi="Times New Roman" w:cs="Times New Roman"/>
          <w:sz w:val="24"/>
          <w:szCs w:val="24"/>
          <w:lang w:val="en-IN"/>
        </w:rPr>
        <w:t xml:space="preserve">the </w:t>
      </w:r>
      <w:r w:rsidRPr="004F666C">
        <w:rPr>
          <w:rFonts w:ascii="Times New Roman" w:hAnsi="Times New Roman" w:cs="Times New Roman"/>
          <w:sz w:val="24"/>
          <w:szCs w:val="24"/>
          <w:lang w:val="en-IN"/>
        </w:rPr>
        <w:t xml:space="preserve">debt and credit side where the credit side include the assets while the debit side includes the liabilities and shareholder capital. The assets may </w:t>
      </w:r>
      <w:r w:rsidR="00E81470" w:rsidRPr="004F666C">
        <w:rPr>
          <w:rFonts w:ascii="Times New Roman" w:hAnsi="Times New Roman" w:cs="Times New Roman"/>
          <w:sz w:val="24"/>
          <w:szCs w:val="24"/>
          <w:lang w:val="en-IN"/>
        </w:rPr>
        <w:t>include</w:t>
      </w:r>
      <w:r w:rsidRPr="004F666C">
        <w:rPr>
          <w:rFonts w:ascii="Times New Roman" w:hAnsi="Times New Roman" w:cs="Times New Roman"/>
          <w:sz w:val="24"/>
          <w:szCs w:val="24"/>
          <w:lang w:val="en-IN"/>
        </w:rPr>
        <w:t xml:space="preserve"> the current and non-current assets while the liabilities may be long term and </w:t>
      </w:r>
      <w:r w:rsidR="00E81470" w:rsidRPr="004F666C">
        <w:rPr>
          <w:rFonts w:ascii="Times New Roman" w:hAnsi="Times New Roman" w:cs="Times New Roman"/>
          <w:sz w:val="24"/>
          <w:szCs w:val="24"/>
          <w:lang w:val="en-IN"/>
        </w:rPr>
        <w:t>short-term</w:t>
      </w:r>
      <w:r w:rsidRPr="004F666C">
        <w:rPr>
          <w:rFonts w:ascii="Times New Roman" w:hAnsi="Times New Roman" w:cs="Times New Roman"/>
          <w:sz w:val="24"/>
          <w:szCs w:val="24"/>
          <w:lang w:val="en-IN"/>
        </w:rPr>
        <w:t xml:space="preserve"> liabilities that may influence the statement of the financial position.</w:t>
      </w:r>
      <w:r w:rsidR="00E81470" w:rsidRPr="004F666C">
        <w:rPr>
          <w:rFonts w:ascii="Times New Roman" w:hAnsi="Times New Roman" w:cs="Times New Roman"/>
          <w:sz w:val="24"/>
          <w:szCs w:val="24"/>
          <w:lang w:val="en-IN"/>
        </w:rPr>
        <w:t xml:space="preserve"> Hence, the total shareholder equity and </w:t>
      </w:r>
      <w:r w:rsidR="00824380" w:rsidRPr="004F666C">
        <w:rPr>
          <w:rFonts w:ascii="Times New Roman" w:hAnsi="Times New Roman" w:cs="Times New Roman"/>
          <w:sz w:val="24"/>
          <w:szCs w:val="24"/>
          <w:lang w:val="en-IN"/>
        </w:rPr>
        <w:t xml:space="preserve">the </w:t>
      </w:r>
      <w:r w:rsidR="00E81470" w:rsidRPr="004F666C">
        <w:rPr>
          <w:rFonts w:ascii="Times New Roman" w:hAnsi="Times New Roman" w:cs="Times New Roman"/>
          <w:sz w:val="24"/>
          <w:szCs w:val="24"/>
          <w:lang w:val="en-IN"/>
        </w:rPr>
        <w:t xml:space="preserve">total liability of the organization should be equal to the total assets of the </w:t>
      </w:r>
      <w:r w:rsidR="007F341D" w:rsidRPr="004F666C">
        <w:rPr>
          <w:rFonts w:ascii="Times New Roman" w:hAnsi="Times New Roman" w:cs="Times New Roman"/>
          <w:sz w:val="24"/>
          <w:szCs w:val="24"/>
          <w:lang w:val="en-IN"/>
        </w:rPr>
        <w:t>company to ensure th</w:t>
      </w:r>
      <w:r w:rsidR="00824380" w:rsidRPr="004F666C">
        <w:rPr>
          <w:rFonts w:ascii="Times New Roman" w:hAnsi="Times New Roman" w:cs="Times New Roman"/>
          <w:sz w:val="24"/>
          <w:szCs w:val="24"/>
          <w:lang w:val="en-IN"/>
        </w:rPr>
        <w:t>at</w:t>
      </w:r>
      <w:r w:rsidR="007F341D" w:rsidRPr="004F666C">
        <w:rPr>
          <w:rFonts w:ascii="Times New Roman" w:hAnsi="Times New Roman" w:cs="Times New Roman"/>
          <w:sz w:val="24"/>
          <w:szCs w:val="24"/>
          <w:lang w:val="en-IN"/>
        </w:rPr>
        <w:t xml:space="preserve"> all the accounts and information put in the statements are correct. The double</w:t>
      </w:r>
      <w:r w:rsidR="00824380" w:rsidRPr="004F666C">
        <w:rPr>
          <w:rFonts w:ascii="Times New Roman" w:hAnsi="Times New Roman" w:cs="Times New Roman"/>
          <w:sz w:val="24"/>
          <w:szCs w:val="24"/>
          <w:lang w:val="en-IN"/>
        </w:rPr>
        <w:t>-</w:t>
      </w:r>
      <w:r w:rsidR="007F341D" w:rsidRPr="004F666C">
        <w:rPr>
          <w:rFonts w:ascii="Times New Roman" w:hAnsi="Times New Roman" w:cs="Times New Roman"/>
          <w:sz w:val="24"/>
          <w:szCs w:val="24"/>
          <w:lang w:val="en-IN"/>
        </w:rPr>
        <w:t>entry bookkeeping system is used in the transaction recording in the statements and books of the organization</w:t>
      </w:r>
      <w:r w:rsidR="009A7E35" w:rsidRPr="004F666C">
        <w:rPr>
          <w:rFonts w:ascii="Times New Roman" w:hAnsi="Times New Roman" w:cs="Times New Roman"/>
          <w:sz w:val="24"/>
          <w:szCs w:val="24"/>
          <w:lang w:val="en-IN"/>
        </w:rPr>
        <w:t xml:space="preserve"> </w:t>
      </w:r>
      <w:r w:rsidR="009A7E35" w:rsidRPr="004F666C">
        <w:rPr>
          <w:rFonts w:ascii="Times New Roman" w:hAnsi="Times New Roman" w:cs="Times New Roman"/>
          <w:sz w:val="24"/>
          <w:szCs w:val="24"/>
          <w:lang w:val="en-US"/>
        </w:rPr>
        <w:t>(Warren et al., 2011)</w:t>
      </w:r>
      <w:r w:rsidR="007F341D" w:rsidRPr="004F666C">
        <w:rPr>
          <w:rFonts w:ascii="Times New Roman" w:hAnsi="Times New Roman" w:cs="Times New Roman"/>
          <w:sz w:val="24"/>
          <w:szCs w:val="24"/>
          <w:lang w:val="en-IN"/>
        </w:rPr>
        <w:t xml:space="preserve">. This accounting system </w:t>
      </w:r>
      <w:r w:rsidR="000E427C" w:rsidRPr="004F666C">
        <w:rPr>
          <w:rFonts w:ascii="Times New Roman" w:hAnsi="Times New Roman" w:cs="Times New Roman"/>
          <w:sz w:val="24"/>
          <w:szCs w:val="24"/>
          <w:lang w:val="en-IN"/>
        </w:rPr>
        <w:t>allows the entry of two side effects of each transaction which may improve the effectiveness in accounting and determining the errors in the accounts and statements. This requires the balance of the transaction should be equal at the end of the year and this may aid to measure the accounting accuracies</w:t>
      </w:r>
      <w:r w:rsidR="00F01CA2" w:rsidRPr="004F666C">
        <w:rPr>
          <w:rFonts w:ascii="Times New Roman" w:hAnsi="Times New Roman" w:cs="Times New Roman"/>
          <w:sz w:val="24"/>
          <w:szCs w:val="24"/>
          <w:lang w:val="en-IN"/>
        </w:rPr>
        <w:t xml:space="preserve"> </w:t>
      </w:r>
      <w:r w:rsidR="00F01CA2" w:rsidRPr="004F666C">
        <w:rPr>
          <w:rFonts w:ascii="Times New Roman" w:hAnsi="Times New Roman" w:cs="Times New Roman"/>
          <w:sz w:val="24"/>
          <w:szCs w:val="24"/>
          <w:lang w:val="en-US"/>
        </w:rPr>
        <w:t xml:space="preserve">(Brigham and </w:t>
      </w:r>
      <w:proofErr w:type="spellStart"/>
      <w:r w:rsidR="00F01CA2" w:rsidRPr="004F666C">
        <w:rPr>
          <w:rFonts w:ascii="Times New Roman" w:hAnsi="Times New Roman" w:cs="Times New Roman"/>
          <w:sz w:val="24"/>
          <w:szCs w:val="24"/>
          <w:lang w:val="en-US"/>
        </w:rPr>
        <w:t>Daves</w:t>
      </w:r>
      <w:proofErr w:type="spellEnd"/>
      <w:r w:rsidR="00F01CA2" w:rsidRPr="004F666C">
        <w:rPr>
          <w:rFonts w:ascii="Times New Roman" w:hAnsi="Times New Roman" w:cs="Times New Roman"/>
          <w:sz w:val="24"/>
          <w:szCs w:val="24"/>
          <w:lang w:val="en-US"/>
        </w:rPr>
        <w:t>, 2012)</w:t>
      </w:r>
      <w:r w:rsidR="000E427C" w:rsidRPr="004F666C">
        <w:rPr>
          <w:rFonts w:ascii="Times New Roman" w:hAnsi="Times New Roman" w:cs="Times New Roman"/>
          <w:sz w:val="24"/>
          <w:szCs w:val="24"/>
          <w:lang w:val="en-IN"/>
        </w:rPr>
        <w:t>. Hence, If the balance sheet total of two side</w:t>
      </w:r>
      <w:r w:rsidR="00824380" w:rsidRPr="004F666C">
        <w:rPr>
          <w:rFonts w:ascii="Times New Roman" w:hAnsi="Times New Roman" w:cs="Times New Roman"/>
          <w:sz w:val="24"/>
          <w:szCs w:val="24"/>
          <w:lang w:val="en-IN"/>
        </w:rPr>
        <w:t>s</w:t>
      </w:r>
      <w:r w:rsidR="000E427C" w:rsidRPr="004F666C">
        <w:rPr>
          <w:rFonts w:ascii="Times New Roman" w:hAnsi="Times New Roman" w:cs="Times New Roman"/>
          <w:sz w:val="24"/>
          <w:szCs w:val="24"/>
          <w:lang w:val="en-IN"/>
        </w:rPr>
        <w:t xml:space="preserve"> do</w:t>
      </w:r>
      <w:r w:rsidR="00824380" w:rsidRPr="004F666C">
        <w:rPr>
          <w:rFonts w:ascii="Times New Roman" w:hAnsi="Times New Roman" w:cs="Times New Roman"/>
          <w:sz w:val="24"/>
          <w:szCs w:val="24"/>
          <w:lang w:val="en-IN"/>
        </w:rPr>
        <w:t>es</w:t>
      </w:r>
      <w:r w:rsidR="000E427C" w:rsidRPr="004F666C">
        <w:rPr>
          <w:rFonts w:ascii="Times New Roman" w:hAnsi="Times New Roman" w:cs="Times New Roman"/>
          <w:sz w:val="24"/>
          <w:szCs w:val="24"/>
          <w:lang w:val="en-IN"/>
        </w:rPr>
        <w:t xml:space="preserve"> not equal, it means there is an error in the accounting practice and something is omitted in the accounts and statements. In addition to this, </w:t>
      </w:r>
      <w:r w:rsidR="00824380" w:rsidRPr="004F666C">
        <w:rPr>
          <w:rFonts w:ascii="Times New Roman" w:hAnsi="Times New Roman" w:cs="Times New Roman"/>
          <w:sz w:val="24"/>
          <w:szCs w:val="24"/>
          <w:lang w:val="en-IN"/>
        </w:rPr>
        <w:t xml:space="preserve">the </w:t>
      </w:r>
      <w:r w:rsidR="000E427C" w:rsidRPr="004F666C">
        <w:rPr>
          <w:rFonts w:ascii="Times New Roman" w:hAnsi="Times New Roman" w:cs="Times New Roman"/>
          <w:sz w:val="24"/>
          <w:szCs w:val="24"/>
          <w:lang w:val="en-IN"/>
        </w:rPr>
        <w:t>matching principle is another important reason for the equality of the balance of two sides in the statement of financial position</w:t>
      </w:r>
      <w:r w:rsidR="009A7E35" w:rsidRPr="004F666C">
        <w:rPr>
          <w:rFonts w:ascii="Times New Roman" w:hAnsi="Times New Roman" w:cs="Times New Roman"/>
          <w:sz w:val="24"/>
          <w:szCs w:val="24"/>
          <w:lang w:val="en-IN"/>
        </w:rPr>
        <w:t xml:space="preserve"> </w:t>
      </w:r>
      <w:r w:rsidR="009A7E35" w:rsidRPr="004F666C">
        <w:rPr>
          <w:rFonts w:ascii="Times New Roman" w:hAnsi="Times New Roman" w:cs="Times New Roman"/>
          <w:sz w:val="24"/>
          <w:szCs w:val="24"/>
          <w:lang w:val="en-US"/>
        </w:rPr>
        <w:t>(Warren et al., 2011)</w:t>
      </w:r>
      <w:r w:rsidR="000E427C" w:rsidRPr="004F666C">
        <w:rPr>
          <w:rFonts w:ascii="Times New Roman" w:hAnsi="Times New Roman" w:cs="Times New Roman"/>
          <w:sz w:val="24"/>
          <w:szCs w:val="24"/>
          <w:lang w:val="en-IN"/>
        </w:rPr>
        <w:t>. For example, if the company purchase an asset on cash, it may improve the fixed assets but the cash may be decrease</w:t>
      </w:r>
      <w:r w:rsidR="00824380" w:rsidRPr="004F666C">
        <w:rPr>
          <w:rFonts w:ascii="Times New Roman" w:hAnsi="Times New Roman" w:cs="Times New Roman"/>
          <w:sz w:val="24"/>
          <w:szCs w:val="24"/>
          <w:lang w:val="en-IN"/>
        </w:rPr>
        <w:t>d</w:t>
      </w:r>
      <w:r w:rsidR="000E427C" w:rsidRPr="004F666C">
        <w:rPr>
          <w:rFonts w:ascii="Times New Roman" w:hAnsi="Times New Roman" w:cs="Times New Roman"/>
          <w:sz w:val="24"/>
          <w:szCs w:val="24"/>
          <w:lang w:val="en-IN"/>
        </w:rPr>
        <w:t xml:space="preserve"> by the same amount. Hence, the two side effects of the transactions may set off the implication and can make the equality between balances of </w:t>
      </w:r>
      <w:r w:rsidR="00824380" w:rsidRPr="004F666C">
        <w:rPr>
          <w:rFonts w:ascii="Times New Roman" w:hAnsi="Times New Roman" w:cs="Times New Roman"/>
          <w:sz w:val="24"/>
          <w:szCs w:val="24"/>
          <w:lang w:val="en-IN"/>
        </w:rPr>
        <w:t xml:space="preserve">the </w:t>
      </w:r>
      <w:r w:rsidR="000E427C" w:rsidRPr="004F666C">
        <w:rPr>
          <w:rFonts w:ascii="Times New Roman" w:hAnsi="Times New Roman" w:cs="Times New Roman"/>
          <w:sz w:val="24"/>
          <w:szCs w:val="24"/>
          <w:lang w:val="en-IN"/>
        </w:rPr>
        <w:t>two side</w:t>
      </w:r>
      <w:r w:rsidR="00824380" w:rsidRPr="004F666C">
        <w:rPr>
          <w:rFonts w:ascii="Times New Roman" w:hAnsi="Times New Roman" w:cs="Times New Roman"/>
          <w:sz w:val="24"/>
          <w:szCs w:val="24"/>
          <w:lang w:val="en-IN"/>
        </w:rPr>
        <w:t>s</w:t>
      </w:r>
      <w:r w:rsidR="000E427C" w:rsidRPr="004F666C">
        <w:rPr>
          <w:rFonts w:ascii="Times New Roman" w:hAnsi="Times New Roman" w:cs="Times New Roman"/>
          <w:sz w:val="24"/>
          <w:szCs w:val="24"/>
          <w:lang w:val="en-IN"/>
        </w:rPr>
        <w:t xml:space="preserve"> compulsory.  </w:t>
      </w:r>
    </w:p>
    <w:p w14:paraId="1A07BA20" w14:textId="61D055C3" w:rsidR="00DF014F" w:rsidRPr="004F666C" w:rsidRDefault="00DF014F" w:rsidP="004F666C">
      <w:pPr>
        <w:pStyle w:val="Heading1"/>
        <w:spacing w:line="360" w:lineRule="auto"/>
        <w:rPr>
          <w:rFonts w:ascii="Times New Roman" w:hAnsi="Times New Roman" w:cs="Times New Roman"/>
          <w:sz w:val="24"/>
          <w:szCs w:val="24"/>
          <w:lang w:val="en-IN"/>
        </w:rPr>
      </w:pPr>
      <w:bookmarkStart w:id="3" w:name="_Toc99231385"/>
      <w:r w:rsidRPr="004F666C">
        <w:rPr>
          <w:rFonts w:ascii="Times New Roman" w:hAnsi="Times New Roman" w:cs="Times New Roman"/>
          <w:sz w:val="24"/>
          <w:szCs w:val="24"/>
          <w:lang w:val="en-IN"/>
        </w:rPr>
        <w:lastRenderedPageBreak/>
        <w:t>Question 2:</w:t>
      </w:r>
      <w:bookmarkEnd w:id="3"/>
      <w:r w:rsidRPr="004F666C">
        <w:rPr>
          <w:rFonts w:ascii="Times New Roman" w:hAnsi="Times New Roman" w:cs="Times New Roman"/>
          <w:sz w:val="24"/>
          <w:szCs w:val="24"/>
          <w:lang w:val="en-IN"/>
        </w:rPr>
        <w:t xml:space="preserve"> </w:t>
      </w:r>
    </w:p>
    <w:p w14:paraId="10770A4F" w14:textId="4BA4AC1C" w:rsidR="00DF014F" w:rsidRPr="004F666C" w:rsidRDefault="00DF014F" w:rsidP="004F666C">
      <w:pPr>
        <w:pStyle w:val="Heading2"/>
        <w:spacing w:line="360" w:lineRule="auto"/>
        <w:rPr>
          <w:rFonts w:ascii="Times New Roman" w:hAnsi="Times New Roman" w:cs="Times New Roman"/>
          <w:sz w:val="24"/>
          <w:szCs w:val="24"/>
          <w:lang w:val="en-IN"/>
        </w:rPr>
      </w:pPr>
      <w:bookmarkStart w:id="4" w:name="_Toc99231386"/>
      <w:r w:rsidRPr="004F666C">
        <w:rPr>
          <w:rFonts w:ascii="Times New Roman" w:hAnsi="Times New Roman" w:cs="Times New Roman"/>
          <w:sz w:val="24"/>
          <w:szCs w:val="24"/>
          <w:lang w:val="en-IN"/>
        </w:rPr>
        <w:t>Ratio Analysis:</w:t>
      </w:r>
      <w:bookmarkEnd w:id="4"/>
    </w:p>
    <w:tbl>
      <w:tblPr>
        <w:tblW w:w="8921" w:type="dxa"/>
        <w:shd w:val="clear" w:color="auto" w:fill="FFC000"/>
        <w:tblLook w:val="04A0" w:firstRow="1" w:lastRow="0" w:firstColumn="1" w:lastColumn="0" w:noHBand="0" w:noVBand="1"/>
      </w:tblPr>
      <w:tblGrid>
        <w:gridCol w:w="2542"/>
        <w:gridCol w:w="4125"/>
        <w:gridCol w:w="1119"/>
        <w:gridCol w:w="1135"/>
      </w:tblGrid>
      <w:tr w:rsidR="00AB5F0B" w:rsidRPr="00AB5F0B" w14:paraId="0E1D4BBB" w14:textId="77777777" w:rsidTr="0068050A">
        <w:trPr>
          <w:trHeight w:val="265"/>
        </w:trPr>
        <w:tc>
          <w:tcPr>
            <w:tcW w:w="2542" w:type="dxa"/>
            <w:tcBorders>
              <w:top w:val="single" w:sz="8" w:space="0" w:color="auto"/>
              <w:left w:val="single" w:sz="8" w:space="0" w:color="auto"/>
              <w:bottom w:val="single" w:sz="8" w:space="0" w:color="auto"/>
              <w:right w:val="single" w:sz="8" w:space="0" w:color="auto"/>
            </w:tcBorders>
            <w:shd w:val="clear" w:color="auto" w:fill="FF0000"/>
            <w:noWrap/>
            <w:vAlign w:val="center"/>
            <w:hideMark/>
          </w:tcPr>
          <w:p w14:paraId="5463566D"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Ratio</w:t>
            </w:r>
          </w:p>
        </w:tc>
        <w:tc>
          <w:tcPr>
            <w:tcW w:w="4125" w:type="dxa"/>
            <w:tcBorders>
              <w:top w:val="single" w:sz="8" w:space="0" w:color="auto"/>
              <w:left w:val="nil"/>
              <w:bottom w:val="single" w:sz="8" w:space="0" w:color="auto"/>
              <w:right w:val="single" w:sz="8" w:space="0" w:color="auto"/>
            </w:tcBorders>
            <w:shd w:val="clear" w:color="auto" w:fill="FF0000"/>
            <w:noWrap/>
            <w:vAlign w:val="center"/>
            <w:hideMark/>
          </w:tcPr>
          <w:p w14:paraId="01F7815F"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Formula</w:t>
            </w:r>
          </w:p>
        </w:tc>
        <w:tc>
          <w:tcPr>
            <w:tcW w:w="1119" w:type="dxa"/>
            <w:tcBorders>
              <w:top w:val="single" w:sz="8" w:space="0" w:color="auto"/>
              <w:left w:val="nil"/>
              <w:bottom w:val="single" w:sz="8" w:space="0" w:color="auto"/>
              <w:right w:val="single" w:sz="8" w:space="0" w:color="auto"/>
            </w:tcBorders>
            <w:shd w:val="clear" w:color="auto" w:fill="FF0000"/>
            <w:noWrap/>
            <w:vAlign w:val="center"/>
            <w:hideMark/>
          </w:tcPr>
          <w:p w14:paraId="0F2AD0F6"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2021</w:t>
            </w:r>
          </w:p>
        </w:tc>
        <w:tc>
          <w:tcPr>
            <w:tcW w:w="1135" w:type="dxa"/>
            <w:tcBorders>
              <w:top w:val="single" w:sz="8" w:space="0" w:color="auto"/>
              <w:left w:val="nil"/>
              <w:bottom w:val="single" w:sz="8" w:space="0" w:color="auto"/>
              <w:right w:val="single" w:sz="8" w:space="0" w:color="auto"/>
            </w:tcBorders>
            <w:shd w:val="clear" w:color="auto" w:fill="FF0000"/>
            <w:noWrap/>
            <w:vAlign w:val="center"/>
            <w:hideMark/>
          </w:tcPr>
          <w:p w14:paraId="789F30BA"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2020</w:t>
            </w:r>
          </w:p>
        </w:tc>
      </w:tr>
      <w:tr w:rsidR="00AB5F0B" w:rsidRPr="00AB5F0B" w14:paraId="34B6F1BB" w14:textId="77777777" w:rsidTr="0068050A">
        <w:trPr>
          <w:trHeight w:val="257"/>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14EEF7AA"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bottom"/>
            <w:hideMark/>
          </w:tcPr>
          <w:p w14:paraId="2E9FE71C"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19" w:type="dxa"/>
            <w:tcBorders>
              <w:top w:val="nil"/>
              <w:left w:val="nil"/>
              <w:bottom w:val="single" w:sz="8" w:space="0" w:color="auto"/>
              <w:right w:val="single" w:sz="8" w:space="0" w:color="auto"/>
            </w:tcBorders>
            <w:shd w:val="clear" w:color="auto" w:fill="FFC000"/>
            <w:noWrap/>
            <w:vAlign w:val="bottom"/>
            <w:hideMark/>
          </w:tcPr>
          <w:p w14:paraId="4771F969"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35" w:type="dxa"/>
            <w:tcBorders>
              <w:top w:val="nil"/>
              <w:left w:val="nil"/>
              <w:bottom w:val="single" w:sz="8" w:space="0" w:color="auto"/>
              <w:right w:val="single" w:sz="8" w:space="0" w:color="auto"/>
            </w:tcBorders>
            <w:shd w:val="clear" w:color="auto" w:fill="FFC000"/>
            <w:noWrap/>
            <w:vAlign w:val="bottom"/>
            <w:hideMark/>
          </w:tcPr>
          <w:p w14:paraId="7A79FB9F"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r>
      <w:tr w:rsidR="00AB5F0B" w:rsidRPr="00AB5F0B" w14:paraId="4699D28F" w14:textId="77777777" w:rsidTr="0068050A">
        <w:trPr>
          <w:trHeight w:val="540"/>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69646D38"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Return on capital employed</w:t>
            </w:r>
          </w:p>
        </w:tc>
        <w:tc>
          <w:tcPr>
            <w:tcW w:w="4125" w:type="dxa"/>
            <w:tcBorders>
              <w:top w:val="nil"/>
              <w:left w:val="nil"/>
              <w:bottom w:val="single" w:sz="8" w:space="0" w:color="auto"/>
              <w:right w:val="single" w:sz="8" w:space="0" w:color="auto"/>
            </w:tcBorders>
            <w:shd w:val="clear" w:color="auto" w:fill="FFC000"/>
            <w:vAlign w:val="center"/>
            <w:hideMark/>
          </w:tcPr>
          <w:p w14:paraId="4CBEF8D3" w14:textId="77777777" w:rsidR="00AB5F0B" w:rsidRPr="00AB5F0B" w:rsidRDefault="00AB5F0B" w:rsidP="00AB5F0B">
            <w:pPr>
              <w:spacing w:after="0" w:line="240" w:lineRule="auto"/>
              <w:jc w:val="center"/>
              <w:rPr>
                <w:rFonts w:ascii="Times New Roman" w:eastAsia="Times New Roman" w:hAnsi="Times New Roman" w:cs="Times New Roman"/>
                <w:b/>
                <w:bCs/>
                <w:i/>
                <w:iCs/>
                <w:color w:val="000000"/>
                <w:sz w:val="24"/>
                <w:szCs w:val="24"/>
                <w:lang w:eastAsia="en-GB"/>
              </w:rPr>
            </w:pPr>
            <w:r w:rsidRPr="00AB5F0B">
              <w:rPr>
                <w:rFonts w:ascii="Times New Roman" w:eastAsia="Times New Roman" w:hAnsi="Times New Roman" w:cs="Times New Roman"/>
                <w:b/>
                <w:bCs/>
                <w:i/>
                <w:iCs/>
                <w:color w:val="000000"/>
                <w:sz w:val="24"/>
                <w:szCs w:val="24"/>
                <w:lang w:val="en-IN" w:eastAsia="en-GB"/>
              </w:rPr>
              <w:t>Profit before interest/</w:t>
            </w:r>
            <w:r w:rsidRPr="00AB5F0B">
              <w:rPr>
                <w:rFonts w:ascii="Times New Roman" w:eastAsia="Times New Roman" w:hAnsi="Times New Roman" w:cs="Times New Roman"/>
                <w:b/>
                <w:bCs/>
                <w:i/>
                <w:iCs/>
                <w:color w:val="000000"/>
                <w:sz w:val="24"/>
                <w:szCs w:val="24"/>
                <w:lang w:val="en-IN" w:eastAsia="en-GB"/>
              </w:rPr>
              <w:br/>
              <w:t xml:space="preserve"> Assets employed</w:t>
            </w:r>
          </w:p>
        </w:tc>
        <w:tc>
          <w:tcPr>
            <w:tcW w:w="1119" w:type="dxa"/>
            <w:tcBorders>
              <w:top w:val="nil"/>
              <w:left w:val="nil"/>
              <w:bottom w:val="single" w:sz="8" w:space="0" w:color="auto"/>
              <w:right w:val="single" w:sz="8" w:space="0" w:color="auto"/>
            </w:tcBorders>
            <w:shd w:val="clear" w:color="auto" w:fill="FFC000"/>
            <w:noWrap/>
            <w:vAlign w:val="center"/>
            <w:hideMark/>
          </w:tcPr>
          <w:p w14:paraId="555C9DAE"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9.09%</w:t>
            </w:r>
          </w:p>
        </w:tc>
        <w:tc>
          <w:tcPr>
            <w:tcW w:w="1135" w:type="dxa"/>
            <w:tcBorders>
              <w:top w:val="nil"/>
              <w:left w:val="nil"/>
              <w:bottom w:val="single" w:sz="8" w:space="0" w:color="auto"/>
              <w:right w:val="single" w:sz="8" w:space="0" w:color="auto"/>
            </w:tcBorders>
            <w:shd w:val="clear" w:color="auto" w:fill="FFC000"/>
            <w:noWrap/>
            <w:vAlign w:val="center"/>
            <w:hideMark/>
          </w:tcPr>
          <w:p w14:paraId="5D19ECAF"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7.77%</w:t>
            </w:r>
          </w:p>
        </w:tc>
      </w:tr>
      <w:tr w:rsidR="00AB5F0B" w:rsidRPr="00AB5F0B" w14:paraId="72E5CC35"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162FA1C0"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3C5D0882"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Profit before interest</w:t>
            </w:r>
          </w:p>
        </w:tc>
        <w:tc>
          <w:tcPr>
            <w:tcW w:w="1119" w:type="dxa"/>
            <w:tcBorders>
              <w:top w:val="nil"/>
              <w:left w:val="nil"/>
              <w:bottom w:val="single" w:sz="8" w:space="0" w:color="auto"/>
              <w:right w:val="single" w:sz="8" w:space="0" w:color="auto"/>
            </w:tcBorders>
            <w:shd w:val="clear" w:color="auto" w:fill="FFC000"/>
            <w:noWrap/>
            <w:vAlign w:val="center"/>
            <w:hideMark/>
          </w:tcPr>
          <w:p w14:paraId="581C412F"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657</w:t>
            </w:r>
          </w:p>
        </w:tc>
        <w:tc>
          <w:tcPr>
            <w:tcW w:w="1135" w:type="dxa"/>
            <w:tcBorders>
              <w:top w:val="nil"/>
              <w:left w:val="nil"/>
              <w:bottom w:val="single" w:sz="8" w:space="0" w:color="auto"/>
              <w:right w:val="single" w:sz="8" w:space="0" w:color="auto"/>
            </w:tcBorders>
            <w:shd w:val="clear" w:color="auto" w:fill="FFC000"/>
            <w:noWrap/>
            <w:vAlign w:val="center"/>
            <w:hideMark/>
          </w:tcPr>
          <w:p w14:paraId="4EFD9FBC"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547</w:t>
            </w:r>
          </w:p>
        </w:tc>
      </w:tr>
      <w:tr w:rsidR="00AB5F0B" w:rsidRPr="00AB5F0B" w14:paraId="1E8A4FAB"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74D7F015"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1B2245F3"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Assets Employed = Total Assets – Current Liabilities</w:t>
            </w:r>
          </w:p>
        </w:tc>
        <w:tc>
          <w:tcPr>
            <w:tcW w:w="1119" w:type="dxa"/>
            <w:tcBorders>
              <w:top w:val="nil"/>
              <w:left w:val="nil"/>
              <w:bottom w:val="single" w:sz="8" w:space="0" w:color="auto"/>
              <w:right w:val="single" w:sz="8" w:space="0" w:color="auto"/>
            </w:tcBorders>
            <w:shd w:val="clear" w:color="auto" w:fill="FFC000"/>
            <w:noWrap/>
            <w:vAlign w:val="center"/>
            <w:hideMark/>
          </w:tcPr>
          <w:p w14:paraId="0CE2398C"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7,225</w:t>
            </w:r>
          </w:p>
        </w:tc>
        <w:tc>
          <w:tcPr>
            <w:tcW w:w="1135" w:type="dxa"/>
            <w:tcBorders>
              <w:top w:val="nil"/>
              <w:left w:val="nil"/>
              <w:bottom w:val="single" w:sz="8" w:space="0" w:color="auto"/>
              <w:right w:val="single" w:sz="8" w:space="0" w:color="auto"/>
            </w:tcBorders>
            <w:shd w:val="clear" w:color="auto" w:fill="FFC000"/>
            <w:noWrap/>
            <w:vAlign w:val="center"/>
            <w:hideMark/>
          </w:tcPr>
          <w:p w14:paraId="5DC66129"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7,041</w:t>
            </w:r>
          </w:p>
        </w:tc>
      </w:tr>
      <w:tr w:rsidR="00AB5F0B" w:rsidRPr="00AB5F0B" w14:paraId="373CD72A"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3B1F0A92"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ROE</w:t>
            </w:r>
          </w:p>
        </w:tc>
        <w:tc>
          <w:tcPr>
            <w:tcW w:w="4125" w:type="dxa"/>
            <w:tcBorders>
              <w:top w:val="nil"/>
              <w:left w:val="nil"/>
              <w:bottom w:val="single" w:sz="8" w:space="0" w:color="auto"/>
              <w:right w:val="single" w:sz="8" w:space="0" w:color="auto"/>
            </w:tcBorders>
            <w:shd w:val="clear" w:color="auto" w:fill="FFC000"/>
            <w:noWrap/>
            <w:vAlign w:val="center"/>
            <w:hideMark/>
          </w:tcPr>
          <w:p w14:paraId="30E54667" w14:textId="77777777" w:rsidR="00AB5F0B" w:rsidRPr="00AB5F0B" w:rsidRDefault="00AB5F0B" w:rsidP="00AB5F0B">
            <w:pPr>
              <w:spacing w:after="0" w:line="240" w:lineRule="auto"/>
              <w:jc w:val="center"/>
              <w:rPr>
                <w:rFonts w:ascii="Times New Roman" w:eastAsia="Times New Roman" w:hAnsi="Times New Roman" w:cs="Times New Roman"/>
                <w:b/>
                <w:bCs/>
                <w:i/>
                <w:iCs/>
                <w:color w:val="000000"/>
                <w:sz w:val="24"/>
                <w:szCs w:val="24"/>
                <w:lang w:eastAsia="en-GB"/>
              </w:rPr>
            </w:pPr>
            <w:r w:rsidRPr="00AB5F0B">
              <w:rPr>
                <w:rFonts w:ascii="Times New Roman" w:eastAsia="Times New Roman" w:hAnsi="Times New Roman" w:cs="Times New Roman"/>
                <w:b/>
                <w:bCs/>
                <w:i/>
                <w:iCs/>
                <w:color w:val="000000"/>
                <w:sz w:val="24"/>
                <w:szCs w:val="24"/>
                <w:lang w:val="en-IN" w:eastAsia="en-GB"/>
              </w:rPr>
              <w:t>Income/ Equity*100</w:t>
            </w:r>
          </w:p>
        </w:tc>
        <w:tc>
          <w:tcPr>
            <w:tcW w:w="1119" w:type="dxa"/>
            <w:tcBorders>
              <w:top w:val="nil"/>
              <w:left w:val="nil"/>
              <w:bottom w:val="single" w:sz="8" w:space="0" w:color="auto"/>
              <w:right w:val="single" w:sz="8" w:space="0" w:color="auto"/>
            </w:tcBorders>
            <w:shd w:val="clear" w:color="auto" w:fill="FFC000"/>
            <w:noWrap/>
            <w:vAlign w:val="center"/>
            <w:hideMark/>
          </w:tcPr>
          <w:p w14:paraId="66CA9C35"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218.20%</w:t>
            </w:r>
          </w:p>
        </w:tc>
        <w:tc>
          <w:tcPr>
            <w:tcW w:w="1135" w:type="dxa"/>
            <w:tcBorders>
              <w:top w:val="nil"/>
              <w:left w:val="nil"/>
              <w:bottom w:val="single" w:sz="8" w:space="0" w:color="auto"/>
              <w:right w:val="single" w:sz="8" w:space="0" w:color="auto"/>
            </w:tcBorders>
            <w:shd w:val="clear" w:color="auto" w:fill="FFC000"/>
            <w:noWrap/>
            <w:vAlign w:val="center"/>
            <w:hideMark/>
          </w:tcPr>
          <w:p w14:paraId="05D77F57"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221.19%</w:t>
            </w:r>
          </w:p>
        </w:tc>
      </w:tr>
      <w:tr w:rsidR="00AB5F0B" w:rsidRPr="00AB5F0B" w14:paraId="31069A74"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341746B1"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7BFFC55F"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Income</w:t>
            </w:r>
          </w:p>
        </w:tc>
        <w:tc>
          <w:tcPr>
            <w:tcW w:w="1119" w:type="dxa"/>
            <w:tcBorders>
              <w:top w:val="nil"/>
              <w:left w:val="nil"/>
              <w:bottom w:val="single" w:sz="8" w:space="0" w:color="auto"/>
              <w:right w:val="single" w:sz="8" w:space="0" w:color="auto"/>
            </w:tcBorders>
            <w:shd w:val="clear" w:color="auto" w:fill="FFC000"/>
            <w:noWrap/>
            <w:vAlign w:val="center"/>
            <w:hideMark/>
          </w:tcPr>
          <w:p w14:paraId="1E43BBE2"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 xml:space="preserve">            6,738 </w:t>
            </w:r>
          </w:p>
        </w:tc>
        <w:tc>
          <w:tcPr>
            <w:tcW w:w="1135" w:type="dxa"/>
            <w:tcBorders>
              <w:top w:val="nil"/>
              <w:left w:val="nil"/>
              <w:bottom w:val="single" w:sz="8" w:space="0" w:color="auto"/>
              <w:right w:val="single" w:sz="8" w:space="0" w:color="auto"/>
            </w:tcBorders>
            <w:shd w:val="clear" w:color="auto" w:fill="FFC000"/>
            <w:noWrap/>
            <w:vAlign w:val="center"/>
            <w:hideMark/>
          </w:tcPr>
          <w:p w14:paraId="278B9602"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 xml:space="preserve">            6,441 </w:t>
            </w:r>
          </w:p>
        </w:tc>
      </w:tr>
      <w:tr w:rsidR="00AB5F0B" w:rsidRPr="00AB5F0B" w14:paraId="1EFD82E0"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656011CE"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3197F87C"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Equity</w:t>
            </w:r>
          </w:p>
        </w:tc>
        <w:tc>
          <w:tcPr>
            <w:tcW w:w="1119" w:type="dxa"/>
            <w:tcBorders>
              <w:top w:val="nil"/>
              <w:left w:val="nil"/>
              <w:bottom w:val="single" w:sz="8" w:space="0" w:color="auto"/>
              <w:right w:val="single" w:sz="8" w:space="0" w:color="auto"/>
            </w:tcBorders>
            <w:shd w:val="clear" w:color="auto" w:fill="FFC000"/>
            <w:noWrap/>
            <w:vAlign w:val="center"/>
            <w:hideMark/>
          </w:tcPr>
          <w:p w14:paraId="2E246F0F"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 xml:space="preserve">            3,088 </w:t>
            </w:r>
          </w:p>
        </w:tc>
        <w:tc>
          <w:tcPr>
            <w:tcW w:w="1135" w:type="dxa"/>
            <w:tcBorders>
              <w:top w:val="nil"/>
              <w:left w:val="nil"/>
              <w:bottom w:val="single" w:sz="8" w:space="0" w:color="auto"/>
              <w:right w:val="single" w:sz="8" w:space="0" w:color="auto"/>
            </w:tcBorders>
            <w:shd w:val="clear" w:color="auto" w:fill="FFC000"/>
            <w:noWrap/>
            <w:vAlign w:val="center"/>
            <w:hideMark/>
          </w:tcPr>
          <w:p w14:paraId="46C56D43"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 xml:space="preserve">            2,912 </w:t>
            </w:r>
          </w:p>
        </w:tc>
      </w:tr>
      <w:tr w:rsidR="00AB5F0B" w:rsidRPr="00AB5F0B" w14:paraId="65DCE75E" w14:textId="77777777" w:rsidTr="0068050A">
        <w:trPr>
          <w:trHeight w:val="257"/>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7E92958D"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bottom"/>
            <w:hideMark/>
          </w:tcPr>
          <w:p w14:paraId="58803BAE"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19" w:type="dxa"/>
            <w:tcBorders>
              <w:top w:val="nil"/>
              <w:left w:val="nil"/>
              <w:bottom w:val="single" w:sz="8" w:space="0" w:color="auto"/>
              <w:right w:val="single" w:sz="8" w:space="0" w:color="auto"/>
            </w:tcBorders>
            <w:shd w:val="clear" w:color="auto" w:fill="FFC000"/>
            <w:noWrap/>
            <w:vAlign w:val="bottom"/>
            <w:hideMark/>
          </w:tcPr>
          <w:p w14:paraId="4A7E6CFC"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35" w:type="dxa"/>
            <w:tcBorders>
              <w:top w:val="nil"/>
              <w:left w:val="nil"/>
              <w:bottom w:val="single" w:sz="8" w:space="0" w:color="auto"/>
              <w:right w:val="single" w:sz="8" w:space="0" w:color="auto"/>
            </w:tcBorders>
            <w:shd w:val="clear" w:color="auto" w:fill="FFC000"/>
            <w:noWrap/>
            <w:vAlign w:val="bottom"/>
            <w:hideMark/>
          </w:tcPr>
          <w:p w14:paraId="6F27D32A"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r>
      <w:tr w:rsidR="00AB5F0B" w:rsidRPr="00AB5F0B" w14:paraId="5AAD3D76"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66A4FDC1"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Earnings Per share</w:t>
            </w:r>
          </w:p>
        </w:tc>
        <w:tc>
          <w:tcPr>
            <w:tcW w:w="4125" w:type="dxa"/>
            <w:tcBorders>
              <w:top w:val="nil"/>
              <w:left w:val="nil"/>
              <w:bottom w:val="single" w:sz="8" w:space="0" w:color="auto"/>
              <w:right w:val="single" w:sz="8" w:space="0" w:color="auto"/>
            </w:tcBorders>
            <w:shd w:val="clear" w:color="auto" w:fill="FFC000"/>
            <w:noWrap/>
            <w:vAlign w:val="center"/>
            <w:hideMark/>
          </w:tcPr>
          <w:p w14:paraId="62A7B193" w14:textId="77777777" w:rsidR="00AB5F0B" w:rsidRPr="00AB5F0B" w:rsidRDefault="00AB5F0B" w:rsidP="00AB5F0B">
            <w:pPr>
              <w:spacing w:after="0" w:line="240" w:lineRule="auto"/>
              <w:jc w:val="center"/>
              <w:rPr>
                <w:rFonts w:ascii="Times New Roman" w:eastAsia="Times New Roman" w:hAnsi="Times New Roman" w:cs="Times New Roman"/>
                <w:b/>
                <w:bCs/>
                <w:i/>
                <w:iCs/>
                <w:color w:val="000000"/>
                <w:sz w:val="24"/>
                <w:szCs w:val="24"/>
                <w:lang w:eastAsia="en-GB"/>
              </w:rPr>
            </w:pPr>
            <w:r w:rsidRPr="00AB5F0B">
              <w:rPr>
                <w:rFonts w:ascii="Times New Roman" w:eastAsia="Times New Roman" w:hAnsi="Times New Roman" w:cs="Times New Roman"/>
                <w:b/>
                <w:bCs/>
                <w:i/>
                <w:iCs/>
                <w:color w:val="000000"/>
                <w:sz w:val="24"/>
                <w:szCs w:val="24"/>
                <w:lang w:val="en-IN" w:eastAsia="en-GB"/>
              </w:rPr>
              <w:t>Income/ Outstanding shareholders</w:t>
            </w:r>
          </w:p>
        </w:tc>
        <w:tc>
          <w:tcPr>
            <w:tcW w:w="1119" w:type="dxa"/>
            <w:tcBorders>
              <w:top w:val="nil"/>
              <w:left w:val="nil"/>
              <w:bottom w:val="single" w:sz="8" w:space="0" w:color="auto"/>
              <w:right w:val="single" w:sz="8" w:space="0" w:color="auto"/>
            </w:tcBorders>
            <w:shd w:val="clear" w:color="auto" w:fill="FFC000"/>
            <w:noWrap/>
            <w:vAlign w:val="center"/>
            <w:hideMark/>
          </w:tcPr>
          <w:p w14:paraId="565433C9"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0.72</w:t>
            </w:r>
          </w:p>
        </w:tc>
        <w:tc>
          <w:tcPr>
            <w:tcW w:w="1135" w:type="dxa"/>
            <w:tcBorders>
              <w:top w:val="nil"/>
              <w:left w:val="nil"/>
              <w:bottom w:val="single" w:sz="8" w:space="0" w:color="auto"/>
              <w:right w:val="single" w:sz="8" w:space="0" w:color="auto"/>
            </w:tcBorders>
            <w:shd w:val="clear" w:color="auto" w:fill="FFC000"/>
            <w:noWrap/>
            <w:vAlign w:val="center"/>
            <w:hideMark/>
          </w:tcPr>
          <w:p w14:paraId="7753889F"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0.61</w:t>
            </w:r>
          </w:p>
        </w:tc>
      </w:tr>
      <w:tr w:rsidR="00AB5F0B" w:rsidRPr="00AB5F0B" w14:paraId="2F45EE2C"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431BC1E4"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1AEA227E"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Net Profit</w:t>
            </w:r>
          </w:p>
        </w:tc>
        <w:tc>
          <w:tcPr>
            <w:tcW w:w="1119" w:type="dxa"/>
            <w:tcBorders>
              <w:top w:val="nil"/>
              <w:left w:val="nil"/>
              <w:bottom w:val="single" w:sz="8" w:space="0" w:color="auto"/>
              <w:right w:val="single" w:sz="8" w:space="0" w:color="auto"/>
            </w:tcBorders>
            <w:shd w:val="clear" w:color="auto" w:fill="FFC000"/>
            <w:noWrap/>
            <w:vAlign w:val="center"/>
            <w:hideMark/>
          </w:tcPr>
          <w:p w14:paraId="233A0D5F"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431</w:t>
            </w:r>
          </w:p>
        </w:tc>
        <w:tc>
          <w:tcPr>
            <w:tcW w:w="1135" w:type="dxa"/>
            <w:tcBorders>
              <w:top w:val="nil"/>
              <w:left w:val="nil"/>
              <w:bottom w:val="single" w:sz="8" w:space="0" w:color="auto"/>
              <w:right w:val="single" w:sz="8" w:space="0" w:color="auto"/>
            </w:tcBorders>
            <w:shd w:val="clear" w:color="auto" w:fill="FFC000"/>
            <w:noWrap/>
            <w:vAlign w:val="center"/>
            <w:hideMark/>
          </w:tcPr>
          <w:p w14:paraId="051FC7F0"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366</w:t>
            </w:r>
          </w:p>
        </w:tc>
      </w:tr>
      <w:tr w:rsidR="00AB5F0B" w:rsidRPr="00AB5F0B" w14:paraId="5D2318BE"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28CED95D"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22759449"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Outstanding Shareholders</w:t>
            </w:r>
          </w:p>
        </w:tc>
        <w:tc>
          <w:tcPr>
            <w:tcW w:w="1119" w:type="dxa"/>
            <w:tcBorders>
              <w:top w:val="nil"/>
              <w:left w:val="nil"/>
              <w:bottom w:val="single" w:sz="8" w:space="0" w:color="auto"/>
              <w:right w:val="single" w:sz="8" w:space="0" w:color="auto"/>
            </w:tcBorders>
            <w:shd w:val="clear" w:color="auto" w:fill="FFC000"/>
            <w:noWrap/>
            <w:vAlign w:val="center"/>
            <w:hideMark/>
          </w:tcPr>
          <w:p w14:paraId="13C683A6"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600</w:t>
            </w:r>
          </w:p>
        </w:tc>
        <w:tc>
          <w:tcPr>
            <w:tcW w:w="1135" w:type="dxa"/>
            <w:tcBorders>
              <w:top w:val="nil"/>
              <w:left w:val="nil"/>
              <w:bottom w:val="single" w:sz="8" w:space="0" w:color="auto"/>
              <w:right w:val="single" w:sz="8" w:space="0" w:color="auto"/>
            </w:tcBorders>
            <w:shd w:val="clear" w:color="auto" w:fill="FFC000"/>
            <w:noWrap/>
            <w:vAlign w:val="center"/>
            <w:hideMark/>
          </w:tcPr>
          <w:p w14:paraId="41B52396"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600</w:t>
            </w:r>
          </w:p>
        </w:tc>
      </w:tr>
      <w:tr w:rsidR="00AB5F0B" w:rsidRPr="00AB5F0B" w14:paraId="3B66A6F3" w14:textId="77777777" w:rsidTr="0068050A">
        <w:trPr>
          <w:trHeight w:val="257"/>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26791667"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bottom"/>
            <w:hideMark/>
          </w:tcPr>
          <w:p w14:paraId="0E5D3E0B"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19" w:type="dxa"/>
            <w:tcBorders>
              <w:top w:val="nil"/>
              <w:left w:val="nil"/>
              <w:bottom w:val="single" w:sz="8" w:space="0" w:color="auto"/>
              <w:right w:val="single" w:sz="8" w:space="0" w:color="auto"/>
            </w:tcBorders>
            <w:shd w:val="clear" w:color="auto" w:fill="FFC000"/>
            <w:noWrap/>
            <w:vAlign w:val="bottom"/>
            <w:hideMark/>
          </w:tcPr>
          <w:p w14:paraId="2A21F08F"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35" w:type="dxa"/>
            <w:tcBorders>
              <w:top w:val="nil"/>
              <w:left w:val="nil"/>
              <w:bottom w:val="single" w:sz="8" w:space="0" w:color="auto"/>
              <w:right w:val="single" w:sz="8" w:space="0" w:color="auto"/>
            </w:tcBorders>
            <w:shd w:val="clear" w:color="auto" w:fill="FFC000"/>
            <w:noWrap/>
            <w:vAlign w:val="bottom"/>
            <w:hideMark/>
          </w:tcPr>
          <w:p w14:paraId="73165924"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r>
      <w:tr w:rsidR="00AB5F0B" w:rsidRPr="00AB5F0B" w14:paraId="40C4B32B"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6C1F8F44"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Net profit Margin</w:t>
            </w:r>
          </w:p>
        </w:tc>
        <w:tc>
          <w:tcPr>
            <w:tcW w:w="4125" w:type="dxa"/>
            <w:tcBorders>
              <w:top w:val="nil"/>
              <w:left w:val="nil"/>
              <w:bottom w:val="single" w:sz="8" w:space="0" w:color="auto"/>
              <w:right w:val="single" w:sz="8" w:space="0" w:color="auto"/>
            </w:tcBorders>
            <w:shd w:val="clear" w:color="auto" w:fill="FFC000"/>
            <w:noWrap/>
            <w:vAlign w:val="center"/>
            <w:hideMark/>
          </w:tcPr>
          <w:p w14:paraId="11C81F7D" w14:textId="77777777" w:rsidR="00AB5F0B" w:rsidRPr="00AB5F0B" w:rsidRDefault="00AB5F0B" w:rsidP="00AB5F0B">
            <w:pPr>
              <w:spacing w:after="0" w:line="240" w:lineRule="auto"/>
              <w:jc w:val="center"/>
              <w:rPr>
                <w:rFonts w:ascii="Times New Roman" w:eastAsia="Times New Roman" w:hAnsi="Times New Roman" w:cs="Times New Roman"/>
                <w:b/>
                <w:bCs/>
                <w:i/>
                <w:iCs/>
                <w:color w:val="000000"/>
                <w:sz w:val="24"/>
                <w:szCs w:val="24"/>
                <w:lang w:eastAsia="en-GB"/>
              </w:rPr>
            </w:pPr>
            <w:r w:rsidRPr="00AB5F0B">
              <w:rPr>
                <w:rFonts w:ascii="Times New Roman" w:eastAsia="Times New Roman" w:hAnsi="Times New Roman" w:cs="Times New Roman"/>
                <w:b/>
                <w:bCs/>
                <w:i/>
                <w:iCs/>
                <w:color w:val="000000"/>
                <w:sz w:val="24"/>
                <w:szCs w:val="24"/>
                <w:lang w:val="en-IN" w:eastAsia="en-GB"/>
              </w:rPr>
              <w:t>Net Income / Net Sales*100</w:t>
            </w:r>
          </w:p>
        </w:tc>
        <w:tc>
          <w:tcPr>
            <w:tcW w:w="1119" w:type="dxa"/>
            <w:tcBorders>
              <w:top w:val="nil"/>
              <w:left w:val="nil"/>
              <w:bottom w:val="single" w:sz="8" w:space="0" w:color="auto"/>
              <w:right w:val="single" w:sz="8" w:space="0" w:color="auto"/>
            </w:tcBorders>
            <w:shd w:val="clear" w:color="auto" w:fill="FFC000"/>
            <w:noWrap/>
            <w:vAlign w:val="center"/>
            <w:hideMark/>
          </w:tcPr>
          <w:p w14:paraId="456CB495"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6.40%</w:t>
            </w:r>
          </w:p>
        </w:tc>
        <w:tc>
          <w:tcPr>
            <w:tcW w:w="1135" w:type="dxa"/>
            <w:tcBorders>
              <w:top w:val="nil"/>
              <w:left w:val="nil"/>
              <w:bottom w:val="single" w:sz="8" w:space="0" w:color="auto"/>
              <w:right w:val="single" w:sz="8" w:space="0" w:color="auto"/>
            </w:tcBorders>
            <w:shd w:val="clear" w:color="auto" w:fill="FFC000"/>
            <w:noWrap/>
            <w:vAlign w:val="center"/>
            <w:hideMark/>
          </w:tcPr>
          <w:p w14:paraId="76589E7A"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5.68%</w:t>
            </w:r>
          </w:p>
        </w:tc>
      </w:tr>
      <w:tr w:rsidR="00AB5F0B" w:rsidRPr="00AB5F0B" w14:paraId="7817DA7F"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551A5468"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6E25072D"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Net Profit</w:t>
            </w:r>
          </w:p>
        </w:tc>
        <w:tc>
          <w:tcPr>
            <w:tcW w:w="1119" w:type="dxa"/>
            <w:tcBorders>
              <w:top w:val="nil"/>
              <w:left w:val="nil"/>
              <w:bottom w:val="single" w:sz="8" w:space="0" w:color="auto"/>
              <w:right w:val="single" w:sz="8" w:space="0" w:color="auto"/>
            </w:tcBorders>
            <w:shd w:val="clear" w:color="auto" w:fill="FFC000"/>
            <w:noWrap/>
            <w:vAlign w:val="center"/>
            <w:hideMark/>
          </w:tcPr>
          <w:p w14:paraId="1D912AAF"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431</w:t>
            </w:r>
          </w:p>
        </w:tc>
        <w:tc>
          <w:tcPr>
            <w:tcW w:w="1135" w:type="dxa"/>
            <w:tcBorders>
              <w:top w:val="nil"/>
              <w:left w:val="nil"/>
              <w:bottom w:val="single" w:sz="8" w:space="0" w:color="auto"/>
              <w:right w:val="single" w:sz="8" w:space="0" w:color="auto"/>
            </w:tcBorders>
            <w:shd w:val="clear" w:color="auto" w:fill="FFC000"/>
            <w:noWrap/>
            <w:vAlign w:val="center"/>
            <w:hideMark/>
          </w:tcPr>
          <w:p w14:paraId="651F2D40"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366</w:t>
            </w:r>
          </w:p>
        </w:tc>
      </w:tr>
      <w:tr w:rsidR="00AB5F0B" w:rsidRPr="00AB5F0B" w14:paraId="29347D03"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462629B4"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411ACA10"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Net Sales</w:t>
            </w:r>
          </w:p>
        </w:tc>
        <w:tc>
          <w:tcPr>
            <w:tcW w:w="1119" w:type="dxa"/>
            <w:tcBorders>
              <w:top w:val="nil"/>
              <w:left w:val="nil"/>
              <w:bottom w:val="single" w:sz="8" w:space="0" w:color="auto"/>
              <w:right w:val="single" w:sz="8" w:space="0" w:color="auto"/>
            </w:tcBorders>
            <w:shd w:val="clear" w:color="auto" w:fill="FFC000"/>
            <w:noWrap/>
            <w:vAlign w:val="center"/>
            <w:hideMark/>
          </w:tcPr>
          <w:p w14:paraId="3BC6A254"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6,731</w:t>
            </w:r>
          </w:p>
        </w:tc>
        <w:tc>
          <w:tcPr>
            <w:tcW w:w="1135" w:type="dxa"/>
            <w:tcBorders>
              <w:top w:val="nil"/>
              <w:left w:val="nil"/>
              <w:bottom w:val="single" w:sz="8" w:space="0" w:color="auto"/>
              <w:right w:val="single" w:sz="8" w:space="0" w:color="auto"/>
            </w:tcBorders>
            <w:shd w:val="clear" w:color="auto" w:fill="FFC000"/>
            <w:noWrap/>
            <w:vAlign w:val="center"/>
            <w:hideMark/>
          </w:tcPr>
          <w:p w14:paraId="4E4E342D"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6,441</w:t>
            </w:r>
          </w:p>
        </w:tc>
      </w:tr>
      <w:tr w:rsidR="00AB5F0B" w:rsidRPr="00AB5F0B" w14:paraId="432B0D6A"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5DACADAF"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Asset turnover</w:t>
            </w:r>
          </w:p>
        </w:tc>
        <w:tc>
          <w:tcPr>
            <w:tcW w:w="4125" w:type="dxa"/>
            <w:tcBorders>
              <w:top w:val="nil"/>
              <w:left w:val="nil"/>
              <w:bottom w:val="single" w:sz="8" w:space="0" w:color="auto"/>
              <w:right w:val="single" w:sz="8" w:space="0" w:color="auto"/>
            </w:tcBorders>
            <w:shd w:val="clear" w:color="auto" w:fill="FFC000"/>
            <w:noWrap/>
            <w:vAlign w:val="center"/>
            <w:hideMark/>
          </w:tcPr>
          <w:p w14:paraId="44900B5C" w14:textId="77777777" w:rsidR="00AB5F0B" w:rsidRPr="00AB5F0B" w:rsidRDefault="00AB5F0B" w:rsidP="00AB5F0B">
            <w:pPr>
              <w:spacing w:after="0" w:line="240" w:lineRule="auto"/>
              <w:jc w:val="center"/>
              <w:rPr>
                <w:rFonts w:ascii="Times New Roman" w:eastAsia="Times New Roman" w:hAnsi="Times New Roman" w:cs="Times New Roman"/>
                <w:b/>
                <w:bCs/>
                <w:i/>
                <w:iCs/>
                <w:color w:val="000000"/>
                <w:sz w:val="24"/>
                <w:szCs w:val="24"/>
                <w:lang w:eastAsia="en-GB"/>
              </w:rPr>
            </w:pPr>
            <w:r w:rsidRPr="00AB5F0B">
              <w:rPr>
                <w:rFonts w:ascii="Times New Roman" w:eastAsia="Times New Roman" w:hAnsi="Times New Roman" w:cs="Times New Roman"/>
                <w:b/>
                <w:bCs/>
                <w:i/>
                <w:iCs/>
                <w:color w:val="000000"/>
                <w:sz w:val="24"/>
                <w:szCs w:val="24"/>
                <w:lang w:val="en-IN" w:eastAsia="en-GB"/>
              </w:rPr>
              <w:t>Net Sales/ Total Assets *100</w:t>
            </w:r>
          </w:p>
        </w:tc>
        <w:tc>
          <w:tcPr>
            <w:tcW w:w="1119" w:type="dxa"/>
            <w:tcBorders>
              <w:top w:val="nil"/>
              <w:left w:val="nil"/>
              <w:bottom w:val="single" w:sz="8" w:space="0" w:color="auto"/>
              <w:right w:val="single" w:sz="8" w:space="0" w:color="auto"/>
            </w:tcBorders>
            <w:shd w:val="clear" w:color="auto" w:fill="FFC000"/>
            <w:noWrap/>
            <w:vAlign w:val="center"/>
            <w:hideMark/>
          </w:tcPr>
          <w:p w14:paraId="65109AC4"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8.189</w:t>
            </w:r>
          </w:p>
        </w:tc>
        <w:tc>
          <w:tcPr>
            <w:tcW w:w="1135" w:type="dxa"/>
            <w:tcBorders>
              <w:top w:val="nil"/>
              <w:left w:val="nil"/>
              <w:bottom w:val="single" w:sz="8" w:space="0" w:color="auto"/>
              <w:right w:val="single" w:sz="8" w:space="0" w:color="auto"/>
            </w:tcBorders>
            <w:shd w:val="clear" w:color="auto" w:fill="FFC000"/>
            <w:noWrap/>
            <w:vAlign w:val="center"/>
            <w:hideMark/>
          </w:tcPr>
          <w:p w14:paraId="490E42F2"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7.836</w:t>
            </w:r>
          </w:p>
        </w:tc>
      </w:tr>
      <w:tr w:rsidR="00AB5F0B" w:rsidRPr="00AB5F0B" w14:paraId="50C65D55"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65AE6AA1"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6F3D9B7F"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Net Sales</w:t>
            </w:r>
          </w:p>
        </w:tc>
        <w:tc>
          <w:tcPr>
            <w:tcW w:w="1119" w:type="dxa"/>
            <w:tcBorders>
              <w:top w:val="nil"/>
              <w:left w:val="nil"/>
              <w:bottom w:val="single" w:sz="8" w:space="0" w:color="auto"/>
              <w:right w:val="single" w:sz="8" w:space="0" w:color="auto"/>
            </w:tcBorders>
            <w:shd w:val="clear" w:color="auto" w:fill="FFC000"/>
            <w:noWrap/>
            <w:vAlign w:val="center"/>
            <w:hideMark/>
          </w:tcPr>
          <w:p w14:paraId="29833E64"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6,731</w:t>
            </w:r>
          </w:p>
        </w:tc>
        <w:tc>
          <w:tcPr>
            <w:tcW w:w="1135" w:type="dxa"/>
            <w:tcBorders>
              <w:top w:val="nil"/>
              <w:left w:val="nil"/>
              <w:bottom w:val="single" w:sz="8" w:space="0" w:color="auto"/>
              <w:right w:val="single" w:sz="8" w:space="0" w:color="auto"/>
            </w:tcBorders>
            <w:shd w:val="clear" w:color="auto" w:fill="FFC000"/>
            <w:noWrap/>
            <w:vAlign w:val="center"/>
            <w:hideMark/>
          </w:tcPr>
          <w:p w14:paraId="2AFD417F"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6,441</w:t>
            </w:r>
          </w:p>
        </w:tc>
      </w:tr>
      <w:tr w:rsidR="00AB5F0B" w:rsidRPr="00AB5F0B" w14:paraId="36EFD876"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64F7688F"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02731842"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Total Assets</w:t>
            </w:r>
          </w:p>
        </w:tc>
        <w:tc>
          <w:tcPr>
            <w:tcW w:w="1119" w:type="dxa"/>
            <w:tcBorders>
              <w:top w:val="nil"/>
              <w:left w:val="nil"/>
              <w:bottom w:val="single" w:sz="8" w:space="0" w:color="auto"/>
              <w:right w:val="single" w:sz="8" w:space="0" w:color="auto"/>
            </w:tcBorders>
            <w:shd w:val="clear" w:color="auto" w:fill="FFC000"/>
            <w:noWrap/>
            <w:vAlign w:val="center"/>
            <w:hideMark/>
          </w:tcPr>
          <w:p w14:paraId="14765B72"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3,00,000</w:t>
            </w:r>
          </w:p>
        </w:tc>
        <w:tc>
          <w:tcPr>
            <w:tcW w:w="1135" w:type="dxa"/>
            <w:tcBorders>
              <w:top w:val="nil"/>
              <w:left w:val="nil"/>
              <w:bottom w:val="single" w:sz="8" w:space="0" w:color="auto"/>
              <w:right w:val="single" w:sz="8" w:space="0" w:color="auto"/>
            </w:tcBorders>
            <w:shd w:val="clear" w:color="auto" w:fill="FFC000"/>
            <w:noWrap/>
            <w:vAlign w:val="center"/>
            <w:hideMark/>
          </w:tcPr>
          <w:p w14:paraId="1B9ED220"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3,00,000</w:t>
            </w:r>
          </w:p>
        </w:tc>
      </w:tr>
      <w:tr w:rsidR="00AB5F0B" w:rsidRPr="00AB5F0B" w14:paraId="1497CDE6" w14:textId="77777777" w:rsidTr="0068050A">
        <w:trPr>
          <w:trHeight w:val="257"/>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2A50019B"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bottom"/>
            <w:hideMark/>
          </w:tcPr>
          <w:p w14:paraId="5A5A6FDF"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19" w:type="dxa"/>
            <w:tcBorders>
              <w:top w:val="nil"/>
              <w:left w:val="nil"/>
              <w:bottom w:val="single" w:sz="8" w:space="0" w:color="auto"/>
              <w:right w:val="single" w:sz="8" w:space="0" w:color="auto"/>
            </w:tcBorders>
            <w:shd w:val="clear" w:color="auto" w:fill="FFC000"/>
            <w:noWrap/>
            <w:vAlign w:val="bottom"/>
            <w:hideMark/>
          </w:tcPr>
          <w:p w14:paraId="5A82B2AC"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35" w:type="dxa"/>
            <w:tcBorders>
              <w:top w:val="nil"/>
              <w:left w:val="nil"/>
              <w:bottom w:val="single" w:sz="8" w:space="0" w:color="auto"/>
              <w:right w:val="single" w:sz="8" w:space="0" w:color="auto"/>
            </w:tcBorders>
            <w:shd w:val="clear" w:color="auto" w:fill="FFC000"/>
            <w:noWrap/>
            <w:vAlign w:val="bottom"/>
            <w:hideMark/>
          </w:tcPr>
          <w:p w14:paraId="630D6991"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r>
      <w:tr w:rsidR="00AB5F0B" w:rsidRPr="00AB5F0B" w14:paraId="626EBAC2"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1EC2AB73"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Inventory Turnover</w:t>
            </w:r>
          </w:p>
        </w:tc>
        <w:tc>
          <w:tcPr>
            <w:tcW w:w="4125" w:type="dxa"/>
            <w:tcBorders>
              <w:top w:val="nil"/>
              <w:left w:val="nil"/>
              <w:bottom w:val="single" w:sz="8" w:space="0" w:color="auto"/>
              <w:right w:val="single" w:sz="8" w:space="0" w:color="auto"/>
            </w:tcBorders>
            <w:shd w:val="clear" w:color="auto" w:fill="FFC000"/>
            <w:noWrap/>
            <w:vAlign w:val="center"/>
            <w:hideMark/>
          </w:tcPr>
          <w:p w14:paraId="2D382BC7" w14:textId="77777777" w:rsidR="00AB5F0B" w:rsidRPr="00AB5F0B" w:rsidRDefault="00AB5F0B" w:rsidP="00AB5F0B">
            <w:pPr>
              <w:spacing w:after="0" w:line="240" w:lineRule="auto"/>
              <w:jc w:val="center"/>
              <w:rPr>
                <w:rFonts w:ascii="Times New Roman" w:eastAsia="Times New Roman" w:hAnsi="Times New Roman" w:cs="Times New Roman"/>
                <w:b/>
                <w:bCs/>
                <w:i/>
                <w:iCs/>
                <w:color w:val="000000"/>
                <w:sz w:val="24"/>
                <w:szCs w:val="24"/>
                <w:lang w:eastAsia="en-GB"/>
              </w:rPr>
            </w:pPr>
            <w:r w:rsidRPr="00AB5F0B">
              <w:rPr>
                <w:rFonts w:ascii="Times New Roman" w:eastAsia="Times New Roman" w:hAnsi="Times New Roman" w:cs="Times New Roman"/>
                <w:b/>
                <w:bCs/>
                <w:i/>
                <w:iCs/>
                <w:color w:val="000000"/>
                <w:sz w:val="24"/>
                <w:szCs w:val="24"/>
                <w:lang w:val="en-IN" w:eastAsia="en-GB"/>
              </w:rPr>
              <w:t>Inventory / Cost of Goods Sold *365</w:t>
            </w:r>
          </w:p>
        </w:tc>
        <w:tc>
          <w:tcPr>
            <w:tcW w:w="1119" w:type="dxa"/>
            <w:tcBorders>
              <w:top w:val="nil"/>
              <w:left w:val="nil"/>
              <w:bottom w:val="single" w:sz="8" w:space="0" w:color="auto"/>
              <w:right w:val="single" w:sz="8" w:space="0" w:color="auto"/>
            </w:tcBorders>
            <w:shd w:val="clear" w:color="auto" w:fill="FFC000"/>
            <w:noWrap/>
            <w:vAlign w:val="center"/>
            <w:hideMark/>
          </w:tcPr>
          <w:p w14:paraId="5EF43254"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79.882</w:t>
            </w:r>
          </w:p>
        </w:tc>
        <w:tc>
          <w:tcPr>
            <w:tcW w:w="1135" w:type="dxa"/>
            <w:tcBorders>
              <w:top w:val="nil"/>
              <w:left w:val="nil"/>
              <w:bottom w:val="single" w:sz="8" w:space="0" w:color="auto"/>
              <w:right w:val="single" w:sz="8" w:space="0" w:color="auto"/>
            </w:tcBorders>
            <w:shd w:val="clear" w:color="auto" w:fill="FFC000"/>
            <w:noWrap/>
            <w:vAlign w:val="center"/>
            <w:hideMark/>
          </w:tcPr>
          <w:p w14:paraId="593BB3D4"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77.692</w:t>
            </w:r>
          </w:p>
        </w:tc>
      </w:tr>
      <w:tr w:rsidR="00AB5F0B" w:rsidRPr="00AB5F0B" w14:paraId="7CE556A6"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4CFF9026"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0349DC52"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Inventory</w:t>
            </w:r>
          </w:p>
        </w:tc>
        <w:tc>
          <w:tcPr>
            <w:tcW w:w="1119" w:type="dxa"/>
            <w:tcBorders>
              <w:top w:val="nil"/>
              <w:left w:val="nil"/>
              <w:bottom w:val="single" w:sz="8" w:space="0" w:color="auto"/>
              <w:right w:val="single" w:sz="8" w:space="0" w:color="auto"/>
            </w:tcBorders>
            <w:shd w:val="clear" w:color="auto" w:fill="FFC000"/>
            <w:noWrap/>
            <w:vAlign w:val="center"/>
            <w:hideMark/>
          </w:tcPr>
          <w:p w14:paraId="4395F973"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708</w:t>
            </w:r>
          </w:p>
        </w:tc>
        <w:tc>
          <w:tcPr>
            <w:tcW w:w="1135" w:type="dxa"/>
            <w:tcBorders>
              <w:top w:val="nil"/>
              <w:left w:val="nil"/>
              <w:bottom w:val="single" w:sz="8" w:space="0" w:color="auto"/>
              <w:right w:val="single" w:sz="8" w:space="0" w:color="auto"/>
            </w:tcBorders>
            <w:shd w:val="clear" w:color="auto" w:fill="FFC000"/>
            <w:noWrap/>
            <w:vAlign w:val="center"/>
            <w:hideMark/>
          </w:tcPr>
          <w:p w14:paraId="6B8F8B71"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659</w:t>
            </w:r>
          </w:p>
        </w:tc>
      </w:tr>
      <w:tr w:rsidR="00AB5F0B" w:rsidRPr="00AB5F0B" w14:paraId="5960BFDA"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053A0E07"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1F38CF6D"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Cost of Goods Sold</w:t>
            </w:r>
          </w:p>
        </w:tc>
        <w:tc>
          <w:tcPr>
            <w:tcW w:w="1119" w:type="dxa"/>
            <w:tcBorders>
              <w:top w:val="nil"/>
              <w:left w:val="nil"/>
              <w:bottom w:val="single" w:sz="8" w:space="0" w:color="auto"/>
              <w:right w:val="single" w:sz="8" w:space="0" w:color="auto"/>
            </w:tcBorders>
            <w:shd w:val="clear" w:color="auto" w:fill="FFC000"/>
            <w:noWrap/>
            <w:vAlign w:val="center"/>
            <w:hideMark/>
          </w:tcPr>
          <w:p w14:paraId="617A5ADE"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3,235</w:t>
            </w:r>
          </w:p>
        </w:tc>
        <w:tc>
          <w:tcPr>
            <w:tcW w:w="1135" w:type="dxa"/>
            <w:tcBorders>
              <w:top w:val="nil"/>
              <w:left w:val="nil"/>
              <w:bottom w:val="single" w:sz="8" w:space="0" w:color="auto"/>
              <w:right w:val="single" w:sz="8" w:space="0" w:color="auto"/>
            </w:tcBorders>
            <w:shd w:val="clear" w:color="auto" w:fill="FFC000"/>
            <w:noWrap/>
            <w:vAlign w:val="center"/>
            <w:hideMark/>
          </w:tcPr>
          <w:p w14:paraId="2DFCE16C"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3,096</w:t>
            </w:r>
          </w:p>
        </w:tc>
      </w:tr>
      <w:tr w:rsidR="00AB5F0B" w:rsidRPr="00AB5F0B" w14:paraId="04B86B25" w14:textId="77777777" w:rsidTr="0068050A">
        <w:trPr>
          <w:trHeight w:val="257"/>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6FAD034E"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bottom"/>
            <w:hideMark/>
          </w:tcPr>
          <w:p w14:paraId="5B64C3DE"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19" w:type="dxa"/>
            <w:tcBorders>
              <w:top w:val="nil"/>
              <w:left w:val="nil"/>
              <w:bottom w:val="single" w:sz="8" w:space="0" w:color="auto"/>
              <w:right w:val="single" w:sz="8" w:space="0" w:color="auto"/>
            </w:tcBorders>
            <w:shd w:val="clear" w:color="auto" w:fill="FFC000"/>
            <w:noWrap/>
            <w:vAlign w:val="bottom"/>
            <w:hideMark/>
          </w:tcPr>
          <w:p w14:paraId="43BAF14B"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35" w:type="dxa"/>
            <w:tcBorders>
              <w:top w:val="nil"/>
              <w:left w:val="nil"/>
              <w:bottom w:val="single" w:sz="8" w:space="0" w:color="auto"/>
              <w:right w:val="single" w:sz="8" w:space="0" w:color="auto"/>
            </w:tcBorders>
            <w:shd w:val="clear" w:color="auto" w:fill="FFC000"/>
            <w:noWrap/>
            <w:vAlign w:val="bottom"/>
            <w:hideMark/>
          </w:tcPr>
          <w:p w14:paraId="75C79552"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r>
      <w:tr w:rsidR="00AB5F0B" w:rsidRPr="00AB5F0B" w14:paraId="78BAE755"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31F323C3"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Debtors’ days</w:t>
            </w:r>
          </w:p>
        </w:tc>
        <w:tc>
          <w:tcPr>
            <w:tcW w:w="4125" w:type="dxa"/>
            <w:tcBorders>
              <w:top w:val="nil"/>
              <w:left w:val="nil"/>
              <w:bottom w:val="single" w:sz="8" w:space="0" w:color="auto"/>
              <w:right w:val="single" w:sz="8" w:space="0" w:color="auto"/>
            </w:tcBorders>
            <w:shd w:val="clear" w:color="auto" w:fill="FFC000"/>
            <w:noWrap/>
            <w:vAlign w:val="center"/>
            <w:hideMark/>
          </w:tcPr>
          <w:p w14:paraId="57AFC7F4" w14:textId="77777777" w:rsidR="00AB5F0B" w:rsidRPr="00AB5F0B" w:rsidRDefault="00AB5F0B" w:rsidP="00AB5F0B">
            <w:pPr>
              <w:spacing w:after="0" w:line="240" w:lineRule="auto"/>
              <w:jc w:val="center"/>
              <w:rPr>
                <w:rFonts w:ascii="Times New Roman" w:eastAsia="Times New Roman" w:hAnsi="Times New Roman" w:cs="Times New Roman"/>
                <w:b/>
                <w:bCs/>
                <w:i/>
                <w:iCs/>
                <w:color w:val="000000"/>
                <w:sz w:val="24"/>
                <w:szCs w:val="24"/>
                <w:lang w:eastAsia="en-GB"/>
              </w:rPr>
            </w:pPr>
            <w:r w:rsidRPr="00AB5F0B">
              <w:rPr>
                <w:rFonts w:ascii="Times New Roman" w:eastAsia="Times New Roman" w:hAnsi="Times New Roman" w:cs="Times New Roman"/>
                <w:b/>
                <w:bCs/>
                <w:i/>
                <w:iCs/>
                <w:color w:val="000000"/>
                <w:sz w:val="24"/>
                <w:szCs w:val="24"/>
                <w:lang w:val="en-IN" w:eastAsia="en-GB"/>
              </w:rPr>
              <w:t>Receivable / Sales *365</w:t>
            </w:r>
          </w:p>
        </w:tc>
        <w:tc>
          <w:tcPr>
            <w:tcW w:w="1119" w:type="dxa"/>
            <w:tcBorders>
              <w:top w:val="nil"/>
              <w:left w:val="nil"/>
              <w:bottom w:val="single" w:sz="8" w:space="0" w:color="auto"/>
              <w:right w:val="single" w:sz="8" w:space="0" w:color="auto"/>
            </w:tcBorders>
            <w:shd w:val="clear" w:color="auto" w:fill="FFC000"/>
            <w:noWrap/>
            <w:vAlign w:val="center"/>
            <w:hideMark/>
          </w:tcPr>
          <w:p w14:paraId="0D96CCDC"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67.729</w:t>
            </w:r>
          </w:p>
        </w:tc>
        <w:tc>
          <w:tcPr>
            <w:tcW w:w="1135" w:type="dxa"/>
            <w:tcBorders>
              <w:top w:val="nil"/>
              <w:left w:val="nil"/>
              <w:bottom w:val="single" w:sz="8" w:space="0" w:color="auto"/>
              <w:right w:val="single" w:sz="8" w:space="0" w:color="auto"/>
            </w:tcBorders>
            <w:shd w:val="clear" w:color="auto" w:fill="FFC000"/>
            <w:noWrap/>
            <w:vAlign w:val="center"/>
            <w:hideMark/>
          </w:tcPr>
          <w:p w14:paraId="6D3DD901"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72.932</w:t>
            </w:r>
          </w:p>
        </w:tc>
      </w:tr>
      <w:tr w:rsidR="00AB5F0B" w:rsidRPr="00AB5F0B" w14:paraId="6ED5ED13"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35499E57"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644C5030"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Receivable</w:t>
            </w:r>
          </w:p>
        </w:tc>
        <w:tc>
          <w:tcPr>
            <w:tcW w:w="1119" w:type="dxa"/>
            <w:tcBorders>
              <w:top w:val="nil"/>
              <w:left w:val="nil"/>
              <w:bottom w:val="single" w:sz="8" w:space="0" w:color="auto"/>
              <w:right w:val="single" w:sz="8" w:space="0" w:color="auto"/>
            </w:tcBorders>
            <w:shd w:val="clear" w:color="auto" w:fill="FFC000"/>
            <w:noWrap/>
            <w:vAlign w:val="center"/>
            <w:hideMark/>
          </w:tcPr>
          <w:p w14:paraId="5EAD2072"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1,249</w:t>
            </w:r>
          </w:p>
        </w:tc>
        <w:tc>
          <w:tcPr>
            <w:tcW w:w="1135" w:type="dxa"/>
            <w:tcBorders>
              <w:top w:val="nil"/>
              <w:left w:val="nil"/>
              <w:bottom w:val="single" w:sz="8" w:space="0" w:color="auto"/>
              <w:right w:val="single" w:sz="8" w:space="0" w:color="auto"/>
            </w:tcBorders>
            <w:shd w:val="clear" w:color="auto" w:fill="FFC000"/>
            <w:noWrap/>
            <w:vAlign w:val="center"/>
            <w:hideMark/>
          </w:tcPr>
          <w:p w14:paraId="32C29B8B"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1,287</w:t>
            </w:r>
          </w:p>
        </w:tc>
      </w:tr>
      <w:tr w:rsidR="00AB5F0B" w:rsidRPr="00AB5F0B" w14:paraId="4A943F20"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1FF4D9FB"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0F5B3134"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Sales</w:t>
            </w:r>
          </w:p>
        </w:tc>
        <w:tc>
          <w:tcPr>
            <w:tcW w:w="1119" w:type="dxa"/>
            <w:tcBorders>
              <w:top w:val="nil"/>
              <w:left w:val="nil"/>
              <w:bottom w:val="single" w:sz="8" w:space="0" w:color="auto"/>
              <w:right w:val="single" w:sz="8" w:space="0" w:color="auto"/>
            </w:tcBorders>
            <w:shd w:val="clear" w:color="auto" w:fill="FFC000"/>
            <w:noWrap/>
            <w:vAlign w:val="center"/>
            <w:hideMark/>
          </w:tcPr>
          <w:p w14:paraId="387B4227"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6,731</w:t>
            </w:r>
          </w:p>
        </w:tc>
        <w:tc>
          <w:tcPr>
            <w:tcW w:w="1135" w:type="dxa"/>
            <w:tcBorders>
              <w:top w:val="nil"/>
              <w:left w:val="nil"/>
              <w:bottom w:val="single" w:sz="8" w:space="0" w:color="auto"/>
              <w:right w:val="single" w:sz="8" w:space="0" w:color="auto"/>
            </w:tcBorders>
            <w:shd w:val="clear" w:color="auto" w:fill="FFC000"/>
            <w:noWrap/>
            <w:vAlign w:val="center"/>
            <w:hideMark/>
          </w:tcPr>
          <w:p w14:paraId="6BA596BA"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6,441</w:t>
            </w:r>
          </w:p>
        </w:tc>
      </w:tr>
      <w:tr w:rsidR="00AB5F0B" w:rsidRPr="00AB5F0B" w14:paraId="4208F750" w14:textId="77777777" w:rsidTr="0068050A">
        <w:trPr>
          <w:trHeight w:val="257"/>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34469BA6"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bottom"/>
            <w:hideMark/>
          </w:tcPr>
          <w:p w14:paraId="13CDEDCC"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19" w:type="dxa"/>
            <w:tcBorders>
              <w:top w:val="nil"/>
              <w:left w:val="nil"/>
              <w:bottom w:val="single" w:sz="8" w:space="0" w:color="auto"/>
              <w:right w:val="single" w:sz="8" w:space="0" w:color="auto"/>
            </w:tcBorders>
            <w:shd w:val="clear" w:color="auto" w:fill="FFC000"/>
            <w:noWrap/>
            <w:vAlign w:val="bottom"/>
            <w:hideMark/>
          </w:tcPr>
          <w:p w14:paraId="5E287151"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35" w:type="dxa"/>
            <w:tcBorders>
              <w:top w:val="nil"/>
              <w:left w:val="nil"/>
              <w:bottom w:val="single" w:sz="8" w:space="0" w:color="auto"/>
              <w:right w:val="single" w:sz="8" w:space="0" w:color="auto"/>
            </w:tcBorders>
            <w:shd w:val="clear" w:color="auto" w:fill="FFC000"/>
            <w:noWrap/>
            <w:vAlign w:val="bottom"/>
            <w:hideMark/>
          </w:tcPr>
          <w:p w14:paraId="509011D5"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r>
      <w:tr w:rsidR="00AB5F0B" w:rsidRPr="00AB5F0B" w14:paraId="15058261"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6D049738"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Current ratio</w:t>
            </w:r>
          </w:p>
        </w:tc>
        <w:tc>
          <w:tcPr>
            <w:tcW w:w="4125" w:type="dxa"/>
            <w:tcBorders>
              <w:top w:val="nil"/>
              <w:left w:val="nil"/>
              <w:bottom w:val="single" w:sz="8" w:space="0" w:color="auto"/>
              <w:right w:val="single" w:sz="8" w:space="0" w:color="auto"/>
            </w:tcBorders>
            <w:shd w:val="clear" w:color="auto" w:fill="FFC000"/>
            <w:noWrap/>
            <w:vAlign w:val="center"/>
            <w:hideMark/>
          </w:tcPr>
          <w:p w14:paraId="642A3368" w14:textId="77777777" w:rsidR="00AB5F0B" w:rsidRPr="00AB5F0B" w:rsidRDefault="00AB5F0B" w:rsidP="00AB5F0B">
            <w:pPr>
              <w:spacing w:after="0" w:line="240" w:lineRule="auto"/>
              <w:jc w:val="center"/>
              <w:rPr>
                <w:rFonts w:ascii="Times New Roman" w:eastAsia="Times New Roman" w:hAnsi="Times New Roman" w:cs="Times New Roman"/>
                <w:b/>
                <w:bCs/>
                <w:i/>
                <w:iCs/>
                <w:color w:val="000000"/>
                <w:sz w:val="24"/>
                <w:szCs w:val="24"/>
                <w:lang w:eastAsia="en-GB"/>
              </w:rPr>
            </w:pPr>
            <w:r w:rsidRPr="00AB5F0B">
              <w:rPr>
                <w:rFonts w:ascii="Times New Roman" w:eastAsia="Times New Roman" w:hAnsi="Times New Roman" w:cs="Times New Roman"/>
                <w:b/>
                <w:bCs/>
                <w:i/>
                <w:iCs/>
                <w:color w:val="000000"/>
                <w:sz w:val="24"/>
                <w:szCs w:val="24"/>
                <w:lang w:val="en-IN" w:eastAsia="en-GB"/>
              </w:rPr>
              <w:t>Current assets/Current Liabilities</w:t>
            </w:r>
          </w:p>
        </w:tc>
        <w:tc>
          <w:tcPr>
            <w:tcW w:w="1119" w:type="dxa"/>
            <w:tcBorders>
              <w:top w:val="nil"/>
              <w:left w:val="nil"/>
              <w:bottom w:val="single" w:sz="8" w:space="0" w:color="auto"/>
              <w:right w:val="single" w:sz="8" w:space="0" w:color="auto"/>
            </w:tcBorders>
            <w:shd w:val="clear" w:color="auto" w:fill="FFC000"/>
            <w:noWrap/>
            <w:vAlign w:val="center"/>
            <w:hideMark/>
          </w:tcPr>
          <w:p w14:paraId="4203048F"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0.92</w:t>
            </w:r>
          </w:p>
        </w:tc>
        <w:tc>
          <w:tcPr>
            <w:tcW w:w="1135" w:type="dxa"/>
            <w:tcBorders>
              <w:top w:val="nil"/>
              <w:left w:val="nil"/>
              <w:bottom w:val="single" w:sz="8" w:space="0" w:color="auto"/>
              <w:right w:val="single" w:sz="8" w:space="0" w:color="auto"/>
            </w:tcBorders>
            <w:shd w:val="clear" w:color="auto" w:fill="FFC000"/>
            <w:noWrap/>
            <w:vAlign w:val="center"/>
            <w:hideMark/>
          </w:tcPr>
          <w:p w14:paraId="08D2AB62"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0.77</w:t>
            </w:r>
          </w:p>
        </w:tc>
      </w:tr>
      <w:tr w:rsidR="00AB5F0B" w:rsidRPr="00AB5F0B" w14:paraId="7E2D1D24"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0F678A6C"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12361A25"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Current Assets</w:t>
            </w:r>
          </w:p>
        </w:tc>
        <w:tc>
          <w:tcPr>
            <w:tcW w:w="1119" w:type="dxa"/>
            <w:tcBorders>
              <w:top w:val="nil"/>
              <w:left w:val="nil"/>
              <w:bottom w:val="single" w:sz="8" w:space="0" w:color="auto"/>
              <w:right w:val="single" w:sz="8" w:space="0" w:color="auto"/>
            </w:tcBorders>
            <w:shd w:val="clear" w:color="auto" w:fill="FFC000"/>
            <w:noWrap/>
            <w:vAlign w:val="center"/>
            <w:hideMark/>
          </w:tcPr>
          <w:p w14:paraId="4095A6CD"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2,303</w:t>
            </w:r>
          </w:p>
        </w:tc>
        <w:tc>
          <w:tcPr>
            <w:tcW w:w="1135" w:type="dxa"/>
            <w:tcBorders>
              <w:top w:val="nil"/>
              <w:left w:val="nil"/>
              <w:bottom w:val="single" w:sz="8" w:space="0" w:color="auto"/>
              <w:right w:val="single" w:sz="8" w:space="0" w:color="auto"/>
            </w:tcBorders>
            <w:shd w:val="clear" w:color="auto" w:fill="FFC000"/>
            <w:noWrap/>
            <w:vAlign w:val="center"/>
            <w:hideMark/>
          </w:tcPr>
          <w:p w14:paraId="482CEA80"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2,355</w:t>
            </w:r>
          </w:p>
        </w:tc>
      </w:tr>
      <w:tr w:rsidR="00AB5F0B" w:rsidRPr="00AB5F0B" w14:paraId="5E585544"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23C3FCD2"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30C6B8D1"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Current Liabilities</w:t>
            </w:r>
          </w:p>
        </w:tc>
        <w:tc>
          <w:tcPr>
            <w:tcW w:w="1119" w:type="dxa"/>
            <w:tcBorders>
              <w:top w:val="nil"/>
              <w:left w:val="nil"/>
              <w:bottom w:val="single" w:sz="8" w:space="0" w:color="auto"/>
              <w:right w:val="single" w:sz="8" w:space="0" w:color="auto"/>
            </w:tcBorders>
            <w:shd w:val="clear" w:color="auto" w:fill="FFC000"/>
            <w:noWrap/>
            <w:vAlign w:val="center"/>
            <w:hideMark/>
          </w:tcPr>
          <w:p w14:paraId="52ACEA10"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2,511</w:t>
            </w:r>
          </w:p>
        </w:tc>
        <w:tc>
          <w:tcPr>
            <w:tcW w:w="1135" w:type="dxa"/>
            <w:tcBorders>
              <w:top w:val="nil"/>
              <w:left w:val="nil"/>
              <w:bottom w:val="single" w:sz="8" w:space="0" w:color="auto"/>
              <w:right w:val="single" w:sz="8" w:space="0" w:color="auto"/>
            </w:tcBorders>
            <w:shd w:val="clear" w:color="auto" w:fill="FFC000"/>
            <w:noWrap/>
            <w:vAlign w:val="center"/>
            <w:hideMark/>
          </w:tcPr>
          <w:p w14:paraId="4E9C543C"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3,046</w:t>
            </w:r>
          </w:p>
        </w:tc>
      </w:tr>
      <w:tr w:rsidR="00AB5F0B" w:rsidRPr="00AB5F0B" w14:paraId="3A4A47DC"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7DCBF8E0"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Acid Test Ratio</w:t>
            </w:r>
          </w:p>
        </w:tc>
        <w:tc>
          <w:tcPr>
            <w:tcW w:w="4125" w:type="dxa"/>
            <w:tcBorders>
              <w:top w:val="nil"/>
              <w:left w:val="nil"/>
              <w:bottom w:val="single" w:sz="8" w:space="0" w:color="auto"/>
              <w:right w:val="single" w:sz="8" w:space="0" w:color="auto"/>
            </w:tcBorders>
            <w:shd w:val="clear" w:color="auto" w:fill="FFC000"/>
            <w:noWrap/>
            <w:vAlign w:val="center"/>
            <w:hideMark/>
          </w:tcPr>
          <w:p w14:paraId="1517AE27"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(Current Assets-Inventory) / Current Liabilities</w:t>
            </w:r>
          </w:p>
        </w:tc>
        <w:tc>
          <w:tcPr>
            <w:tcW w:w="1119" w:type="dxa"/>
            <w:tcBorders>
              <w:top w:val="nil"/>
              <w:left w:val="nil"/>
              <w:bottom w:val="single" w:sz="8" w:space="0" w:color="auto"/>
              <w:right w:val="single" w:sz="8" w:space="0" w:color="auto"/>
            </w:tcBorders>
            <w:shd w:val="clear" w:color="auto" w:fill="FFC000"/>
            <w:noWrap/>
            <w:vAlign w:val="center"/>
            <w:hideMark/>
          </w:tcPr>
          <w:p w14:paraId="4880BC8C"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0.635</w:t>
            </w:r>
          </w:p>
        </w:tc>
        <w:tc>
          <w:tcPr>
            <w:tcW w:w="1135" w:type="dxa"/>
            <w:tcBorders>
              <w:top w:val="nil"/>
              <w:left w:val="nil"/>
              <w:bottom w:val="single" w:sz="8" w:space="0" w:color="auto"/>
              <w:right w:val="single" w:sz="8" w:space="0" w:color="auto"/>
            </w:tcBorders>
            <w:shd w:val="clear" w:color="auto" w:fill="FFC000"/>
            <w:noWrap/>
            <w:vAlign w:val="center"/>
            <w:hideMark/>
          </w:tcPr>
          <w:p w14:paraId="0DCE3169"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0.556</w:t>
            </w:r>
          </w:p>
        </w:tc>
      </w:tr>
      <w:tr w:rsidR="00AB5F0B" w:rsidRPr="00AB5F0B" w14:paraId="57980C2B"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4EB39E09"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5BC29450"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Current Assets-(Inventory-inventory)</w:t>
            </w:r>
          </w:p>
        </w:tc>
        <w:tc>
          <w:tcPr>
            <w:tcW w:w="1119" w:type="dxa"/>
            <w:tcBorders>
              <w:top w:val="nil"/>
              <w:left w:val="nil"/>
              <w:bottom w:val="single" w:sz="8" w:space="0" w:color="auto"/>
              <w:right w:val="single" w:sz="8" w:space="0" w:color="auto"/>
            </w:tcBorders>
            <w:shd w:val="clear" w:color="auto" w:fill="FFC000"/>
            <w:noWrap/>
            <w:vAlign w:val="center"/>
            <w:hideMark/>
          </w:tcPr>
          <w:p w14:paraId="52C0A11F"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1,595</w:t>
            </w:r>
          </w:p>
        </w:tc>
        <w:tc>
          <w:tcPr>
            <w:tcW w:w="1135" w:type="dxa"/>
            <w:tcBorders>
              <w:top w:val="nil"/>
              <w:left w:val="nil"/>
              <w:bottom w:val="single" w:sz="8" w:space="0" w:color="auto"/>
              <w:right w:val="single" w:sz="8" w:space="0" w:color="auto"/>
            </w:tcBorders>
            <w:shd w:val="clear" w:color="auto" w:fill="FFC000"/>
            <w:noWrap/>
            <w:vAlign w:val="center"/>
            <w:hideMark/>
          </w:tcPr>
          <w:p w14:paraId="42F1F6DB"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1,696</w:t>
            </w:r>
          </w:p>
        </w:tc>
      </w:tr>
      <w:tr w:rsidR="00AB5F0B" w:rsidRPr="00AB5F0B" w14:paraId="38AC0FC1"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7F17BAF0"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4C6B89EA"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Current Liabilities</w:t>
            </w:r>
          </w:p>
        </w:tc>
        <w:tc>
          <w:tcPr>
            <w:tcW w:w="1119" w:type="dxa"/>
            <w:tcBorders>
              <w:top w:val="nil"/>
              <w:left w:val="nil"/>
              <w:bottom w:val="single" w:sz="8" w:space="0" w:color="auto"/>
              <w:right w:val="single" w:sz="8" w:space="0" w:color="auto"/>
            </w:tcBorders>
            <w:shd w:val="clear" w:color="auto" w:fill="FFC000"/>
            <w:noWrap/>
            <w:vAlign w:val="center"/>
            <w:hideMark/>
          </w:tcPr>
          <w:p w14:paraId="5496B23E"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2,511</w:t>
            </w:r>
          </w:p>
        </w:tc>
        <w:tc>
          <w:tcPr>
            <w:tcW w:w="1135" w:type="dxa"/>
            <w:tcBorders>
              <w:top w:val="nil"/>
              <w:left w:val="nil"/>
              <w:bottom w:val="single" w:sz="8" w:space="0" w:color="auto"/>
              <w:right w:val="single" w:sz="8" w:space="0" w:color="auto"/>
            </w:tcBorders>
            <w:shd w:val="clear" w:color="auto" w:fill="FFC000"/>
            <w:noWrap/>
            <w:vAlign w:val="center"/>
            <w:hideMark/>
          </w:tcPr>
          <w:p w14:paraId="3440E55E"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3,046</w:t>
            </w:r>
          </w:p>
        </w:tc>
      </w:tr>
      <w:tr w:rsidR="00AB5F0B" w:rsidRPr="00AB5F0B" w14:paraId="5A062EBF" w14:textId="77777777" w:rsidTr="0068050A">
        <w:trPr>
          <w:trHeight w:val="257"/>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3BE53954"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bottom"/>
            <w:hideMark/>
          </w:tcPr>
          <w:p w14:paraId="63D519AA"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19" w:type="dxa"/>
            <w:tcBorders>
              <w:top w:val="nil"/>
              <w:left w:val="nil"/>
              <w:bottom w:val="single" w:sz="8" w:space="0" w:color="auto"/>
              <w:right w:val="single" w:sz="8" w:space="0" w:color="auto"/>
            </w:tcBorders>
            <w:shd w:val="clear" w:color="auto" w:fill="FFC000"/>
            <w:noWrap/>
            <w:vAlign w:val="bottom"/>
            <w:hideMark/>
          </w:tcPr>
          <w:p w14:paraId="014679E9"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1135" w:type="dxa"/>
            <w:tcBorders>
              <w:top w:val="nil"/>
              <w:left w:val="nil"/>
              <w:bottom w:val="single" w:sz="8" w:space="0" w:color="auto"/>
              <w:right w:val="single" w:sz="8" w:space="0" w:color="auto"/>
            </w:tcBorders>
            <w:shd w:val="clear" w:color="auto" w:fill="FFC000"/>
            <w:noWrap/>
            <w:vAlign w:val="bottom"/>
            <w:hideMark/>
          </w:tcPr>
          <w:p w14:paraId="07BF8962"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r>
      <w:tr w:rsidR="00AB5F0B" w:rsidRPr="00AB5F0B" w14:paraId="72BA4D6F"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center"/>
            <w:hideMark/>
          </w:tcPr>
          <w:p w14:paraId="3A3C38EE"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Interest coverage</w:t>
            </w:r>
          </w:p>
        </w:tc>
        <w:tc>
          <w:tcPr>
            <w:tcW w:w="4125" w:type="dxa"/>
            <w:tcBorders>
              <w:top w:val="nil"/>
              <w:left w:val="nil"/>
              <w:bottom w:val="single" w:sz="8" w:space="0" w:color="auto"/>
              <w:right w:val="single" w:sz="8" w:space="0" w:color="auto"/>
            </w:tcBorders>
            <w:shd w:val="clear" w:color="auto" w:fill="FFC000"/>
            <w:noWrap/>
            <w:vAlign w:val="center"/>
            <w:hideMark/>
          </w:tcPr>
          <w:p w14:paraId="3360D508" w14:textId="77777777" w:rsidR="00AB5F0B" w:rsidRPr="00AB5F0B" w:rsidRDefault="00AB5F0B" w:rsidP="00AB5F0B">
            <w:pPr>
              <w:spacing w:after="0" w:line="240" w:lineRule="auto"/>
              <w:jc w:val="center"/>
              <w:rPr>
                <w:rFonts w:ascii="Times New Roman" w:eastAsia="Times New Roman" w:hAnsi="Times New Roman" w:cs="Times New Roman"/>
                <w:b/>
                <w:bCs/>
                <w:i/>
                <w:iCs/>
                <w:color w:val="000000"/>
                <w:sz w:val="24"/>
                <w:szCs w:val="24"/>
                <w:lang w:eastAsia="en-GB"/>
              </w:rPr>
            </w:pPr>
            <w:r w:rsidRPr="00AB5F0B">
              <w:rPr>
                <w:rFonts w:ascii="Times New Roman" w:eastAsia="Times New Roman" w:hAnsi="Times New Roman" w:cs="Times New Roman"/>
                <w:b/>
                <w:bCs/>
                <w:i/>
                <w:iCs/>
                <w:color w:val="000000"/>
                <w:sz w:val="24"/>
                <w:szCs w:val="24"/>
                <w:lang w:val="en-IN" w:eastAsia="en-GB"/>
              </w:rPr>
              <w:t>PBIT/Interest</w:t>
            </w:r>
          </w:p>
        </w:tc>
        <w:tc>
          <w:tcPr>
            <w:tcW w:w="1119" w:type="dxa"/>
            <w:tcBorders>
              <w:top w:val="nil"/>
              <w:left w:val="nil"/>
              <w:bottom w:val="single" w:sz="8" w:space="0" w:color="auto"/>
              <w:right w:val="single" w:sz="8" w:space="0" w:color="auto"/>
            </w:tcBorders>
            <w:shd w:val="clear" w:color="auto" w:fill="FFC000"/>
            <w:noWrap/>
            <w:vAlign w:val="center"/>
            <w:hideMark/>
          </w:tcPr>
          <w:p w14:paraId="24D97431"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3.56</w:t>
            </w:r>
          </w:p>
        </w:tc>
        <w:tc>
          <w:tcPr>
            <w:tcW w:w="1135" w:type="dxa"/>
            <w:tcBorders>
              <w:top w:val="nil"/>
              <w:left w:val="nil"/>
              <w:bottom w:val="single" w:sz="8" w:space="0" w:color="auto"/>
              <w:right w:val="single" w:sz="8" w:space="0" w:color="auto"/>
            </w:tcBorders>
            <w:shd w:val="clear" w:color="auto" w:fill="FFC000"/>
            <w:noWrap/>
            <w:vAlign w:val="center"/>
            <w:hideMark/>
          </w:tcPr>
          <w:p w14:paraId="454B3EF0" w14:textId="77777777" w:rsidR="00AB5F0B" w:rsidRPr="00AB5F0B" w:rsidRDefault="00AB5F0B" w:rsidP="00AB5F0B">
            <w:pPr>
              <w:spacing w:after="0" w:line="240" w:lineRule="auto"/>
              <w:jc w:val="center"/>
              <w:rPr>
                <w:rFonts w:ascii="Times New Roman" w:eastAsia="Times New Roman" w:hAnsi="Times New Roman" w:cs="Times New Roman"/>
                <w:b/>
                <w:bCs/>
                <w:color w:val="000000"/>
                <w:sz w:val="24"/>
                <w:szCs w:val="24"/>
                <w:lang w:eastAsia="en-GB"/>
              </w:rPr>
            </w:pPr>
            <w:r w:rsidRPr="00AB5F0B">
              <w:rPr>
                <w:rFonts w:ascii="Times New Roman" w:eastAsia="Times New Roman" w:hAnsi="Times New Roman" w:cs="Times New Roman"/>
                <w:b/>
                <w:bCs/>
                <w:color w:val="000000"/>
                <w:sz w:val="24"/>
                <w:szCs w:val="24"/>
                <w:lang w:val="en-IN" w:eastAsia="en-GB"/>
              </w:rPr>
              <w:t>3.86</w:t>
            </w:r>
          </w:p>
        </w:tc>
      </w:tr>
      <w:tr w:rsidR="00AB5F0B" w:rsidRPr="00AB5F0B" w14:paraId="1B4740C2"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703989C4"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6A671A83"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PBIT</w:t>
            </w:r>
          </w:p>
        </w:tc>
        <w:tc>
          <w:tcPr>
            <w:tcW w:w="1119" w:type="dxa"/>
            <w:tcBorders>
              <w:top w:val="nil"/>
              <w:left w:val="nil"/>
              <w:bottom w:val="single" w:sz="8" w:space="0" w:color="auto"/>
              <w:right w:val="single" w:sz="8" w:space="0" w:color="auto"/>
            </w:tcBorders>
            <w:shd w:val="clear" w:color="auto" w:fill="FFC000"/>
            <w:noWrap/>
            <w:vAlign w:val="center"/>
            <w:hideMark/>
          </w:tcPr>
          <w:p w14:paraId="10710C9A"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805</w:t>
            </w:r>
          </w:p>
        </w:tc>
        <w:tc>
          <w:tcPr>
            <w:tcW w:w="1135" w:type="dxa"/>
            <w:tcBorders>
              <w:top w:val="nil"/>
              <w:left w:val="nil"/>
              <w:bottom w:val="single" w:sz="8" w:space="0" w:color="auto"/>
              <w:right w:val="single" w:sz="8" w:space="0" w:color="auto"/>
            </w:tcBorders>
            <w:shd w:val="clear" w:color="auto" w:fill="FFC000"/>
            <w:noWrap/>
            <w:vAlign w:val="center"/>
            <w:hideMark/>
          </w:tcPr>
          <w:p w14:paraId="5BFD30D5"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699</w:t>
            </w:r>
          </w:p>
        </w:tc>
      </w:tr>
      <w:tr w:rsidR="00AB5F0B" w:rsidRPr="00AB5F0B" w14:paraId="5AF75941" w14:textId="77777777" w:rsidTr="0068050A">
        <w:trPr>
          <w:trHeight w:val="274"/>
        </w:trPr>
        <w:tc>
          <w:tcPr>
            <w:tcW w:w="2542" w:type="dxa"/>
            <w:tcBorders>
              <w:top w:val="nil"/>
              <w:left w:val="single" w:sz="8" w:space="0" w:color="auto"/>
              <w:bottom w:val="single" w:sz="8" w:space="0" w:color="auto"/>
              <w:right w:val="single" w:sz="8" w:space="0" w:color="auto"/>
            </w:tcBorders>
            <w:shd w:val="clear" w:color="auto" w:fill="FFC000"/>
            <w:noWrap/>
            <w:vAlign w:val="bottom"/>
            <w:hideMark/>
          </w:tcPr>
          <w:p w14:paraId="178C231A" w14:textId="77777777" w:rsidR="00AB5F0B" w:rsidRPr="00AB5F0B" w:rsidRDefault="00AB5F0B" w:rsidP="00AB5F0B">
            <w:pPr>
              <w:spacing w:after="0" w:line="240" w:lineRule="auto"/>
              <w:rPr>
                <w:rFonts w:ascii="Calibri" w:eastAsia="Times New Roman" w:hAnsi="Calibri" w:cs="Calibri"/>
                <w:color w:val="000000"/>
                <w:lang w:eastAsia="en-GB"/>
              </w:rPr>
            </w:pPr>
            <w:r w:rsidRPr="00AB5F0B">
              <w:rPr>
                <w:rFonts w:ascii="Calibri" w:eastAsia="Times New Roman" w:hAnsi="Calibri" w:cs="Calibri"/>
                <w:color w:val="000000"/>
                <w:lang w:eastAsia="en-GB"/>
              </w:rPr>
              <w:t> </w:t>
            </w:r>
          </w:p>
        </w:tc>
        <w:tc>
          <w:tcPr>
            <w:tcW w:w="4125" w:type="dxa"/>
            <w:tcBorders>
              <w:top w:val="nil"/>
              <w:left w:val="nil"/>
              <w:bottom w:val="single" w:sz="8" w:space="0" w:color="auto"/>
              <w:right w:val="single" w:sz="8" w:space="0" w:color="auto"/>
            </w:tcBorders>
            <w:shd w:val="clear" w:color="auto" w:fill="FFC000"/>
            <w:noWrap/>
            <w:vAlign w:val="center"/>
            <w:hideMark/>
          </w:tcPr>
          <w:p w14:paraId="762B6100" w14:textId="77777777" w:rsidR="00AB5F0B" w:rsidRPr="00AB5F0B" w:rsidRDefault="00AB5F0B" w:rsidP="00AB5F0B">
            <w:pPr>
              <w:spacing w:after="0" w:line="240" w:lineRule="auto"/>
              <w:jc w:val="center"/>
              <w:rPr>
                <w:rFonts w:ascii="Times New Roman" w:eastAsia="Times New Roman" w:hAnsi="Times New Roman" w:cs="Times New Roman"/>
                <w:i/>
                <w:iCs/>
                <w:color w:val="000000"/>
                <w:sz w:val="24"/>
                <w:szCs w:val="24"/>
                <w:lang w:eastAsia="en-GB"/>
              </w:rPr>
            </w:pPr>
            <w:r w:rsidRPr="00AB5F0B">
              <w:rPr>
                <w:rFonts w:ascii="Times New Roman" w:eastAsia="Times New Roman" w:hAnsi="Times New Roman" w:cs="Times New Roman"/>
                <w:i/>
                <w:iCs/>
                <w:color w:val="000000"/>
                <w:sz w:val="24"/>
                <w:szCs w:val="24"/>
                <w:lang w:val="en-IN" w:eastAsia="en-GB"/>
              </w:rPr>
              <w:t>Interest</w:t>
            </w:r>
          </w:p>
        </w:tc>
        <w:tc>
          <w:tcPr>
            <w:tcW w:w="1119" w:type="dxa"/>
            <w:tcBorders>
              <w:top w:val="nil"/>
              <w:left w:val="nil"/>
              <w:bottom w:val="single" w:sz="8" w:space="0" w:color="auto"/>
              <w:right w:val="single" w:sz="8" w:space="0" w:color="auto"/>
            </w:tcBorders>
            <w:shd w:val="clear" w:color="auto" w:fill="FFC000"/>
            <w:noWrap/>
            <w:vAlign w:val="center"/>
            <w:hideMark/>
          </w:tcPr>
          <w:p w14:paraId="793544EB"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226</w:t>
            </w:r>
          </w:p>
        </w:tc>
        <w:tc>
          <w:tcPr>
            <w:tcW w:w="1135" w:type="dxa"/>
            <w:tcBorders>
              <w:top w:val="nil"/>
              <w:left w:val="nil"/>
              <w:bottom w:val="single" w:sz="8" w:space="0" w:color="auto"/>
              <w:right w:val="single" w:sz="8" w:space="0" w:color="auto"/>
            </w:tcBorders>
            <w:shd w:val="clear" w:color="auto" w:fill="FFC000"/>
            <w:noWrap/>
            <w:vAlign w:val="center"/>
            <w:hideMark/>
          </w:tcPr>
          <w:p w14:paraId="0BA1D865" w14:textId="77777777" w:rsidR="00AB5F0B" w:rsidRPr="00AB5F0B" w:rsidRDefault="00AB5F0B" w:rsidP="00AB5F0B">
            <w:pPr>
              <w:spacing w:after="0" w:line="240" w:lineRule="auto"/>
              <w:jc w:val="center"/>
              <w:rPr>
                <w:rFonts w:ascii="Times New Roman" w:eastAsia="Times New Roman" w:hAnsi="Times New Roman" w:cs="Times New Roman"/>
                <w:color w:val="000000"/>
                <w:sz w:val="24"/>
                <w:szCs w:val="24"/>
                <w:lang w:eastAsia="en-GB"/>
              </w:rPr>
            </w:pPr>
            <w:r w:rsidRPr="00AB5F0B">
              <w:rPr>
                <w:rFonts w:ascii="Times New Roman" w:eastAsia="Times New Roman" w:hAnsi="Times New Roman" w:cs="Times New Roman"/>
                <w:color w:val="000000"/>
                <w:sz w:val="24"/>
                <w:szCs w:val="24"/>
                <w:lang w:val="en-IN" w:eastAsia="en-GB"/>
              </w:rPr>
              <w:t>181</w:t>
            </w:r>
          </w:p>
        </w:tc>
      </w:tr>
    </w:tbl>
    <w:p w14:paraId="076B835E" w14:textId="429B74C8" w:rsidR="00DF014F" w:rsidRPr="004F666C" w:rsidRDefault="00DF014F" w:rsidP="004F666C">
      <w:pPr>
        <w:spacing w:line="360" w:lineRule="auto"/>
        <w:jc w:val="both"/>
        <w:rPr>
          <w:rFonts w:ascii="Times New Roman" w:hAnsi="Times New Roman" w:cs="Times New Roman"/>
          <w:sz w:val="24"/>
          <w:szCs w:val="24"/>
          <w:lang w:val="en-IN"/>
        </w:rPr>
      </w:pPr>
    </w:p>
    <w:p w14:paraId="60DBE902" w14:textId="3D60CCED" w:rsidR="00DF014F" w:rsidRPr="004F666C" w:rsidRDefault="00DF014F" w:rsidP="004F666C">
      <w:pPr>
        <w:pStyle w:val="Heading2"/>
        <w:spacing w:line="360" w:lineRule="auto"/>
        <w:rPr>
          <w:rFonts w:ascii="Times New Roman" w:hAnsi="Times New Roman" w:cs="Times New Roman"/>
          <w:sz w:val="24"/>
          <w:szCs w:val="24"/>
          <w:lang w:val="en-IN"/>
        </w:rPr>
      </w:pPr>
      <w:bookmarkStart w:id="5" w:name="_Toc99231387"/>
      <w:r w:rsidRPr="004F666C">
        <w:rPr>
          <w:rFonts w:ascii="Times New Roman" w:hAnsi="Times New Roman" w:cs="Times New Roman"/>
          <w:sz w:val="24"/>
          <w:szCs w:val="24"/>
          <w:lang w:val="en-IN"/>
        </w:rPr>
        <w:lastRenderedPageBreak/>
        <w:t>Comment on Financial Performance of Sweets Plc:</w:t>
      </w:r>
      <w:bookmarkEnd w:id="5"/>
    </w:p>
    <w:p w14:paraId="45A27764" w14:textId="348DC325" w:rsidR="00DF014F" w:rsidRPr="004F666C" w:rsidRDefault="00DF014F"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Return on Capital Employed:</w:t>
      </w:r>
      <w:r w:rsidRPr="004F666C">
        <w:rPr>
          <w:rFonts w:ascii="Times New Roman" w:hAnsi="Times New Roman" w:cs="Times New Roman"/>
          <w:sz w:val="24"/>
          <w:szCs w:val="24"/>
          <w:lang w:val="en-IN"/>
        </w:rPr>
        <w:t xml:space="preserve"> This ratio is applied by the investors and organization to determine the effectiveness in the investment of the companies whether the capital employed by the organization is generating good profit or not</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sz w:val="24"/>
          <w:szCs w:val="24"/>
          <w:lang w:val="en-US"/>
        </w:rPr>
        <w:t>(</w:t>
      </w:r>
      <w:r w:rsidR="00BA120D" w:rsidRPr="004F666C">
        <w:rPr>
          <w:rFonts w:ascii="Times New Roman" w:hAnsi="Times New Roman" w:cs="Times New Roman"/>
          <w:sz w:val="24"/>
          <w:szCs w:val="24"/>
        </w:rPr>
        <w:t>Weygandt et al., 2015)</w:t>
      </w:r>
      <w:r w:rsidRPr="004F666C">
        <w:rPr>
          <w:rFonts w:ascii="Times New Roman" w:hAnsi="Times New Roman" w:cs="Times New Roman"/>
          <w:sz w:val="24"/>
          <w:szCs w:val="24"/>
          <w:lang w:val="en-IN"/>
        </w:rPr>
        <w:t xml:space="preserve">. From the analysis, it is found that </w:t>
      </w:r>
      <w:r w:rsidR="00824380" w:rsidRPr="004F666C">
        <w:rPr>
          <w:rFonts w:ascii="Times New Roman" w:hAnsi="Times New Roman" w:cs="Times New Roman"/>
          <w:sz w:val="24"/>
          <w:szCs w:val="24"/>
          <w:lang w:val="en-IN"/>
        </w:rPr>
        <w:t xml:space="preserve">the </w:t>
      </w:r>
      <w:r w:rsidRPr="004F666C">
        <w:rPr>
          <w:rFonts w:ascii="Times New Roman" w:hAnsi="Times New Roman" w:cs="Times New Roman"/>
          <w:sz w:val="24"/>
          <w:szCs w:val="24"/>
          <w:lang w:val="en-IN"/>
        </w:rPr>
        <w:t xml:space="preserve">ROCE of Sweets Plc was </w:t>
      </w:r>
      <w:r w:rsidR="00AB5F0B">
        <w:rPr>
          <w:rFonts w:ascii="Times New Roman" w:hAnsi="Times New Roman" w:cs="Times New Roman"/>
          <w:sz w:val="24"/>
          <w:szCs w:val="24"/>
          <w:lang w:val="en-IN"/>
        </w:rPr>
        <w:t>7.77</w:t>
      </w:r>
      <w:r w:rsidRPr="004F666C">
        <w:rPr>
          <w:rFonts w:ascii="Times New Roman" w:hAnsi="Times New Roman" w:cs="Times New Roman"/>
          <w:sz w:val="24"/>
          <w:szCs w:val="24"/>
          <w:lang w:val="en-IN"/>
        </w:rPr>
        <w:t xml:space="preserve">% in 2020 </w:t>
      </w:r>
      <w:r w:rsidR="00824380" w:rsidRPr="004F666C">
        <w:rPr>
          <w:rFonts w:ascii="Times New Roman" w:hAnsi="Times New Roman" w:cs="Times New Roman"/>
          <w:sz w:val="24"/>
          <w:szCs w:val="24"/>
          <w:lang w:val="en-IN"/>
        </w:rPr>
        <w:t>which</w:t>
      </w:r>
      <w:r w:rsidRPr="004F666C">
        <w:rPr>
          <w:rFonts w:ascii="Times New Roman" w:hAnsi="Times New Roman" w:cs="Times New Roman"/>
          <w:sz w:val="24"/>
          <w:szCs w:val="24"/>
          <w:lang w:val="en-IN"/>
        </w:rPr>
        <w:t xml:space="preserve"> increased to </w:t>
      </w:r>
      <w:r w:rsidR="00AB5F0B">
        <w:rPr>
          <w:rFonts w:ascii="Times New Roman" w:hAnsi="Times New Roman" w:cs="Times New Roman"/>
          <w:sz w:val="24"/>
          <w:szCs w:val="24"/>
          <w:lang w:val="en-IN"/>
        </w:rPr>
        <w:t>9.09</w:t>
      </w:r>
      <w:r w:rsidRPr="004F666C">
        <w:rPr>
          <w:rFonts w:ascii="Times New Roman" w:hAnsi="Times New Roman" w:cs="Times New Roman"/>
          <w:sz w:val="24"/>
          <w:szCs w:val="24"/>
          <w:lang w:val="en-IN"/>
        </w:rPr>
        <w:t xml:space="preserve">% in 2021 </w:t>
      </w:r>
      <w:r w:rsidR="00824380" w:rsidRPr="004F666C">
        <w:rPr>
          <w:rFonts w:ascii="Times New Roman" w:hAnsi="Times New Roman" w:cs="Times New Roman"/>
          <w:sz w:val="24"/>
          <w:szCs w:val="24"/>
          <w:lang w:val="en-IN"/>
        </w:rPr>
        <w:t>which</w:t>
      </w:r>
      <w:r w:rsidRPr="004F666C">
        <w:rPr>
          <w:rFonts w:ascii="Times New Roman" w:hAnsi="Times New Roman" w:cs="Times New Roman"/>
          <w:sz w:val="24"/>
          <w:szCs w:val="24"/>
          <w:lang w:val="en-IN"/>
        </w:rPr>
        <w:t xml:space="preserve"> indicates the effectiveness of the management of Sweet Plc has increased to choose </w:t>
      </w:r>
      <w:r w:rsidR="00824380" w:rsidRPr="004F666C">
        <w:rPr>
          <w:rFonts w:ascii="Times New Roman" w:hAnsi="Times New Roman" w:cs="Times New Roman"/>
          <w:sz w:val="24"/>
          <w:szCs w:val="24"/>
          <w:lang w:val="en-IN"/>
        </w:rPr>
        <w:t xml:space="preserve">the </w:t>
      </w:r>
      <w:r w:rsidRPr="004F666C">
        <w:rPr>
          <w:rFonts w:ascii="Times New Roman" w:hAnsi="Times New Roman" w:cs="Times New Roman"/>
          <w:sz w:val="24"/>
          <w:szCs w:val="24"/>
          <w:lang w:val="en-IN"/>
        </w:rPr>
        <w:t>right options and project for the investment</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sz w:val="24"/>
          <w:szCs w:val="24"/>
          <w:lang w:val="en-US"/>
        </w:rPr>
        <w:t xml:space="preserve">(Brigham and </w:t>
      </w:r>
      <w:proofErr w:type="spellStart"/>
      <w:r w:rsidR="00BA120D" w:rsidRPr="004F666C">
        <w:rPr>
          <w:rFonts w:ascii="Times New Roman" w:hAnsi="Times New Roman" w:cs="Times New Roman"/>
          <w:sz w:val="24"/>
          <w:szCs w:val="24"/>
          <w:lang w:val="en-US"/>
        </w:rPr>
        <w:t>Daves</w:t>
      </w:r>
      <w:proofErr w:type="spellEnd"/>
      <w:r w:rsidR="00BA120D" w:rsidRPr="004F666C">
        <w:rPr>
          <w:rFonts w:ascii="Times New Roman" w:hAnsi="Times New Roman" w:cs="Times New Roman"/>
          <w:sz w:val="24"/>
          <w:szCs w:val="24"/>
          <w:lang w:val="en-US"/>
        </w:rPr>
        <w:t>, 2012)</w:t>
      </w:r>
      <w:r w:rsidRPr="004F666C">
        <w:rPr>
          <w:rFonts w:ascii="Times New Roman" w:hAnsi="Times New Roman" w:cs="Times New Roman"/>
          <w:sz w:val="24"/>
          <w:szCs w:val="24"/>
          <w:lang w:val="en-IN"/>
        </w:rPr>
        <w:t xml:space="preserve">. </w:t>
      </w:r>
      <w:r w:rsidR="006D0C86" w:rsidRPr="004F666C">
        <w:rPr>
          <w:rFonts w:ascii="Times New Roman" w:hAnsi="Times New Roman" w:cs="Times New Roman"/>
          <w:sz w:val="24"/>
          <w:szCs w:val="24"/>
          <w:lang w:val="en-IN"/>
        </w:rPr>
        <w:t xml:space="preserve">However, the organization may focus on </w:t>
      </w:r>
      <w:r w:rsidR="00824380" w:rsidRPr="004F666C">
        <w:rPr>
          <w:rFonts w:ascii="Times New Roman" w:hAnsi="Times New Roman" w:cs="Times New Roman"/>
          <w:sz w:val="24"/>
          <w:szCs w:val="24"/>
          <w:lang w:val="en-IN"/>
        </w:rPr>
        <w:t xml:space="preserve">the </w:t>
      </w:r>
      <w:r w:rsidR="006D0C86" w:rsidRPr="004F666C">
        <w:rPr>
          <w:rFonts w:ascii="Times New Roman" w:hAnsi="Times New Roman" w:cs="Times New Roman"/>
          <w:sz w:val="24"/>
          <w:szCs w:val="24"/>
          <w:lang w:val="en-IN"/>
        </w:rPr>
        <w:t xml:space="preserve">assurance of more effective project options for the investment that may improve the profit of the company. </w:t>
      </w:r>
    </w:p>
    <w:p w14:paraId="308077FA" w14:textId="466FDE98" w:rsidR="006D0C86" w:rsidRPr="004F666C" w:rsidRDefault="006D0C86"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Return on Equity</w:t>
      </w:r>
      <w:r w:rsidRPr="004F666C">
        <w:rPr>
          <w:rFonts w:ascii="Times New Roman" w:hAnsi="Times New Roman" w:cs="Times New Roman"/>
          <w:sz w:val="24"/>
          <w:szCs w:val="24"/>
          <w:lang w:val="en-IN"/>
        </w:rPr>
        <w:t xml:space="preserve">: </w:t>
      </w:r>
      <w:r w:rsidR="009979F9" w:rsidRPr="004F666C">
        <w:rPr>
          <w:rFonts w:ascii="Times New Roman" w:hAnsi="Times New Roman" w:cs="Times New Roman"/>
          <w:sz w:val="24"/>
          <w:szCs w:val="24"/>
          <w:lang w:val="en-IN"/>
        </w:rPr>
        <w:t xml:space="preserve">This ratio is a good financial measure of the performance of the company and </w:t>
      </w:r>
      <w:r w:rsidR="00824380" w:rsidRPr="004F666C">
        <w:rPr>
          <w:rFonts w:ascii="Times New Roman" w:hAnsi="Times New Roman" w:cs="Times New Roman"/>
          <w:sz w:val="24"/>
          <w:szCs w:val="24"/>
          <w:lang w:val="en-IN"/>
        </w:rPr>
        <w:t xml:space="preserve">the </w:t>
      </w:r>
      <w:r w:rsidR="009979F9" w:rsidRPr="004F666C">
        <w:rPr>
          <w:rFonts w:ascii="Times New Roman" w:hAnsi="Times New Roman" w:cs="Times New Roman"/>
          <w:sz w:val="24"/>
          <w:szCs w:val="24"/>
          <w:lang w:val="en-IN"/>
        </w:rPr>
        <w:t xml:space="preserve">efficiency of the management to deploy the capital of the shareholders in the market to enhance the income and profit. An organization aims to increase the profit and wealth of the shareholder for improving </w:t>
      </w:r>
      <w:r w:rsidR="00824380" w:rsidRPr="004F666C">
        <w:rPr>
          <w:rFonts w:ascii="Times New Roman" w:hAnsi="Times New Roman" w:cs="Times New Roman"/>
          <w:sz w:val="24"/>
          <w:szCs w:val="24"/>
          <w:lang w:val="en-IN"/>
        </w:rPr>
        <w:t xml:space="preserve">the </w:t>
      </w:r>
      <w:r w:rsidR="009979F9" w:rsidRPr="004F666C">
        <w:rPr>
          <w:rFonts w:ascii="Times New Roman" w:hAnsi="Times New Roman" w:cs="Times New Roman"/>
          <w:sz w:val="24"/>
          <w:szCs w:val="24"/>
          <w:lang w:val="en-IN"/>
        </w:rPr>
        <w:t>attraction of the company to potential investors</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sz w:val="24"/>
          <w:szCs w:val="24"/>
          <w:lang w:val="en-US"/>
        </w:rPr>
        <w:t>(Warren et al., 2011)</w:t>
      </w:r>
      <w:r w:rsidR="009979F9" w:rsidRPr="004F666C">
        <w:rPr>
          <w:rFonts w:ascii="Times New Roman" w:hAnsi="Times New Roman" w:cs="Times New Roman"/>
          <w:sz w:val="24"/>
          <w:szCs w:val="24"/>
          <w:lang w:val="en-IN"/>
        </w:rPr>
        <w:t xml:space="preserve">. Hence it is found that </w:t>
      </w:r>
      <w:r w:rsidR="00824380" w:rsidRPr="004F666C">
        <w:rPr>
          <w:rFonts w:ascii="Times New Roman" w:hAnsi="Times New Roman" w:cs="Times New Roman"/>
          <w:sz w:val="24"/>
          <w:szCs w:val="24"/>
          <w:lang w:val="en-IN"/>
        </w:rPr>
        <w:t xml:space="preserve">the </w:t>
      </w:r>
      <w:r w:rsidR="005D635A" w:rsidRPr="004F666C">
        <w:rPr>
          <w:rFonts w:ascii="Times New Roman" w:hAnsi="Times New Roman" w:cs="Times New Roman"/>
          <w:sz w:val="24"/>
          <w:szCs w:val="24"/>
          <w:lang w:val="en-IN"/>
        </w:rPr>
        <w:t xml:space="preserve">return on equity in Sweets Plc was </w:t>
      </w:r>
      <w:r w:rsidR="00AB5F0B">
        <w:rPr>
          <w:rFonts w:ascii="Times New Roman" w:hAnsi="Times New Roman" w:cs="Times New Roman"/>
          <w:sz w:val="24"/>
          <w:szCs w:val="24"/>
          <w:lang w:val="en-IN"/>
        </w:rPr>
        <w:t>221%</w:t>
      </w:r>
      <w:r w:rsidR="005D635A" w:rsidRPr="004F666C">
        <w:rPr>
          <w:rFonts w:ascii="Times New Roman" w:hAnsi="Times New Roman" w:cs="Times New Roman"/>
          <w:sz w:val="24"/>
          <w:szCs w:val="24"/>
          <w:lang w:val="en-IN"/>
        </w:rPr>
        <w:t xml:space="preserve"> in 2020 </w:t>
      </w:r>
      <w:r w:rsidR="00824380" w:rsidRPr="004F666C">
        <w:rPr>
          <w:rFonts w:ascii="Times New Roman" w:hAnsi="Times New Roman" w:cs="Times New Roman"/>
          <w:sz w:val="24"/>
          <w:szCs w:val="24"/>
          <w:lang w:val="en-IN"/>
        </w:rPr>
        <w:t>which</w:t>
      </w:r>
      <w:r w:rsidR="005D635A" w:rsidRPr="004F666C">
        <w:rPr>
          <w:rFonts w:ascii="Times New Roman" w:hAnsi="Times New Roman" w:cs="Times New Roman"/>
          <w:sz w:val="24"/>
          <w:szCs w:val="24"/>
          <w:lang w:val="en-IN"/>
        </w:rPr>
        <w:t xml:space="preserve"> </w:t>
      </w:r>
      <w:r w:rsidR="00AB5F0B">
        <w:rPr>
          <w:rFonts w:ascii="Times New Roman" w:hAnsi="Times New Roman" w:cs="Times New Roman"/>
          <w:sz w:val="24"/>
          <w:szCs w:val="24"/>
          <w:lang w:val="en-IN"/>
        </w:rPr>
        <w:t>Decreased</w:t>
      </w:r>
      <w:r w:rsidR="005D635A" w:rsidRPr="004F666C">
        <w:rPr>
          <w:rFonts w:ascii="Times New Roman" w:hAnsi="Times New Roman" w:cs="Times New Roman"/>
          <w:sz w:val="24"/>
          <w:szCs w:val="24"/>
          <w:lang w:val="en-IN"/>
        </w:rPr>
        <w:t xml:space="preserve"> to </w:t>
      </w:r>
      <w:r w:rsidR="00AB5F0B">
        <w:rPr>
          <w:rFonts w:ascii="Times New Roman" w:hAnsi="Times New Roman" w:cs="Times New Roman"/>
          <w:sz w:val="24"/>
          <w:szCs w:val="24"/>
          <w:lang w:val="en-IN"/>
        </w:rPr>
        <w:t>218%</w:t>
      </w:r>
      <w:r w:rsidR="005D635A" w:rsidRPr="004F666C">
        <w:rPr>
          <w:rFonts w:ascii="Times New Roman" w:hAnsi="Times New Roman" w:cs="Times New Roman"/>
          <w:sz w:val="24"/>
          <w:szCs w:val="24"/>
          <w:lang w:val="en-IN"/>
        </w:rPr>
        <w:t xml:space="preserve"> in 2021. It means the return on equity has</w:t>
      </w:r>
      <w:r w:rsidR="00AB5F0B">
        <w:rPr>
          <w:rFonts w:ascii="Times New Roman" w:hAnsi="Times New Roman" w:cs="Times New Roman"/>
          <w:sz w:val="24"/>
          <w:szCs w:val="24"/>
          <w:lang w:val="en-IN"/>
        </w:rPr>
        <w:t xml:space="preserve"> decreased</w:t>
      </w:r>
      <w:r w:rsidR="005D635A" w:rsidRPr="004F666C">
        <w:rPr>
          <w:rFonts w:ascii="Times New Roman" w:hAnsi="Times New Roman" w:cs="Times New Roman"/>
          <w:sz w:val="24"/>
          <w:szCs w:val="24"/>
          <w:lang w:val="en-IN"/>
        </w:rPr>
        <w:t xml:space="preserve"> in 2021 which indicates </w:t>
      </w:r>
      <w:r w:rsidR="00AB5F0B">
        <w:rPr>
          <w:rFonts w:ascii="Times New Roman" w:hAnsi="Times New Roman" w:cs="Times New Roman"/>
          <w:sz w:val="24"/>
          <w:szCs w:val="24"/>
          <w:lang w:val="en-IN"/>
        </w:rPr>
        <w:t>a loss</w:t>
      </w:r>
      <w:r w:rsidR="005D635A" w:rsidRPr="004F666C">
        <w:rPr>
          <w:rFonts w:ascii="Times New Roman" w:hAnsi="Times New Roman" w:cs="Times New Roman"/>
          <w:sz w:val="24"/>
          <w:szCs w:val="24"/>
          <w:lang w:val="en-IN"/>
        </w:rPr>
        <w:t xml:space="preserve"> in the net income of the firm and the efficacy in the investment of the company</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sz w:val="24"/>
          <w:szCs w:val="24"/>
          <w:lang w:val="en-US"/>
        </w:rPr>
        <w:t xml:space="preserve">(Brigham and </w:t>
      </w:r>
      <w:proofErr w:type="spellStart"/>
      <w:r w:rsidR="00BA120D" w:rsidRPr="004F666C">
        <w:rPr>
          <w:rFonts w:ascii="Times New Roman" w:hAnsi="Times New Roman" w:cs="Times New Roman"/>
          <w:sz w:val="24"/>
          <w:szCs w:val="24"/>
          <w:lang w:val="en-US"/>
        </w:rPr>
        <w:t>Daves</w:t>
      </w:r>
      <w:proofErr w:type="spellEnd"/>
      <w:r w:rsidR="00BA120D" w:rsidRPr="004F666C">
        <w:rPr>
          <w:rFonts w:ascii="Times New Roman" w:hAnsi="Times New Roman" w:cs="Times New Roman"/>
          <w:sz w:val="24"/>
          <w:szCs w:val="24"/>
          <w:lang w:val="en-US"/>
        </w:rPr>
        <w:t>, 2012)</w:t>
      </w:r>
      <w:r w:rsidR="005D635A" w:rsidRPr="004F666C">
        <w:rPr>
          <w:rFonts w:ascii="Times New Roman" w:hAnsi="Times New Roman" w:cs="Times New Roman"/>
          <w:sz w:val="24"/>
          <w:szCs w:val="24"/>
          <w:lang w:val="en-IN"/>
        </w:rPr>
        <w:t xml:space="preserve">. The organization has </w:t>
      </w:r>
      <w:r w:rsidR="00824380" w:rsidRPr="004F666C">
        <w:rPr>
          <w:rFonts w:ascii="Times New Roman" w:hAnsi="Times New Roman" w:cs="Times New Roman"/>
          <w:sz w:val="24"/>
          <w:szCs w:val="24"/>
          <w:lang w:val="en-IN"/>
        </w:rPr>
        <w:t xml:space="preserve">the </w:t>
      </w:r>
      <w:r w:rsidR="005D635A" w:rsidRPr="004F666C">
        <w:rPr>
          <w:rFonts w:ascii="Times New Roman" w:hAnsi="Times New Roman" w:cs="Times New Roman"/>
          <w:sz w:val="24"/>
          <w:szCs w:val="24"/>
          <w:lang w:val="en-IN"/>
        </w:rPr>
        <w:t xml:space="preserve">capability and efficiency to put the money of the shareholder in </w:t>
      </w:r>
      <w:r w:rsidR="00824380" w:rsidRPr="004F666C">
        <w:rPr>
          <w:rFonts w:ascii="Times New Roman" w:hAnsi="Times New Roman" w:cs="Times New Roman"/>
          <w:sz w:val="24"/>
          <w:szCs w:val="24"/>
          <w:lang w:val="en-IN"/>
        </w:rPr>
        <w:t xml:space="preserve">the </w:t>
      </w:r>
      <w:r w:rsidR="005D635A" w:rsidRPr="004F666C">
        <w:rPr>
          <w:rFonts w:ascii="Times New Roman" w:hAnsi="Times New Roman" w:cs="Times New Roman"/>
          <w:sz w:val="24"/>
          <w:szCs w:val="24"/>
          <w:lang w:val="en-IN"/>
        </w:rPr>
        <w:t xml:space="preserve">right projects and options which may improve the income and profit of the shareholders of the organization. </w:t>
      </w:r>
    </w:p>
    <w:p w14:paraId="261BB314" w14:textId="38680210" w:rsidR="00A367AF" w:rsidRPr="004F666C" w:rsidRDefault="00A367AF"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Earing Per share</w:t>
      </w:r>
      <w:r w:rsidRPr="004F666C">
        <w:rPr>
          <w:rFonts w:ascii="Times New Roman" w:hAnsi="Times New Roman" w:cs="Times New Roman"/>
          <w:sz w:val="24"/>
          <w:szCs w:val="24"/>
          <w:lang w:val="en-IN"/>
        </w:rPr>
        <w:t xml:space="preserve">: This is </w:t>
      </w:r>
      <w:r w:rsidR="00824380" w:rsidRPr="004F666C">
        <w:rPr>
          <w:rFonts w:ascii="Times New Roman" w:hAnsi="Times New Roman" w:cs="Times New Roman"/>
          <w:sz w:val="24"/>
          <w:szCs w:val="24"/>
          <w:lang w:val="en-IN"/>
        </w:rPr>
        <w:t xml:space="preserve">a </w:t>
      </w:r>
      <w:r w:rsidRPr="004F666C">
        <w:rPr>
          <w:rFonts w:ascii="Times New Roman" w:hAnsi="Times New Roman" w:cs="Times New Roman"/>
          <w:sz w:val="24"/>
          <w:szCs w:val="24"/>
          <w:lang w:val="en-IN"/>
        </w:rPr>
        <w:t>good indicator of the market performance of the company and profitability of the business because EPS define the degree of return on the investment of the shareholders of the organization</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sz w:val="24"/>
          <w:szCs w:val="24"/>
          <w:lang w:val="en-US"/>
        </w:rPr>
        <w:t>(Robinson et al., 2015)</w:t>
      </w:r>
      <w:r w:rsidRPr="004F666C">
        <w:rPr>
          <w:rFonts w:ascii="Times New Roman" w:hAnsi="Times New Roman" w:cs="Times New Roman"/>
          <w:sz w:val="24"/>
          <w:szCs w:val="24"/>
          <w:lang w:val="en-IN"/>
        </w:rPr>
        <w:t xml:space="preserve">. If the EPS is high, it may attract more investors to the organization and vice versa. </w:t>
      </w:r>
      <w:r w:rsidR="00456B50" w:rsidRPr="004F666C">
        <w:rPr>
          <w:rFonts w:ascii="Times New Roman" w:hAnsi="Times New Roman" w:cs="Times New Roman"/>
          <w:sz w:val="24"/>
          <w:szCs w:val="24"/>
          <w:lang w:val="en-IN"/>
        </w:rPr>
        <w:t xml:space="preserve">Therefore, it is found that </w:t>
      </w:r>
      <w:r w:rsidR="00824380" w:rsidRPr="004F666C">
        <w:rPr>
          <w:rFonts w:ascii="Times New Roman" w:hAnsi="Times New Roman" w:cs="Times New Roman"/>
          <w:sz w:val="24"/>
          <w:szCs w:val="24"/>
          <w:lang w:val="en-IN"/>
        </w:rPr>
        <w:t xml:space="preserve">the </w:t>
      </w:r>
      <w:r w:rsidR="00456B50" w:rsidRPr="004F666C">
        <w:rPr>
          <w:rFonts w:ascii="Times New Roman" w:hAnsi="Times New Roman" w:cs="Times New Roman"/>
          <w:sz w:val="24"/>
          <w:szCs w:val="24"/>
          <w:lang w:val="en-IN"/>
        </w:rPr>
        <w:t xml:space="preserve">EPS of Sweet Plc was 0.61 in 2020 </w:t>
      </w:r>
      <w:r w:rsidR="00824380" w:rsidRPr="004F666C">
        <w:rPr>
          <w:rFonts w:ascii="Times New Roman" w:hAnsi="Times New Roman" w:cs="Times New Roman"/>
          <w:sz w:val="24"/>
          <w:szCs w:val="24"/>
          <w:lang w:val="en-IN"/>
        </w:rPr>
        <w:t>which</w:t>
      </w:r>
      <w:r w:rsidR="00456B50" w:rsidRPr="004F666C">
        <w:rPr>
          <w:rFonts w:ascii="Times New Roman" w:hAnsi="Times New Roman" w:cs="Times New Roman"/>
          <w:sz w:val="24"/>
          <w:szCs w:val="24"/>
          <w:lang w:val="en-IN"/>
        </w:rPr>
        <w:t xml:space="preserve"> went up to 0.72 in 2021 which indicates that the return on the investment of the people in the company has increased. It can be </w:t>
      </w:r>
      <w:r w:rsidR="00824380" w:rsidRPr="004F666C">
        <w:rPr>
          <w:rFonts w:ascii="Times New Roman" w:hAnsi="Times New Roman" w:cs="Times New Roman"/>
          <w:sz w:val="24"/>
          <w:szCs w:val="24"/>
          <w:lang w:val="en-IN"/>
        </w:rPr>
        <w:t>an</w:t>
      </w:r>
      <w:r w:rsidR="00456B50" w:rsidRPr="004F666C">
        <w:rPr>
          <w:rFonts w:ascii="Times New Roman" w:hAnsi="Times New Roman" w:cs="Times New Roman"/>
          <w:sz w:val="24"/>
          <w:szCs w:val="24"/>
          <w:lang w:val="en-IN"/>
        </w:rPr>
        <w:t xml:space="preserve"> effective measure for </w:t>
      </w:r>
      <w:r w:rsidR="00824380" w:rsidRPr="004F666C">
        <w:rPr>
          <w:rFonts w:ascii="Times New Roman" w:hAnsi="Times New Roman" w:cs="Times New Roman"/>
          <w:sz w:val="24"/>
          <w:szCs w:val="24"/>
          <w:lang w:val="en-IN"/>
        </w:rPr>
        <w:t xml:space="preserve">the </w:t>
      </w:r>
      <w:r w:rsidR="00456B50" w:rsidRPr="004F666C">
        <w:rPr>
          <w:rFonts w:ascii="Times New Roman" w:hAnsi="Times New Roman" w:cs="Times New Roman"/>
          <w:sz w:val="24"/>
          <w:szCs w:val="24"/>
          <w:lang w:val="en-IN"/>
        </w:rPr>
        <w:t>attraction of the shareholders to the company because high capital gain may attract investors and this may increase the price of the stock which may also benefit the company and shareholders mutually</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sz w:val="24"/>
          <w:szCs w:val="24"/>
          <w:lang w:val="en-US"/>
        </w:rPr>
        <w:t>(Brigham and Houston, 2012)</w:t>
      </w:r>
      <w:r w:rsidR="00456B50" w:rsidRPr="004F666C">
        <w:rPr>
          <w:rFonts w:ascii="Times New Roman" w:hAnsi="Times New Roman" w:cs="Times New Roman"/>
          <w:sz w:val="24"/>
          <w:szCs w:val="24"/>
          <w:lang w:val="en-IN"/>
        </w:rPr>
        <w:t xml:space="preserve">. </w:t>
      </w:r>
    </w:p>
    <w:p w14:paraId="68CE8A50" w14:textId="54758679" w:rsidR="006D0C86" w:rsidRPr="004F666C" w:rsidRDefault="006D0C86"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Net Profit</w:t>
      </w:r>
      <w:r w:rsidRPr="004F666C">
        <w:rPr>
          <w:rFonts w:ascii="Times New Roman" w:hAnsi="Times New Roman" w:cs="Times New Roman"/>
          <w:sz w:val="24"/>
          <w:szCs w:val="24"/>
          <w:lang w:val="en-IN"/>
        </w:rPr>
        <w:t>:</w:t>
      </w:r>
      <w:r w:rsidR="00A367AF" w:rsidRPr="004F666C">
        <w:rPr>
          <w:rFonts w:ascii="Times New Roman" w:hAnsi="Times New Roman" w:cs="Times New Roman"/>
          <w:sz w:val="24"/>
          <w:szCs w:val="24"/>
          <w:lang w:val="en-IN"/>
        </w:rPr>
        <w:t xml:space="preserve"> This is a good indicator of the profitability of the company which means the management of the company is quite effective to cut the cost and improv</w:t>
      </w:r>
      <w:r w:rsidR="00824380" w:rsidRPr="004F666C">
        <w:rPr>
          <w:rFonts w:ascii="Times New Roman" w:hAnsi="Times New Roman" w:cs="Times New Roman"/>
          <w:sz w:val="24"/>
          <w:szCs w:val="24"/>
          <w:lang w:val="en-IN"/>
        </w:rPr>
        <w:t>ing</w:t>
      </w:r>
      <w:r w:rsidR="00A367AF" w:rsidRPr="004F666C">
        <w:rPr>
          <w:rFonts w:ascii="Times New Roman" w:hAnsi="Times New Roman" w:cs="Times New Roman"/>
          <w:sz w:val="24"/>
          <w:szCs w:val="24"/>
          <w:lang w:val="en-IN"/>
        </w:rPr>
        <w:t xml:space="preserve"> the sales of the business. </w:t>
      </w:r>
      <w:r w:rsidR="00E94CA4" w:rsidRPr="004F666C">
        <w:rPr>
          <w:rFonts w:ascii="Times New Roman" w:hAnsi="Times New Roman" w:cs="Times New Roman"/>
          <w:sz w:val="24"/>
          <w:szCs w:val="24"/>
          <w:lang w:val="en-IN"/>
        </w:rPr>
        <w:t xml:space="preserve">The net profit aids to measure the relationship between the net income of the organization and </w:t>
      </w:r>
      <w:r w:rsidR="00824380" w:rsidRPr="004F666C">
        <w:rPr>
          <w:rFonts w:ascii="Times New Roman" w:hAnsi="Times New Roman" w:cs="Times New Roman"/>
          <w:sz w:val="24"/>
          <w:szCs w:val="24"/>
          <w:lang w:val="en-IN"/>
        </w:rPr>
        <w:t xml:space="preserve">the </w:t>
      </w:r>
      <w:r w:rsidR="00E94CA4" w:rsidRPr="004F666C">
        <w:rPr>
          <w:rFonts w:ascii="Times New Roman" w:hAnsi="Times New Roman" w:cs="Times New Roman"/>
          <w:sz w:val="24"/>
          <w:szCs w:val="24"/>
          <w:lang w:val="en-IN"/>
        </w:rPr>
        <w:t>sales revenue of the firm</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sz w:val="24"/>
          <w:szCs w:val="24"/>
          <w:lang w:val="en-US"/>
        </w:rPr>
        <w:t>Brigham and Ehrhardt, 2013)</w:t>
      </w:r>
      <w:r w:rsidR="00E94CA4" w:rsidRPr="004F666C">
        <w:rPr>
          <w:rFonts w:ascii="Times New Roman" w:hAnsi="Times New Roman" w:cs="Times New Roman"/>
          <w:sz w:val="24"/>
          <w:szCs w:val="24"/>
          <w:lang w:val="en-IN"/>
        </w:rPr>
        <w:t xml:space="preserve">. </w:t>
      </w:r>
      <w:r w:rsidR="00E87D02" w:rsidRPr="004F666C">
        <w:rPr>
          <w:rFonts w:ascii="Times New Roman" w:hAnsi="Times New Roman" w:cs="Times New Roman"/>
          <w:sz w:val="24"/>
          <w:szCs w:val="24"/>
          <w:lang w:val="en-IN"/>
        </w:rPr>
        <w:t xml:space="preserve">If the net profit </w:t>
      </w:r>
      <w:r w:rsidR="00E87D02" w:rsidRPr="004F666C">
        <w:rPr>
          <w:rFonts w:ascii="Times New Roman" w:hAnsi="Times New Roman" w:cs="Times New Roman"/>
          <w:sz w:val="24"/>
          <w:szCs w:val="24"/>
          <w:lang w:val="en-IN"/>
        </w:rPr>
        <w:lastRenderedPageBreak/>
        <w:t xml:space="preserve">is higher, it means the company is able to control the operating cost and improve the operational efficiency for growing the profit margin. Therefore, it is found that </w:t>
      </w:r>
      <w:r w:rsidR="00824380" w:rsidRPr="004F666C">
        <w:rPr>
          <w:rFonts w:ascii="Times New Roman" w:hAnsi="Times New Roman" w:cs="Times New Roman"/>
          <w:sz w:val="24"/>
          <w:szCs w:val="24"/>
          <w:lang w:val="en-IN"/>
        </w:rPr>
        <w:t xml:space="preserve">the </w:t>
      </w:r>
      <w:r w:rsidR="00E87D02" w:rsidRPr="004F666C">
        <w:rPr>
          <w:rFonts w:ascii="Times New Roman" w:hAnsi="Times New Roman" w:cs="Times New Roman"/>
          <w:sz w:val="24"/>
          <w:szCs w:val="24"/>
          <w:lang w:val="en-IN"/>
        </w:rPr>
        <w:t>net profit of Sweet Plc increased from 5.68% in 2020 to 6.40% in 2021. It means the company has reduced the operating cost and expenses in 2021 alongside the improvement in the sales revenue. It contributed to improv</w:t>
      </w:r>
      <w:r w:rsidR="00824380" w:rsidRPr="004F666C">
        <w:rPr>
          <w:rFonts w:ascii="Times New Roman" w:hAnsi="Times New Roman" w:cs="Times New Roman"/>
          <w:sz w:val="24"/>
          <w:szCs w:val="24"/>
          <w:lang w:val="en-IN"/>
        </w:rPr>
        <w:t>ing</w:t>
      </w:r>
      <w:r w:rsidR="00E87D02" w:rsidRPr="004F666C">
        <w:rPr>
          <w:rFonts w:ascii="Times New Roman" w:hAnsi="Times New Roman" w:cs="Times New Roman"/>
          <w:sz w:val="24"/>
          <w:szCs w:val="24"/>
          <w:lang w:val="en-IN"/>
        </w:rPr>
        <w:t xml:space="preserve"> the profit margin of the organization</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color w:val="262626" w:themeColor="text1" w:themeTint="D9"/>
          <w:sz w:val="24"/>
          <w:szCs w:val="24"/>
          <w:shd w:val="clear" w:color="auto" w:fill="FFFFFF"/>
        </w:rPr>
        <w:t>Dyson, 2017)</w:t>
      </w:r>
      <w:r w:rsidR="00E87D02" w:rsidRPr="004F666C">
        <w:rPr>
          <w:rFonts w:ascii="Times New Roman" w:hAnsi="Times New Roman" w:cs="Times New Roman"/>
          <w:sz w:val="24"/>
          <w:szCs w:val="24"/>
          <w:lang w:val="en-IN"/>
        </w:rPr>
        <w:t xml:space="preserve">. </w:t>
      </w:r>
    </w:p>
    <w:p w14:paraId="0683803B" w14:textId="5B844732" w:rsidR="006D0C86" w:rsidRPr="004F666C" w:rsidRDefault="00E87D02"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Asset Turnover</w:t>
      </w:r>
      <w:r w:rsidRPr="004F666C">
        <w:rPr>
          <w:rFonts w:ascii="Times New Roman" w:hAnsi="Times New Roman" w:cs="Times New Roman"/>
          <w:sz w:val="24"/>
          <w:szCs w:val="24"/>
          <w:lang w:val="en-IN"/>
        </w:rPr>
        <w:t xml:space="preserve">: </w:t>
      </w:r>
      <w:r w:rsidR="008C4264" w:rsidRPr="004F666C">
        <w:rPr>
          <w:rFonts w:ascii="Times New Roman" w:hAnsi="Times New Roman" w:cs="Times New Roman"/>
          <w:sz w:val="24"/>
          <w:szCs w:val="24"/>
          <w:lang w:val="en-IN"/>
        </w:rPr>
        <w:t>This ratio is useful to measure the ability of the organization to use the assets to improv</w:t>
      </w:r>
      <w:r w:rsidR="00824380" w:rsidRPr="004F666C">
        <w:rPr>
          <w:rFonts w:ascii="Times New Roman" w:hAnsi="Times New Roman" w:cs="Times New Roman"/>
          <w:sz w:val="24"/>
          <w:szCs w:val="24"/>
          <w:lang w:val="en-IN"/>
        </w:rPr>
        <w:t>e</w:t>
      </w:r>
      <w:r w:rsidR="008C4264" w:rsidRPr="004F666C">
        <w:rPr>
          <w:rFonts w:ascii="Times New Roman" w:hAnsi="Times New Roman" w:cs="Times New Roman"/>
          <w:sz w:val="24"/>
          <w:szCs w:val="24"/>
          <w:lang w:val="en-IN"/>
        </w:rPr>
        <w:t xml:space="preserve"> the sales of the business. The usage of the assets and effectiveness in utilization of the assets may determine the performance of the company</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color w:val="262626" w:themeColor="text1" w:themeTint="D9"/>
          <w:sz w:val="24"/>
          <w:szCs w:val="24"/>
          <w:shd w:val="clear" w:color="auto" w:fill="FFFFFF"/>
        </w:rPr>
        <w:t>Dyson, 2017)</w:t>
      </w:r>
      <w:r w:rsidR="008C4264" w:rsidRPr="004F666C">
        <w:rPr>
          <w:rFonts w:ascii="Times New Roman" w:hAnsi="Times New Roman" w:cs="Times New Roman"/>
          <w:sz w:val="24"/>
          <w:szCs w:val="24"/>
          <w:lang w:val="en-IN"/>
        </w:rPr>
        <w:t xml:space="preserve">. Hence, it can be said that the asset turnover of Sweet Plc was 7.83 in 2020 </w:t>
      </w:r>
      <w:r w:rsidR="00824380" w:rsidRPr="004F666C">
        <w:rPr>
          <w:rFonts w:ascii="Times New Roman" w:hAnsi="Times New Roman" w:cs="Times New Roman"/>
          <w:sz w:val="24"/>
          <w:szCs w:val="24"/>
          <w:lang w:val="en-IN"/>
        </w:rPr>
        <w:t>which</w:t>
      </w:r>
      <w:r w:rsidR="008C4264" w:rsidRPr="004F666C">
        <w:rPr>
          <w:rFonts w:ascii="Times New Roman" w:hAnsi="Times New Roman" w:cs="Times New Roman"/>
          <w:sz w:val="24"/>
          <w:szCs w:val="24"/>
          <w:lang w:val="en-IN"/>
        </w:rPr>
        <w:t xml:space="preserve"> increased to 8.18 in 2021 </w:t>
      </w:r>
      <w:r w:rsidR="00824380" w:rsidRPr="004F666C">
        <w:rPr>
          <w:rFonts w:ascii="Times New Roman" w:hAnsi="Times New Roman" w:cs="Times New Roman"/>
          <w:sz w:val="24"/>
          <w:szCs w:val="24"/>
          <w:lang w:val="en-IN"/>
        </w:rPr>
        <w:t>which</w:t>
      </w:r>
      <w:r w:rsidR="008C4264" w:rsidRPr="004F666C">
        <w:rPr>
          <w:rFonts w:ascii="Times New Roman" w:hAnsi="Times New Roman" w:cs="Times New Roman"/>
          <w:sz w:val="24"/>
          <w:szCs w:val="24"/>
          <w:lang w:val="en-IN"/>
        </w:rPr>
        <w:t xml:space="preserve"> indicates the improvement in the ratio of asset turnover. It means Sweet Plc has improved the optimum utilization of the asset that improved the income and sales of the organization</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color w:val="222222"/>
          <w:sz w:val="24"/>
          <w:szCs w:val="24"/>
          <w:shd w:val="clear" w:color="auto" w:fill="FFFFFF"/>
        </w:rPr>
        <w:t>Titman et al., 2013)</w:t>
      </w:r>
      <w:r w:rsidR="008C4264" w:rsidRPr="004F666C">
        <w:rPr>
          <w:rFonts w:ascii="Times New Roman" w:hAnsi="Times New Roman" w:cs="Times New Roman"/>
          <w:sz w:val="24"/>
          <w:szCs w:val="24"/>
          <w:lang w:val="en-IN"/>
        </w:rPr>
        <w:t xml:space="preserve">. </w:t>
      </w:r>
    </w:p>
    <w:p w14:paraId="4B844186" w14:textId="6622FD83" w:rsidR="008C4264" w:rsidRPr="004F666C" w:rsidRDefault="004B7438"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Stock Holding Days</w:t>
      </w:r>
      <w:r w:rsidRPr="004F666C">
        <w:rPr>
          <w:rFonts w:ascii="Times New Roman" w:hAnsi="Times New Roman" w:cs="Times New Roman"/>
          <w:sz w:val="24"/>
          <w:szCs w:val="24"/>
          <w:lang w:val="en-IN"/>
        </w:rPr>
        <w:t xml:space="preserve">: This ratio aids to measure the efficiency of the organization to use the inventory frequently to improve the production and contribute to the sales of the organization. This ratio may influence the decision of the organization for inventory management because </w:t>
      </w:r>
      <w:r w:rsidR="00824380" w:rsidRPr="004F666C">
        <w:rPr>
          <w:rFonts w:ascii="Times New Roman" w:hAnsi="Times New Roman" w:cs="Times New Roman"/>
          <w:sz w:val="24"/>
          <w:szCs w:val="24"/>
          <w:lang w:val="en-IN"/>
        </w:rPr>
        <w:t xml:space="preserve">a </w:t>
      </w:r>
      <w:r w:rsidRPr="004F666C">
        <w:rPr>
          <w:rFonts w:ascii="Times New Roman" w:hAnsi="Times New Roman" w:cs="Times New Roman"/>
          <w:sz w:val="24"/>
          <w:szCs w:val="24"/>
          <w:lang w:val="en-IN"/>
        </w:rPr>
        <w:t>high inventory period may influence the cash conversion cycle of the organization</w:t>
      </w:r>
      <w:r w:rsidR="009A7E35" w:rsidRPr="004F666C">
        <w:rPr>
          <w:rFonts w:ascii="Times New Roman" w:hAnsi="Times New Roman" w:cs="Times New Roman"/>
          <w:sz w:val="24"/>
          <w:szCs w:val="24"/>
          <w:lang w:val="en-IN"/>
        </w:rPr>
        <w:t xml:space="preserve"> (</w:t>
      </w:r>
      <w:r w:rsidR="009A7E35" w:rsidRPr="004F666C">
        <w:rPr>
          <w:rFonts w:ascii="Times New Roman" w:hAnsi="Times New Roman" w:cs="Times New Roman"/>
          <w:color w:val="222222"/>
          <w:sz w:val="24"/>
          <w:szCs w:val="24"/>
          <w:shd w:val="clear" w:color="auto" w:fill="FFFFFF"/>
        </w:rPr>
        <w:t>Madura, 2011)</w:t>
      </w:r>
      <w:r w:rsidRPr="004F666C">
        <w:rPr>
          <w:rFonts w:ascii="Times New Roman" w:hAnsi="Times New Roman" w:cs="Times New Roman"/>
          <w:sz w:val="24"/>
          <w:szCs w:val="24"/>
          <w:lang w:val="en-IN"/>
        </w:rPr>
        <w:t xml:space="preserve">. Therefore, it is found that </w:t>
      </w:r>
      <w:r w:rsidR="00824380" w:rsidRPr="004F666C">
        <w:rPr>
          <w:rFonts w:ascii="Times New Roman" w:hAnsi="Times New Roman" w:cs="Times New Roman"/>
          <w:sz w:val="24"/>
          <w:szCs w:val="24"/>
          <w:lang w:val="en-IN"/>
        </w:rPr>
        <w:t xml:space="preserve">the </w:t>
      </w:r>
      <w:r w:rsidRPr="004F666C">
        <w:rPr>
          <w:rFonts w:ascii="Times New Roman" w:hAnsi="Times New Roman" w:cs="Times New Roman"/>
          <w:sz w:val="24"/>
          <w:szCs w:val="24"/>
          <w:lang w:val="en-IN"/>
        </w:rPr>
        <w:t>stock holding day of Sweet Plc ha</w:t>
      </w:r>
      <w:r w:rsidR="00824380" w:rsidRPr="004F666C">
        <w:rPr>
          <w:rFonts w:ascii="Times New Roman" w:hAnsi="Times New Roman" w:cs="Times New Roman"/>
          <w:sz w:val="24"/>
          <w:szCs w:val="24"/>
          <w:lang w:val="en-IN"/>
        </w:rPr>
        <w:t>s</w:t>
      </w:r>
      <w:r w:rsidRPr="004F666C">
        <w:rPr>
          <w:rFonts w:ascii="Times New Roman" w:hAnsi="Times New Roman" w:cs="Times New Roman"/>
          <w:sz w:val="24"/>
          <w:szCs w:val="24"/>
          <w:lang w:val="en-IN"/>
        </w:rPr>
        <w:t xml:space="preserve"> increased to 79.88 days </w:t>
      </w:r>
      <w:r w:rsidR="00C15937" w:rsidRPr="004F666C">
        <w:rPr>
          <w:rFonts w:ascii="Times New Roman" w:hAnsi="Times New Roman" w:cs="Times New Roman"/>
          <w:sz w:val="24"/>
          <w:szCs w:val="24"/>
          <w:lang w:val="en-IN"/>
        </w:rPr>
        <w:t xml:space="preserve">in 2021 from 77.69 days. It means inventory management is not effective in the organization and production is not proper which raised the inventory turnover days. </w:t>
      </w:r>
      <w:r w:rsidR="007718F7" w:rsidRPr="004F666C">
        <w:rPr>
          <w:rFonts w:ascii="Times New Roman" w:hAnsi="Times New Roman" w:cs="Times New Roman"/>
          <w:sz w:val="24"/>
          <w:szCs w:val="24"/>
          <w:lang w:val="en-IN"/>
        </w:rPr>
        <w:t xml:space="preserve">This organization needs to monitor the inventory closely for cutting the inventory cost and days to improve the efficiency in the operation. </w:t>
      </w:r>
    </w:p>
    <w:p w14:paraId="5CD19C61" w14:textId="00BE4302" w:rsidR="007718F7" w:rsidRPr="004F666C" w:rsidRDefault="007718F7"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Debtor’s Days</w:t>
      </w:r>
      <w:r w:rsidRPr="004F666C">
        <w:rPr>
          <w:rFonts w:ascii="Times New Roman" w:hAnsi="Times New Roman" w:cs="Times New Roman"/>
          <w:sz w:val="24"/>
          <w:szCs w:val="24"/>
          <w:lang w:val="en-IN"/>
        </w:rPr>
        <w:t xml:space="preserve">: This ratio is used for determining the effectiveness in the credit management and management of the trade receivables of the organization. High debtor’s days may cause the issue of working capital in the firms because this may hold the money to </w:t>
      </w:r>
      <w:r w:rsidR="00824380" w:rsidRPr="004F666C">
        <w:rPr>
          <w:rFonts w:ascii="Times New Roman" w:hAnsi="Times New Roman" w:cs="Times New Roman"/>
          <w:sz w:val="24"/>
          <w:szCs w:val="24"/>
          <w:lang w:val="en-IN"/>
        </w:rPr>
        <w:t xml:space="preserve">the </w:t>
      </w:r>
      <w:r w:rsidRPr="004F666C">
        <w:rPr>
          <w:rFonts w:ascii="Times New Roman" w:hAnsi="Times New Roman" w:cs="Times New Roman"/>
          <w:sz w:val="24"/>
          <w:szCs w:val="24"/>
          <w:lang w:val="en-IN"/>
        </w:rPr>
        <w:t xml:space="preserve">consumer for </w:t>
      </w:r>
      <w:r w:rsidR="00824380" w:rsidRPr="004F666C">
        <w:rPr>
          <w:rFonts w:ascii="Times New Roman" w:hAnsi="Times New Roman" w:cs="Times New Roman"/>
          <w:sz w:val="24"/>
          <w:szCs w:val="24"/>
          <w:lang w:val="en-IN"/>
        </w:rPr>
        <w:t xml:space="preserve">a </w:t>
      </w:r>
      <w:r w:rsidRPr="004F666C">
        <w:rPr>
          <w:rFonts w:ascii="Times New Roman" w:hAnsi="Times New Roman" w:cs="Times New Roman"/>
          <w:sz w:val="24"/>
          <w:szCs w:val="24"/>
          <w:lang w:val="en-IN"/>
        </w:rPr>
        <w:t>long time</w:t>
      </w:r>
      <w:r w:rsidR="009A7E35" w:rsidRPr="004F666C">
        <w:rPr>
          <w:rFonts w:ascii="Times New Roman" w:hAnsi="Times New Roman" w:cs="Times New Roman"/>
          <w:sz w:val="24"/>
          <w:szCs w:val="24"/>
          <w:lang w:val="en-IN"/>
        </w:rPr>
        <w:t xml:space="preserve"> (</w:t>
      </w:r>
      <w:r w:rsidR="009A7E35" w:rsidRPr="004F666C">
        <w:rPr>
          <w:rFonts w:ascii="Times New Roman" w:hAnsi="Times New Roman" w:cs="Times New Roman"/>
          <w:color w:val="222222"/>
          <w:sz w:val="24"/>
          <w:szCs w:val="24"/>
          <w:shd w:val="clear" w:color="auto" w:fill="FFFFFF"/>
        </w:rPr>
        <w:t>Madura, 2011)</w:t>
      </w:r>
      <w:r w:rsidRPr="004F666C">
        <w:rPr>
          <w:rFonts w:ascii="Times New Roman" w:hAnsi="Times New Roman" w:cs="Times New Roman"/>
          <w:sz w:val="24"/>
          <w:szCs w:val="24"/>
          <w:lang w:val="en-IN"/>
        </w:rPr>
        <w:t xml:space="preserve">. Hence, it is found that </w:t>
      </w:r>
      <w:r w:rsidR="00824380" w:rsidRPr="004F666C">
        <w:rPr>
          <w:rFonts w:ascii="Times New Roman" w:hAnsi="Times New Roman" w:cs="Times New Roman"/>
          <w:sz w:val="24"/>
          <w:szCs w:val="24"/>
          <w:lang w:val="en-IN"/>
        </w:rPr>
        <w:t xml:space="preserve">the </w:t>
      </w:r>
      <w:r w:rsidRPr="004F666C">
        <w:rPr>
          <w:rFonts w:ascii="Times New Roman" w:hAnsi="Times New Roman" w:cs="Times New Roman"/>
          <w:sz w:val="24"/>
          <w:szCs w:val="24"/>
          <w:lang w:val="en-IN"/>
        </w:rPr>
        <w:t xml:space="preserve">debtor’s days in Sweet Plc reduced to 67.72 days in 2021 from 72.93 days in 2020 </w:t>
      </w:r>
      <w:r w:rsidR="00824380" w:rsidRPr="004F666C">
        <w:rPr>
          <w:rFonts w:ascii="Times New Roman" w:hAnsi="Times New Roman" w:cs="Times New Roman"/>
          <w:sz w:val="24"/>
          <w:szCs w:val="24"/>
          <w:lang w:val="en-IN"/>
        </w:rPr>
        <w:t>which</w:t>
      </w:r>
      <w:r w:rsidRPr="004F666C">
        <w:rPr>
          <w:rFonts w:ascii="Times New Roman" w:hAnsi="Times New Roman" w:cs="Times New Roman"/>
          <w:sz w:val="24"/>
          <w:szCs w:val="24"/>
          <w:lang w:val="en-IN"/>
        </w:rPr>
        <w:t xml:space="preserve"> means the company has improved its credit policies and adopted other initiatives to get the money from the consumers. </w:t>
      </w:r>
      <w:r w:rsidR="00124D96" w:rsidRPr="004F666C">
        <w:rPr>
          <w:rFonts w:ascii="Times New Roman" w:hAnsi="Times New Roman" w:cs="Times New Roman"/>
          <w:sz w:val="24"/>
          <w:szCs w:val="24"/>
          <w:lang w:val="en-IN"/>
        </w:rPr>
        <w:t>However, the organization needs to slash the debtor’s period more by using other discount offer</w:t>
      </w:r>
      <w:r w:rsidR="00824380" w:rsidRPr="004F666C">
        <w:rPr>
          <w:rFonts w:ascii="Times New Roman" w:hAnsi="Times New Roman" w:cs="Times New Roman"/>
          <w:sz w:val="24"/>
          <w:szCs w:val="24"/>
          <w:lang w:val="en-IN"/>
        </w:rPr>
        <w:t>s</w:t>
      </w:r>
      <w:r w:rsidR="00124D96" w:rsidRPr="004F666C">
        <w:rPr>
          <w:rFonts w:ascii="Times New Roman" w:hAnsi="Times New Roman" w:cs="Times New Roman"/>
          <w:sz w:val="24"/>
          <w:szCs w:val="24"/>
          <w:lang w:val="en-IN"/>
        </w:rPr>
        <w:t xml:space="preserve"> and strategies. </w:t>
      </w:r>
    </w:p>
    <w:p w14:paraId="3BCE6093" w14:textId="451ABCF1" w:rsidR="007718F7" w:rsidRPr="004F666C" w:rsidRDefault="007718F7"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Current Ratio</w:t>
      </w:r>
      <w:r w:rsidRPr="004F666C">
        <w:rPr>
          <w:rFonts w:ascii="Times New Roman" w:hAnsi="Times New Roman" w:cs="Times New Roman"/>
          <w:sz w:val="24"/>
          <w:szCs w:val="24"/>
          <w:lang w:val="en-IN"/>
        </w:rPr>
        <w:t>:</w:t>
      </w:r>
      <w:r w:rsidR="001A307A" w:rsidRPr="004F666C">
        <w:rPr>
          <w:rFonts w:ascii="Times New Roman" w:hAnsi="Times New Roman" w:cs="Times New Roman"/>
          <w:sz w:val="24"/>
          <w:szCs w:val="24"/>
          <w:lang w:val="en-IN"/>
        </w:rPr>
        <w:t xml:space="preserve"> </w:t>
      </w:r>
      <w:r w:rsidR="00965863" w:rsidRPr="004F666C">
        <w:rPr>
          <w:rFonts w:ascii="Times New Roman" w:hAnsi="Times New Roman" w:cs="Times New Roman"/>
          <w:sz w:val="24"/>
          <w:szCs w:val="24"/>
          <w:lang w:val="en-IN"/>
        </w:rPr>
        <w:t>This ratio may aid to assess the liquidity of the firm whether it can clear and pay off the short-term duties and financial obligations</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color w:val="222222"/>
          <w:sz w:val="24"/>
          <w:szCs w:val="24"/>
          <w:shd w:val="clear" w:color="auto" w:fill="FFFFFF"/>
        </w:rPr>
        <w:t>Epstein and Lee, 2014)</w:t>
      </w:r>
      <w:r w:rsidR="00965863" w:rsidRPr="004F666C">
        <w:rPr>
          <w:rFonts w:ascii="Times New Roman" w:hAnsi="Times New Roman" w:cs="Times New Roman"/>
          <w:sz w:val="24"/>
          <w:szCs w:val="24"/>
          <w:lang w:val="en-IN"/>
        </w:rPr>
        <w:t xml:space="preserve">. It is found that Sweet Plc had the current ratio of 0.77 in 2020 </w:t>
      </w:r>
      <w:r w:rsidR="00824380" w:rsidRPr="004F666C">
        <w:rPr>
          <w:rFonts w:ascii="Times New Roman" w:hAnsi="Times New Roman" w:cs="Times New Roman"/>
          <w:sz w:val="24"/>
          <w:szCs w:val="24"/>
          <w:lang w:val="en-IN"/>
        </w:rPr>
        <w:t>which</w:t>
      </w:r>
      <w:r w:rsidR="00965863" w:rsidRPr="004F666C">
        <w:rPr>
          <w:rFonts w:ascii="Times New Roman" w:hAnsi="Times New Roman" w:cs="Times New Roman"/>
          <w:sz w:val="24"/>
          <w:szCs w:val="24"/>
          <w:lang w:val="en-IN"/>
        </w:rPr>
        <w:t xml:space="preserve"> increased to 0.92 in 2021. It indicates </w:t>
      </w:r>
      <w:r w:rsidR="00965863" w:rsidRPr="004F666C">
        <w:rPr>
          <w:rFonts w:ascii="Times New Roman" w:hAnsi="Times New Roman" w:cs="Times New Roman"/>
          <w:sz w:val="24"/>
          <w:szCs w:val="24"/>
          <w:lang w:val="en-IN"/>
        </w:rPr>
        <w:lastRenderedPageBreak/>
        <w:t xml:space="preserve">that the liquidity of Sweet Plc has increased in 2021 </w:t>
      </w:r>
      <w:r w:rsidR="00824380" w:rsidRPr="004F666C">
        <w:rPr>
          <w:rFonts w:ascii="Times New Roman" w:hAnsi="Times New Roman" w:cs="Times New Roman"/>
          <w:sz w:val="24"/>
          <w:szCs w:val="24"/>
          <w:lang w:val="en-IN"/>
        </w:rPr>
        <w:t>which</w:t>
      </w:r>
      <w:r w:rsidR="00965863" w:rsidRPr="004F666C">
        <w:rPr>
          <w:rFonts w:ascii="Times New Roman" w:hAnsi="Times New Roman" w:cs="Times New Roman"/>
          <w:sz w:val="24"/>
          <w:szCs w:val="24"/>
          <w:lang w:val="en-IN"/>
        </w:rPr>
        <w:t xml:space="preserve"> may make it able to afford the short-term expenses but still current ratio is less than 1.0. It means it needs to improv</w:t>
      </w:r>
      <w:r w:rsidR="00824380" w:rsidRPr="004F666C">
        <w:rPr>
          <w:rFonts w:ascii="Times New Roman" w:hAnsi="Times New Roman" w:cs="Times New Roman"/>
          <w:sz w:val="24"/>
          <w:szCs w:val="24"/>
          <w:lang w:val="en-IN"/>
        </w:rPr>
        <w:t>e</w:t>
      </w:r>
      <w:r w:rsidR="00965863" w:rsidRPr="004F666C">
        <w:rPr>
          <w:rFonts w:ascii="Times New Roman" w:hAnsi="Times New Roman" w:cs="Times New Roman"/>
          <w:sz w:val="24"/>
          <w:szCs w:val="24"/>
          <w:lang w:val="en-IN"/>
        </w:rPr>
        <w:t xml:space="preserve"> </w:t>
      </w:r>
      <w:r w:rsidR="00824380" w:rsidRPr="004F666C">
        <w:rPr>
          <w:rFonts w:ascii="Times New Roman" w:hAnsi="Times New Roman" w:cs="Times New Roman"/>
          <w:sz w:val="24"/>
          <w:szCs w:val="24"/>
          <w:lang w:val="en-IN"/>
        </w:rPr>
        <w:t>its</w:t>
      </w:r>
      <w:r w:rsidR="00965863" w:rsidRPr="004F666C">
        <w:rPr>
          <w:rFonts w:ascii="Times New Roman" w:hAnsi="Times New Roman" w:cs="Times New Roman"/>
          <w:sz w:val="24"/>
          <w:szCs w:val="24"/>
          <w:lang w:val="en-IN"/>
        </w:rPr>
        <w:t xml:space="preserve"> liquidity slightly to enhance its affordability fully</w:t>
      </w:r>
      <w:r w:rsidR="009A7E35" w:rsidRPr="004F666C">
        <w:rPr>
          <w:rFonts w:ascii="Times New Roman" w:hAnsi="Times New Roman" w:cs="Times New Roman"/>
          <w:sz w:val="24"/>
          <w:szCs w:val="24"/>
          <w:lang w:val="en-IN"/>
        </w:rPr>
        <w:t xml:space="preserve"> (</w:t>
      </w:r>
      <w:r w:rsidR="009A7E35" w:rsidRPr="004F666C">
        <w:rPr>
          <w:rFonts w:ascii="Times New Roman" w:hAnsi="Times New Roman" w:cs="Times New Roman"/>
          <w:color w:val="222222"/>
          <w:sz w:val="24"/>
          <w:szCs w:val="24"/>
          <w:shd w:val="clear" w:color="auto" w:fill="FFFFFF"/>
        </w:rPr>
        <w:t>Madura, 2011)</w:t>
      </w:r>
      <w:r w:rsidR="00965863" w:rsidRPr="004F666C">
        <w:rPr>
          <w:rFonts w:ascii="Times New Roman" w:hAnsi="Times New Roman" w:cs="Times New Roman"/>
          <w:sz w:val="24"/>
          <w:szCs w:val="24"/>
          <w:lang w:val="en-IN"/>
        </w:rPr>
        <w:t xml:space="preserve">. </w:t>
      </w:r>
    </w:p>
    <w:p w14:paraId="33B6B310" w14:textId="095A4C87" w:rsidR="007718F7" w:rsidRPr="004F666C" w:rsidRDefault="007718F7"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Acid Test Ratio</w:t>
      </w:r>
      <w:r w:rsidRPr="004F666C">
        <w:rPr>
          <w:rFonts w:ascii="Times New Roman" w:hAnsi="Times New Roman" w:cs="Times New Roman"/>
          <w:sz w:val="24"/>
          <w:szCs w:val="24"/>
          <w:lang w:val="en-IN"/>
        </w:rPr>
        <w:t>:</w:t>
      </w:r>
      <w:r w:rsidR="00965863" w:rsidRPr="004F666C">
        <w:rPr>
          <w:rFonts w:ascii="Times New Roman" w:hAnsi="Times New Roman" w:cs="Times New Roman"/>
          <w:sz w:val="24"/>
          <w:szCs w:val="24"/>
          <w:lang w:val="en-IN"/>
        </w:rPr>
        <w:t xml:space="preserve"> This ratio may aid to determine the cash assets of the company to meet the short-term duties. Hence, it is found that </w:t>
      </w:r>
      <w:r w:rsidR="00824380" w:rsidRPr="004F666C">
        <w:rPr>
          <w:rFonts w:ascii="Times New Roman" w:hAnsi="Times New Roman" w:cs="Times New Roman"/>
          <w:sz w:val="24"/>
          <w:szCs w:val="24"/>
          <w:lang w:val="en-IN"/>
        </w:rPr>
        <w:t xml:space="preserve">the </w:t>
      </w:r>
      <w:r w:rsidR="00965863" w:rsidRPr="004F666C">
        <w:rPr>
          <w:rFonts w:ascii="Times New Roman" w:hAnsi="Times New Roman" w:cs="Times New Roman"/>
          <w:sz w:val="24"/>
          <w:szCs w:val="24"/>
          <w:lang w:val="en-IN"/>
        </w:rPr>
        <w:t xml:space="preserve">acid test ratio of Sweet Plc was 0.55 in 2020 </w:t>
      </w:r>
      <w:r w:rsidR="00824380" w:rsidRPr="004F666C">
        <w:rPr>
          <w:rFonts w:ascii="Times New Roman" w:hAnsi="Times New Roman" w:cs="Times New Roman"/>
          <w:sz w:val="24"/>
          <w:szCs w:val="24"/>
          <w:lang w:val="en-IN"/>
        </w:rPr>
        <w:t>which</w:t>
      </w:r>
      <w:r w:rsidR="00965863" w:rsidRPr="004F666C">
        <w:rPr>
          <w:rFonts w:ascii="Times New Roman" w:hAnsi="Times New Roman" w:cs="Times New Roman"/>
          <w:sz w:val="24"/>
          <w:szCs w:val="24"/>
          <w:lang w:val="en-IN"/>
        </w:rPr>
        <w:t xml:space="preserve"> surged up by 0.63 in 2021</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color w:val="222222"/>
          <w:sz w:val="24"/>
          <w:szCs w:val="24"/>
          <w:shd w:val="clear" w:color="auto" w:fill="FFFFFF"/>
        </w:rPr>
        <w:t>Epstein and Lee, 2014)</w:t>
      </w:r>
      <w:r w:rsidR="00965863" w:rsidRPr="004F666C">
        <w:rPr>
          <w:rFonts w:ascii="Times New Roman" w:hAnsi="Times New Roman" w:cs="Times New Roman"/>
          <w:sz w:val="24"/>
          <w:szCs w:val="24"/>
          <w:lang w:val="en-IN"/>
        </w:rPr>
        <w:t>. It indicates that the cash asset of the company is no</w:t>
      </w:r>
      <w:r w:rsidR="00824380" w:rsidRPr="004F666C">
        <w:rPr>
          <w:rFonts w:ascii="Times New Roman" w:hAnsi="Times New Roman" w:cs="Times New Roman"/>
          <w:sz w:val="24"/>
          <w:szCs w:val="24"/>
          <w:lang w:val="en-IN"/>
        </w:rPr>
        <w:t>t</w:t>
      </w:r>
      <w:r w:rsidR="00965863" w:rsidRPr="004F666C">
        <w:rPr>
          <w:rFonts w:ascii="Times New Roman" w:hAnsi="Times New Roman" w:cs="Times New Roman"/>
          <w:sz w:val="24"/>
          <w:szCs w:val="24"/>
          <w:lang w:val="en-IN"/>
        </w:rPr>
        <w:t xml:space="preserve"> sufficient to meet its </w:t>
      </w:r>
      <w:r w:rsidR="00633F00" w:rsidRPr="004F666C">
        <w:rPr>
          <w:rFonts w:ascii="Times New Roman" w:hAnsi="Times New Roman" w:cs="Times New Roman"/>
          <w:sz w:val="24"/>
          <w:szCs w:val="24"/>
          <w:lang w:val="en-IN"/>
        </w:rPr>
        <w:t xml:space="preserve">short-term </w:t>
      </w:r>
      <w:r w:rsidR="00965863" w:rsidRPr="004F666C">
        <w:rPr>
          <w:rFonts w:ascii="Times New Roman" w:hAnsi="Times New Roman" w:cs="Times New Roman"/>
          <w:sz w:val="24"/>
          <w:szCs w:val="24"/>
          <w:lang w:val="en-IN"/>
        </w:rPr>
        <w:t xml:space="preserve">financial obligation and expenses. </w:t>
      </w:r>
    </w:p>
    <w:p w14:paraId="419C45B3" w14:textId="77F71D39" w:rsidR="007718F7" w:rsidRPr="004F666C" w:rsidRDefault="007718F7"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b/>
          <w:bCs/>
          <w:i/>
          <w:iCs/>
          <w:sz w:val="24"/>
          <w:szCs w:val="24"/>
          <w:lang w:val="en-IN"/>
        </w:rPr>
        <w:t>Interest Coverage Ratio</w:t>
      </w:r>
      <w:r w:rsidRPr="004F666C">
        <w:rPr>
          <w:rFonts w:ascii="Times New Roman" w:hAnsi="Times New Roman" w:cs="Times New Roman"/>
          <w:sz w:val="24"/>
          <w:szCs w:val="24"/>
          <w:lang w:val="en-IN"/>
        </w:rPr>
        <w:t xml:space="preserve">: </w:t>
      </w:r>
      <w:r w:rsidR="00633F00" w:rsidRPr="004F666C">
        <w:rPr>
          <w:rFonts w:ascii="Times New Roman" w:hAnsi="Times New Roman" w:cs="Times New Roman"/>
          <w:sz w:val="24"/>
          <w:szCs w:val="24"/>
          <w:lang w:val="en-IN"/>
        </w:rPr>
        <w:t>This ratio maybe use</w:t>
      </w:r>
      <w:r w:rsidR="00BA120D" w:rsidRPr="004F666C">
        <w:rPr>
          <w:rFonts w:ascii="Times New Roman" w:hAnsi="Times New Roman" w:cs="Times New Roman"/>
          <w:sz w:val="24"/>
          <w:szCs w:val="24"/>
          <w:lang w:val="en-IN"/>
        </w:rPr>
        <w:t>d</w:t>
      </w:r>
      <w:r w:rsidR="00633F00" w:rsidRPr="004F666C">
        <w:rPr>
          <w:rFonts w:ascii="Times New Roman" w:hAnsi="Times New Roman" w:cs="Times New Roman"/>
          <w:sz w:val="24"/>
          <w:szCs w:val="24"/>
          <w:lang w:val="en-IN"/>
        </w:rPr>
        <w:t xml:space="preserve"> for determining the ability of the firm to pay its interest liability. Hence, it is found that </w:t>
      </w:r>
      <w:r w:rsidR="00824380" w:rsidRPr="004F666C">
        <w:rPr>
          <w:rFonts w:ascii="Times New Roman" w:hAnsi="Times New Roman" w:cs="Times New Roman"/>
          <w:sz w:val="24"/>
          <w:szCs w:val="24"/>
          <w:lang w:val="en-IN"/>
        </w:rPr>
        <w:t xml:space="preserve">the </w:t>
      </w:r>
      <w:r w:rsidR="00633F00" w:rsidRPr="004F666C">
        <w:rPr>
          <w:rFonts w:ascii="Times New Roman" w:hAnsi="Times New Roman" w:cs="Times New Roman"/>
          <w:sz w:val="24"/>
          <w:szCs w:val="24"/>
          <w:lang w:val="en-IN"/>
        </w:rPr>
        <w:t>income of Sweet Plc is quite effective that improv</w:t>
      </w:r>
      <w:r w:rsidR="00824380" w:rsidRPr="004F666C">
        <w:rPr>
          <w:rFonts w:ascii="Times New Roman" w:hAnsi="Times New Roman" w:cs="Times New Roman"/>
          <w:sz w:val="24"/>
          <w:szCs w:val="24"/>
          <w:lang w:val="en-IN"/>
        </w:rPr>
        <w:t>ing</w:t>
      </w:r>
      <w:r w:rsidR="00633F00" w:rsidRPr="004F666C">
        <w:rPr>
          <w:rFonts w:ascii="Times New Roman" w:hAnsi="Times New Roman" w:cs="Times New Roman"/>
          <w:sz w:val="24"/>
          <w:szCs w:val="24"/>
          <w:lang w:val="en-IN"/>
        </w:rPr>
        <w:t xml:space="preserve"> its ability to pay its interest on time</w:t>
      </w:r>
      <w:r w:rsidR="00BA120D" w:rsidRPr="004F666C">
        <w:rPr>
          <w:rFonts w:ascii="Times New Roman" w:hAnsi="Times New Roman" w:cs="Times New Roman"/>
          <w:sz w:val="24"/>
          <w:szCs w:val="24"/>
          <w:lang w:val="en-IN"/>
        </w:rPr>
        <w:t xml:space="preserve"> (</w:t>
      </w:r>
      <w:r w:rsidR="00BA120D" w:rsidRPr="004F666C">
        <w:rPr>
          <w:rFonts w:ascii="Times New Roman" w:hAnsi="Times New Roman" w:cs="Times New Roman"/>
          <w:color w:val="222222"/>
          <w:sz w:val="24"/>
          <w:szCs w:val="24"/>
          <w:shd w:val="clear" w:color="auto" w:fill="FFFFFF"/>
        </w:rPr>
        <w:t>Madura, 2011)</w:t>
      </w:r>
      <w:r w:rsidR="00633F00" w:rsidRPr="004F666C">
        <w:rPr>
          <w:rFonts w:ascii="Times New Roman" w:hAnsi="Times New Roman" w:cs="Times New Roman"/>
          <w:sz w:val="24"/>
          <w:szCs w:val="24"/>
          <w:lang w:val="en-IN"/>
        </w:rPr>
        <w:t xml:space="preserve">. The interest coverage ratio of the company </w:t>
      </w:r>
      <w:r w:rsidR="00A47406" w:rsidRPr="004F666C">
        <w:rPr>
          <w:rFonts w:ascii="Times New Roman" w:hAnsi="Times New Roman" w:cs="Times New Roman"/>
          <w:sz w:val="24"/>
          <w:szCs w:val="24"/>
          <w:lang w:val="en-IN"/>
        </w:rPr>
        <w:t xml:space="preserve">was about 3.86 and 3.56 in 2020 and 2021 respectively. However, this ratio has decreased in 2021 </w:t>
      </w:r>
      <w:r w:rsidR="00824380" w:rsidRPr="004F666C">
        <w:rPr>
          <w:rFonts w:ascii="Times New Roman" w:hAnsi="Times New Roman" w:cs="Times New Roman"/>
          <w:sz w:val="24"/>
          <w:szCs w:val="24"/>
          <w:lang w:val="en-IN"/>
        </w:rPr>
        <w:t>which</w:t>
      </w:r>
      <w:r w:rsidR="00A47406" w:rsidRPr="004F666C">
        <w:rPr>
          <w:rFonts w:ascii="Times New Roman" w:hAnsi="Times New Roman" w:cs="Times New Roman"/>
          <w:sz w:val="24"/>
          <w:szCs w:val="24"/>
          <w:lang w:val="en-IN"/>
        </w:rPr>
        <w:t xml:space="preserve"> means interest liability increased in 2021 as compared to last year. </w:t>
      </w:r>
    </w:p>
    <w:p w14:paraId="5EA74FDE" w14:textId="2CE7123D" w:rsidR="00A47406" w:rsidRPr="004F666C" w:rsidRDefault="00A47406" w:rsidP="004F666C">
      <w:pPr>
        <w:spacing w:line="360" w:lineRule="auto"/>
        <w:jc w:val="both"/>
        <w:rPr>
          <w:rFonts w:ascii="Times New Roman" w:hAnsi="Times New Roman" w:cs="Times New Roman"/>
          <w:sz w:val="24"/>
          <w:szCs w:val="24"/>
          <w:lang w:val="en-IN"/>
        </w:rPr>
      </w:pPr>
      <w:r w:rsidRPr="004F666C">
        <w:rPr>
          <w:rFonts w:ascii="Times New Roman" w:hAnsi="Times New Roman" w:cs="Times New Roman"/>
          <w:sz w:val="24"/>
          <w:szCs w:val="24"/>
          <w:lang w:val="en-IN"/>
        </w:rPr>
        <w:t xml:space="preserve">Overall, it can be said that </w:t>
      </w:r>
      <w:r w:rsidR="00824380" w:rsidRPr="004F666C">
        <w:rPr>
          <w:rFonts w:ascii="Times New Roman" w:hAnsi="Times New Roman" w:cs="Times New Roman"/>
          <w:sz w:val="24"/>
          <w:szCs w:val="24"/>
          <w:lang w:val="en-IN"/>
        </w:rPr>
        <w:t xml:space="preserve">the </w:t>
      </w:r>
      <w:r w:rsidRPr="004F666C">
        <w:rPr>
          <w:rFonts w:ascii="Times New Roman" w:hAnsi="Times New Roman" w:cs="Times New Roman"/>
          <w:sz w:val="24"/>
          <w:szCs w:val="24"/>
          <w:lang w:val="en-IN"/>
        </w:rPr>
        <w:t xml:space="preserve">financial performance of the organization is quite effective. </w:t>
      </w:r>
    </w:p>
    <w:p w14:paraId="4831E62A" w14:textId="77777777" w:rsidR="00A46F1C" w:rsidRPr="004F666C" w:rsidRDefault="00A46F1C" w:rsidP="004F666C">
      <w:pPr>
        <w:spacing w:line="360" w:lineRule="auto"/>
        <w:rPr>
          <w:rFonts w:ascii="Times New Roman" w:eastAsiaTheme="majorEastAsia" w:hAnsi="Times New Roman" w:cs="Times New Roman"/>
          <w:color w:val="2F5496" w:themeColor="accent1" w:themeShade="BF"/>
          <w:sz w:val="24"/>
          <w:szCs w:val="24"/>
          <w:lang w:val="en-IN"/>
        </w:rPr>
      </w:pPr>
      <w:r w:rsidRPr="004F666C">
        <w:rPr>
          <w:rFonts w:ascii="Times New Roman" w:hAnsi="Times New Roman" w:cs="Times New Roman"/>
          <w:sz w:val="24"/>
          <w:szCs w:val="24"/>
          <w:lang w:val="en-IN"/>
        </w:rPr>
        <w:br w:type="page"/>
      </w:r>
    </w:p>
    <w:p w14:paraId="37B3806F" w14:textId="62789D28" w:rsidR="00BA120D" w:rsidRPr="004F666C" w:rsidRDefault="00BA120D" w:rsidP="004F666C">
      <w:pPr>
        <w:pStyle w:val="Heading1"/>
        <w:spacing w:line="360" w:lineRule="auto"/>
        <w:rPr>
          <w:rFonts w:ascii="Times New Roman" w:hAnsi="Times New Roman" w:cs="Times New Roman"/>
          <w:sz w:val="24"/>
          <w:szCs w:val="24"/>
          <w:lang w:val="en-IN"/>
        </w:rPr>
      </w:pPr>
      <w:bookmarkStart w:id="6" w:name="_Toc99231388"/>
      <w:r w:rsidRPr="004F666C">
        <w:rPr>
          <w:rFonts w:ascii="Times New Roman" w:hAnsi="Times New Roman" w:cs="Times New Roman"/>
          <w:sz w:val="24"/>
          <w:szCs w:val="24"/>
          <w:lang w:val="en-IN"/>
        </w:rPr>
        <w:lastRenderedPageBreak/>
        <w:t>References:</w:t>
      </w:r>
      <w:bookmarkEnd w:id="6"/>
    </w:p>
    <w:p w14:paraId="19D96354" w14:textId="77777777" w:rsidR="00BA120D" w:rsidRPr="004F666C" w:rsidRDefault="00BA120D" w:rsidP="004F666C">
      <w:pPr>
        <w:spacing w:line="360" w:lineRule="auto"/>
        <w:ind w:left="720" w:hanging="720"/>
        <w:jc w:val="both"/>
        <w:rPr>
          <w:rFonts w:ascii="Times New Roman" w:hAnsi="Times New Roman" w:cs="Times New Roman"/>
          <w:color w:val="222222"/>
          <w:sz w:val="24"/>
          <w:szCs w:val="24"/>
          <w:shd w:val="clear" w:color="auto" w:fill="FFFFFF"/>
        </w:rPr>
      </w:pPr>
      <w:r w:rsidRPr="004F666C">
        <w:rPr>
          <w:rFonts w:ascii="Times New Roman" w:hAnsi="Times New Roman" w:cs="Times New Roman"/>
          <w:color w:val="222222"/>
          <w:sz w:val="24"/>
          <w:szCs w:val="24"/>
          <w:shd w:val="clear" w:color="auto" w:fill="FFFFFF"/>
        </w:rPr>
        <w:t>Brigham, E. F., and Ehrhardt, M. C. (2013) </w:t>
      </w:r>
      <w:r w:rsidRPr="004F666C">
        <w:rPr>
          <w:rFonts w:ascii="Times New Roman" w:hAnsi="Times New Roman" w:cs="Times New Roman"/>
          <w:i/>
          <w:iCs/>
          <w:color w:val="222222"/>
          <w:sz w:val="24"/>
          <w:szCs w:val="24"/>
          <w:shd w:val="clear" w:color="auto" w:fill="FFFFFF"/>
        </w:rPr>
        <w:t>Financial management: Theory &amp; practice</w:t>
      </w:r>
      <w:r w:rsidRPr="004F666C">
        <w:rPr>
          <w:rFonts w:ascii="Times New Roman" w:hAnsi="Times New Roman" w:cs="Times New Roman"/>
          <w:color w:val="222222"/>
          <w:sz w:val="24"/>
          <w:szCs w:val="24"/>
          <w:shd w:val="clear" w:color="auto" w:fill="FFFFFF"/>
        </w:rPr>
        <w:t>. USA: Cengage Learning.</w:t>
      </w:r>
    </w:p>
    <w:p w14:paraId="43C456A5" w14:textId="77777777" w:rsidR="00BA120D" w:rsidRPr="004F666C" w:rsidRDefault="00BA120D" w:rsidP="004F666C">
      <w:pPr>
        <w:spacing w:line="360" w:lineRule="auto"/>
        <w:ind w:left="720" w:hanging="720"/>
        <w:jc w:val="both"/>
        <w:rPr>
          <w:rFonts w:ascii="Times New Roman" w:hAnsi="Times New Roman" w:cs="Times New Roman"/>
          <w:b/>
          <w:sz w:val="24"/>
          <w:szCs w:val="24"/>
        </w:rPr>
      </w:pPr>
      <w:r w:rsidRPr="004F666C">
        <w:rPr>
          <w:rFonts w:ascii="Times New Roman" w:hAnsi="Times New Roman" w:cs="Times New Roman"/>
          <w:color w:val="222222"/>
          <w:sz w:val="24"/>
          <w:szCs w:val="24"/>
          <w:shd w:val="clear" w:color="auto" w:fill="FFFFFF"/>
        </w:rPr>
        <w:t>Brigham, E. F., and Houston, J. F. (2012) </w:t>
      </w:r>
      <w:r w:rsidRPr="004F666C">
        <w:rPr>
          <w:rFonts w:ascii="Times New Roman" w:hAnsi="Times New Roman" w:cs="Times New Roman"/>
          <w:i/>
          <w:iCs/>
          <w:color w:val="222222"/>
          <w:sz w:val="24"/>
          <w:szCs w:val="24"/>
          <w:shd w:val="clear" w:color="auto" w:fill="FFFFFF"/>
        </w:rPr>
        <w:t>Fundamentals of financial management</w:t>
      </w:r>
      <w:r w:rsidRPr="004F666C">
        <w:rPr>
          <w:rFonts w:ascii="Times New Roman" w:hAnsi="Times New Roman" w:cs="Times New Roman"/>
          <w:color w:val="222222"/>
          <w:sz w:val="24"/>
          <w:szCs w:val="24"/>
          <w:shd w:val="clear" w:color="auto" w:fill="FFFFFF"/>
        </w:rPr>
        <w:t>. USA: Cengage Learning.</w:t>
      </w:r>
    </w:p>
    <w:p w14:paraId="5E3CDC92" w14:textId="77777777" w:rsidR="00BA120D" w:rsidRPr="004F666C" w:rsidRDefault="001C2E45" w:rsidP="004F666C">
      <w:pPr>
        <w:spacing w:after="0" w:line="360" w:lineRule="auto"/>
        <w:ind w:left="720" w:hanging="720"/>
        <w:jc w:val="both"/>
        <w:rPr>
          <w:rFonts w:ascii="Times New Roman" w:hAnsi="Times New Roman" w:cs="Times New Roman"/>
          <w:color w:val="262626" w:themeColor="text1" w:themeTint="D9"/>
          <w:sz w:val="24"/>
          <w:szCs w:val="24"/>
          <w:shd w:val="clear" w:color="auto" w:fill="FFFFFF"/>
        </w:rPr>
      </w:pPr>
      <w:hyperlink r:id="rId8" w:history="1">
        <w:r w:rsidR="00BA120D" w:rsidRPr="004F666C">
          <w:rPr>
            <w:rStyle w:val="Hyperlink"/>
            <w:rFonts w:ascii="Times New Roman" w:hAnsi="Times New Roman" w:cs="Times New Roman"/>
            <w:color w:val="262626" w:themeColor="text1" w:themeTint="D9"/>
            <w:sz w:val="24"/>
            <w:szCs w:val="24"/>
            <w:u w:val="none"/>
            <w:shd w:val="clear" w:color="auto" w:fill="FFFFFF"/>
          </w:rPr>
          <w:t>Brigham</w:t>
        </w:r>
      </w:hyperlink>
      <w:r w:rsidR="00BA120D" w:rsidRPr="004F666C">
        <w:rPr>
          <w:rFonts w:ascii="Times New Roman" w:hAnsi="Times New Roman" w:cs="Times New Roman"/>
          <w:color w:val="262626" w:themeColor="text1" w:themeTint="D9"/>
          <w:sz w:val="24"/>
          <w:szCs w:val="24"/>
          <w:shd w:val="clear" w:color="auto" w:fill="FFFFFF"/>
        </w:rPr>
        <w:t xml:space="preserve">, E., </w:t>
      </w:r>
      <w:r w:rsidR="00BA120D" w:rsidRPr="004F666C">
        <w:rPr>
          <w:rFonts w:ascii="Times New Roman" w:hAnsi="Times New Roman" w:cs="Times New Roman"/>
          <w:noProof/>
          <w:color w:val="262626" w:themeColor="text1" w:themeTint="D9"/>
          <w:sz w:val="24"/>
          <w:szCs w:val="24"/>
          <w:shd w:val="clear" w:color="auto" w:fill="FFFFFF"/>
        </w:rPr>
        <w:t>and</w:t>
      </w:r>
      <w:r w:rsidR="00BA120D" w:rsidRPr="004F666C">
        <w:rPr>
          <w:rStyle w:val="apple-converted-space"/>
          <w:rFonts w:ascii="Times New Roman" w:hAnsi="Times New Roman" w:cs="Times New Roman"/>
          <w:color w:val="262626" w:themeColor="text1" w:themeTint="D9"/>
          <w:sz w:val="24"/>
          <w:szCs w:val="24"/>
          <w:shd w:val="clear" w:color="auto" w:fill="FFFFFF"/>
        </w:rPr>
        <w:t> </w:t>
      </w:r>
      <w:hyperlink r:id="rId9" w:history="1">
        <w:r w:rsidR="00BA120D" w:rsidRPr="004F666C">
          <w:rPr>
            <w:rStyle w:val="Hyperlink"/>
            <w:rFonts w:ascii="Times New Roman" w:hAnsi="Times New Roman" w:cs="Times New Roman"/>
            <w:color w:val="262626" w:themeColor="text1" w:themeTint="D9"/>
            <w:sz w:val="24"/>
            <w:szCs w:val="24"/>
            <w:u w:val="none"/>
            <w:shd w:val="clear" w:color="auto" w:fill="FFFFFF"/>
          </w:rPr>
          <w:t xml:space="preserve"> </w:t>
        </w:r>
        <w:proofErr w:type="spellStart"/>
        <w:r w:rsidR="00BA120D" w:rsidRPr="004F666C">
          <w:rPr>
            <w:rStyle w:val="Hyperlink"/>
            <w:rFonts w:ascii="Times New Roman" w:hAnsi="Times New Roman" w:cs="Times New Roman"/>
            <w:color w:val="262626" w:themeColor="text1" w:themeTint="D9"/>
            <w:sz w:val="24"/>
            <w:szCs w:val="24"/>
            <w:u w:val="none"/>
            <w:shd w:val="clear" w:color="auto" w:fill="FFFFFF"/>
          </w:rPr>
          <w:t>Daves</w:t>
        </w:r>
        <w:proofErr w:type="spellEnd"/>
      </w:hyperlink>
      <w:r w:rsidR="00BA120D" w:rsidRPr="004F666C">
        <w:rPr>
          <w:rFonts w:ascii="Times New Roman" w:hAnsi="Times New Roman" w:cs="Times New Roman"/>
          <w:color w:val="262626" w:themeColor="text1" w:themeTint="D9"/>
          <w:sz w:val="24"/>
          <w:szCs w:val="24"/>
        </w:rPr>
        <w:t xml:space="preserve">, P. (2012) </w:t>
      </w:r>
      <w:r w:rsidR="00BA120D" w:rsidRPr="004F666C">
        <w:rPr>
          <w:rFonts w:ascii="Times New Roman" w:hAnsi="Times New Roman" w:cs="Times New Roman"/>
          <w:i/>
          <w:color w:val="262626" w:themeColor="text1" w:themeTint="D9"/>
          <w:sz w:val="24"/>
          <w:szCs w:val="24"/>
          <w:shd w:val="clear" w:color="auto" w:fill="FFFFFF"/>
        </w:rPr>
        <w:t>Intermediate Financial Management</w:t>
      </w:r>
      <w:r w:rsidR="00BA120D" w:rsidRPr="004F666C">
        <w:rPr>
          <w:rFonts w:ascii="Times New Roman" w:hAnsi="Times New Roman" w:cs="Times New Roman"/>
          <w:color w:val="262626" w:themeColor="text1" w:themeTint="D9"/>
          <w:sz w:val="24"/>
          <w:szCs w:val="24"/>
          <w:shd w:val="clear" w:color="auto" w:fill="FFFFFF"/>
        </w:rPr>
        <w:t xml:space="preserve">. USA: Cengage Learning. </w:t>
      </w:r>
    </w:p>
    <w:p w14:paraId="5FE6A4B4" w14:textId="77777777" w:rsidR="00BA120D" w:rsidRPr="004F666C" w:rsidRDefault="00BA120D" w:rsidP="004F666C">
      <w:pPr>
        <w:spacing w:line="360" w:lineRule="auto"/>
        <w:ind w:left="720" w:hanging="720"/>
        <w:jc w:val="both"/>
        <w:rPr>
          <w:rFonts w:ascii="Times New Roman" w:hAnsi="Times New Roman" w:cs="Times New Roman"/>
          <w:sz w:val="24"/>
          <w:szCs w:val="24"/>
        </w:rPr>
      </w:pPr>
      <w:r w:rsidRPr="004F666C">
        <w:rPr>
          <w:rFonts w:ascii="Times New Roman" w:hAnsi="Times New Roman" w:cs="Times New Roman"/>
          <w:color w:val="222222"/>
          <w:sz w:val="24"/>
          <w:szCs w:val="24"/>
          <w:shd w:val="clear" w:color="auto" w:fill="FFFFFF"/>
        </w:rPr>
        <w:t>Brooks, R., and Mukherjee, A. K. (2013) </w:t>
      </w:r>
      <w:r w:rsidRPr="004F666C">
        <w:rPr>
          <w:rFonts w:ascii="Times New Roman" w:hAnsi="Times New Roman" w:cs="Times New Roman"/>
          <w:i/>
          <w:iCs/>
          <w:color w:val="222222"/>
          <w:sz w:val="24"/>
          <w:szCs w:val="24"/>
          <w:shd w:val="clear" w:color="auto" w:fill="FFFFFF"/>
        </w:rPr>
        <w:t>Financial management: core concepts</w:t>
      </w:r>
      <w:r w:rsidRPr="004F666C">
        <w:rPr>
          <w:rFonts w:ascii="Times New Roman" w:hAnsi="Times New Roman" w:cs="Times New Roman"/>
          <w:color w:val="222222"/>
          <w:sz w:val="24"/>
          <w:szCs w:val="24"/>
          <w:shd w:val="clear" w:color="auto" w:fill="FFFFFF"/>
        </w:rPr>
        <w:t>. USA: Pearson.</w:t>
      </w:r>
    </w:p>
    <w:p w14:paraId="2E497B29" w14:textId="77777777" w:rsidR="00BA120D" w:rsidRPr="004F666C" w:rsidRDefault="00BA120D" w:rsidP="004F666C">
      <w:pPr>
        <w:spacing w:after="0" w:line="360" w:lineRule="auto"/>
        <w:ind w:left="720" w:hanging="720"/>
        <w:jc w:val="both"/>
        <w:rPr>
          <w:rFonts w:ascii="Times New Roman" w:hAnsi="Times New Roman" w:cs="Times New Roman"/>
          <w:color w:val="262626" w:themeColor="text1" w:themeTint="D9"/>
          <w:sz w:val="24"/>
          <w:szCs w:val="24"/>
          <w:shd w:val="clear" w:color="auto" w:fill="FFFFFF"/>
        </w:rPr>
      </w:pPr>
      <w:r w:rsidRPr="004F666C">
        <w:rPr>
          <w:rFonts w:ascii="Times New Roman" w:hAnsi="Times New Roman" w:cs="Times New Roman"/>
          <w:color w:val="262626" w:themeColor="text1" w:themeTint="D9"/>
          <w:sz w:val="24"/>
          <w:szCs w:val="24"/>
          <w:shd w:val="clear" w:color="auto" w:fill="FFFFFF"/>
        </w:rPr>
        <w:t xml:space="preserve">Dyson, J. R. (2017) </w:t>
      </w:r>
      <w:r w:rsidRPr="004F666C">
        <w:rPr>
          <w:rFonts w:ascii="Times New Roman" w:hAnsi="Times New Roman" w:cs="Times New Roman"/>
          <w:i/>
          <w:color w:val="262626" w:themeColor="text1" w:themeTint="D9"/>
          <w:sz w:val="24"/>
          <w:szCs w:val="24"/>
          <w:shd w:val="clear" w:color="auto" w:fill="FFFFFF"/>
        </w:rPr>
        <w:t>Accounting for Non-Accounting Students, 9th Edition</w:t>
      </w:r>
      <w:r w:rsidRPr="004F666C">
        <w:rPr>
          <w:rFonts w:ascii="Times New Roman" w:hAnsi="Times New Roman" w:cs="Times New Roman"/>
          <w:color w:val="262626" w:themeColor="text1" w:themeTint="D9"/>
          <w:sz w:val="24"/>
          <w:szCs w:val="24"/>
          <w:shd w:val="clear" w:color="auto" w:fill="FFFFFF"/>
        </w:rPr>
        <w:t>. UK: Prentice Hall</w:t>
      </w:r>
    </w:p>
    <w:p w14:paraId="5406B1B4" w14:textId="77777777" w:rsidR="00BA120D" w:rsidRPr="004F666C" w:rsidRDefault="00BA120D" w:rsidP="004F666C">
      <w:pPr>
        <w:spacing w:line="360" w:lineRule="auto"/>
        <w:ind w:left="720" w:hanging="720"/>
        <w:jc w:val="both"/>
        <w:rPr>
          <w:rFonts w:ascii="Times New Roman" w:hAnsi="Times New Roman" w:cs="Times New Roman"/>
          <w:color w:val="222222"/>
          <w:sz w:val="24"/>
          <w:szCs w:val="24"/>
          <w:shd w:val="clear" w:color="auto" w:fill="FFFFFF"/>
        </w:rPr>
      </w:pPr>
      <w:r w:rsidRPr="004F666C">
        <w:rPr>
          <w:rFonts w:ascii="Times New Roman" w:hAnsi="Times New Roman" w:cs="Times New Roman"/>
          <w:color w:val="222222"/>
          <w:sz w:val="24"/>
          <w:szCs w:val="24"/>
          <w:shd w:val="clear" w:color="auto" w:fill="FFFFFF"/>
        </w:rPr>
        <w:t xml:space="preserve">Epstein, M. and </w:t>
      </w:r>
      <w:r w:rsidRPr="004F666C">
        <w:rPr>
          <w:rFonts w:ascii="Times New Roman" w:hAnsi="Times New Roman" w:cs="Times New Roman"/>
          <w:color w:val="222222"/>
          <w:sz w:val="24"/>
          <w:szCs w:val="24"/>
          <w:shd w:val="clear" w:color="auto" w:fill="FFFFFF"/>
        </w:rPr>
        <w:tab/>
        <w:t xml:space="preserve">Lee, J. (2014) </w:t>
      </w:r>
      <w:r w:rsidRPr="004F666C">
        <w:rPr>
          <w:rFonts w:ascii="Times New Roman" w:hAnsi="Times New Roman" w:cs="Times New Roman"/>
          <w:i/>
          <w:color w:val="222222"/>
          <w:sz w:val="24"/>
          <w:szCs w:val="24"/>
          <w:shd w:val="clear" w:color="auto" w:fill="FFFFFF"/>
        </w:rPr>
        <w:t>Principle of Managerial Finance</w:t>
      </w:r>
      <w:r w:rsidRPr="004F666C">
        <w:rPr>
          <w:rFonts w:ascii="Times New Roman" w:hAnsi="Times New Roman" w:cs="Times New Roman"/>
          <w:color w:val="222222"/>
          <w:sz w:val="24"/>
          <w:szCs w:val="24"/>
          <w:shd w:val="clear" w:color="auto" w:fill="FFFFFF"/>
        </w:rPr>
        <w:t xml:space="preserve">. AU: Pearson Higher Education. </w:t>
      </w:r>
    </w:p>
    <w:p w14:paraId="1FDC301E" w14:textId="77777777" w:rsidR="00BA120D" w:rsidRPr="004F666C" w:rsidRDefault="00BA120D" w:rsidP="004F666C">
      <w:pPr>
        <w:spacing w:line="360" w:lineRule="auto"/>
        <w:ind w:left="720" w:hanging="720"/>
        <w:jc w:val="both"/>
        <w:rPr>
          <w:rFonts w:ascii="Times New Roman" w:hAnsi="Times New Roman" w:cs="Times New Roman"/>
          <w:sz w:val="24"/>
          <w:szCs w:val="24"/>
        </w:rPr>
      </w:pPr>
      <w:r w:rsidRPr="004F666C">
        <w:rPr>
          <w:rFonts w:ascii="Times New Roman" w:hAnsi="Times New Roman" w:cs="Times New Roman"/>
          <w:color w:val="222222"/>
          <w:sz w:val="24"/>
          <w:szCs w:val="24"/>
          <w:shd w:val="clear" w:color="auto" w:fill="FFFFFF"/>
        </w:rPr>
        <w:t>Madura, J. (2011) </w:t>
      </w:r>
      <w:r w:rsidRPr="004F666C">
        <w:rPr>
          <w:rFonts w:ascii="Times New Roman" w:hAnsi="Times New Roman" w:cs="Times New Roman"/>
          <w:i/>
          <w:iCs/>
          <w:color w:val="222222"/>
          <w:sz w:val="24"/>
          <w:szCs w:val="24"/>
          <w:shd w:val="clear" w:color="auto" w:fill="FFFFFF"/>
        </w:rPr>
        <w:t>International financial management</w:t>
      </w:r>
      <w:r w:rsidRPr="004F666C">
        <w:rPr>
          <w:rFonts w:ascii="Times New Roman" w:hAnsi="Times New Roman" w:cs="Times New Roman"/>
          <w:color w:val="222222"/>
          <w:sz w:val="24"/>
          <w:szCs w:val="24"/>
          <w:shd w:val="clear" w:color="auto" w:fill="FFFFFF"/>
        </w:rPr>
        <w:t>. USA: Cengage Learning.</w:t>
      </w:r>
    </w:p>
    <w:p w14:paraId="5D2EADB0" w14:textId="77777777" w:rsidR="00BA120D" w:rsidRPr="004F666C" w:rsidRDefault="00BA120D" w:rsidP="004F666C">
      <w:pPr>
        <w:spacing w:line="360" w:lineRule="auto"/>
        <w:ind w:left="720" w:hanging="720"/>
        <w:jc w:val="both"/>
        <w:rPr>
          <w:rFonts w:ascii="Times New Roman" w:hAnsi="Times New Roman" w:cs="Times New Roman"/>
          <w:sz w:val="24"/>
          <w:szCs w:val="24"/>
        </w:rPr>
      </w:pPr>
      <w:r w:rsidRPr="004F666C">
        <w:rPr>
          <w:rFonts w:ascii="Times New Roman" w:hAnsi="Times New Roman" w:cs="Times New Roman"/>
          <w:sz w:val="24"/>
          <w:szCs w:val="24"/>
        </w:rPr>
        <w:t xml:space="preserve">Robinson, T. R., Henry, E., Pirie, W. L., and </w:t>
      </w:r>
      <w:proofErr w:type="spellStart"/>
      <w:r w:rsidRPr="004F666C">
        <w:rPr>
          <w:rFonts w:ascii="Times New Roman" w:hAnsi="Times New Roman" w:cs="Times New Roman"/>
          <w:sz w:val="24"/>
          <w:szCs w:val="24"/>
        </w:rPr>
        <w:t>Broihahn</w:t>
      </w:r>
      <w:proofErr w:type="spellEnd"/>
      <w:r w:rsidRPr="004F666C">
        <w:rPr>
          <w:rFonts w:ascii="Times New Roman" w:hAnsi="Times New Roman" w:cs="Times New Roman"/>
          <w:sz w:val="24"/>
          <w:szCs w:val="24"/>
        </w:rPr>
        <w:t>, M. A. (2015) </w:t>
      </w:r>
      <w:r w:rsidRPr="004F666C">
        <w:rPr>
          <w:rFonts w:ascii="Times New Roman" w:hAnsi="Times New Roman" w:cs="Times New Roman"/>
          <w:i/>
          <w:iCs/>
          <w:sz w:val="24"/>
          <w:szCs w:val="24"/>
        </w:rPr>
        <w:t>International financial statement analysis</w:t>
      </w:r>
      <w:r w:rsidRPr="004F666C">
        <w:rPr>
          <w:rFonts w:ascii="Times New Roman" w:hAnsi="Times New Roman" w:cs="Times New Roman"/>
          <w:sz w:val="24"/>
          <w:szCs w:val="24"/>
        </w:rPr>
        <w:t>. USA: John Wiley &amp; Sons.</w:t>
      </w:r>
    </w:p>
    <w:p w14:paraId="62CA1B04" w14:textId="77777777" w:rsidR="00BA120D" w:rsidRPr="004F666C" w:rsidRDefault="00BA120D" w:rsidP="004F666C">
      <w:pPr>
        <w:spacing w:line="360" w:lineRule="auto"/>
        <w:ind w:left="720" w:hanging="720"/>
        <w:jc w:val="both"/>
        <w:rPr>
          <w:rFonts w:ascii="Times New Roman" w:hAnsi="Times New Roman" w:cs="Times New Roman"/>
          <w:color w:val="222222"/>
          <w:sz w:val="24"/>
          <w:szCs w:val="24"/>
          <w:shd w:val="clear" w:color="auto" w:fill="FFFFFF"/>
        </w:rPr>
      </w:pPr>
      <w:r w:rsidRPr="004F666C">
        <w:rPr>
          <w:rFonts w:ascii="Times New Roman" w:hAnsi="Times New Roman" w:cs="Times New Roman"/>
          <w:color w:val="222222"/>
          <w:sz w:val="24"/>
          <w:szCs w:val="24"/>
          <w:shd w:val="clear" w:color="auto" w:fill="FFFFFF"/>
        </w:rPr>
        <w:t xml:space="preserve">Titman, S.J., Martin, J.D. and Keown, A.J. (2013) </w:t>
      </w:r>
      <w:r w:rsidRPr="004F666C">
        <w:rPr>
          <w:rFonts w:ascii="Times New Roman" w:hAnsi="Times New Roman" w:cs="Times New Roman"/>
          <w:i/>
          <w:color w:val="222222"/>
          <w:sz w:val="24"/>
          <w:szCs w:val="24"/>
          <w:shd w:val="clear" w:color="auto" w:fill="FFFFFF"/>
        </w:rPr>
        <w:t>Financial Management: Principles and Applications 12</w:t>
      </w:r>
      <w:r w:rsidRPr="004F666C">
        <w:rPr>
          <w:rFonts w:ascii="Times New Roman" w:hAnsi="Times New Roman" w:cs="Times New Roman"/>
          <w:i/>
          <w:color w:val="222222"/>
          <w:sz w:val="24"/>
          <w:szCs w:val="24"/>
          <w:shd w:val="clear" w:color="auto" w:fill="FFFFFF"/>
          <w:vertAlign w:val="superscript"/>
        </w:rPr>
        <w:t>th</w:t>
      </w:r>
      <w:r w:rsidRPr="004F666C">
        <w:rPr>
          <w:rFonts w:ascii="Times New Roman" w:hAnsi="Times New Roman" w:cs="Times New Roman"/>
          <w:i/>
          <w:color w:val="222222"/>
          <w:sz w:val="24"/>
          <w:szCs w:val="24"/>
          <w:shd w:val="clear" w:color="auto" w:fill="FFFFFF"/>
        </w:rPr>
        <w:t xml:space="preserve"> </w:t>
      </w:r>
      <w:proofErr w:type="spellStart"/>
      <w:r w:rsidRPr="004F666C">
        <w:rPr>
          <w:rFonts w:ascii="Times New Roman" w:hAnsi="Times New Roman" w:cs="Times New Roman"/>
          <w:i/>
          <w:color w:val="222222"/>
          <w:sz w:val="24"/>
          <w:szCs w:val="24"/>
          <w:shd w:val="clear" w:color="auto" w:fill="FFFFFF"/>
        </w:rPr>
        <w:t>edn</w:t>
      </w:r>
      <w:proofErr w:type="spellEnd"/>
      <w:r w:rsidRPr="004F666C">
        <w:rPr>
          <w:rFonts w:ascii="Times New Roman" w:hAnsi="Times New Roman" w:cs="Times New Roman"/>
          <w:i/>
          <w:color w:val="222222"/>
          <w:sz w:val="24"/>
          <w:szCs w:val="24"/>
          <w:shd w:val="clear" w:color="auto" w:fill="FFFFFF"/>
        </w:rPr>
        <w:t>.</w:t>
      </w:r>
      <w:r w:rsidRPr="004F666C">
        <w:rPr>
          <w:rFonts w:ascii="Times New Roman" w:hAnsi="Times New Roman" w:cs="Times New Roman"/>
          <w:color w:val="222222"/>
          <w:sz w:val="24"/>
          <w:szCs w:val="24"/>
          <w:shd w:val="clear" w:color="auto" w:fill="FFFFFF"/>
        </w:rPr>
        <w:t xml:space="preserve"> UK: Prentice Hall. </w:t>
      </w:r>
    </w:p>
    <w:p w14:paraId="7E7B5FBC" w14:textId="77777777" w:rsidR="00BA120D" w:rsidRPr="004F666C" w:rsidRDefault="001C2E45" w:rsidP="004F666C">
      <w:pPr>
        <w:spacing w:line="360" w:lineRule="auto"/>
        <w:ind w:left="720" w:hanging="720"/>
        <w:jc w:val="both"/>
        <w:rPr>
          <w:rFonts w:ascii="Times New Roman" w:hAnsi="Times New Roman" w:cs="Times New Roman"/>
          <w:color w:val="000000" w:themeColor="text1"/>
          <w:sz w:val="24"/>
          <w:szCs w:val="24"/>
        </w:rPr>
      </w:pPr>
      <w:hyperlink r:id="rId10" w:history="1">
        <w:r w:rsidR="00BA120D" w:rsidRPr="004F666C">
          <w:rPr>
            <w:rStyle w:val="Hyperlink"/>
            <w:rFonts w:ascii="Times New Roman" w:hAnsi="Times New Roman" w:cs="Times New Roman"/>
            <w:color w:val="000000" w:themeColor="text1"/>
            <w:sz w:val="24"/>
            <w:szCs w:val="24"/>
            <w:u w:val="none"/>
          </w:rPr>
          <w:t>Warren</w:t>
        </w:r>
      </w:hyperlink>
      <w:r w:rsidR="00BA120D" w:rsidRPr="004F666C">
        <w:rPr>
          <w:rFonts w:ascii="Times New Roman" w:hAnsi="Times New Roman" w:cs="Times New Roman"/>
          <w:color w:val="000000" w:themeColor="text1"/>
          <w:sz w:val="24"/>
          <w:szCs w:val="24"/>
        </w:rPr>
        <w:t xml:space="preserve">, C., </w:t>
      </w:r>
      <w:hyperlink r:id="rId11" w:history="1">
        <w:r w:rsidR="00BA120D" w:rsidRPr="004F666C">
          <w:rPr>
            <w:rStyle w:val="Hyperlink"/>
            <w:rFonts w:ascii="Times New Roman" w:hAnsi="Times New Roman" w:cs="Times New Roman"/>
            <w:color w:val="000000" w:themeColor="text1"/>
            <w:sz w:val="24"/>
            <w:szCs w:val="24"/>
            <w:u w:val="none"/>
          </w:rPr>
          <w:t>Reeve</w:t>
        </w:r>
      </w:hyperlink>
      <w:r w:rsidR="00BA120D" w:rsidRPr="004F666C">
        <w:rPr>
          <w:rFonts w:ascii="Times New Roman" w:hAnsi="Times New Roman" w:cs="Times New Roman"/>
          <w:color w:val="000000" w:themeColor="text1"/>
          <w:sz w:val="24"/>
          <w:szCs w:val="24"/>
        </w:rPr>
        <w:t xml:space="preserve">, J., and </w:t>
      </w:r>
      <w:hyperlink r:id="rId12" w:history="1">
        <w:r w:rsidR="00BA120D" w:rsidRPr="004F666C">
          <w:rPr>
            <w:rStyle w:val="Hyperlink"/>
            <w:rFonts w:ascii="Times New Roman" w:hAnsi="Times New Roman" w:cs="Times New Roman"/>
            <w:color w:val="000000" w:themeColor="text1"/>
            <w:sz w:val="24"/>
            <w:szCs w:val="24"/>
            <w:u w:val="none"/>
          </w:rPr>
          <w:t xml:space="preserve"> </w:t>
        </w:r>
        <w:proofErr w:type="spellStart"/>
        <w:r w:rsidR="00BA120D" w:rsidRPr="004F666C">
          <w:rPr>
            <w:rStyle w:val="Hyperlink"/>
            <w:rFonts w:ascii="Times New Roman" w:hAnsi="Times New Roman" w:cs="Times New Roman"/>
            <w:color w:val="000000" w:themeColor="text1"/>
            <w:sz w:val="24"/>
            <w:szCs w:val="24"/>
            <w:u w:val="none"/>
          </w:rPr>
          <w:t>Duchac</w:t>
        </w:r>
        <w:proofErr w:type="spellEnd"/>
      </w:hyperlink>
      <w:r w:rsidR="00BA120D" w:rsidRPr="004F666C">
        <w:rPr>
          <w:rFonts w:ascii="Times New Roman" w:hAnsi="Times New Roman" w:cs="Times New Roman"/>
          <w:color w:val="000000" w:themeColor="text1"/>
          <w:sz w:val="24"/>
          <w:szCs w:val="24"/>
        </w:rPr>
        <w:t xml:space="preserve">, J. (2011) </w:t>
      </w:r>
      <w:r w:rsidR="00BA120D" w:rsidRPr="004F666C">
        <w:rPr>
          <w:rFonts w:ascii="Times New Roman" w:hAnsi="Times New Roman" w:cs="Times New Roman"/>
          <w:i/>
          <w:color w:val="000000" w:themeColor="text1"/>
          <w:sz w:val="24"/>
          <w:szCs w:val="24"/>
        </w:rPr>
        <w:t>Financial &amp; Managerial Accounting</w:t>
      </w:r>
      <w:r w:rsidR="00BA120D" w:rsidRPr="004F666C">
        <w:rPr>
          <w:rFonts w:ascii="Times New Roman" w:hAnsi="Times New Roman" w:cs="Times New Roman"/>
          <w:color w:val="000000" w:themeColor="text1"/>
          <w:sz w:val="24"/>
          <w:szCs w:val="24"/>
        </w:rPr>
        <w:t xml:space="preserve">. USA: Cengage Learning </w:t>
      </w:r>
    </w:p>
    <w:p w14:paraId="5E14B617" w14:textId="77777777" w:rsidR="00BA120D" w:rsidRPr="004F666C" w:rsidRDefault="00BA120D" w:rsidP="004F666C">
      <w:pPr>
        <w:spacing w:line="360" w:lineRule="auto"/>
        <w:ind w:left="720" w:hanging="720"/>
        <w:jc w:val="both"/>
        <w:rPr>
          <w:rFonts w:ascii="Times New Roman" w:hAnsi="Times New Roman" w:cs="Times New Roman"/>
          <w:sz w:val="24"/>
          <w:szCs w:val="24"/>
        </w:rPr>
      </w:pPr>
      <w:r w:rsidRPr="004F666C">
        <w:rPr>
          <w:rFonts w:ascii="Times New Roman" w:hAnsi="Times New Roman" w:cs="Times New Roman"/>
          <w:sz w:val="24"/>
          <w:szCs w:val="24"/>
        </w:rPr>
        <w:t xml:space="preserve">Weygandt, J., J., Kimmel, P., D. and </w:t>
      </w:r>
      <w:proofErr w:type="spellStart"/>
      <w:r w:rsidRPr="004F666C">
        <w:rPr>
          <w:rFonts w:ascii="Times New Roman" w:hAnsi="Times New Roman" w:cs="Times New Roman"/>
          <w:sz w:val="24"/>
          <w:szCs w:val="24"/>
        </w:rPr>
        <w:t>Kieso</w:t>
      </w:r>
      <w:proofErr w:type="spellEnd"/>
      <w:r w:rsidRPr="004F666C">
        <w:rPr>
          <w:rFonts w:ascii="Times New Roman" w:hAnsi="Times New Roman" w:cs="Times New Roman"/>
          <w:sz w:val="24"/>
          <w:szCs w:val="24"/>
        </w:rPr>
        <w:t>, D., E. (2015) Financial and Managerial Accounting. US: John Wiley &amp; Sons.</w:t>
      </w:r>
    </w:p>
    <w:p w14:paraId="14DB338C" w14:textId="77777777" w:rsidR="00BA120D" w:rsidRPr="004F666C" w:rsidRDefault="00BA120D" w:rsidP="004F666C">
      <w:pPr>
        <w:spacing w:line="360" w:lineRule="auto"/>
        <w:jc w:val="both"/>
        <w:rPr>
          <w:rFonts w:ascii="Times New Roman" w:hAnsi="Times New Roman" w:cs="Times New Roman"/>
          <w:sz w:val="24"/>
          <w:szCs w:val="24"/>
          <w:lang w:val="en-IN"/>
        </w:rPr>
      </w:pPr>
    </w:p>
    <w:sectPr w:rsidR="00BA120D" w:rsidRPr="004F666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A127A" w14:textId="77777777" w:rsidR="001C2E45" w:rsidRDefault="001C2E45" w:rsidP="000141FC">
      <w:pPr>
        <w:spacing w:after="0" w:line="240" w:lineRule="auto"/>
      </w:pPr>
      <w:r>
        <w:separator/>
      </w:r>
    </w:p>
  </w:endnote>
  <w:endnote w:type="continuationSeparator" w:id="0">
    <w:p w14:paraId="1000E8CC" w14:textId="77777777" w:rsidR="001C2E45" w:rsidRDefault="001C2E45" w:rsidP="00014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2BAA6" w14:textId="77777777" w:rsidR="001C2E45" w:rsidRDefault="001C2E45" w:rsidP="000141FC">
      <w:pPr>
        <w:spacing w:after="0" w:line="240" w:lineRule="auto"/>
      </w:pPr>
      <w:r>
        <w:separator/>
      </w:r>
    </w:p>
  </w:footnote>
  <w:footnote w:type="continuationSeparator" w:id="0">
    <w:p w14:paraId="72BC408E" w14:textId="77777777" w:rsidR="001C2E45" w:rsidRDefault="001C2E45" w:rsidP="00014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26860346"/>
      <w:docPartObj>
        <w:docPartGallery w:val="Page Numbers (Top of Page)"/>
        <w:docPartUnique/>
      </w:docPartObj>
    </w:sdtPr>
    <w:sdtEndPr>
      <w:rPr>
        <w:noProof/>
      </w:rPr>
    </w:sdtEndPr>
    <w:sdtContent>
      <w:p w14:paraId="04E93508" w14:textId="13819584" w:rsidR="000141FC" w:rsidRPr="000141FC" w:rsidRDefault="000141FC">
        <w:pPr>
          <w:pStyle w:val="Header"/>
          <w:jc w:val="right"/>
          <w:rPr>
            <w:rFonts w:ascii="Times New Roman" w:hAnsi="Times New Roman" w:cs="Times New Roman"/>
            <w:sz w:val="24"/>
            <w:szCs w:val="24"/>
          </w:rPr>
        </w:pPr>
        <w:r w:rsidRPr="000141FC">
          <w:rPr>
            <w:rFonts w:ascii="Times New Roman" w:hAnsi="Times New Roman" w:cs="Times New Roman"/>
            <w:sz w:val="24"/>
            <w:szCs w:val="24"/>
          </w:rPr>
          <w:fldChar w:fldCharType="begin"/>
        </w:r>
        <w:r w:rsidRPr="000141FC">
          <w:rPr>
            <w:rFonts w:ascii="Times New Roman" w:hAnsi="Times New Roman" w:cs="Times New Roman"/>
            <w:sz w:val="24"/>
            <w:szCs w:val="24"/>
          </w:rPr>
          <w:instrText xml:space="preserve"> PAGE   \* MERGEFORMAT </w:instrText>
        </w:r>
        <w:r w:rsidRPr="000141FC">
          <w:rPr>
            <w:rFonts w:ascii="Times New Roman" w:hAnsi="Times New Roman" w:cs="Times New Roman"/>
            <w:sz w:val="24"/>
            <w:szCs w:val="24"/>
          </w:rPr>
          <w:fldChar w:fldCharType="separate"/>
        </w:r>
        <w:r w:rsidRPr="000141FC">
          <w:rPr>
            <w:rFonts w:ascii="Times New Roman" w:hAnsi="Times New Roman" w:cs="Times New Roman"/>
            <w:noProof/>
            <w:sz w:val="24"/>
            <w:szCs w:val="24"/>
          </w:rPr>
          <w:t>2</w:t>
        </w:r>
        <w:r w:rsidRPr="000141FC">
          <w:rPr>
            <w:rFonts w:ascii="Times New Roman" w:hAnsi="Times New Roman" w:cs="Times New Roman"/>
            <w:noProof/>
            <w:sz w:val="24"/>
            <w:szCs w:val="24"/>
          </w:rPr>
          <w:fldChar w:fldCharType="end"/>
        </w:r>
      </w:p>
    </w:sdtContent>
  </w:sdt>
  <w:p w14:paraId="1E58858B" w14:textId="77777777" w:rsidR="000141FC" w:rsidRPr="000141FC" w:rsidRDefault="000141FC">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K3sDAwNDY0MDc0MTVS0lEKTi0uzszPAykwrAUAxvTZRCwAAAA="/>
  </w:docVars>
  <w:rsids>
    <w:rsidRoot w:val="00E65A66"/>
    <w:rsid w:val="000141FC"/>
    <w:rsid w:val="00091281"/>
    <w:rsid w:val="000E427C"/>
    <w:rsid w:val="00124D96"/>
    <w:rsid w:val="001605C4"/>
    <w:rsid w:val="001A307A"/>
    <w:rsid w:val="001C2E45"/>
    <w:rsid w:val="002104F4"/>
    <w:rsid w:val="003878E5"/>
    <w:rsid w:val="00456B50"/>
    <w:rsid w:val="00484576"/>
    <w:rsid w:val="004B7438"/>
    <w:rsid w:val="004F666C"/>
    <w:rsid w:val="005D635A"/>
    <w:rsid w:val="00633F00"/>
    <w:rsid w:val="0068050A"/>
    <w:rsid w:val="006D0C86"/>
    <w:rsid w:val="007215A7"/>
    <w:rsid w:val="007717BC"/>
    <w:rsid w:val="007718F7"/>
    <w:rsid w:val="007B2CD2"/>
    <w:rsid w:val="007F341D"/>
    <w:rsid w:val="00824380"/>
    <w:rsid w:val="008557B2"/>
    <w:rsid w:val="00863174"/>
    <w:rsid w:val="008C4264"/>
    <w:rsid w:val="008E7DAF"/>
    <w:rsid w:val="00965863"/>
    <w:rsid w:val="009979F9"/>
    <w:rsid w:val="009A7E35"/>
    <w:rsid w:val="00A367AF"/>
    <w:rsid w:val="00A46F1C"/>
    <w:rsid w:val="00A47406"/>
    <w:rsid w:val="00AB0522"/>
    <w:rsid w:val="00AB5F0B"/>
    <w:rsid w:val="00AC22B4"/>
    <w:rsid w:val="00BA120D"/>
    <w:rsid w:val="00C15937"/>
    <w:rsid w:val="00CA79B8"/>
    <w:rsid w:val="00D64272"/>
    <w:rsid w:val="00DF014F"/>
    <w:rsid w:val="00E65A66"/>
    <w:rsid w:val="00E81470"/>
    <w:rsid w:val="00E87D02"/>
    <w:rsid w:val="00E94CA4"/>
    <w:rsid w:val="00EA175D"/>
    <w:rsid w:val="00EF4932"/>
    <w:rsid w:val="00F01CA2"/>
    <w:rsid w:val="00F052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8C4E2"/>
  <w15:chartTrackingRefBased/>
  <w15:docId w15:val="{E95BB56A-489B-44D5-9B90-2CA8C6512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01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7D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14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87D02"/>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0141FC"/>
    <w:pPr>
      <w:outlineLvl w:val="9"/>
    </w:pPr>
    <w:rPr>
      <w:lang w:val="en-US"/>
    </w:rPr>
  </w:style>
  <w:style w:type="paragraph" w:styleId="TOC1">
    <w:name w:val="toc 1"/>
    <w:basedOn w:val="Normal"/>
    <w:next w:val="Normal"/>
    <w:autoRedefine/>
    <w:uiPriority w:val="39"/>
    <w:unhideWhenUsed/>
    <w:rsid w:val="000141FC"/>
    <w:pPr>
      <w:spacing w:after="100"/>
    </w:pPr>
  </w:style>
  <w:style w:type="paragraph" w:styleId="TOC2">
    <w:name w:val="toc 2"/>
    <w:basedOn w:val="Normal"/>
    <w:next w:val="Normal"/>
    <w:autoRedefine/>
    <w:uiPriority w:val="39"/>
    <w:unhideWhenUsed/>
    <w:rsid w:val="000141FC"/>
    <w:pPr>
      <w:spacing w:after="100"/>
      <w:ind w:left="220"/>
    </w:pPr>
  </w:style>
  <w:style w:type="character" w:styleId="Hyperlink">
    <w:name w:val="Hyperlink"/>
    <w:basedOn w:val="DefaultParagraphFont"/>
    <w:uiPriority w:val="99"/>
    <w:unhideWhenUsed/>
    <w:rsid w:val="000141FC"/>
    <w:rPr>
      <w:color w:val="0563C1" w:themeColor="hyperlink"/>
      <w:u w:val="single"/>
    </w:rPr>
  </w:style>
  <w:style w:type="paragraph" w:styleId="Header">
    <w:name w:val="header"/>
    <w:basedOn w:val="Normal"/>
    <w:link w:val="HeaderChar"/>
    <w:uiPriority w:val="99"/>
    <w:unhideWhenUsed/>
    <w:rsid w:val="00014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1FC"/>
    <w:rPr>
      <w:lang w:val="en-GB"/>
    </w:rPr>
  </w:style>
  <w:style w:type="paragraph" w:styleId="Footer">
    <w:name w:val="footer"/>
    <w:basedOn w:val="Normal"/>
    <w:link w:val="FooterChar"/>
    <w:uiPriority w:val="99"/>
    <w:unhideWhenUsed/>
    <w:rsid w:val="00014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1FC"/>
    <w:rPr>
      <w:lang w:val="en-GB"/>
    </w:rPr>
  </w:style>
  <w:style w:type="character" w:customStyle="1" w:styleId="apple-converted-space">
    <w:name w:val="apple-converted-space"/>
    <w:basedOn w:val="DefaultParagraphFont"/>
    <w:rsid w:val="00BA1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969241">
      <w:bodyDiv w:val="1"/>
      <w:marLeft w:val="0"/>
      <w:marRight w:val="0"/>
      <w:marTop w:val="0"/>
      <w:marBottom w:val="0"/>
      <w:divBdr>
        <w:top w:val="none" w:sz="0" w:space="0" w:color="auto"/>
        <w:left w:val="none" w:sz="0" w:space="0" w:color="auto"/>
        <w:bottom w:val="none" w:sz="0" w:space="0" w:color="auto"/>
        <w:right w:val="none" w:sz="0" w:space="0" w:color="auto"/>
      </w:divBdr>
    </w:div>
    <w:div w:id="1470779826">
      <w:bodyDiv w:val="1"/>
      <w:marLeft w:val="0"/>
      <w:marRight w:val="0"/>
      <w:marTop w:val="0"/>
      <w:marBottom w:val="0"/>
      <w:divBdr>
        <w:top w:val="none" w:sz="0" w:space="0" w:color="auto"/>
        <w:left w:val="none" w:sz="0" w:space="0" w:color="auto"/>
        <w:bottom w:val="none" w:sz="0" w:space="0" w:color="auto"/>
        <w:right w:val="none" w:sz="0" w:space="0" w:color="auto"/>
      </w:divBdr>
    </w:div>
    <w:div w:id="1498501729">
      <w:bodyDiv w:val="1"/>
      <w:marLeft w:val="0"/>
      <w:marRight w:val="0"/>
      <w:marTop w:val="0"/>
      <w:marBottom w:val="0"/>
      <w:divBdr>
        <w:top w:val="none" w:sz="0" w:space="0" w:color="auto"/>
        <w:left w:val="none" w:sz="0" w:space="0" w:color="auto"/>
        <w:bottom w:val="none" w:sz="0" w:space="0" w:color="auto"/>
        <w:right w:val="none" w:sz="0" w:space="0" w:color="auto"/>
      </w:divBdr>
    </w:div>
    <w:div w:id="1692417949">
      <w:bodyDiv w:val="1"/>
      <w:marLeft w:val="0"/>
      <w:marRight w:val="0"/>
      <w:marTop w:val="0"/>
      <w:marBottom w:val="0"/>
      <w:divBdr>
        <w:top w:val="none" w:sz="0" w:space="0" w:color="auto"/>
        <w:left w:val="none" w:sz="0" w:space="0" w:color="auto"/>
        <w:bottom w:val="none" w:sz="0" w:space="0" w:color="auto"/>
        <w:right w:val="none" w:sz="0" w:space="0" w:color="auto"/>
      </w:divBdr>
    </w:div>
    <w:div w:id="1846477766">
      <w:bodyDiv w:val="1"/>
      <w:marLeft w:val="0"/>
      <w:marRight w:val="0"/>
      <w:marTop w:val="0"/>
      <w:marBottom w:val="0"/>
      <w:divBdr>
        <w:top w:val="none" w:sz="0" w:space="0" w:color="auto"/>
        <w:left w:val="none" w:sz="0" w:space="0" w:color="auto"/>
        <w:bottom w:val="none" w:sz="0" w:space="0" w:color="auto"/>
        <w:right w:val="none" w:sz="0" w:space="0" w:color="auto"/>
      </w:divBdr>
    </w:div>
    <w:div w:id="1983582655">
      <w:bodyDiv w:val="1"/>
      <w:marLeft w:val="0"/>
      <w:marRight w:val="0"/>
      <w:marTop w:val="0"/>
      <w:marBottom w:val="0"/>
      <w:divBdr>
        <w:top w:val="none" w:sz="0" w:space="0" w:color="auto"/>
        <w:left w:val="none" w:sz="0" w:space="0" w:color="auto"/>
        <w:bottom w:val="none" w:sz="0" w:space="0" w:color="auto"/>
        <w:right w:val="none" w:sz="0" w:space="0" w:color="auto"/>
      </w:divBdr>
    </w:div>
    <w:div w:id="199166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in/search?tbo=p&amp;tbm=bks&amp;q=inauthor:%22Eugene+F.+Brigham%22&amp;source=gbs_metadata_r&amp;cad=8"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ogle.co.in/search?tbo=p&amp;tbm=bks&amp;q=inauthor:%22Jonathan+Duchac%22&amp;source=gbs_metadata_r&amp;cad=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in/search?tbo=p&amp;tbm=bks&amp;q=inauthor:%22James+M.+Reeve%22&amp;source=gbs_metadata_r&amp;cad=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ogle.co.in/search?tbo=p&amp;tbm=bks&amp;q=inauthor:%22Carl+S.+Warren%22&amp;source=gbs_metadata_r&amp;cad=8" TargetMode="External"/><Relationship Id="rId4" Type="http://schemas.openxmlformats.org/officeDocument/2006/relationships/webSettings" Target="webSettings.xml"/><Relationship Id="rId9" Type="http://schemas.openxmlformats.org/officeDocument/2006/relationships/hyperlink" Target="https://www.google.co.in/search?tbo=p&amp;tbm=bks&amp;q=inauthor:%22Phillip+R.+Daves%22&amp;source=gbs_metadata_r&amp;cad=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E0D7E-2E98-42B0-8F3B-199FCE52F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2350</Words>
  <Characters>13399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Murli manohar Sharma</dc:creator>
  <cp:keywords/>
  <dc:description/>
  <cp:lastModifiedBy>patrik</cp:lastModifiedBy>
  <cp:revision>2</cp:revision>
  <dcterms:created xsi:type="dcterms:W3CDTF">2022-04-01T20:00:00Z</dcterms:created>
  <dcterms:modified xsi:type="dcterms:W3CDTF">2022-04-01T20:00:00Z</dcterms:modified>
</cp:coreProperties>
</file>