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Riley Tippett</w:t>
      </w:r>
    </w:p>
    <w:p w:rsidR="00000000" w:rsidDel="00000000" w:rsidP="00000000" w:rsidRDefault="00000000" w:rsidRPr="00000000" w14:paraId="00000002">
      <w:pPr>
        <w:rPr/>
      </w:pPr>
      <w:r w:rsidDel="00000000" w:rsidR="00000000" w:rsidRPr="00000000">
        <w:rPr>
          <w:rtl w:val="0"/>
        </w:rPr>
        <w:t xml:space="preserve">2305603</w:t>
      </w:r>
    </w:p>
    <w:p w:rsidR="00000000" w:rsidDel="00000000" w:rsidP="00000000" w:rsidRDefault="00000000" w:rsidRPr="00000000" w14:paraId="00000003">
      <w:pPr>
        <w:rPr/>
      </w:pPr>
      <w:r w:rsidDel="00000000" w:rsidR="00000000" w:rsidRPr="00000000">
        <w:rPr>
          <w:rtl w:val="0"/>
        </w:rPr>
        <w:t xml:space="preserve">Festivals, Conventions and Events</w:t>
      </w:r>
    </w:p>
    <w:p w:rsidR="00000000" w:rsidDel="00000000" w:rsidP="00000000" w:rsidRDefault="00000000" w:rsidRPr="00000000" w14:paraId="00000004">
      <w:pPr>
        <w:rPr/>
      </w:pPr>
      <w:r w:rsidDel="00000000" w:rsidR="00000000" w:rsidRPr="00000000">
        <w:rPr>
          <w:rtl w:val="0"/>
        </w:rPr>
        <w:t xml:space="preserve">BMTP6017</w:t>
      </w:r>
    </w:p>
    <w:p w:rsidR="00000000" w:rsidDel="00000000" w:rsidP="00000000" w:rsidRDefault="00000000" w:rsidRPr="00000000" w14:paraId="00000005">
      <w:pPr>
        <w:rPr/>
      </w:pPr>
      <w:r w:rsidDel="00000000" w:rsidR="00000000" w:rsidRPr="00000000">
        <w:rPr>
          <w:rtl w:val="0"/>
        </w:rPr>
        <w:t xml:space="preserve">Deborah Jenkins</w:t>
      </w:r>
    </w:p>
    <w:p w:rsidR="00000000" w:rsidDel="00000000" w:rsidP="00000000" w:rsidRDefault="00000000" w:rsidRPr="00000000" w14:paraId="00000006">
      <w:pPr>
        <w:rPr/>
      </w:pPr>
      <w:r w:rsidDel="00000000" w:rsidR="00000000" w:rsidRPr="00000000">
        <w:rPr>
          <w:rtl w:val="0"/>
        </w:rPr>
        <w:t xml:space="preserve">Word Count - 2432</w:t>
      </w:r>
    </w:p>
    <w:p w:rsidR="00000000" w:rsidDel="00000000" w:rsidP="00000000" w:rsidRDefault="00000000" w:rsidRPr="00000000" w14:paraId="00000007">
      <w:pPr>
        <w:spacing w:after="120" w:before="120" w:line="276" w:lineRule="auto"/>
        <w:rPr/>
      </w:pPr>
      <w:r w:rsidDel="00000000" w:rsidR="00000000" w:rsidRPr="00000000">
        <w:rPr>
          <w:rtl w:val="0"/>
        </w:rPr>
        <w:t xml:space="preserve">Assignment 1: Essay</w:t>
      </w:r>
    </w:p>
    <w:p w:rsidR="00000000" w:rsidDel="00000000" w:rsidP="00000000" w:rsidRDefault="00000000" w:rsidRPr="00000000" w14:paraId="00000008">
      <w:pPr>
        <w:spacing w:after="120" w:before="120" w:line="276" w:lineRule="auto"/>
        <w:rPr/>
      </w:pPr>
      <w:r w:rsidDel="00000000" w:rsidR="00000000" w:rsidRPr="00000000">
        <w:rPr>
          <w:rtl w:val="0"/>
        </w:rPr>
        <w:t xml:space="preserve">Tradition or Strategy? A Critical Evaluation of Glastonbury Festival’s 2026 Fallow Year and the Sustainability of Mega-Events</w:t>
      </w:r>
    </w:p>
    <w:p w:rsidR="00000000" w:rsidDel="00000000" w:rsidP="00000000" w:rsidRDefault="00000000" w:rsidRPr="00000000" w14:paraId="00000009">
      <w:pPr>
        <w:spacing w:after="120" w:before="120" w:line="276" w:lineRule="auto"/>
        <w:rPr/>
      </w:pPr>
      <w:r w:rsidDel="00000000" w:rsidR="00000000" w:rsidRPr="00000000">
        <w:rPr>
          <w:rtl w:val="0"/>
        </w:rPr>
      </w:r>
    </w:p>
    <w:p w:rsidR="00000000" w:rsidDel="00000000" w:rsidP="00000000" w:rsidRDefault="00000000" w:rsidRPr="00000000" w14:paraId="0000000A">
      <w:pPr>
        <w:spacing w:after="120" w:before="120" w:line="276" w:lineRule="auto"/>
        <w:rPr>
          <w:b w:val="1"/>
          <w:bCs w:val="1"/>
          <w:i w:val="1"/>
          <w:iCs w:val="1"/>
          <w:sz w:val="26"/>
          <w:szCs w:val="26"/>
          <w:u w:val="single"/>
        </w:rPr>
      </w:pPr>
      <w:r w:rsidDel="00000000" w:rsidR="00000000" w:rsidRPr="00000000">
        <w:rPr>
          <w:b w:val="1"/>
          <w:bCs w:val="1"/>
          <w:i w:val="1"/>
          <w:iCs w:val="1"/>
          <w:sz w:val="26"/>
          <w:szCs w:val="26"/>
          <w:u w:val="single"/>
          <w:rtl w:val="0"/>
        </w:rPr>
        <w:t xml:space="preserve">Introduction</w:t>
      </w:r>
    </w:p>
    <w:p w:rsidR="00000000" w:rsidDel="00000000" w:rsidP="00000000" w:rsidRDefault="00000000" w:rsidRPr="00000000" w14:paraId="0000000B">
      <w:pPr>
        <w:spacing w:after="120" w:before="120" w:line="276" w:lineRule="auto"/>
        <w:rPr/>
      </w:pPr>
      <w:r w:rsidDel="00000000" w:rsidR="00000000" w:rsidRPr="00000000">
        <w:rPr>
          <w:rtl w:val="0"/>
        </w:rPr>
        <w:t xml:space="preserve">Glastonbury Festival has grown into one of the world’s leading cultural mega-events, drawing crowds of around 200,000 people and generating more than £160 million in economic value for the UK each year (Showman’s Directory, 2023). Its scheduled fallow year in 2026 is officially presented as a continuation of a long-standing tradition designed to rest the land and ease pressure on local communities. However, the scale of the festival, combined with rising expectations for responsible event management, suggests that the break can also be interpreted as a strategic response to environmental and operational pressures. Contemporary sustainability thinking positions events as agents of regenerative development rather than temporary entertainment spaces, reflecting wider shifts in policy, industry standards and public expectation (Mair, 2015; Getz, 2019). </w:t>
      </w:r>
    </w:p>
    <w:p w:rsidR="00000000" w:rsidDel="00000000" w:rsidP="00000000" w:rsidRDefault="00000000" w:rsidRPr="00000000" w14:paraId="0000000C">
      <w:pPr>
        <w:spacing w:after="120" w:before="120" w:line="276" w:lineRule="auto"/>
        <w:rPr/>
      </w:pPr>
      <w:r w:rsidDel="00000000" w:rsidR="00000000" w:rsidRPr="00000000">
        <w:rPr>
          <w:rtl w:val="0"/>
        </w:rPr>
        <w:t xml:space="preserve">This essay evaluates whether the 2026 hiatus is better understood as a strategic environmental intervention rather than a purely cultural practice. It is guided by the Brundtland Commission’s conceptualisation of sustainable development, which emphasises safeguarding the needs of future generations (WCED, 1987), and by the triple bottom line model, which frames sustainability across environmental, social and economic dimensions (Elkington, 1997). These frameworks are increasingly applied in festival management as organisations attempt to address issues such as soil degradation, waste production and carbon emissions (Mackay, 2023). While the main focus here is environmental sustainability, the discussion also considers economic, operational and community factors that interact with it. The argument advanced is that tradition may still frame the public narrative, but the underlying driver for the 2026 fallow year is the strategic necessity of protecting the long-term ecological and operational viability of the festival.</w:t>
      </w:r>
    </w:p>
    <w:p w:rsidR="00000000" w:rsidDel="00000000" w:rsidP="00000000" w:rsidRDefault="00000000" w:rsidRPr="00000000" w14:paraId="0000000D">
      <w:pPr>
        <w:spacing w:after="120" w:before="120" w:line="276" w:lineRule="auto"/>
        <w:rPr>
          <w:b w:val="1"/>
          <w:bCs w:val="1"/>
          <w:i w:val="1"/>
          <w:iCs w:val="1"/>
          <w:sz w:val="26"/>
          <w:szCs w:val="26"/>
          <w:u w:val="single"/>
        </w:rPr>
      </w:pPr>
      <w:r w:rsidDel="00000000" w:rsidR="00000000" w:rsidRPr="00000000">
        <w:rPr>
          <w:b w:val="1"/>
          <w:bCs w:val="1"/>
          <w:i w:val="1"/>
          <w:iCs w:val="1"/>
          <w:sz w:val="26"/>
          <w:szCs w:val="26"/>
          <w:u w:val="single"/>
          <w:rtl w:val="0"/>
        </w:rPr>
        <w:t xml:space="preserve">Main Body</w:t>
      </w:r>
    </w:p>
    <w:p w:rsidR="00000000" w:rsidDel="00000000" w:rsidP="00000000" w:rsidRDefault="00000000" w:rsidRPr="00000000" w14:paraId="0000000E">
      <w:pPr>
        <w:spacing w:after="120" w:before="120" w:line="276" w:lineRule="auto"/>
        <w:rPr/>
      </w:pPr>
      <w:r w:rsidDel="00000000" w:rsidR="00000000" w:rsidRPr="00000000">
        <w:rPr>
          <w:rtl w:val="0"/>
        </w:rPr>
        <w:t xml:space="preserve">Glastonbury Festival’s fallow years are frequently presented as an established cultural tradition, emphasising the need for the land, the community, and festival staff to rest. Since the first fallow period in the 1970s, organisers have portrayed these breaks as part of the festival’s natural rhythm. This narrative has become deeply embedded in Glastonbury’s identity, aligning with its image as an environmentally aware and socially responsible event. However, scholars such as Hobsbawm and Ranger (1983) argue that many so-called “traditions” are modern constructions created or adapted to legitimise contemporary practices. In this context, Glastonbury’s fallow years can be understood not only as heritage but also as a cultural narrative that supports modern strategic needs.</w:t>
      </w:r>
    </w:p>
    <w:p w:rsidR="00000000" w:rsidDel="00000000" w:rsidP="00000000" w:rsidRDefault="00000000" w:rsidRPr="00000000" w14:paraId="0000000F">
      <w:pPr>
        <w:spacing w:after="120" w:before="120" w:line="276" w:lineRule="auto"/>
        <w:rPr/>
      </w:pPr>
      <w:r w:rsidDel="00000000" w:rsidR="00000000" w:rsidRPr="00000000">
        <w:rPr>
          <w:rtl w:val="0"/>
        </w:rPr>
        <w:t xml:space="preserve">This change reflects changing standards in the broader events sector. As essential elements of sustainable practice, modern event management frameworks highlight social justice, economic resilience, and environmental accountability (Raj &amp; Musgrave, 2009; Áraphin et al., 2026). Adoption of approaches like the triple bottom line (Elkington, 1997) has prompted festivals to prioritise sustainability in their planning, governance, and legacy. In this perspective, the fallow year becomes more than just a sentimental custom; it offers a strategically significant chance for stakeholder involvement, operational regeneration, and environmental rehabilitation.</w:t>
      </w:r>
    </w:p>
    <w:p w:rsidR="00000000" w:rsidDel="00000000" w:rsidP="00000000" w:rsidRDefault="00000000" w:rsidRPr="00000000" w14:paraId="00000010">
      <w:pPr>
        <w:spacing w:after="120" w:before="120" w:line="276" w:lineRule="auto"/>
        <w:rPr/>
      </w:pPr>
      <w:r w:rsidDel="00000000" w:rsidR="00000000" w:rsidRPr="00000000">
        <w:rPr>
          <w:rtl w:val="0"/>
        </w:rPr>
        <w:t xml:space="preserve">Tradition also plays a key role in maintaining what Hall et al. (2016) describe as a “social licence to operate.” For an event situated within a small rural community, sustaining local support is critical. Framing the fallow year as a protective tradition rather than an operational requirement helps preserve goodwill and diffuse potential criticism around land use, noise, and disruption. The narrative of tradition, therefore supports both cultural identity and contemporary managerial strategy.</w:t>
      </w:r>
    </w:p>
    <w:p w:rsidR="00000000" w:rsidDel="00000000" w:rsidP="00000000" w:rsidRDefault="00000000" w:rsidRPr="00000000" w14:paraId="00000011">
      <w:pPr>
        <w:spacing w:after="240" w:before="240" w:line="276" w:lineRule="auto"/>
        <w:rPr/>
      </w:pPr>
      <w:r w:rsidDel="00000000" w:rsidR="00000000" w:rsidRPr="00000000">
        <w:rPr>
          <w:rtl w:val="0"/>
        </w:rPr>
        <w:t xml:space="preserve">While Glastonbury’s fallow years retain symbolic significance, their modern purpose has evolved. The pressures created by a festival of this scale make periodic interruptions strategically necessary for environmental protection, operational planning, and community relations. Tradition provides a culturally acceptable justification, but the underlying motivation increasingly reflects the realities of sustainable mega-event management. The 2026 fallow year should therefore be viewed not simply as a continuation of heritage, but as a strategic mechanism that enables the festival to remain viable, credible, and sustainable in the long term.</w:t>
      </w:r>
    </w:p>
    <w:p w:rsidR="00000000" w:rsidDel="00000000" w:rsidP="00000000" w:rsidRDefault="00000000" w:rsidRPr="00000000" w14:paraId="00000012">
      <w:pPr>
        <w:spacing w:after="120" w:before="120" w:line="276" w:lineRule="auto"/>
        <w:rPr/>
      </w:pPr>
      <w:r w:rsidDel="00000000" w:rsidR="00000000" w:rsidRPr="00000000">
        <w:rPr>
          <w:rtl w:val="0"/>
        </w:rPr>
        <w:t xml:space="preserve">The environmental pressures associated with a mega-festival such as Glastonbury Festival are substantial, and they provide a strong rationale for the 2026 fallow year as a strategic necessity rather than a cultural whim. One of the most striking indicators of environmental impact is waste generation. Glastonbury reportedly produces around 2,000 tonnes of waste annually, including abandoned tents, food packaging, plastic bottles and other refuse. Even with rigorous recycling and composting efforts, managing such volumes requires large-scale waste sorting, transport, and landfill diversion long after the event ends.</w:t>
      </w:r>
    </w:p>
    <w:p w:rsidR="00000000" w:rsidDel="00000000" w:rsidP="00000000" w:rsidRDefault="00000000" w:rsidRPr="00000000" w14:paraId="00000013">
      <w:pPr>
        <w:spacing w:after="120" w:before="120" w:line="276" w:lineRule="auto"/>
        <w:rPr/>
      </w:pPr>
      <w:r w:rsidDel="00000000" w:rsidR="00000000" w:rsidRPr="00000000">
        <w:rPr>
          <w:rtl w:val="0"/>
        </w:rPr>
        <w:t xml:space="preserve">Energy consumption and carbon emissions further illustrate why a fallow year is environmentally strategic. Glastonbury has made commendable progress by increasing its reliance on renewable energy sources, including solar installations and biofuel-powered generators, and by reducing fossil-fuel use across production areas. However, travel remains the dominant source of emissions, with attendee and staff transport typically accounting for more than three-quarters of a festival’s total carbon footprint (Mair, 2015). Studies of festival sustainability repeatedly show that transportation emissions constitute the most difficult impact to reduce, even when significant on-site changes are made (Getz &amp; Page, 2024). This reinforces the argument that a periodic pause is needed to assess emission patterns and expand low-carbon travel strategies.</w:t>
      </w:r>
    </w:p>
    <w:p w:rsidR="00000000" w:rsidDel="00000000" w:rsidP="00000000" w:rsidRDefault="00000000" w:rsidRPr="00000000" w14:paraId="00000014">
      <w:pPr>
        <w:spacing w:after="120" w:before="120" w:line="276" w:lineRule="auto"/>
        <w:rPr/>
      </w:pPr>
      <w:r w:rsidDel="00000000" w:rsidR="00000000" w:rsidRPr="00000000">
        <w:rPr>
          <w:rtl w:val="0"/>
        </w:rPr>
        <w:t xml:space="preserve">The environmental rationale for fallow years is strengthened by the state of the land itself. Due to heavy machinery, foot traffic, and temporary structures, Worthy Farm, the long-term festival site, suffers significant soil compaction, surface damage, and vegetation loss. Compaction decreases drainage, disturbs soil microbial communities, and threatens agricultural output unless it is followed by enough recovery time, as soil science literature repeatedly shows (Smith, 2018). Resting the land promotes grassland regeneration, biodiversity restoration, and improved soil structure, all of which are in line with the concepts of regenerative sustainability, which aim to actively restore ecosystems while minimising harm (Wahl, 2016).</w:t>
      </w:r>
    </w:p>
    <w:p w:rsidR="00000000" w:rsidDel="00000000" w:rsidP="00000000" w:rsidRDefault="00000000" w:rsidRPr="00000000" w14:paraId="00000015">
      <w:pPr>
        <w:spacing w:after="240" w:before="240" w:line="276" w:lineRule="auto"/>
        <w:rPr/>
      </w:pPr>
      <w:r w:rsidDel="00000000" w:rsidR="00000000" w:rsidRPr="00000000">
        <w:rPr>
          <w:rtl w:val="0"/>
        </w:rPr>
        <w:t xml:space="preserve">Although Glastonbury’s environmental initiatives, such as banning single-use plastic bottles, expanding composting toilets and undertaking tree-planting programmes, represent meaningful progress, they do not eliminate the need for ecological recovery. The festival’s reforestation efforts, which have planted thousands of trees in the region, contribute to carbon sequestration, yet these gains cannot fully offset the impact of hosting such large crowds annually. As Séraphin et al. (2026) emphasise, sustainability in events must consider cumulative rather than isolated impacts.</w:t>
      </w:r>
    </w:p>
    <w:p w:rsidR="00000000" w:rsidDel="00000000" w:rsidP="00000000" w:rsidRDefault="00000000" w:rsidRPr="00000000" w14:paraId="00000016">
      <w:pPr>
        <w:spacing w:after="240" w:before="240" w:line="276" w:lineRule="auto"/>
        <w:rPr/>
      </w:pPr>
      <w:r w:rsidDel="00000000" w:rsidR="00000000" w:rsidRPr="00000000">
        <w:rPr>
          <w:rtl w:val="0"/>
        </w:rPr>
        <w:t xml:space="preserve">Given the scale of waste, emissions and land degradation, the 2026 fallow year functions as a needed environmental reset. While tradition shapes the narrative, the environmental data and academic research clearly show that land restoration, carbon reduction and ecological recovery are the primary drivers behind the hiatus.</w:t>
      </w:r>
    </w:p>
    <w:p w:rsidR="00000000" w:rsidDel="00000000" w:rsidP="00000000" w:rsidRDefault="00000000" w:rsidRPr="00000000" w14:paraId="00000017">
      <w:pPr>
        <w:spacing w:after="240" w:before="240" w:line="276" w:lineRule="auto"/>
        <w:rPr/>
      </w:pPr>
      <w:r w:rsidDel="00000000" w:rsidR="00000000" w:rsidRPr="00000000">
        <w:rPr>
          <w:rtl w:val="0"/>
        </w:rPr>
        <w:t xml:space="preserve">Although environmental concerns form the strongest justification for Glastonbury’s 2026 fallow year, operational and economic pressures significantly reinforce this decision. The management of a mega-event of Glastonbury’s scale involves extraordinary logistical complexity, and academic literature on event operations stresses that large cultural events require extended planning cycles to maintain efficiency, safety and long-term strategic alignment. Tum, Norton and Wright (2006) note that mega-events cannot rely on routine annual planning because infrastructure, safety protocols and supply chains must continuously evolve in response to technological change, regulatory expectations and fluctuating audience behaviours. A fallow year, therefore, provides an essential operational breathing space that would be impossible during continuous annual delivery.</w:t>
      </w:r>
    </w:p>
    <w:p w:rsidR="00000000" w:rsidDel="00000000" w:rsidP="00000000" w:rsidRDefault="00000000" w:rsidRPr="00000000" w14:paraId="00000018">
      <w:pPr>
        <w:spacing w:after="240" w:before="240" w:line="276" w:lineRule="auto"/>
        <w:rPr/>
      </w:pPr>
      <w:r w:rsidDel="00000000" w:rsidR="00000000" w:rsidRPr="00000000">
        <w:rPr>
          <w:rtl w:val="0"/>
        </w:rPr>
        <w:t xml:space="preserve">Over the past 20 years, Glastonbury's infrastructural needs have grown dramatically. Secure fencing, sanitary systems, water supply, road access, lighting, stages, trash management, and emergency services are all necessary for the festival, which operates as a temporary city. Regular updates are necessary for each of these systems, but they cannot be sufficiently completed in the brief time between festivals. Comparative case studies of worldwide events, like Coachella in the US and Tomorrowland in Belgium, demonstrate that yearly staging without regular pauses leads to infrastructure fatigue, rising maintenance costs, and elevated safety hazards (Allen et al., 2019). On the other hand, events that incorporate break periods are more equipped to integrate new technologies, modernise safety measures, and enhance crowd control strategies.</w:t>
      </w:r>
    </w:p>
    <w:p w:rsidR="00000000" w:rsidDel="00000000" w:rsidP="00000000" w:rsidRDefault="00000000" w:rsidRPr="00000000" w14:paraId="00000019">
      <w:pPr>
        <w:spacing w:after="240" w:before="240" w:line="276" w:lineRule="auto"/>
        <w:rPr/>
      </w:pPr>
      <w:r w:rsidDel="00000000" w:rsidR="00000000" w:rsidRPr="00000000">
        <w:rPr>
          <w:rtl w:val="0"/>
        </w:rPr>
        <w:t xml:space="preserve">The economic implications of a fallow year are equally significant. In 2023, Glastonbury generated an estimated £168 million for the UK economy, including around £30 million for Somerset alone. While a break suspends these immediate financial benefits, economic sustainability cannot be understood purely in terms of annual revenue. According to Bowdin et al. (2023), sustainable events must balance short-term financial gain with long-term value creation, reputation management and risk mitigation. If environmental degradation or operational strain compromised the festival’s future, the long-term losses for regional tourism, local employment and national cultural value would far exceed the revenue of a single missing year.</w:t>
      </w:r>
    </w:p>
    <w:p w:rsidR="00000000" w:rsidDel="00000000" w:rsidP="00000000" w:rsidRDefault="00000000" w:rsidRPr="00000000" w14:paraId="0000001A">
      <w:pPr>
        <w:spacing w:after="240" w:before="240" w:line="276" w:lineRule="auto"/>
        <w:rPr/>
      </w:pPr>
      <w:r w:rsidDel="00000000" w:rsidR="00000000" w:rsidRPr="00000000">
        <w:rPr>
          <w:rtl w:val="0"/>
        </w:rPr>
        <w:t xml:space="preserve">Thus, fallow years serve as a tactical buffer. They shield the festival from the dangers of overstretched infrastructure, employee burnout, and weak supply chains. Thousands of volunteers and temporary workers are needed for large cultural events; a study by Ferdinand and Kitchin (2022) reveals that variable workforce quality and volunteer weariness are frequent issues at yearly recurring events. A year-long break strengthens the sustainability of human resources by facilitating training renewal, recruitment cycles, and better volunteer coordination. </w:t>
      </w:r>
    </w:p>
    <w:p w:rsidR="00000000" w:rsidDel="00000000" w:rsidP="00000000" w:rsidRDefault="00000000" w:rsidRPr="00000000" w14:paraId="0000001B">
      <w:pPr>
        <w:spacing w:after="240" w:before="240" w:line="276" w:lineRule="auto"/>
        <w:rPr/>
      </w:pPr>
      <w:r w:rsidDel="00000000" w:rsidR="00000000" w:rsidRPr="00000000">
        <w:rPr>
          <w:rtl w:val="0"/>
        </w:rPr>
        <w:t xml:space="preserve">Economically, fallow years also help stabilise the festival’s brand value. Glastonbury’s reputation for environmental leadership and operational excellence is central to its global identity. Comparisons with festivals that have faced reputational collapse due to operational failures, such as the poorly planned Fyre Festival, demonstrate how damaging mismanagement can be for long-term economic prospects. By pausing to refine logistics, strengthen safety, and update infrastructure, Glastonbury protects its premium cultural status and secures its long-term economic relevance.</w:t>
      </w:r>
    </w:p>
    <w:p w:rsidR="00000000" w:rsidDel="00000000" w:rsidP="00000000" w:rsidRDefault="00000000" w:rsidRPr="00000000" w14:paraId="0000001C">
      <w:pPr>
        <w:spacing w:after="240" w:before="240" w:line="276" w:lineRule="auto"/>
        <w:rPr/>
      </w:pPr>
      <w:r w:rsidDel="00000000" w:rsidR="00000000" w:rsidRPr="00000000">
        <w:rPr>
          <w:rtl w:val="0"/>
        </w:rPr>
        <w:t xml:space="preserve">Overall, while the fallow year is often explained through environmental necessity, the decision is equally rooted in operational and economic strategy. The break supports infrastructure renewal, workforce resilience, risk management and long-term economic stability, ensuring the festival can maintain both environmental integrity and global cultural leadership.</w:t>
      </w:r>
    </w:p>
    <w:p w:rsidR="00000000" w:rsidDel="00000000" w:rsidP="00000000" w:rsidRDefault="00000000" w:rsidRPr="00000000" w14:paraId="0000001D">
      <w:pPr>
        <w:spacing w:after="240" w:before="240" w:line="276" w:lineRule="auto"/>
        <w:rPr/>
      </w:pPr>
      <w:r w:rsidDel="00000000" w:rsidR="00000000" w:rsidRPr="00000000">
        <w:rPr>
          <w:rtl w:val="0"/>
        </w:rPr>
        <w:t xml:space="preserve">Community sustainability is essential to the long-term success of Glastonbury Festival, and it provides a crucial explanation for why the 2026 fallow year is strategically required. Although the festival generates significant cultural and economic value, it places unique pressures on Pilton and the wider Somerset community. Each summer, residents experience congestion, temporary road closures, noise disturbance, increased demand on emergency services, and strain on local amenities. These forms of social and infrastructural disruption align with Fredline’s (2006) findings that host communities often experience “event fatigue” when large events occur annually without adequate respite.</w:t>
      </w:r>
    </w:p>
    <w:p w:rsidR="00000000" w:rsidDel="00000000" w:rsidP="00000000" w:rsidRDefault="00000000" w:rsidRPr="00000000" w14:paraId="0000001E">
      <w:pPr>
        <w:spacing w:after="240" w:before="240" w:line="276" w:lineRule="auto"/>
        <w:rPr/>
      </w:pPr>
      <w:r w:rsidDel="00000000" w:rsidR="00000000" w:rsidRPr="00000000">
        <w:rPr>
          <w:rtl w:val="0"/>
        </w:rPr>
        <w:t xml:space="preserve">Official local government documents reinforce this picture. Minutes from Somerset Council’s Scrutiny Committee on Communities record complaints about “unacceptable amounts of traffic through the heart of the village” during the 2023 festival, particularly around so-called village car parks and diversion routes (Somerset Council, 2023).  Such records show that community concerns are not abstract but formally recognised at the council level. In event-management terms, this links directly to the notion of a “social licence to operate”, in which long-term acceptance of an event depends on how well organisers acknowledge and manage local impacts (Whitfield et al., 2024). The fallow year can therefore be seen as part of a negotiated balance, signalling to residents that their tolerance is not taken for granted.</w:t>
      </w:r>
    </w:p>
    <w:p w:rsidR="00000000" w:rsidDel="00000000" w:rsidP="00000000" w:rsidRDefault="00000000" w:rsidRPr="00000000" w14:paraId="0000001F">
      <w:pPr>
        <w:spacing w:after="240" w:before="240" w:line="276" w:lineRule="auto"/>
        <w:rPr/>
      </w:pPr>
      <w:r w:rsidDel="00000000" w:rsidR="00000000" w:rsidRPr="00000000">
        <w:rPr>
          <w:rtl w:val="0"/>
        </w:rPr>
        <w:t xml:space="preserve">The fallow year sits across all of these dynamics. From a strategic perspective, it offers a planned period during which traffic pressures, noise and service demand are reduced, allowing residents to experience a “normal” summer and giving local authorities time to review management plans. Evans (2024) suggests that strategic management in tourism and events increasingly requires cyclical planning horizons rather than continuous annual delivery, precisely to address stakeholder fatigue and risk. In Glastonbury’s case, the fallow year also aligns with the environmental recovery of Worthy Farm, which is itself central to local identity and livelihood. As Jones (2025) argues, genuinely sustainable event design must integrate environmental, social and economic considerations rather than treating them separately.</w:t>
      </w:r>
    </w:p>
    <w:p w:rsidR="00000000" w:rsidDel="00000000" w:rsidP="00000000" w:rsidRDefault="00000000" w:rsidRPr="00000000" w14:paraId="00000020">
      <w:pPr>
        <w:spacing w:after="240" w:before="240" w:line="276" w:lineRule="auto"/>
        <w:rPr/>
      </w:pPr>
      <w:r w:rsidDel="00000000" w:rsidR="00000000" w:rsidRPr="00000000">
        <w:rPr>
          <w:rtl w:val="0"/>
        </w:rPr>
        <w:t xml:space="preserve">In this sense, community sustainability is not peripheral but fundamental to the decision to pause in 2026. The fallow year can be seen as an expression of social responsibility, it helps maintain community well-being, protects the festival’s social licence and strengthens long-term relationships with the people who live with its impacts year after year. Through this approach, Glastonbury demonstrates a model of community-conscious event planning that supports both residents and the long-term future of the festival.</w:t>
      </w:r>
    </w:p>
    <w:p w:rsidR="00000000" w:rsidDel="00000000" w:rsidP="00000000" w:rsidRDefault="00000000" w:rsidRPr="00000000" w14:paraId="00000021">
      <w:pPr>
        <w:spacing w:after="240" w:before="240" w:line="276" w:lineRule="auto"/>
        <w:rPr/>
      </w:pPr>
      <w:r w:rsidDel="00000000" w:rsidR="00000000" w:rsidRPr="00000000">
        <w:rPr>
          <w:rtl w:val="0"/>
        </w:rPr>
        <w:t xml:space="preserve">A further dimension that strengthens the strategic rationale for Glastonbury’s fallow year is the need to protect and enhance the festival’s long-term legacy. Legacy sustainability has become a key criterion in evaluating mega-events, emphasising not only immediate impacts but also long-term cultural, environmental and economic outcomes. As Robinson (2020) argues, festivals now operate within a broader ecosystem of destination branding, cultural value creation and regional development, making long-term planning essential for continued relevance. For Glastonbury, legacy is tied not only to its global reputation but to the preservation of Worthy Farm as a viable agricultural landscape and cultural landmark. Without periodic ecological recovery, the land’s ability to host future festivals could be compromised, threatening both continuity and cultural identity. This aligns with Getz and Page’s (2024) assertion that event organisers must consider the “event life cycle,” ensuring that practices today do not undermine the feasibility of future editions.</w:t>
      </w:r>
    </w:p>
    <w:p w:rsidR="00000000" w:rsidDel="00000000" w:rsidP="00000000" w:rsidRDefault="00000000" w:rsidRPr="00000000" w14:paraId="00000022">
      <w:pPr>
        <w:spacing w:after="240" w:before="240" w:line="276" w:lineRule="auto"/>
        <w:rPr/>
      </w:pPr>
      <w:r w:rsidDel="00000000" w:rsidR="00000000" w:rsidRPr="00000000">
        <w:rPr>
          <w:rtl w:val="0"/>
        </w:rPr>
        <w:t xml:space="preserve">The fallow year also enables the development of new strategic innovations. Evans (2024) suggests that pauses within the event cycle allow organisations to adapt to emerging sustainability standards, experiment with new operational models and integrate technological advancements. In the context of Glastonbury, this includes refining waste-reduction strategies, expanding renewable-energy systems and strengthening local supply chains, all of which contribute to a more resilient legacy. Furthermore, legacy-focused planning supports broader objectives of social responsibility. Bramwell and Lane (2013) note that sustainable tourism and events must distribute benefits across multiple generations, reinforcing why strategic pauses are vital. Through the fallow year, Glastonbury positions itself not simply as an annual spectacle but as a long-term cultural institution grounded in environmental stewardship and community responsibility.</w:t>
      </w:r>
    </w:p>
    <w:p w:rsidR="00000000" w:rsidDel="00000000" w:rsidP="00000000" w:rsidRDefault="00000000" w:rsidRPr="00000000" w14:paraId="00000023">
      <w:pPr>
        <w:spacing w:after="120" w:before="120" w:line="276" w:lineRule="auto"/>
        <w:rPr>
          <w:b w:val="1"/>
          <w:bCs w:val="1"/>
          <w:i w:val="1"/>
          <w:iCs w:val="1"/>
          <w:sz w:val="26"/>
          <w:szCs w:val="26"/>
          <w:u w:val="single"/>
        </w:rPr>
      </w:pPr>
      <w:r w:rsidDel="00000000" w:rsidR="00000000" w:rsidRPr="00000000">
        <w:rPr>
          <w:b w:val="1"/>
          <w:bCs w:val="1"/>
          <w:i w:val="1"/>
          <w:iCs w:val="1"/>
          <w:sz w:val="26"/>
          <w:szCs w:val="26"/>
          <w:u w:val="single"/>
          <w:rtl w:val="0"/>
        </w:rPr>
        <w:t xml:space="preserve">Conclusion</w:t>
      </w:r>
    </w:p>
    <w:p w:rsidR="00000000" w:rsidDel="00000000" w:rsidP="00000000" w:rsidRDefault="00000000" w:rsidRPr="00000000" w14:paraId="00000024">
      <w:pPr>
        <w:spacing w:after="120" w:before="120" w:line="276" w:lineRule="auto"/>
        <w:rPr/>
      </w:pPr>
      <w:r w:rsidDel="00000000" w:rsidR="00000000" w:rsidRPr="00000000">
        <w:rPr>
          <w:rtl w:val="0"/>
        </w:rPr>
        <w:t xml:space="preserve">Glastonbury Festival’s 2026 fallow year represents far more than a long-standing tradition; it reflects a strategic response to the growing sustainability challenges associated with hosting a mega-event on a rural site. Throughout this essay, it has become clear that the pressures placed on Worthy Farm and the surrounding community cannot be managed effectively through annual festival delivery alone. Environmental factors such as soil compaction, habitat disturbance, waste generation and transport emissions demonstrate the need for periodic ecological recovery. Without these breaks, the long-term health of the landscape, which is central to the festival’s identity, would be at risk.</w:t>
      </w:r>
    </w:p>
    <w:p w:rsidR="00000000" w:rsidDel="00000000" w:rsidP="00000000" w:rsidRDefault="00000000" w:rsidRPr="00000000" w14:paraId="00000025">
      <w:pPr>
        <w:spacing w:after="120" w:before="120" w:line="276" w:lineRule="auto"/>
        <w:rPr/>
      </w:pPr>
      <w:r w:rsidDel="00000000" w:rsidR="00000000" w:rsidRPr="00000000">
        <w:rPr>
          <w:rtl w:val="0"/>
        </w:rPr>
        <w:t xml:space="preserve">The fallow year also supports operational resilience. Hosting more than 200,000 people requires continuous innovation in safety procedures, infrastructure, staffing and energy systems. A scheduled pause creates the space organisers need to evaluate what has worked, address weaknesses and implement new sustainability measures for future editions. Economic sustainability is strengthened in the process, as protecting the festival’s site and reputation ensures continued value for Somerset and the wider UK.</w:t>
      </w:r>
    </w:p>
    <w:p w:rsidR="00000000" w:rsidDel="00000000" w:rsidP="00000000" w:rsidRDefault="00000000" w:rsidRPr="00000000" w14:paraId="00000026">
      <w:pPr>
        <w:spacing w:after="120" w:before="120" w:line="276" w:lineRule="auto"/>
        <w:rPr/>
      </w:pPr>
      <w:r w:rsidDel="00000000" w:rsidR="00000000" w:rsidRPr="00000000">
        <w:rPr>
          <w:rtl w:val="0"/>
        </w:rPr>
        <w:t xml:space="preserve">Relationships with the local community are equally vital. The event has both advantages and disadvantages for the locals, and sustaining their long-term support necessitates consideration of the cumulative effects of yearly interruption. Sustainable event management must balance economic, environmental, and social concerns rather than concentrating only on financial gain, as noted by Raj and Musgrave (2009). All things considered, the 2026 fallow year is best viewed as a proactive, strategic instrument that safeguards the community, the land, and the festival's long-term future, ensuring that Glastonbury continues to be both sustainably managed and culturally iconic.</w:t>
      </w:r>
      <w:r w:rsidDel="00000000" w:rsidR="00000000" w:rsidRPr="00000000">
        <w:rPr>
          <w:rtl w:val="0"/>
        </w:rPr>
      </w:r>
    </w:p>
    <w:p w:rsidR="00000000" w:rsidDel="00000000" w:rsidP="00000000" w:rsidRDefault="00000000" w:rsidRPr="00000000" w14:paraId="00000027">
      <w:pPr>
        <w:spacing w:after="120" w:before="120" w:line="276" w:lineRule="auto"/>
        <w:rPr>
          <w:b w:val="1"/>
          <w:bCs w:val="1"/>
          <w:i w:val="1"/>
          <w:iCs w:val="1"/>
          <w:sz w:val="26"/>
          <w:szCs w:val="26"/>
          <w:u w:val="single"/>
        </w:rPr>
      </w:pPr>
      <w:r w:rsidDel="00000000" w:rsidR="00000000" w:rsidRPr="00000000">
        <w:rPr>
          <w:rtl w:val="0"/>
        </w:rPr>
      </w:r>
    </w:p>
    <w:p w:rsidR="00000000" w:rsidDel="00000000" w:rsidP="00000000" w:rsidRDefault="00000000" w:rsidRPr="00000000" w14:paraId="00000028">
      <w:pPr>
        <w:spacing w:after="120" w:before="120" w:line="276" w:lineRule="auto"/>
        <w:rPr>
          <w:b w:val="1"/>
          <w:bCs w:val="1"/>
          <w:i w:val="1"/>
          <w:iCs w:val="1"/>
          <w:sz w:val="26"/>
          <w:szCs w:val="26"/>
          <w:u w:val="single"/>
        </w:rPr>
      </w:pPr>
      <w:r w:rsidDel="00000000" w:rsidR="00000000" w:rsidRPr="00000000">
        <w:rPr>
          <w:rtl w:val="0"/>
        </w:rPr>
      </w:r>
    </w:p>
    <w:p w:rsidR="00000000" w:rsidDel="00000000" w:rsidP="00000000" w:rsidRDefault="00000000" w:rsidRPr="00000000" w14:paraId="00000029">
      <w:pPr>
        <w:spacing w:after="120" w:before="120" w:line="276" w:lineRule="auto"/>
        <w:rPr>
          <w:b w:val="1"/>
          <w:bCs w:val="1"/>
          <w:i w:val="1"/>
          <w:iCs w:val="1"/>
          <w:sz w:val="26"/>
          <w:szCs w:val="26"/>
          <w:u w:val="single"/>
        </w:rPr>
      </w:pPr>
      <w:r w:rsidDel="00000000" w:rsidR="00000000" w:rsidRPr="00000000">
        <w:rPr>
          <w:rtl w:val="0"/>
        </w:rPr>
      </w:r>
    </w:p>
    <w:p w:rsidR="00000000" w:rsidDel="00000000" w:rsidP="00000000" w:rsidRDefault="00000000" w:rsidRPr="00000000" w14:paraId="0000002A">
      <w:pPr>
        <w:spacing w:after="120" w:before="120" w:line="276" w:lineRule="auto"/>
        <w:rPr>
          <w:b w:val="1"/>
          <w:bCs w:val="1"/>
          <w:i w:val="1"/>
          <w:iCs w:val="1"/>
          <w:sz w:val="26"/>
          <w:szCs w:val="26"/>
          <w:u w:val="single"/>
        </w:rPr>
      </w:pPr>
      <w:r w:rsidDel="00000000" w:rsidR="00000000" w:rsidRPr="00000000">
        <w:rPr>
          <w:rtl w:val="0"/>
        </w:rPr>
      </w:r>
    </w:p>
    <w:p w:rsidR="00000000" w:rsidDel="00000000" w:rsidP="00000000" w:rsidRDefault="00000000" w:rsidRPr="00000000" w14:paraId="0000002B">
      <w:pPr>
        <w:spacing w:after="120" w:before="120" w:line="276" w:lineRule="auto"/>
        <w:rPr>
          <w:b w:val="1"/>
          <w:bCs w:val="1"/>
          <w:i w:val="1"/>
          <w:iCs w:val="1"/>
          <w:sz w:val="26"/>
          <w:szCs w:val="26"/>
          <w:u w:val="single"/>
        </w:rPr>
      </w:pPr>
      <w:r w:rsidDel="00000000" w:rsidR="00000000" w:rsidRPr="00000000">
        <w:rPr>
          <w:rtl w:val="0"/>
        </w:rPr>
      </w:r>
    </w:p>
    <w:p w:rsidR="00000000" w:rsidDel="00000000" w:rsidP="00000000" w:rsidRDefault="00000000" w:rsidRPr="00000000" w14:paraId="0000002C">
      <w:pPr>
        <w:spacing w:after="120" w:before="120" w:line="276" w:lineRule="auto"/>
        <w:rPr>
          <w:b w:val="1"/>
          <w:bCs w:val="1"/>
          <w:i w:val="1"/>
          <w:iCs w:val="1"/>
          <w:sz w:val="26"/>
          <w:szCs w:val="26"/>
          <w:u w:val="single"/>
        </w:rPr>
      </w:pPr>
      <w:r w:rsidDel="00000000" w:rsidR="00000000" w:rsidRPr="00000000">
        <w:rPr>
          <w:rtl w:val="0"/>
        </w:rPr>
      </w:r>
    </w:p>
    <w:p w:rsidR="00000000" w:rsidDel="00000000" w:rsidP="00000000" w:rsidRDefault="00000000" w:rsidRPr="00000000" w14:paraId="0000002D">
      <w:pPr>
        <w:spacing w:after="120" w:before="120" w:line="276" w:lineRule="auto"/>
        <w:rPr>
          <w:b w:val="1"/>
          <w:bCs w:val="1"/>
          <w:i w:val="1"/>
          <w:iCs w:val="1"/>
          <w:sz w:val="26"/>
          <w:szCs w:val="26"/>
          <w:u w:val="single"/>
        </w:rPr>
      </w:pPr>
      <w:r w:rsidDel="00000000" w:rsidR="00000000" w:rsidRPr="00000000">
        <w:rPr>
          <w:b w:val="1"/>
          <w:bCs w:val="1"/>
          <w:i w:val="1"/>
          <w:iCs w:val="1"/>
          <w:sz w:val="26"/>
          <w:szCs w:val="26"/>
          <w:u w:val="single"/>
          <w:rtl w:val="0"/>
        </w:rPr>
        <w:t xml:space="preserve">Reference List</w:t>
      </w:r>
    </w:p>
    <w:p w:rsidR="00000000" w:rsidDel="00000000" w:rsidP="00000000" w:rsidRDefault="00000000" w:rsidRPr="00000000" w14:paraId="0000002E">
      <w:pPr>
        <w:spacing w:after="240" w:line="360" w:lineRule="auto"/>
        <w:rPr/>
      </w:pPr>
      <w:r w:rsidDel="00000000" w:rsidR="00000000" w:rsidRPr="00000000">
        <w:rPr>
          <w:rtl w:val="0"/>
        </w:rPr>
        <w:t xml:space="preserve">Alexia (2025). Please love the farm and leave no trace - Glastonbury Festivals. [online] Glastonbury Festivals. Available at: </w:t>
      </w:r>
      <w:hyperlink r:id="rId6">
        <w:r w:rsidDel="00000000" w:rsidR="00000000" w:rsidRPr="00000000">
          <w:rPr>
            <w:color w:val="1155cc"/>
            <w:u w:val="single"/>
            <w:rtl w:val="0"/>
          </w:rPr>
          <w:t xml:space="preserve">https://www.glastonburyfestivals.co.uk/news/please-love-the-farm-and-leave-no-trace/</w:t>
        </w:r>
      </w:hyperlink>
      <w:r w:rsidDel="00000000" w:rsidR="00000000" w:rsidRPr="00000000">
        <w:rPr>
          <w:rtl w:val="0"/>
        </w:rPr>
        <w:t xml:space="preserve">. </w:t>
      </w:r>
    </w:p>
    <w:p w:rsidR="00000000" w:rsidDel="00000000" w:rsidP="00000000" w:rsidRDefault="00000000" w:rsidRPr="00000000" w14:paraId="0000002F">
      <w:pPr>
        <w:spacing w:after="240" w:line="360" w:lineRule="auto"/>
        <w:rPr/>
      </w:pPr>
      <w:r w:rsidDel="00000000" w:rsidR="00000000" w:rsidRPr="00000000">
        <w:rPr>
          <w:rtl w:val="0"/>
        </w:rPr>
        <w:t xml:space="preserve">Allen, J., O’Toole, W., Harris, R. and McDonnell, I. (2019). Festival &amp; special event management. 5th ed. Milton, Qld: John Wiley &amp; Sons Australia, Ltd.</w:t>
      </w:r>
    </w:p>
    <w:p w:rsidR="00000000" w:rsidDel="00000000" w:rsidP="00000000" w:rsidRDefault="00000000" w:rsidRPr="00000000" w14:paraId="00000030">
      <w:pPr>
        <w:spacing w:after="240" w:line="360" w:lineRule="auto"/>
        <w:rPr/>
      </w:pPr>
      <w:r w:rsidDel="00000000" w:rsidR="00000000" w:rsidRPr="00000000">
        <w:rPr>
          <w:rtl w:val="0"/>
        </w:rPr>
        <w:t xml:space="preserve">Birch, T. (2024). How sustainable is Glastonbury Festival? - The Eco Experts. [online] The Eco Experts. Available at:  </w:t>
      </w:r>
      <w:hyperlink r:id="rId7">
        <w:r w:rsidDel="00000000" w:rsidR="00000000" w:rsidRPr="00000000">
          <w:rPr>
            <w:color w:val="1155cc"/>
            <w:u w:val="single"/>
            <w:rtl w:val="0"/>
          </w:rPr>
          <w:t xml:space="preserve">https://www.theecoexperts.co.uk/news/glastonbury-festival-carbon-footprint</w:t>
        </w:r>
      </w:hyperlink>
      <w:r w:rsidDel="00000000" w:rsidR="00000000" w:rsidRPr="00000000">
        <w:rPr>
          <w:rtl w:val="0"/>
        </w:rPr>
        <w:t xml:space="preserve">. </w:t>
      </w:r>
    </w:p>
    <w:p w:rsidR="00000000" w:rsidDel="00000000" w:rsidP="00000000" w:rsidRDefault="00000000" w:rsidRPr="00000000" w14:paraId="00000031">
      <w:pPr>
        <w:spacing w:after="240" w:line="360" w:lineRule="auto"/>
        <w:rPr/>
      </w:pPr>
      <w:r w:rsidDel="00000000" w:rsidR="00000000" w:rsidRPr="00000000">
        <w:rPr>
          <w:rtl w:val="0"/>
        </w:rPr>
        <w:t xml:space="preserve">Bramwell, B. and Lane, B. (2013). Tourism Governance. Routledge.</w:t>
      </w:r>
    </w:p>
    <w:p w:rsidR="00000000" w:rsidDel="00000000" w:rsidP="00000000" w:rsidRDefault="00000000" w:rsidRPr="00000000" w14:paraId="00000032">
      <w:pPr>
        <w:spacing w:after="240" w:line="360" w:lineRule="auto"/>
        <w:rPr/>
      </w:pPr>
      <w:r w:rsidDel="00000000" w:rsidR="00000000" w:rsidRPr="00000000">
        <w:rPr>
          <w:rtl w:val="0"/>
        </w:rPr>
        <w:t xml:space="preserve">Dimitri Tassiopoulos (2011). Events management a developmental and managerial approach. Claremont Juta.</w:t>
      </w:r>
    </w:p>
    <w:p w:rsidR="00000000" w:rsidDel="00000000" w:rsidP="00000000" w:rsidRDefault="00000000" w:rsidRPr="00000000" w14:paraId="00000033">
      <w:pPr>
        <w:spacing w:after="240" w:line="360" w:lineRule="auto"/>
        <w:rPr/>
      </w:pPr>
      <w:r w:rsidDel="00000000" w:rsidR="00000000" w:rsidRPr="00000000">
        <w:rPr>
          <w:rtl w:val="0"/>
        </w:rPr>
        <w:t xml:space="preserve">Elkington, J. (1997). Cannibals with Forks: the Triple Bottom Line of 21st Century Business. Oxford: Capstone.</w:t>
      </w:r>
    </w:p>
    <w:p w:rsidR="00000000" w:rsidDel="00000000" w:rsidP="00000000" w:rsidRDefault="00000000" w:rsidRPr="00000000" w14:paraId="00000034">
      <w:pPr>
        <w:spacing w:after="240" w:line="360" w:lineRule="auto"/>
        <w:rPr/>
      </w:pPr>
      <w:r w:rsidDel="00000000" w:rsidR="00000000" w:rsidRPr="00000000">
        <w:rPr>
          <w:rtl w:val="0"/>
        </w:rPr>
        <w:t xml:space="preserve">Event-management-uk.co.uk. (2025). Available at: </w:t>
      </w:r>
      <w:hyperlink r:id="rId8">
        <w:r w:rsidDel="00000000" w:rsidR="00000000" w:rsidRPr="00000000">
          <w:rPr>
            <w:color w:val="1155cc"/>
            <w:u w:val="single"/>
            <w:rtl w:val="0"/>
          </w:rPr>
          <w:t xml:space="preserve">https://www.event-management-uk.co.uk/</w:t>
        </w:r>
      </w:hyperlink>
      <w:r w:rsidDel="00000000" w:rsidR="00000000" w:rsidRPr="00000000">
        <w:rPr>
          <w:rtl w:val="0"/>
        </w:rPr>
        <w:t xml:space="preserve"> </w:t>
      </w:r>
    </w:p>
    <w:p w:rsidR="00000000" w:rsidDel="00000000" w:rsidP="00000000" w:rsidRDefault="00000000" w:rsidRPr="00000000" w14:paraId="00000035">
      <w:pPr>
        <w:spacing w:after="240" w:line="360" w:lineRule="auto"/>
        <w:rPr/>
      </w:pPr>
      <w:r w:rsidDel="00000000" w:rsidR="00000000" w:rsidRPr="00000000">
        <w:rPr>
          <w:rtl w:val="0"/>
        </w:rPr>
        <w:t xml:space="preserve">Ferdinand, N. and Kitchin, P.J. (2022). Events Management. SAGE.</w:t>
      </w:r>
    </w:p>
    <w:p w:rsidR="00000000" w:rsidDel="00000000" w:rsidP="00000000" w:rsidRDefault="00000000" w:rsidRPr="00000000" w14:paraId="00000036">
      <w:pPr>
        <w:spacing w:line="240" w:lineRule="auto"/>
        <w:jc w:val="both"/>
        <w:rPr/>
      </w:pPr>
      <w:r w:rsidDel="00000000" w:rsidR="00000000" w:rsidRPr="00000000">
        <w:rPr>
          <w:rtl w:val="0"/>
        </w:rPr>
        <w:t xml:space="preserve">Foley, M., McGillivray, D., McPherson, G. (2012) </w:t>
      </w:r>
      <w:r w:rsidDel="00000000" w:rsidR="00000000" w:rsidRPr="00000000">
        <w:rPr>
          <w:u w:val="single"/>
          <w:rtl w:val="0"/>
        </w:rPr>
        <w:t xml:space="preserve">Event Policy: From Theory to Strategy </w:t>
      </w:r>
      <w:r w:rsidDel="00000000" w:rsidR="00000000" w:rsidRPr="00000000">
        <w:rPr>
          <w:rtl w:val="0"/>
        </w:rPr>
        <w:t xml:space="preserve">Routledge, Oxford</w:t>
      </w:r>
    </w:p>
    <w:p w:rsidR="00000000" w:rsidDel="00000000" w:rsidP="00000000" w:rsidRDefault="00000000" w:rsidRPr="00000000" w14:paraId="00000037">
      <w:pPr>
        <w:spacing w:line="240" w:lineRule="auto"/>
        <w:jc w:val="both"/>
        <w:rPr/>
      </w:pPr>
      <w:r w:rsidDel="00000000" w:rsidR="00000000" w:rsidRPr="00000000">
        <w:rPr>
          <w:rtl w:val="0"/>
        </w:rPr>
      </w:r>
    </w:p>
    <w:p w:rsidR="00000000" w:rsidDel="00000000" w:rsidP="00000000" w:rsidRDefault="00000000" w:rsidRPr="00000000" w14:paraId="00000038">
      <w:pPr>
        <w:spacing w:after="240" w:line="360" w:lineRule="auto"/>
        <w:rPr/>
      </w:pPr>
      <w:r w:rsidDel="00000000" w:rsidR="00000000" w:rsidRPr="00000000">
        <w:rPr>
          <w:rtl w:val="0"/>
        </w:rPr>
        <w:t xml:space="preserve">Getz, D. and Page, S.J. (2024). Event Studies. 5th ed. Taylor &amp; Francis.</w:t>
      </w:r>
    </w:p>
    <w:p w:rsidR="00000000" w:rsidDel="00000000" w:rsidP="00000000" w:rsidRDefault="00000000" w:rsidRPr="00000000" w14:paraId="00000039">
      <w:pPr>
        <w:spacing w:line="240" w:lineRule="auto"/>
        <w:jc w:val="both"/>
        <w:rPr/>
      </w:pPr>
      <w:r w:rsidDel="00000000" w:rsidR="00000000" w:rsidRPr="00000000">
        <w:rPr>
          <w:rtl w:val="0"/>
        </w:rPr>
        <w:t xml:space="preserve">Getz D.  (2020), </w:t>
      </w:r>
      <w:r w:rsidDel="00000000" w:rsidR="00000000" w:rsidRPr="00000000">
        <w:rPr>
          <w:u w:val="single"/>
          <w:rtl w:val="0"/>
        </w:rPr>
        <w:t xml:space="preserve">Event Studies; theory, research and policy for planned events</w:t>
      </w:r>
      <w:r w:rsidDel="00000000" w:rsidR="00000000" w:rsidRPr="00000000">
        <w:rPr>
          <w:rtl w:val="0"/>
        </w:rPr>
        <w:t xml:space="preserve">, 4th ed. Butterworth-Heinemann,Oxford</w:t>
      </w:r>
    </w:p>
    <w:p w:rsidR="00000000" w:rsidDel="00000000" w:rsidP="00000000" w:rsidRDefault="00000000" w:rsidRPr="00000000" w14:paraId="0000003A">
      <w:pPr>
        <w:spacing w:line="240" w:lineRule="auto"/>
        <w:jc w:val="both"/>
        <w:rPr/>
      </w:pPr>
      <w:r w:rsidDel="00000000" w:rsidR="00000000" w:rsidRPr="00000000">
        <w:rPr>
          <w:rtl w:val="0"/>
        </w:rPr>
      </w:r>
    </w:p>
    <w:p w:rsidR="00000000" w:rsidDel="00000000" w:rsidP="00000000" w:rsidRDefault="00000000" w:rsidRPr="00000000" w14:paraId="0000003B">
      <w:pPr>
        <w:spacing w:after="240" w:line="360" w:lineRule="auto"/>
        <w:rPr/>
      </w:pPr>
      <w:r w:rsidDel="00000000" w:rsidR="00000000" w:rsidRPr="00000000">
        <w:rPr>
          <w:rtl w:val="0"/>
        </w:rPr>
        <w:t xml:space="preserve">Glastonbury (2024). Glastonbury Festival - Info. [online] Glastonburyfestivals.co.uk. Available at: </w:t>
      </w:r>
      <w:hyperlink r:id="rId9">
        <w:r w:rsidDel="00000000" w:rsidR="00000000" w:rsidRPr="00000000">
          <w:rPr>
            <w:color w:val="1155cc"/>
            <w:u w:val="single"/>
            <w:rtl w:val="0"/>
          </w:rPr>
          <w:t xml:space="preserve">https://www.glastonburyfestivals.co.uk/info/</w:t>
        </w:r>
      </w:hyperlink>
      <w:r w:rsidDel="00000000" w:rsidR="00000000" w:rsidRPr="00000000">
        <w:rPr>
          <w:rtl w:val="0"/>
        </w:rPr>
        <w:t xml:space="preserve">. </w:t>
      </w:r>
    </w:p>
    <w:p w:rsidR="00000000" w:rsidDel="00000000" w:rsidP="00000000" w:rsidRDefault="00000000" w:rsidRPr="00000000" w14:paraId="0000003C">
      <w:pPr>
        <w:spacing w:after="240" w:line="360" w:lineRule="auto"/>
        <w:rPr/>
      </w:pPr>
      <w:r w:rsidDel="00000000" w:rsidR="00000000" w:rsidRPr="00000000">
        <w:rPr>
          <w:rtl w:val="0"/>
        </w:rPr>
        <w:t xml:space="preserve">Group, T. (2024). Everything You Need to Know About Booking a Skip. [online] Towens. Available at: </w:t>
      </w:r>
      <w:hyperlink r:id="rId10">
        <w:r w:rsidDel="00000000" w:rsidR="00000000" w:rsidRPr="00000000">
          <w:rPr>
            <w:color w:val="1155cc"/>
            <w:u w:val="single"/>
            <w:rtl w:val="0"/>
          </w:rPr>
          <w:t xml:space="preserve">https://www.towens.co.uk/news/how-many-towens-skips-would-it-take-to-clean-up-after-glastonbury</w:t>
        </w:r>
      </w:hyperlink>
      <w:r w:rsidDel="00000000" w:rsidR="00000000" w:rsidRPr="00000000">
        <w:rPr>
          <w:rtl w:val="0"/>
        </w:rPr>
        <w:t xml:space="preserve">. </w:t>
      </w:r>
    </w:p>
    <w:p w:rsidR="00000000" w:rsidDel="00000000" w:rsidP="00000000" w:rsidRDefault="00000000" w:rsidRPr="00000000" w14:paraId="0000003D">
      <w:pPr>
        <w:spacing w:after="240" w:line="360" w:lineRule="auto"/>
        <w:rPr/>
      </w:pPr>
      <w:r w:rsidDel="00000000" w:rsidR="00000000" w:rsidRPr="00000000">
        <w:rPr>
          <w:rtl w:val="0"/>
        </w:rPr>
        <w:t xml:space="preserve">Guardian staff reporter (2024). Glastonbury festival raised £5.9m for charity in 2024. [online] the Guardian. Available at: </w:t>
      </w:r>
      <w:hyperlink r:id="rId11">
        <w:r w:rsidDel="00000000" w:rsidR="00000000" w:rsidRPr="00000000">
          <w:rPr>
            <w:color w:val="1155cc"/>
            <w:u w:val="single"/>
            <w:rtl w:val="0"/>
          </w:rPr>
          <w:t xml:space="preserve">https://www.theguardian.com/music/2024/dec/05/glastonbury-festival-raised-59m-for-charity-in-2024</w:t>
        </w:r>
      </w:hyperlink>
      <w:r w:rsidDel="00000000" w:rsidR="00000000" w:rsidRPr="00000000">
        <w:rPr>
          <w:rtl w:val="0"/>
        </w:rPr>
        <w:t xml:space="preserve">. </w:t>
      </w:r>
    </w:p>
    <w:p w:rsidR="00000000" w:rsidDel="00000000" w:rsidP="00000000" w:rsidRDefault="00000000" w:rsidRPr="00000000" w14:paraId="0000003E">
      <w:pPr>
        <w:spacing w:after="240" w:line="360" w:lineRule="auto"/>
        <w:rPr/>
      </w:pPr>
      <w:r w:rsidDel="00000000" w:rsidR="00000000" w:rsidRPr="00000000">
        <w:rPr>
          <w:rtl w:val="0"/>
        </w:rPr>
        <w:t xml:space="preserve">Hobsbawm, E. and Ranger, T. (1983). The Invention of Tradition. Cambridge University Press, pp.1–14.</w:t>
      </w:r>
    </w:p>
    <w:p w:rsidR="00000000" w:rsidDel="00000000" w:rsidP="00000000" w:rsidRDefault="00000000" w:rsidRPr="00000000" w14:paraId="0000003F">
      <w:pPr>
        <w:spacing w:after="240" w:line="360" w:lineRule="auto"/>
        <w:rPr/>
      </w:pPr>
      <w:r w:rsidDel="00000000" w:rsidR="00000000" w:rsidRPr="00000000">
        <w:rPr>
          <w:rtl w:val="0"/>
        </w:rPr>
        <w:t xml:space="preserve">Linham, L. (2024). Glastonbury Festival Impact: What local residents need to know about increased traffic and highway disruptions. [online] Glastonbury Nub News. Available at: </w:t>
      </w:r>
      <w:hyperlink r:id="rId12">
        <w:r w:rsidDel="00000000" w:rsidR="00000000" w:rsidRPr="00000000">
          <w:rPr>
            <w:color w:val="1155cc"/>
            <w:u w:val="single"/>
            <w:rtl w:val="0"/>
          </w:rPr>
          <w:t xml:space="preserve">https://glastonbury.nub.news/news/local-news/glastonbury-festival-impact-what-local-residents-need-to-know-about-increased-traffic-and-highway-disruptions-233300</w:t>
        </w:r>
      </w:hyperlink>
      <w:r w:rsidDel="00000000" w:rsidR="00000000" w:rsidRPr="00000000">
        <w:rPr>
          <w:rtl w:val="0"/>
        </w:rPr>
        <w:t xml:space="preserve">. </w:t>
      </w:r>
    </w:p>
    <w:p w:rsidR="00000000" w:rsidDel="00000000" w:rsidP="00000000" w:rsidRDefault="00000000" w:rsidRPr="00000000" w14:paraId="00000040">
      <w:pPr>
        <w:spacing w:after="240" w:line="360" w:lineRule="auto"/>
        <w:rPr/>
      </w:pPr>
      <w:r w:rsidDel="00000000" w:rsidR="00000000" w:rsidRPr="00000000">
        <w:rPr>
          <w:rtl w:val="0"/>
        </w:rPr>
        <w:t xml:space="preserve">Miller, K. (2020). The Triple Bottom Line: What It Is &amp; Why It’s Important. [online] Harvard Business School. Available at: </w:t>
      </w:r>
      <w:hyperlink r:id="rId13">
        <w:r w:rsidDel="00000000" w:rsidR="00000000" w:rsidRPr="00000000">
          <w:rPr>
            <w:color w:val="1155cc"/>
            <w:u w:val="single"/>
            <w:rtl w:val="0"/>
          </w:rPr>
          <w:t xml:space="preserve">https://online.hbs.edu/blog/post/what-is-the-triple-bottom-line</w:t>
        </w:r>
      </w:hyperlink>
      <w:r w:rsidDel="00000000" w:rsidR="00000000" w:rsidRPr="00000000">
        <w:rPr>
          <w:rtl w:val="0"/>
        </w:rPr>
        <w:t xml:space="preserve">. </w:t>
      </w:r>
    </w:p>
    <w:p w:rsidR="00000000" w:rsidDel="00000000" w:rsidP="00000000" w:rsidRDefault="00000000" w:rsidRPr="00000000" w14:paraId="00000041">
      <w:pPr>
        <w:spacing w:line="240" w:lineRule="auto"/>
        <w:jc w:val="both"/>
        <w:rPr/>
      </w:pPr>
      <w:r w:rsidDel="00000000" w:rsidR="00000000" w:rsidRPr="00000000">
        <w:rPr>
          <w:rtl w:val="0"/>
        </w:rPr>
        <w:t xml:space="preserve">Masterman, G. (2014) </w:t>
      </w:r>
      <w:r w:rsidDel="00000000" w:rsidR="00000000" w:rsidRPr="00000000">
        <w:rPr>
          <w:u w:val="single"/>
          <w:rtl w:val="0"/>
        </w:rPr>
        <w:t xml:space="preserve">Strategic Sports Event Management </w:t>
      </w:r>
      <w:r w:rsidDel="00000000" w:rsidR="00000000" w:rsidRPr="00000000">
        <w:rPr>
          <w:rtl w:val="0"/>
        </w:rPr>
        <w:t xml:space="preserve">3</w:t>
      </w:r>
      <w:r w:rsidDel="00000000" w:rsidR="00000000" w:rsidRPr="00000000">
        <w:rPr>
          <w:vertAlign w:val="superscript"/>
          <w:rtl w:val="0"/>
        </w:rPr>
        <w:t xml:space="preserve">rd</w:t>
      </w:r>
      <w:r w:rsidDel="00000000" w:rsidR="00000000" w:rsidRPr="00000000">
        <w:rPr>
          <w:rtl w:val="0"/>
        </w:rPr>
        <w:t xml:space="preserve"> Ed. Routledge, Oxford</w:t>
      </w:r>
    </w:p>
    <w:p w:rsidR="00000000" w:rsidDel="00000000" w:rsidP="00000000" w:rsidRDefault="00000000" w:rsidRPr="00000000" w14:paraId="00000042">
      <w:pPr>
        <w:spacing w:line="240" w:lineRule="auto"/>
        <w:jc w:val="both"/>
        <w:rPr/>
      </w:pPr>
      <w:r w:rsidDel="00000000" w:rsidR="00000000" w:rsidRPr="00000000">
        <w:rPr>
          <w:rtl w:val="0"/>
        </w:rPr>
      </w:r>
    </w:p>
    <w:p w:rsidR="00000000" w:rsidDel="00000000" w:rsidP="00000000" w:rsidRDefault="00000000" w:rsidRPr="00000000" w14:paraId="00000043">
      <w:pPr>
        <w:spacing w:after="240" w:line="360" w:lineRule="auto"/>
        <w:rPr/>
      </w:pPr>
      <w:r w:rsidDel="00000000" w:rsidR="00000000" w:rsidRPr="00000000">
        <w:rPr>
          <w:rtl w:val="0"/>
        </w:rPr>
        <w:t xml:space="preserve">Nolan, S. (2024). Glastonbury’s Environmental Impact: Scope 3 Explored. [online] Scope3magazine.com. Available at: </w:t>
      </w:r>
      <w:hyperlink r:id="rId14">
        <w:r w:rsidDel="00000000" w:rsidR="00000000" w:rsidRPr="00000000">
          <w:rPr>
            <w:color w:val="1155cc"/>
            <w:u w:val="single"/>
            <w:rtl w:val="0"/>
          </w:rPr>
          <w:t xml:space="preserve">https://scope3magazine.com/scope-1-2-and-3/glastonburys-environmental-impact-scope-3-explored</w:t>
        </w:r>
      </w:hyperlink>
      <w:r w:rsidDel="00000000" w:rsidR="00000000" w:rsidRPr="00000000">
        <w:rPr>
          <w:rtl w:val="0"/>
        </w:rPr>
        <w:t xml:space="preserve">. </w:t>
      </w:r>
    </w:p>
    <w:p w:rsidR="00000000" w:rsidDel="00000000" w:rsidP="00000000" w:rsidRDefault="00000000" w:rsidRPr="00000000" w14:paraId="00000044">
      <w:pPr>
        <w:spacing w:line="240" w:lineRule="auto"/>
        <w:jc w:val="both"/>
        <w:rPr/>
      </w:pPr>
      <w:r w:rsidDel="00000000" w:rsidR="00000000" w:rsidRPr="00000000">
        <w:rPr>
          <w:rtl w:val="0"/>
        </w:rPr>
      </w:r>
    </w:p>
    <w:p w:rsidR="00000000" w:rsidDel="00000000" w:rsidP="00000000" w:rsidRDefault="00000000" w:rsidRPr="00000000" w14:paraId="00000045">
      <w:pPr>
        <w:spacing w:line="240" w:lineRule="auto"/>
        <w:jc w:val="both"/>
        <w:rPr/>
      </w:pPr>
      <w:r w:rsidDel="00000000" w:rsidR="00000000" w:rsidRPr="00000000">
        <w:rPr>
          <w:rtl w:val="0"/>
        </w:rPr>
        <w:t xml:space="preserve">Robinson M. &amp; Novelli M. ( 2005) </w:t>
      </w:r>
      <w:r w:rsidDel="00000000" w:rsidR="00000000" w:rsidRPr="00000000">
        <w:rPr>
          <w:u w:val="single"/>
          <w:rtl w:val="0"/>
        </w:rPr>
        <w:t xml:space="preserve">Niche tourism: an introduction, in contemporary issues, trends and cases</w:t>
      </w:r>
      <w:r w:rsidDel="00000000" w:rsidR="00000000" w:rsidRPr="00000000">
        <w:rPr>
          <w:rtl w:val="0"/>
        </w:rPr>
        <w:t xml:space="preserve">, Elsevier, London</w:t>
      </w:r>
    </w:p>
    <w:p w:rsidR="00000000" w:rsidDel="00000000" w:rsidP="00000000" w:rsidRDefault="00000000" w:rsidRPr="00000000" w14:paraId="00000046">
      <w:pPr>
        <w:spacing w:after="240" w:line="360" w:lineRule="auto"/>
        <w:rPr/>
      </w:pPr>
      <w:r w:rsidDel="00000000" w:rsidR="00000000" w:rsidRPr="00000000">
        <w:rPr>
          <w:rtl w:val="0"/>
        </w:rPr>
      </w:r>
    </w:p>
    <w:p w:rsidR="00000000" w:rsidDel="00000000" w:rsidP="00000000" w:rsidRDefault="00000000" w:rsidRPr="00000000" w14:paraId="00000047">
      <w:pPr>
        <w:spacing w:after="240" w:line="360" w:lineRule="auto"/>
        <w:rPr/>
      </w:pPr>
      <w:r w:rsidDel="00000000" w:rsidR="00000000" w:rsidRPr="00000000">
        <w:rPr>
          <w:rtl w:val="0"/>
        </w:rPr>
        <w:t xml:space="preserve">Shone, A. and Parry, B. (2019). Successful Event Management : a Practical Handbook. 5th ed. Andover, Hampshire: Cengage Learning, Cop.</w:t>
      </w:r>
    </w:p>
    <w:p w:rsidR="00000000" w:rsidDel="00000000" w:rsidP="00000000" w:rsidRDefault="00000000" w:rsidRPr="00000000" w14:paraId="00000048">
      <w:pPr>
        <w:spacing w:after="240" w:line="360" w:lineRule="auto"/>
        <w:rPr/>
      </w:pPr>
      <w:r w:rsidDel="00000000" w:rsidR="00000000" w:rsidRPr="00000000">
        <w:rPr>
          <w:rtl w:val="0"/>
        </w:rPr>
        <w:t xml:space="preserve">Smith, M.K. (2021). Issues in cultural tourism studies. London: Routledge.</w:t>
      </w:r>
    </w:p>
    <w:p w:rsidR="00000000" w:rsidDel="00000000" w:rsidP="00000000" w:rsidRDefault="00000000" w:rsidRPr="00000000" w14:paraId="00000049">
      <w:pPr>
        <w:spacing w:after="240" w:line="360" w:lineRule="auto"/>
        <w:rPr/>
      </w:pPr>
      <w:r w:rsidDel="00000000" w:rsidR="00000000" w:rsidRPr="00000000">
        <w:rPr>
          <w:rtl w:val="0"/>
        </w:rPr>
        <w:t xml:space="preserve">Smith, S. (2022). Glastonbury festival has a net positive impact on the environment. [online] The Independent. Available at: </w:t>
      </w:r>
      <w:hyperlink r:id="rId15">
        <w:r w:rsidDel="00000000" w:rsidR="00000000" w:rsidRPr="00000000">
          <w:rPr>
            <w:color w:val="1155cc"/>
            <w:u w:val="single"/>
            <w:rtl w:val="0"/>
          </w:rPr>
          <w:t xml:space="preserve">https://www.independent.co.uk/climate-change/news/glastonbury-festival-environment-carbon-emmissions-b2105742.html</w:t>
        </w:r>
      </w:hyperlink>
      <w:r w:rsidDel="00000000" w:rsidR="00000000" w:rsidRPr="00000000">
        <w:rPr>
          <w:rtl w:val="0"/>
        </w:rPr>
        <w:t xml:space="preserve">. </w:t>
      </w:r>
    </w:p>
    <w:p w:rsidR="00000000" w:rsidDel="00000000" w:rsidP="00000000" w:rsidRDefault="00000000" w:rsidRPr="00000000" w14:paraId="0000004A">
      <w:pPr>
        <w:spacing w:after="240" w:line="360" w:lineRule="auto"/>
        <w:rPr/>
      </w:pPr>
      <w:r w:rsidDel="00000000" w:rsidR="00000000" w:rsidRPr="00000000">
        <w:rPr>
          <w:rtl w:val="0"/>
        </w:rPr>
        <w:t xml:space="preserve">Wahl, D.C. (2016). Designing regenerative cultures. Axminster, England: Triarchy Press.</w:t>
      </w:r>
    </w:p>
    <w:p w:rsidR="00000000" w:rsidDel="00000000" w:rsidP="00000000" w:rsidRDefault="00000000" w:rsidRPr="00000000" w14:paraId="0000004B">
      <w:pPr>
        <w:spacing w:after="240" w:line="360" w:lineRule="auto"/>
        <w:rPr/>
      </w:pPr>
      <w:r w:rsidDel="00000000" w:rsidR="00000000" w:rsidRPr="00000000">
        <w:rPr>
          <w:rtl w:val="0"/>
        </w:rPr>
        <w:t xml:space="preserve">www.showmans-directory.co.uk. (n.d.). Report finds that Glastonbury 2023 generated £168m for UK businesses - Lance Show &amp; Publications Limited. [online] Available at: </w:t>
      </w:r>
      <w:hyperlink r:id="rId16">
        <w:r w:rsidDel="00000000" w:rsidR="00000000" w:rsidRPr="00000000">
          <w:rPr>
            <w:color w:val="1155cc"/>
            <w:u w:val="single"/>
            <w:rtl w:val="0"/>
          </w:rPr>
          <w:t xml:space="preserve">https://www.showmans-directory.co.uk/report-finds-that-glastonbury-2023-generated-gbp168m-for-uk-businesses</w:t>
        </w:r>
      </w:hyperlink>
      <w:r w:rsidDel="00000000" w:rsidR="00000000" w:rsidRPr="00000000">
        <w:rPr>
          <w:rtl w:val="0"/>
        </w:rPr>
        <w:t xml:space="preserve">. </w:t>
      </w:r>
    </w:p>
    <w:p w:rsidR="00000000" w:rsidDel="00000000" w:rsidP="00000000" w:rsidRDefault="00000000" w:rsidRPr="00000000" w14:paraId="0000004C">
      <w:pPr>
        <w:spacing w:after="240" w:line="360" w:lineRule="auto"/>
        <w:rPr/>
      </w:pPr>
      <w:r w:rsidDel="00000000" w:rsidR="00000000" w:rsidRPr="00000000">
        <w:rPr>
          <w:rtl w:val="0"/>
        </w:rPr>
        <w:t xml:space="preserve">'' (2023). We live next to Glastonbury… free tickets are great but there are BIG downsides. [online] The Sun. Available at: </w:t>
      </w:r>
      <w:hyperlink r:id="rId17">
        <w:r w:rsidDel="00000000" w:rsidR="00000000" w:rsidRPr="00000000">
          <w:rPr>
            <w:color w:val="1155cc"/>
            <w:u w:val="single"/>
            <w:rtl w:val="0"/>
          </w:rPr>
          <w:t xml:space="preserve">https://www.thesun.co.uk/news/22793953/glastonbury-free-tickets-big-downsides/</w:t>
        </w:r>
      </w:hyperlink>
      <w:r w:rsidDel="00000000" w:rsidR="00000000" w:rsidRPr="00000000">
        <w:rPr>
          <w:rtl w:val="0"/>
        </w:rPr>
        <w:t xml:space="preserve">. </w:t>
      </w:r>
    </w:p>
    <w:p w:rsidR="00000000" w:rsidDel="00000000" w:rsidP="00000000" w:rsidRDefault="00000000" w:rsidRPr="00000000" w14:paraId="0000004D">
      <w:pPr>
        <w:spacing w:line="240" w:lineRule="auto"/>
        <w:jc w:val="both"/>
        <w:rPr/>
      </w:pPr>
      <w:r w:rsidDel="00000000" w:rsidR="00000000" w:rsidRPr="00000000">
        <w:rPr>
          <w:rtl w:val="0"/>
        </w:rPr>
      </w:r>
    </w:p>
    <w:p w:rsidR="00000000" w:rsidDel="00000000" w:rsidP="00000000" w:rsidRDefault="00000000" w:rsidRPr="00000000" w14:paraId="0000004E">
      <w:pPr>
        <w:spacing w:line="240" w:lineRule="auto"/>
        <w:jc w:val="both"/>
        <w:rPr/>
      </w:pPr>
      <w:r w:rsidDel="00000000" w:rsidR="00000000" w:rsidRPr="00000000">
        <w:rPr>
          <w:rtl w:val="0"/>
        </w:rPr>
      </w:r>
    </w:p>
    <w:p w:rsidR="00000000" w:rsidDel="00000000" w:rsidP="00000000" w:rsidRDefault="00000000" w:rsidRPr="00000000" w14:paraId="0000004F">
      <w:pPr>
        <w:spacing w:line="240" w:lineRule="auto"/>
        <w:jc w:val="both"/>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theguardian.com/music/2024/dec/05/glastonbury-festival-raised-59m-for-charity-in-2024" TargetMode="External"/><Relationship Id="rId10" Type="http://schemas.openxmlformats.org/officeDocument/2006/relationships/hyperlink" Target="https://www.towens.co.uk/news/how-many-towens-skips-would-it-take-to-clean-up-after-glastonbury" TargetMode="External"/><Relationship Id="rId13" Type="http://schemas.openxmlformats.org/officeDocument/2006/relationships/hyperlink" Target="https://online.hbs.edu/blog/post/what-is-the-triple-bottom-line" TargetMode="External"/><Relationship Id="rId12" Type="http://schemas.openxmlformats.org/officeDocument/2006/relationships/hyperlink" Target="https://glastonbury.nub.news/news/local-news/glastonbury-festival-impact-what-local-residents-need-to-know-about-increased-traffic-and-highway-disruptions-23330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glastonburyfestivals.co.uk/info/" TargetMode="External"/><Relationship Id="rId15" Type="http://schemas.openxmlformats.org/officeDocument/2006/relationships/hyperlink" Target="https://www.independent.co.uk/climate-change/news/glastonbury-festival-environment-carbon-emmissions-b2105742.html" TargetMode="External"/><Relationship Id="rId14" Type="http://schemas.openxmlformats.org/officeDocument/2006/relationships/hyperlink" Target="https://scope3magazine.com/scope-1-2-and-3/glastonburys-environmental-impact-scope-3-explored" TargetMode="External"/><Relationship Id="rId17" Type="http://schemas.openxmlformats.org/officeDocument/2006/relationships/hyperlink" Target="https://www.thesun.co.uk/news/22793953/glastonbury-free-tickets-big-downsides/" TargetMode="External"/><Relationship Id="rId16" Type="http://schemas.openxmlformats.org/officeDocument/2006/relationships/hyperlink" Target="https://www.showmans-directory.co.uk/report-finds-that-glastonbury-2023-generated-gbp168m-for-uk-businesses" TargetMode="External"/><Relationship Id="rId5" Type="http://schemas.openxmlformats.org/officeDocument/2006/relationships/styles" Target="styles.xml"/><Relationship Id="rId6" Type="http://schemas.openxmlformats.org/officeDocument/2006/relationships/hyperlink" Target="https://www.glastonburyfestivals.co.uk/news/please-love-the-farm-and-leave-no-trace/" TargetMode="External"/><Relationship Id="rId7" Type="http://schemas.openxmlformats.org/officeDocument/2006/relationships/hyperlink" Target="https://www.theecoexperts.co.uk/news/glastonbury-festival-carbon-footprint" TargetMode="External"/><Relationship Id="rId8" Type="http://schemas.openxmlformats.org/officeDocument/2006/relationships/hyperlink" Target="https://www.event-management-uk.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