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60E4D6" w14:textId="59AEAEC9" w:rsidR="008B16B0" w:rsidRPr="008B16B0" w:rsidRDefault="008B16B0" w:rsidP="008B16B0">
      <w:pPr>
        <w:pStyle w:val="Title"/>
        <w:jc w:val="center"/>
        <w:rPr>
          <w:rFonts w:asciiTheme="minorHAnsi" w:hAnsiTheme="minorHAnsi" w:cstheme="minorHAnsi"/>
          <w:color w:val="000000" w:themeColor="text1"/>
          <w:u w:val="single"/>
        </w:rPr>
      </w:pPr>
      <w:r w:rsidRPr="008B16B0">
        <w:rPr>
          <w:rFonts w:asciiTheme="minorHAnsi" w:hAnsiTheme="minorHAnsi" w:cstheme="minorHAnsi"/>
          <w:color w:val="000000" w:themeColor="text1"/>
          <w:u w:val="single"/>
          <w:shd w:val="clear" w:color="auto" w:fill="FFFFFF"/>
        </w:rPr>
        <w:t>c.</w:t>
      </w:r>
      <w:r w:rsidRPr="008B16B0">
        <w:rPr>
          <w:rFonts w:asciiTheme="minorHAnsi" w:hAnsiTheme="minorHAnsi" w:cstheme="minorHAnsi"/>
          <w:color w:val="000000" w:themeColor="text1"/>
          <w:spacing w:val="3"/>
          <w:u w:val="single"/>
          <w:shd w:val="clear" w:color="auto" w:fill="FFFFFF"/>
        </w:rPr>
        <w:t xml:space="preserve"> 350-340 BC </w:t>
      </w:r>
      <w:r w:rsidRPr="008B16B0">
        <w:rPr>
          <w:rFonts w:asciiTheme="minorHAnsi" w:hAnsiTheme="minorHAnsi" w:cstheme="minorHAnsi"/>
          <w:color w:val="000000" w:themeColor="text1"/>
          <w:u w:val="single"/>
          <w:shd w:val="clear" w:color="auto" w:fill="FFFFFF"/>
        </w:rPr>
        <w:t>Loutrophoros</w:t>
      </w:r>
    </w:p>
    <w:p w14:paraId="2897CB70" w14:textId="1C281653" w:rsidR="00267461" w:rsidRDefault="00267461" w:rsidP="00554AEA">
      <w:pPr>
        <w:pStyle w:val="Title"/>
        <w:jc w:val="both"/>
        <w:rPr>
          <w:rFonts w:asciiTheme="minorHAnsi" w:hAnsiTheme="minorHAnsi" w:cstheme="minorHAnsi"/>
          <w:color w:val="000000" w:themeColor="text1"/>
        </w:rPr>
      </w:pPr>
    </w:p>
    <w:p w14:paraId="0EC02F94" w14:textId="18DADC83" w:rsidR="00903CE4" w:rsidRPr="00285018" w:rsidRDefault="00285018" w:rsidP="00554AEA">
      <w:pPr>
        <w:pStyle w:val="Title"/>
        <w:jc w:val="both"/>
        <w:rPr>
          <w:rFonts w:asciiTheme="minorHAnsi" w:hAnsiTheme="minorHAnsi" w:cstheme="minorHAnsi"/>
          <w:color w:val="0D0D0D" w:themeColor="text1" w:themeTint="F2"/>
          <w:sz w:val="32"/>
          <w:szCs w:val="32"/>
        </w:rPr>
      </w:pPr>
      <w:r w:rsidRPr="00285018">
        <w:rPr>
          <w:rFonts w:asciiTheme="minorHAnsi" w:hAnsiTheme="minorHAnsi" w:cstheme="minorHAnsi"/>
          <w:noProof/>
          <w:color w:val="0D0D0D" w:themeColor="text1" w:themeTint="F2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00D1112" wp14:editId="1F4A4FFB">
                <wp:simplePos x="0" y="0"/>
                <wp:positionH relativeFrom="margin">
                  <wp:align>left</wp:align>
                </wp:positionH>
                <wp:positionV relativeFrom="paragraph">
                  <wp:posOffset>3510140</wp:posOffset>
                </wp:positionV>
                <wp:extent cx="1673225" cy="852170"/>
                <wp:effectExtent l="0" t="0" r="22225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3225" cy="8521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7052CC" w14:textId="38548D05" w:rsidR="00267461" w:rsidRPr="0026216A" w:rsidRDefault="00267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D5096">
                              <w:t xml:space="preserve">Figure 1: </w:t>
                            </w:r>
                            <w:r w:rsidRPr="00ED5096">
                              <w:rPr>
                                <w:color w:val="1A1A1A"/>
                                <w:spacing w:val="-6"/>
                                <w:shd w:val="clear" w:color="auto" w:fill="FFFFFF"/>
                              </w:rPr>
                              <w:t xml:space="preserve">Loutrophoros (Container for Bath Water) (Image from </w:t>
                            </w:r>
                            <w:r w:rsidRPr="00ED5096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(The Art Institute of Chicago, </w:t>
                            </w:r>
                            <w:r w:rsidRPr="0026216A"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  <w:shd w:val="clear" w:color="auto" w:fill="FFFFFF"/>
                              </w:rPr>
                              <w:t>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0D111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76.4pt;width:131.75pt;height:67.1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" strokecolor="white [3212]">
                <v:textbox>
                  <w:txbxContent>
                    <w:p w14:paraId="167052CC" w14:textId="38548D05" w:rsidR="00267461" w:rsidRPr="0026216A" w:rsidRDefault="00267461">
                      <w:pPr>
                        <w:rPr>
                          <w:sz w:val="20"/>
                          <w:szCs w:val="20"/>
                        </w:rPr>
                      </w:pPr>
                      <w:r w:rsidRPr="00ED5096">
                        <w:t xml:space="preserve">Figure 1: </w:t>
                      </w:r>
                      <w:r w:rsidRPr="00ED5096">
                        <w:rPr>
                          <w:color w:val="1A1A1A"/>
                          <w:spacing w:val="-6"/>
                          <w:shd w:val="clear" w:color="auto" w:fill="FFFFFF"/>
                        </w:rPr>
                        <w:t xml:space="preserve">Loutrophoros (Container for Bath Water) (Image from </w:t>
                      </w:r>
                      <w:r w:rsidRPr="00ED5096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(The Art Institute of Chicago, </w:t>
                      </w:r>
                      <w:r w:rsidRPr="0026216A"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  <w:shd w:val="clear" w:color="auto" w:fill="FFFFFF"/>
                        </w:rPr>
                        <w:t>2020)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C20AC" w:rsidRPr="00285018">
        <w:rPr>
          <w:rFonts w:asciiTheme="minorHAnsi" w:hAnsiTheme="minorHAnsi" w:cstheme="minorHAnsi"/>
          <w:noProof/>
          <w:color w:val="0D0D0D" w:themeColor="text1" w:themeTint="F2"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3A5AFB15" wp14:editId="611CC0CA">
            <wp:simplePos x="0" y="0"/>
            <wp:positionH relativeFrom="margin">
              <wp:align>left</wp:align>
            </wp:positionH>
            <wp:positionV relativeFrom="paragraph">
              <wp:posOffset>107950</wp:posOffset>
            </wp:positionV>
            <wp:extent cx="1653540" cy="3378200"/>
            <wp:effectExtent l="0" t="0" r="381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46" t="7565" r="25725" b="5032"/>
                    <a:stretch/>
                  </pic:blipFill>
                  <pic:spPr bwMode="auto">
                    <a:xfrm>
                      <a:off x="0" y="0"/>
                      <a:ext cx="1667472" cy="34060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2624" w:rsidRPr="00285018">
        <w:rPr>
          <w:rFonts w:asciiTheme="minorHAnsi" w:hAnsiTheme="minorHAnsi" w:cstheme="minorHAnsi"/>
          <w:color w:val="0D0D0D" w:themeColor="text1" w:themeTint="F2"/>
          <w:sz w:val="32"/>
          <w:szCs w:val="32"/>
        </w:rPr>
        <w:t xml:space="preserve">Excavated in </w:t>
      </w:r>
      <w:r w:rsidR="0039262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Apulia, Ital</w:t>
      </w:r>
      <w:r w:rsidR="0039262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y in 1999</w:t>
      </w:r>
      <w:r w:rsidR="004E721F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B.C the container is dated around 350-340 B.C</w:t>
      </w:r>
      <w:r w:rsidR="0039262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</w:t>
      </w:r>
      <w:r w:rsidR="002E47C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the</w:t>
      </w:r>
      <w:r w:rsidR="0039262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Art Institute of Chicago</w:t>
      </w:r>
      <w:r w:rsidR="00C9136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attributes the pottery to </w:t>
      </w:r>
      <w:r w:rsidR="00C9136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the Varrese Painter</w:t>
      </w:r>
      <w:r w:rsidR="00CF304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who’s works are dated “</w:t>
      </w:r>
      <w:r w:rsidR="00CF3044" w:rsidRPr="00285018">
        <w:rPr>
          <w:rFonts w:asciiTheme="minorHAnsi" w:hAnsiTheme="minorHAnsi" w:cstheme="minorHAnsi"/>
          <w:i/>
          <w:iCs/>
          <w:color w:val="0D0D0D" w:themeColor="text1" w:themeTint="F2"/>
          <w:spacing w:val="3"/>
          <w:sz w:val="32"/>
          <w:szCs w:val="32"/>
          <w:shd w:val="clear" w:color="auto" w:fill="FFFFFF"/>
        </w:rPr>
        <w:t>to the middle of the 4</w:t>
      </w:r>
      <w:r w:rsidR="00CF3044" w:rsidRPr="00285018">
        <w:rPr>
          <w:rFonts w:asciiTheme="minorHAnsi" w:hAnsiTheme="minorHAnsi" w:cstheme="minorHAnsi"/>
          <w:i/>
          <w:iCs/>
          <w:color w:val="0D0D0D" w:themeColor="text1" w:themeTint="F2"/>
          <w:spacing w:val="3"/>
          <w:sz w:val="32"/>
          <w:szCs w:val="32"/>
          <w:shd w:val="clear" w:color="auto" w:fill="FFFFFF"/>
          <w:vertAlign w:val="superscript"/>
        </w:rPr>
        <w:t>th</w:t>
      </w:r>
      <w:r w:rsidR="00CF3044" w:rsidRPr="00285018">
        <w:rPr>
          <w:rFonts w:asciiTheme="minorHAnsi" w:hAnsiTheme="minorHAnsi" w:cstheme="minorHAnsi"/>
          <w:i/>
          <w:iCs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century</w:t>
      </w:r>
      <w:r w:rsidR="00CF3044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”</w:t>
      </w:r>
      <w:r w:rsidR="00CF3044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 xml:space="preserve"> </w:t>
      </w:r>
      <w:r w:rsidR="00CF3044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(En.wikipedia.org, 2020)</w:t>
      </w:r>
      <w:r w:rsidR="00CF3044" w:rsidRPr="00285018">
        <w:rPr>
          <w:rFonts w:asciiTheme="minorHAnsi" w:hAnsiTheme="minorHAnsi" w:cstheme="minorHAnsi"/>
          <w:color w:val="0D0D0D" w:themeColor="text1" w:themeTint="F2"/>
          <w:sz w:val="32"/>
          <w:szCs w:val="32"/>
        </w:rPr>
        <w:t xml:space="preserve">. </w:t>
      </w:r>
      <w:r w:rsidR="00562B0C" w:rsidRPr="00285018">
        <w:rPr>
          <w:rFonts w:asciiTheme="minorHAnsi" w:hAnsiTheme="minorHAnsi" w:cstheme="minorHAnsi"/>
          <w:color w:val="0D0D0D" w:themeColor="text1" w:themeTint="F2"/>
          <w:sz w:val="32"/>
          <w:szCs w:val="32"/>
        </w:rPr>
        <w:t>The Loutrophoros purpose was to</w:t>
      </w:r>
      <w:r w:rsidR="00562B0C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 </w:t>
      </w:r>
      <w:r w:rsidR="00562B0C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>“</w:t>
      </w:r>
      <w:r w:rsidR="00562B0C" w:rsidRPr="00285018">
        <w:rPr>
          <w:rFonts w:asciiTheme="minorHAnsi" w:hAnsiTheme="minorHAnsi" w:cstheme="minorHAnsi"/>
          <w:i/>
          <w:iCs/>
          <w:color w:val="0D0D0D" w:themeColor="text1" w:themeTint="F2"/>
          <w:spacing w:val="3"/>
          <w:sz w:val="32"/>
          <w:szCs w:val="32"/>
          <w:shd w:val="clear" w:color="auto" w:fill="FFFFFF"/>
        </w:rPr>
        <w:t>hold water for ritual bathing before marriage</w:t>
      </w:r>
      <w:r w:rsidR="00562B0C" w:rsidRPr="00285018">
        <w:rPr>
          <w:rFonts w:asciiTheme="minorHAnsi" w:hAnsiTheme="minorHAnsi" w:cstheme="minorHAnsi"/>
          <w:color w:val="0D0D0D" w:themeColor="text1" w:themeTint="F2"/>
          <w:spacing w:val="3"/>
          <w:sz w:val="32"/>
          <w:szCs w:val="32"/>
          <w:shd w:val="clear" w:color="auto" w:fill="FFFFFF"/>
        </w:rPr>
        <w:t xml:space="preserve">” </w:t>
      </w:r>
      <w:r w:rsidR="00562B0C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(The Art Institute of Chicago, 2020)</w:t>
      </w:r>
      <w:r w:rsidR="00562B0C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. This particular ritual was particularly common</w:t>
      </w:r>
      <w:r w:rsidR="00116324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, and was carried out with water from a certain source “</w:t>
      </w:r>
      <w:r w:rsidR="00116324" w:rsidRPr="00285018">
        <w:rPr>
          <w:rFonts w:asciiTheme="minorHAnsi" w:hAnsiTheme="minorHAnsi" w:cstheme="minorHAnsi"/>
          <w:i/>
          <w:iCs/>
          <w:color w:val="0D0D0D" w:themeColor="text1" w:themeTint="F2"/>
          <w:sz w:val="32"/>
          <w:szCs w:val="32"/>
          <w:shd w:val="clear" w:color="auto" w:fill="FFFFFF"/>
        </w:rPr>
        <w:t xml:space="preserve">In a particular type of vessel”. </w:t>
      </w:r>
      <w:r w:rsidR="00116324" w:rsidRPr="00285018">
        <w:rPr>
          <w:rFonts w:asciiTheme="minorHAnsi" w:hAnsiTheme="minorHAnsi" w:cstheme="minorHAnsi"/>
          <w:i/>
          <w:iCs/>
          <w:color w:val="0D0D0D" w:themeColor="text1" w:themeTint="F2"/>
          <w:sz w:val="32"/>
          <w:szCs w:val="32"/>
          <w:shd w:val="clear" w:color="auto" w:fill="FFFFFF"/>
        </w:rPr>
        <w:t>(Blundell and Williamson, 1998)</w:t>
      </w:r>
      <w:r w:rsidR="00E703F5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 xml:space="preserve">.  However ritual bathing using similar vases were also just as common, as women after giving birth were also bathed this way as well as the child </w:t>
      </w:r>
      <w:r w:rsidR="00A074F3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“</w:t>
      </w:r>
      <w:r w:rsidR="00A074F3" w:rsidRPr="00285018">
        <w:rPr>
          <w:rFonts w:asciiTheme="minorHAnsi" w:hAnsiTheme="minorHAnsi" w:cstheme="minorHAnsi"/>
          <w:i/>
          <w:iCs/>
          <w:color w:val="0D0D0D" w:themeColor="text1" w:themeTint="F2"/>
          <w:sz w:val="32"/>
          <w:szCs w:val="32"/>
          <w:shd w:val="clear" w:color="auto" w:fill="FFFFFF"/>
        </w:rPr>
        <w:t>to cleanse them of the defilement of the birth process</w:t>
      </w:r>
      <w:r w:rsidR="00A074F3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”.</w:t>
      </w:r>
      <w:r w:rsidR="00A074F3" w:rsidRPr="00285018">
        <w:rPr>
          <w:rFonts w:asciiTheme="minorHAnsi" w:hAnsiTheme="minorHAnsi" w:cstheme="minorHAnsi"/>
          <w:color w:val="0D0D0D" w:themeColor="text1" w:themeTint="F2"/>
          <w:sz w:val="32"/>
          <w:szCs w:val="32"/>
          <w:shd w:val="clear" w:color="auto" w:fill="FFFFFF"/>
        </w:rPr>
        <w:t>(Blundell, 1995)</w:t>
      </w:r>
    </w:p>
    <w:p w14:paraId="263A2F29" w14:textId="749B3F0E" w:rsidR="0048060B" w:rsidRPr="00285018" w:rsidRDefault="004D0547" w:rsidP="00285018">
      <w:pPr>
        <w:rPr>
          <w:color w:val="0D0D0D" w:themeColor="text1" w:themeTint="F2"/>
          <w:sz w:val="32"/>
          <w:szCs w:val="32"/>
        </w:rPr>
      </w:pPr>
      <w:r w:rsidRPr="00285018">
        <w:rPr>
          <w:color w:val="0D0D0D" w:themeColor="text1" w:themeTint="F2"/>
          <w:sz w:val="32"/>
          <w:szCs w:val="32"/>
        </w:rPr>
        <w:t>Another use for Loutrophoros, this one being less common was that they were placed outside of a house after young women had died so that</w:t>
      </w:r>
      <w:r w:rsidR="00ED5096" w:rsidRPr="00285018">
        <w:rPr>
          <w:color w:val="0D0D0D" w:themeColor="text1" w:themeTint="F2"/>
          <w:sz w:val="32"/>
          <w:szCs w:val="32"/>
        </w:rPr>
        <w:t xml:space="preserve"> </w:t>
      </w:r>
      <w:r w:rsidRPr="00285018">
        <w:rPr>
          <w:color w:val="0D0D0D" w:themeColor="text1" w:themeTint="F2"/>
          <w:sz w:val="32"/>
          <w:szCs w:val="32"/>
        </w:rPr>
        <w:t>“</w:t>
      </w:r>
      <w:r w:rsidRPr="00285018">
        <w:rPr>
          <w:i/>
          <w:iCs/>
          <w:color w:val="0D0D0D" w:themeColor="text1" w:themeTint="F2"/>
          <w:sz w:val="32"/>
          <w:szCs w:val="32"/>
        </w:rPr>
        <w:t>Visitors</w:t>
      </w:r>
      <w:r w:rsidR="00ED5096" w:rsidRPr="00285018">
        <w:rPr>
          <w:i/>
          <w:iCs/>
          <w:color w:val="0D0D0D" w:themeColor="text1" w:themeTint="F2"/>
          <w:sz w:val="32"/>
          <w:szCs w:val="32"/>
        </w:rPr>
        <w:t xml:space="preserve"> </w:t>
      </w:r>
      <w:r w:rsidRPr="00285018">
        <w:rPr>
          <w:i/>
          <w:iCs/>
          <w:color w:val="0D0D0D" w:themeColor="text1" w:themeTint="F2"/>
          <w:sz w:val="32"/>
          <w:szCs w:val="32"/>
        </w:rPr>
        <w:t>could purify</w:t>
      </w:r>
      <w:r w:rsidR="00ED5096" w:rsidRPr="00285018">
        <w:rPr>
          <w:i/>
          <w:iCs/>
          <w:color w:val="0D0D0D" w:themeColor="text1" w:themeTint="F2"/>
          <w:sz w:val="32"/>
          <w:szCs w:val="32"/>
        </w:rPr>
        <w:t xml:space="preserve"> </w:t>
      </w:r>
      <w:r w:rsidRPr="00285018">
        <w:rPr>
          <w:i/>
          <w:iCs/>
          <w:color w:val="0D0D0D" w:themeColor="text1" w:themeTint="F2"/>
          <w:sz w:val="32"/>
          <w:szCs w:val="32"/>
        </w:rPr>
        <w:t>themselves</w:t>
      </w:r>
      <w:r w:rsidRPr="00285018">
        <w:rPr>
          <w:color w:val="0D0D0D" w:themeColor="text1" w:themeTint="F2"/>
          <w:sz w:val="32"/>
          <w:szCs w:val="32"/>
        </w:rPr>
        <w:t>”</w:t>
      </w:r>
      <w:r w:rsidR="00903CE4" w:rsidRPr="00285018">
        <w:rPr>
          <w:color w:val="0D0D0D" w:themeColor="text1" w:themeTint="F2"/>
          <w:sz w:val="32"/>
          <w:szCs w:val="32"/>
        </w:rPr>
        <w:t xml:space="preserve"> (</w:t>
      </w:r>
      <w:r w:rsidR="00903CE4" w:rsidRPr="00285018">
        <w:rPr>
          <w:color w:val="0D0D0D" w:themeColor="text1" w:themeTint="F2"/>
          <w:sz w:val="32"/>
          <w:szCs w:val="32"/>
        </w:rPr>
        <w:t>Blundell,S.(1995</w:t>
      </w:r>
      <w:r w:rsidR="00903CE4" w:rsidRPr="00285018">
        <w:rPr>
          <w:color w:val="0D0D0D" w:themeColor="text1" w:themeTint="F2"/>
          <w:sz w:val="32"/>
          <w:szCs w:val="32"/>
        </w:rPr>
        <w:t>),</w:t>
      </w:r>
      <w:r w:rsidR="00903CE4" w:rsidRPr="00285018">
        <w:rPr>
          <w:rStyle w:val="word"/>
          <w:rFonts w:cstheme="minorHAnsi"/>
          <w:color w:val="0D0D0D" w:themeColor="text1" w:themeTint="F2"/>
          <w:sz w:val="32"/>
          <w:szCs w:val="32"/>
          <w:shd w:val="clear" w:color="auto" w:fill="FFFFFF"/>
        </w:rPr>
        <w:t>These vases were also placed in unwed girls ' tombs to mark their union with Hades</w:t>
      </w:r>
      <w:r w:rsidR="000C20AC" w:rsidRPr="00285018">
        <w:rPr>
          <w:rStyle w:val="word"/>
          <w:rFonts w:cstheme="minorHAnsi"/>
          <w:color w:val="0D0D0D" w:themeColor="text1" w:themeTint="F2"/>
          <w:sz w:val="32"/>
          <w:szCs w:val="32"/>
          <w:shd w:val="clear" w:color="auto" w:fill="FFFFFF"/>
        </w:rPr>
        <w:t xml:space="preserve">. </w:t>
      </w:r>
      <w:r w:rsidR="000C20AC" w:rsidRPr="00285018">
        <w:rPr>
          <w:color w:val="0D0D0D" w:themeColor="text1" w:themeTint="F2"/>
          <w:sz w:val="32"/>
          <w:szCs w:val="32"/>
          <w:shd w:val="clear" w:color="auto" w:fill="FFFFFF"/>
        </w:rPr>
        <w:t>This however supports this container as the Varrese painter often used larger pottery when “</w:t>
      </w:r>
      <w:r w:rsidR="000C20AC" w:rsidRPr="00285018">
        <w:rPr>
          <w:i/>
          <w:iCs/>
          <w:color w:val="0D0D0D" w:themeColor="text1" w:themeTint="F2"/>
          <w:sz w:val="32"/>
          <w:szCs w:val="32"/>
          <w:shd w:val="clear" w:color="auto" w:fill="FFFFFF"/>
        </w:rPr>
        <w:t xml:space="preserve">depicting funerary </w:t>
      </w:r>
      <w:r w:rsidR="000C20AC" w:rsidRPr="00285018">
        <w:rPr>
          <w:i/>
          <w:iCs/>
          <w:color w:val="0D0D0D" w:themeColor="text1" w:themeTint="F2"/>
          <w:sz w:val="32"/>
          <w:szCs w:val="32"/>
          <w:shd w:val="clear" w:color="auto" w:fill="FFFFFF"/>
        </w:rPr>
        <w:t>naiskos</w:t>
      </w:r>
      <w:r w:rsidR="000C20AC" w:rsidRPr="00285018">
        <w:rPr>
          <w:color w:val="0D0D0D" w:themeColor="text1" w:themeTint="F2"/>
          <w:sz w:val="32"/>
          <w:szCs w:val="32"/>
          <w:shd w:val="clear" w:color="auto" w:fill="FFFFFF"/>
        </w:rPr>
        <w:t>”</w:t>
      </w:r>
      <w:r w:rsidR="000968C2" w:rsidRPr="00285018">
        <w:rPr>
          <w:color w:val="0D0D0D" w:themeColor="text1" w:themeTint="F2"/>
          <w:sz w:val="32"/>
          <w:szCs w:val="32"/>
          <w:shd w:val="clear" w:color="auto" w:fill="FFFFFF"/>
        </w:rPr>
        <w:t xml:space="preserve"> </w:t>
      </w:r>
      <w:r w:rsidR="000968C2" w:rsidRPr="00285018">
        <w:rPr>
          <w:color w:val="0D0D0D" w:themeColor="text1" w:themeTint="F2"/>
          <w:sz w:val="32"/>
          <w:szCs w:val="32"/>
          <w:shd w:val="clear" w:color="auto" w:fill="FFFFFF"/>
        </w:rPr>
        <w:t>(En.wikipedia.org, 2020)</w:t>
      </w:r>
      <w:r w:rsidR="004E721F" w:rsidRPr="00285018">
        <w:rPr>
          <w:color w:val="0D0D0D" w:themeColor="text1" w:themeTint="F2"/>
          <w:sz w:val="32"/>
          <w:szCs w:val="32"/>
          <w:shd w:val="clear" w:color="auto" w:fill="FFFFFF"/>
        </w:rPr>
        <w:t xml:space="preserve"> and the pottery does stand at roughly 2 foot</w:t>
      </w:r>
      <w:r w:rsidR="000968C2" w:rsidRPr="00285018">
        <w:rPr>
          <w:color w:val="0D0D0D" w:themeColor="text1" w:themeTint="F2"/>
          <w:sz w:val="32"/>
          <w:szCs w:val="32"/>
        </w:rPr>
        <w:t xml:space="preserve">. </w:t>
      </w:r>
      <w:r w:rsidR="0095775A" w:rsidRPr="00285018">
        <w:rPr>
          <w:color w:val="0D0D0D" w:themeColor="text1" w:themeTint="F2"/>
          <w:sz w:val="32"/>
          <w:szCs w:val="32"/>
        </w:rPr>
        <w:t xml:space="preserve"> In </w:t>
      </w:r>
      <w:r w:rsidR="0082405F" w:rsidRPr="00285018">
        <w:rPr>
          <w:color w:val="0D0D0D" w:themeColor="text1" w:themeTint="F2"/>
          <w:sz w:val="32"/>
          <w:szCs w:val="32"/>
        </w:rPr>
        <w:t>addition,</w:t>
      </w:r>
      <w:r w:rsidR="0095775A" w:rsidRPr="00285018">
        <w:rPr>
          <w:color w:val="0D0D0D" w:themeColor="text1" w:themeTint="F2"/>
          <w:sz w:val="32"/>
          <w:szCs w:val="32"/>
        </w:rPr>
        <w:t xml:space="preserve"> when </w:t>
      </w:r>
      <w:r w:rsidR="0082405F" w:rsidRPr="00285018">
        <w:rPr>
          <w:color w:val="0D0D0D" w:themeColor="text1" w:themeTint="F2"/>
          <w:sz w:val="32"/>
          <w:szCs w:val="32"/>
        </w:rPr>
        <w:t xml:space="preserve">looking at the figures painted on the container </w:t>
      </w:r>
      <w:r w:rsidR="004E721F" w:rsidRPr="00285018">
        <w:rPr>
          <w:color w:val="0D0D0D" w:themeColor="text1" w:themeTint="F2"/>
          <w:sz w:val="32"/>
          <w:szCs w:val="32"/>
        </w:rPr>
        <w:t xml:space="preserve">are </w:t>
      </w:r>
      <w:r w:rsidR="004E721F" w:rsidRPr="00285018">
        <w:rPr>
          <w:color w:val="0D0D0D" w:themeColor="text1" w:themeTint="F2"/>
          <w:spacing w:val="3"/>
          <w:sz w:val="32"/>
          <w:szCs w:val="32"/>
          <w:shd w:val="clear" w:color="auto" w:fill="FFFFFF"/>
        </w:rPr>
        <w:t>women both</w:t>
      </w:r>
      <w:r w:rsidR="004E721F" w:rsidRPr="00285018">
        <w:rPr>
          <w:color w:val="0D0D0D" w:themeColor="text1" w:themeTint="F2"/>
          <w:sz w:val="32"/>
          <w:szCs w:val="32"/>
        </w:rPr>
        <w:t xml:space="preserve"> standing and sitting bearing gifts and </w:t>
      </w:r>
      <w:r w:rsidR="00285018" w:rsidRPr="00285018">
        <w:rPr>
          <w:color w:val="0D0D0D" w:themeColor="text1" w:themeTint="F2"/>
          <w:sz w:val="32"/>
          <w:szCs w:val="32"/>
        </w:rPr>
        <w:t>offerings.</w:t>
      </w:r>
      <w:r w:rsidR="00285018" w:rsidRPr="00285018">
        <w:rPr>
          <w:rFonts w:cstheme="minorHAnsi"/>
          <w:color w:val="000000" w:themeColor="text1"/>
          <w:sz w:val="32"/>
          <w:szCs w:val="32"/>
        </w:rPr>
        <w:t xml:space="preserve"> As</w:t>
      </w:r>
      <w:r w:rsidR="0048060B" w:rsidRPr="00285018">
        <w:rPr>
          <w:rFonts w:cstheme="minorHAnsi"/>
          <w:color w:val="000000" w:themeColor="text1"/>
          <w:sz w:val="32"/>
          <w:szCs w:val="32"/>
        </w:rPr>
        <w:t xml:space="preserve"> with many other pottery pieces produced in this period and region </w:t>
      </w:r>
      <w:r w:rsidR="0048060B" w:rsidRPr="00285018">
        <w:rPr>
          <w:rFonts w:cstheme="minorHAnsi"/>
          <w:color w:val="222222"/>
          <w:sz w:val="32"/>
          <w:szCs w:val="32"/>
          <w:shd w:val="clear" w:color="auto" w:fill="FFFFFF"/>
        </w:rPr>
        <w:t>the</w:t>
      </w:r>
      <w:r w:rsidR="0048060B" w:rsidRPr="00285018">
        <w:rPr>
          <w:rFonts w:cstheme="minorHAnsi"/>
          <w:color w:val="222222"/>
          <w:sz w:val="32"/>
          <w:szCs w:val="32"/>
          <w:shd w:val="clear" w:color="auto" w:fill="FFFFFF"/>
        </w:rPr>
        <w:t xml:space="preserve"> two</w:t>
      </w:r>
      <w:r w:rsidR="0048060B" w:rsidRPr="00285018">
        <w:rPr>
          <w:rFonts w:cstheme="minorHAnsi"/>
          <w:color w:val="222222"/>
          <w:sz w:val="32"/>
          <w:szCs w:val="32"/>
          <w:shd w:val="clear" w:color="auto" w:fill="FFFFFF"/>
        </w:rPr>
        <w:t xml:space="preserve"> distinctive</w:t>
      </w:r>
      <w:r w:rsidR="0048060B" w:rsidRPr="00285018">
        <w:rPr>
          <w:rFonts w:cstheme="minorHAnsi"/>
          <w:color w:val="222222"/>
          <w:sz w:val="32"/>
          <w:szCs w:val="32"/>
          <w:shd w:val="clear" w:color="auto" w:fill="FFFFFF"/>
        </w:rPr>
        <w:t xml:space="preserve"> styles were </w:t>
      </w:r>
      <w:r w:rsidR="0048060B" w:rsidRPr="00285018">
        <w:rPr>
          <w:rFonts w:cstheme="minorHAnsi"/>
          <w:color w:val="0D0D0D" w:themeColor="text1" w:themeTint="F2"/>
          <w:sz w:val="32"/>
          <w:szCs w:val="32"/>
          <w:shd w:val="clear" w:color="auto" w:fill="FFFFFF"/>
        </w:rPr>
        <w:t xml:space="preserve">the </w:t>
      </w:r>
      <w:r w:rsidR="0048060B" w:rsidRPr="00285018">
        <w:rPr>
          <w:rFonts w:cstheme="minorHAnsi"/>
          <w:color w:val="0D0D0D" w:themeColor="text1" w:themeTint="F2"/>
          <w:sz w:val="32"/>
          <w:szCs w:val="32"/>
          <w:shd w:val="clear" w:color="auto" w:fill="FFFFFF"/>
        </w:rPr>
        <w:t>"</w:t>
      </w:r>
      <w:r w:rsidR="0048060B" w:rsidRPr="00285018">
        <w:rPr>
          <w:rFonts w:cstheme="minorHAnsi"/>
          <w:i/>
          <w:iCs/>
          <w:color w:val="0D0D0D" w:themeColor="text1" w:themeTint="F2"/>
          <w:sz w:val="32"/>
          <w:szCs w:val="32"/>
          <w:shd w:val="clear" w:color="auto" w:fill="FFFFFF"/>
        </w:rPr>
        <w:t>ornate style" and "plain style</w:t>
      </w:r>
      <w:r w:rsidR="0048060B" w:rsidRPr="00285018">
        <w:rPr>
          <w:rFonts w:cstheme="minorHAnsi"/>
          <w:color w:val="0D0D0D" w:themeColor="text1" w:themeTint="F2"/>
          <w:sz w:val="32"/>
          <w:szCs w:val="32"/>
          <w:shd w:val="clear" w:color="auto" w:fill="FFFFFF"/>
        </w:rPr>
        <w:t>" (Wikipedia Contributors, 2019)</w:t>
      </w:r>
      <w:r w:rsidR="0048060B" w:rsidRPr="00285018">
        <w:rPr>
          <w:rFonts w:cstheme="minorHAnsi"/>
          <w:color w:val="0D0D0D" w:themeColor="text1" w:themeTint="F2"/>
          <w:sz w:val="32"/>
          <w:szCs w:val="32"/>
          <w:shd w:val="clear" w:color="auto" w:fill="FFFFFF"/>
        </w:rPr>
        <w:t xml:space="preserve">. This piece would be considered ornate style with the size and </w:t>
      </w:r>
      <w:r w:rsidR="00285018" w:rsidRPr="00285018">
        <w:rPr>
          <w:rFonts w:cstheme="minorHAnsi"/>
          <w:color w:val="0D0D0D" w:themeColor="text1" w:themeTint="F2"/>
          <w:sz w:val="32"/>
          <w:szCs w:val="32"/>
          <w:shd w:val="clear" w:color="auto" w:fill="FFFFFF"/>
        </w:rPr>
        <w:t>elaborate handles</w:t>
      </w:r>
      <w:r w:rsidR="00285018">
        <w:rPr>
          <w:rFonts w:cstheme="minorHAnsi"/>
          <w:color w:val="0D0D0D" w:themeColor="text1" w:themeTint="F2"/>
          <w:sz w:val="33"/>
          <w:szCs w:val="33"/>
          <w:shd w:val="clear" w:color="auto" w:fill="FFFFFF"/>
        </w:rPr>
        <w:t>.</w:t>
      </w:r>
    </w:p>
    <w:p w14:paraId="7596CD4D" w14:textId="77777777" w:rsidR="0048060B" w:rsidRPr="0048060B" w:rsidRDefault="0048060B" w:rsidP="0048060B">
      <w:pPr>
        <w:pStyle w:val="Title"/>
        <w:jc w:val="both"/>
        <w:rPr>
          <w:rFonts w:asciiTheme="minorHAnsi" w:hAnsiTheme="minorHAnsi" w:cstheme="minorHAnsi"/>
          <w:color w:val="000000" w:themeColor="text1"/>
          <w:sz w:val="32"/>
          <w:szCs w:val="32"/>
        </w:rPr>
      </w:pPr>
    </w:p>
    <w:p w14:paraId="04A20EF9" w14:textId="04A97FC1" w:rsidR="004C1D83" w:rsidRPr="0048060B" w:rsidRDefault="004E721F" w:rsidP="0048060B">
      <w:pPr>
        <w:pStyle w:val="Title"/>
        <w:jc w:val="both"/>
        <w:rPr>
          <w:rFonts w:asciiTheme="minorHAnsi" w:hAnsiTheme="minorHAnsi" w:cstheme="minorHAnsi"/>
          <w:color w:val="000000" w:themeColor="text1"/>
          <w:sz w:val="32"/>
          <w:szCs w:val="32"/>
        </w:rPr>
      </w:pPr>
      <w:r w:rsidRPr="004E721F">
        <w:rPr>
          <w:rFonts w:asciiTheme="minorHAnsi" w:hAnsiTheme="minorHAnsi" w:cstheme="minorHAnsi"/>
          <w:color w:val="000000" w:themeColor="text1"/>
          <w:sz w:val="32"/>
          <w:szCs w:val="32"/>
        </w:rPr>
        <w:t xml:space="preserve"> </w:t>
      </w:r>
      <w:r w:rsidR="004E5475" w:rsidRPr="004E5475">
        <w:rPr>
          <w:rFonts w:asciiTheme="minorHAnsi" w:hAnsiTheme="minorHAnsi" w:cstheme="minorHAnsi"/>
          <w:u w:val="single"/>
        </w:rPr>
        <w:t xml:space="preserve">Bibliography </w:t>
      </w:r>
    </w:p>
    <w:p w14:paraId="04E030CC" w14:textId="651F6BB9" w:rsidR="006B5E0D" w:rsidRDefault="006B5E0D" w:rsidP="006B5E0D">
      <w:pPr>
        <w:rPr>
          <w:rFonts w:cstheme="minorHAnsi"/>
          <w:sz w:val="32"/>
          <w:szCs w:val="32"/>
        </w:rPr>
      </w:pPr>
    </w:p>
    <w:p w14:paraId="01748F1F" w14:textId="75B0453B" w:rsidR="00267461" w:rsidRPr="00CF3044" w:rsidRDefault="00267461" w:rsidP="006B5E0D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CF3044">
        <w:rPr>
          <w:rFonts w:cstheme="minorHAnsi"/>
          <w:color w:val="000000"/>
          <w:sz w:val="28"/>
          <w:szCs w:val="28"/>
          <w:shd w:val="clear" w:color="auto" w:fill="FFFFFF"/>
        </w:rPr>
        <w:t>The Art Institute of Chicago. (2020). </w:t>
      </w:r>
      <w:r w:rsidRPr="00CF3044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Loutrophoros (Container for Bath Water) | The Art Institute of Chicago</w:t>
      </w:r>
      <w:r w:rsidRPr="00CF3044">
        <w:rPr>
          <w:rFonts w:cstheme="minorHAnsi"/>
          <w:color w:val="000000"/>
          <w:sz w:val="28"/>
          <w:szCs w:val="28"/>
          <w:shd w:val="clear" w:color="auto" w:fill="FFFFFF"/>
        </w:rPr>
        <w:t>. [online] Available at: https://www.artic.edu/artworks/102080/loutrophoros-container-for-bath-water [Accessed 2 Feb. 2020].</w:t>
      </w:r>
    </w:p>
    <w:p w14:paraId="065CEDBC" w14:textId="1F08ED0B" w:rsidR="00CF3044" w:rsidRPr="00116324" w:rsidRDefault="00CF3044" w:rsidP="00CF3044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116324">
        <w:rPr>
          <w:rFonts w:cstheme="minorHAnsi"/>
          <w:color w:val="000000"/>
          <w:sz w:val="28"/>
          <w:szCs w:val="28"/>
          <w:shd w:val="clear" w:color="auto" w:fill="FFFFFF"/>
        </w:rPr>
        <w:t>En.wikipedia.org. (2020). </w:t>
      </w:r>
      <w:r w:rsidRPr="00116324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Varrese Painter</w:t>
      </w:r>
      <w:r w:rsidRPr="00116324">
        <w:rPr>
          <w:rFonts w:cstheme="minorHAnsi"/>
          <w:color w:val="000000"/>
          <w:sz w:val="28"/>
          <w:szCs w:val="28"/>
          <w:shd w:val="clear" w:color="auto" w:fill="FFFFFF"/>
        </w:rPr>
        <w:t>. [online] Available at: https://en.wikipedia.org/wiki/Varrese_Painter [Accessed 2 Feb. 2020].</w:t>
      </w:r>
    </w:p>
    <w:p w14:paraId="5B6ACEEF" w14:textId="7E5FCE3C" w:rsidR="00116324" w:rsidRPr="00A074F3" w:rsidRDefault="00116324" w:rsidP="0011632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A074F3">
        <w:rPr>
          <w:rFonts w:asciiTheme="minorHAnsi" w:hAnsiTheme="minorHAnsi" w:cstheme="minorHAnsi"/>
          <w:color w:val="000000"/>
          <w:sz w:val="28"/>
          <w:szCs w:val="28"/>
        </w:rPr>
        <w:t>Blundell, S. and Williamson, M. (1998). </w:t>
      </w:r>
      <w:r w:rsidRPr="00A074F3">
        <w:rPr>
          <w:rFonts w:asciiTheme="minorHAnsi" w:hAnsiTheme="minorHAnsi" w:cstheme="minorHAnsi"/>
          <w:i/>
          <w:iCs/>
          <w:color w:val="000000"/>
          <w:sz w:val="28"/>
          <w:szCs w:val="28"/>
        </w:rPr>
        <w:t>The sacred and the feminine in ancient Greece</w:t>
      </w:r>
      <w:r w:rsidRPr="00A074F3">
        <w:rPr>
          <w:rFonts w:asciiTheme="minorHAnsi" w:hAnsiTheme="minorHAnsi" w:cstheme="minorHAnsi"/>
          <w:color w:val="000000"/>
          <w:sz w:val="28"/>
          <w:szCs w:val="28"/>
        </w:rPr>
        <w:t>. London ; New York: Routledge.</w:t>
      </w:r>
    </w:p>
    <w:p w14:paraId="4B27C799" w14:textId="77777777" w:rsidR="00A074F3" w:rsidRDefault="00A074F3" w:rsidP="00A074F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77E0445D" w14:textId="0D387D33" w:rsidR="00A074F3" w:rsidRPr="00A074F3" w:rsidRDefault="00A074F3" w:rsidP="00A074F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A074F3">
        <w:rPr>
          <w:rFonts w:asciiTheme="minorHAnsi" w:hAnsiTheme="minorHAnsi" w:cstheme="minorHAnsi"/>
          <w:color w:val="000000"/>
          <w:sz w:val="28"/>
          <w:szCs w:val="28"/>
        </w:rPr>
        <w:t>Blundell, S. (1995). </w:t>
      </w:r>
      <w:r w:rsidRPr="00A074F3">
        <w:rPr>
          <w:rFonts w:asciiTheme="minorHAnsi" w:hAnsiTheme="minorHAnsi" w:cstheme="minorHAnsi"/>
          <w:i/>
          <w:iCs/>
          <w:color w:val="000000"/>
          <w:sz w:val="28"/>
          <w:szCs w:val="28"/>
        </w:rPr>
        <w:t>Women in ancient Greece</w:t>
      </w:r>
      <w:r w:rsidRPr="00A074F3">
        <w:rPr>
          <w:rFonts w:asciiTheme="minorHAnsi" w:hAnsiTheme="minorHAnsi" w:cstheme="minorHAnsi"/>
          <w:color w:val="000000"/>
          <w:sz w:val="28"/>
          <w:szCs w:val="28"/>
        </w:rPr>
        <w:t>. Cambridge, Mass.: Harvard University Press.</w:t>
      </w:r>
    </w:p>
    <w:p w14:paraId="0A92B7D1" w14:textId="77777777" w:rsidR="00D95EB6" w:rsidRDefault="00A074F3" w:rsidP="00D95EB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A074F3">
        <w:rPr>
          <w:rFonts w:asciiTheme="minorHAnsi" w:hAnsiTheme="minorHAnsi" w:cstheme="minorHAnsi"/>
          <w:color w:val="000000"/>
          <w:sz w:val="28"/>
          <w:szCs w:val="28"/>
        </w:rPr>
        <w:t>‌</w:t>
      </w:r>
      <w:r w:rsidR="00D95EB6">
        <w:rPr>
          <w:rFonts w:ascii="Calibri" w:hAnsi="Calibri" w:cs="Calibri"/>
          <w:color w:val="000000"/>
          <w:sz w:val="27"/>
          <w:szCs w:val="27"/>
        </w:rPr>
        <w:t>Wikipedia Contributors (2019). </w:t>
      </w:r>
      <w:r w:rsidR="00D95EB6">
        <w:rPr>
          <w:rFonts w:ascii="Calibri" w:hAnsi="Calibri" w:cs="Calibri"/>
          <w:i/>
          <w:iCs/>
          <w:color w:val="000000"/>
          <w:sz w:val="27"/>
          <w:szCs w:val="27"/>
        </w:rPr>
        <w:t>Red-figure pottery</w:t>
      </w:r>
      <w:r w:rsidR="00D95EB6">
        <w:rPr>
          <w:rFonts w:ascii="Calibri" w:hAnsi="Calibri" w:cs="Calibri"/>
          <w:color w:val="000000"/>
          <w:sz w:val="27"/>
          <w:szCs w:val="27"/>
        </w:rPr>
        <w:t>. [online] Wikipedia. Available at: https://en.wikipedia.org/wiki/Red-figure_pottery#Southern_Italy [Accessed 2 Feb. 2020].</w:t>
      </w:r>
    </w:p>
    <w:p w14:paraId="39A28F3D" w14:textId="77777777" w:rsidR="00D95EB6" w:rsidRDefault="00D95EB6" w:rsidP="00D95EB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1AB9693" w14:textId="2C5DE77C" w:rsidR="00A074F3" w:rsidRPr="00A074F3" w:rsidRDefault="00A074F3" w:rsidP="00A074F3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bookmarkStart w:id="0" w:name="_GoBack"/>
      <w:bookmarkEnd w:id="0"/>
    </w:p>
    <w:p w14:paraId="2B917F8A" w14:textId="5EBC69BB" w:rsidR="00116324" w:rsidRDefault="00116324" w:rsidP="0011632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7DB8C49" w14:textId="77777777" w:rsidR="00CF3044" w:rsidRPr="00CF3044" w:rsidRDefault="00CF3044" w:rsidP="00CF3044">
      <w:pPr>
        <w:rPr>
          <w:rFonts w:cstheme="minorHAnsi"/>
          <w:sz w:val="28"/>
          <w:szCs w:val="28"/>
        </w:rPr>
      </w:pPr>
    </w:p>
    <w:sectPr w:rsidR="00CF3044" w:rsidRPr="00CF3044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427B07" w14:textId="77777777" w:rsidR="004C1D83" w:rsidRDefault="004C1D83" w:rsidP="004C1D83">
      <w:pPr>
        <w:spacing w:after="0" w:line="240" w:lineRule="auto"/>
      </w:pPr>
      <w:r>
        <w:separator/>
      </w:r>
    </w:p>
  </w:endnote>
  <w:endnote w:type="continuationSeparator" w:id="0">
    <w:p w14:paraId="785AAE82" w14:textId="77777777" w:rsidR="004C1D83" w:rsidRDefault="004C1D83" w:rsidP="004C1D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CAB941" w14:textId="77777777" w:rsidR="004C1D83" w:rsidRDefault="004C1D83" w:rsidP="004C1D83">
      <w:pPr>
        <w:spacing w:after="0" w:line="240" w:lineRule="auto"/>
      </w:pPr>
      <w:r>
        <w:separator/>
      </w:r>
    </w:p>
  </w:footnote>
  <w:footnote w:type="continuationSeparator" w:id="0">
    <w:p w14:paraId="154623B2" w14:textId="77777777" w:rsidR="004C1D83" w:rsidRDefault="004C1D83" w:rsidP="004C1D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CF666A" w14:textId="4EA1CBD4" w:rsidR="004C1D83" w:rsidRDefault="004C1D83">
    <w:pPr>
      <w:pStyle w:val="Header"/>
    </w:pPr>
    <w:r>
      <w:t>Emily Vaughan</w:t>
    </w:r>
  </w:p>
  <w:p w14:paraId="2F038B49" w14:textId="77777777" w:rsidR="004C1D83" w:rsidRDefault="004C1D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D83"/>
    <w:rsid w:val="000968C2"/>
    <w:rsid w:val="000C20AC"/>
    <w:rsid w:val="00116324"/>
    <w:rsid w:val="0026216A"/>
    <w:rsid w:val="00267461"/>
    <w:rsid w:val="00285018"/>
    <w:rsid w:val="002C2118"/>
    <w:rsid w:val="002E47C4"/>
    <w:rsid w:val="00311256"/>
    <w:rsid w:val="00392624"/>
    <w:rsid w:val="0045373E"/>
    <w:rsid w:val="0048060B"/>
    <w:rsid w:val="00480BA6"/>
    <w:rsid w:val="004C1D83"/>
    <w:rsid w:val="004D0547"/>
    <w:rsid w:val="004E5475"/>
    <w:rsid w:val="004E721F"/>
    <w:rsid w:val="00554AEA"/>
    <w:rsid w:val="00562B0C"/>
    <w:rsid w:val="006B5E0D"/>
    <w:rsid w:val="007F1B5F"/>
    <w:rsid w:val="0082405F"/>
    <w:rsid w:val="00893AF6"/>
    <w:rsid w:val="008B16B0"/>
    <w:rsid w:val="008F6E65"/>
    <w:rsid w:val="00903CE4"/>
    <w:rsid w:val="0095775A"/>
    <w:rsid w:val="00A074F3"/>
    <w:rsid w:val="00A171F6"/>
    <w:rsid w:val="00AB31BB"/>
    <w:rsid w:val="00C91364"/>
    <w:rsid w:val="00CF3044"/>
    <w:rsid w:val="00D95EB6"/>
    <w:rsid w:val="00E56581"/>
    <w:rsid w:val="00E703F5"/>
    <w:rsid w:val="00ED5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8B2F7"/>
  <w15:chartTrackingRefBased/>
  <w15:docId w15:val="{CCF60702-432B-446E-AA56-0E8900439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C1D8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C1D8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1D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C1D8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C1D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1D83"/>
  </w:style>
  <w:style w:type="paragraph" w:styleId="Footer">
    <w:name w:val="footer"/>
    <w:basedOn w:val="Normal"/>
    <w:link w:val="FooterChar"/>
    <w:uiPriority w:val="99"/>
    <w:unhideWhenUsed/>
    <w:rsid w:val="004C1D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1D83"/>
  </w:style>
  <w:style w:type="character" w:styleId="Emphasis">
    <w:name w:val="Emphasis"/>
    <w:basedOn w:val="DefaultParagraphFont"/>
    <w:uiPriority w:val="20"/>
    <w:qFormat/>
    <w:rsid w:val="00893AF6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1163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word">
    <w:name w:val="word"/>
    <w:basedOn w:val="DefaultParagraphFont"/>
    <w:rsid w:val="00903CE4"/>
  </w:style>
  <w:style w:type="character" w:styleId="Hyperlink">
    <w:name w:val="Hyperlink"/>
    <w:basedOn w:val="DefaultParagraphFont"/>
    <w:uiPriority w:val="99"/>
    <w:semiHidden/>
    <w:unhideWhenUsed/>
    <w:rsid w:val="000C20A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6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3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250</TotalTime>
  <Pages>2</Pages>
  <Words>357</Words>
  <Characters>2039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23</cp:revision>
  <dcterms:created xsi:type="dcterms:W3CDTF">2020-02-02T10:55:00Z</dcterms:created>
  <dcterms:modified xsi:type="dcterms:W3CDTF">2020-02-02T21:36:00Z</dcterms:modified>
</cp:coreProperties>
</file>