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C900B" w14:textId="4D70B4C3" w:rsidR="00B82919" w:rsidRDefault="00452673">
      <w:r>
        <w:t>Component 2 – Resit.</w:t>
      </w:r>
    </w:p>
    <w:p w14:paraId="0112B84B" w14:textId="18F0841A" w:rsidR="00AC46FD" w:rsidRDefault="00452673" w:rsidP="004445B0">
      <w:pPr>
        <w:jc w:val="center"/>
      </w:pPr>
      <w:r>
        <w:t>Critically assess the role that God plays in Berkeley’s philosophy.</w:t>
      </w:r>
    </w:p>
    <w:p w14:paraId="212509C1" w14:textId="3C98AE00" w:rsidR="00452673" w:rsidRDefault="00452673">
      <w:r>
        <w:t>George Berkeley (1685-1753) was an Irish philosopher who argued that reality consists only of minds and ideas, meaning there are no material substances.</w:t>
      </w:r>
      <w:r w:rsidR="003B34E9">
        <w:t xml:space="preserve"> Berkeley uses this to reach his claim that “to be is to be perceived”. Although through Berkeley’s writings such as “The Principles of Human Knowledge” in 1710, it is evident that God does play a crucial role, whether Berkeley does this directly or indirectly. Berkel</w:t>
      </w:r>
      <w:r w:rsidR="000A1DC5">
        <w:t>e</w:t>
      </w:r>
      <w:r w:rsidR="003B34E9">
        <w:t>y mentions that God is the ultimate cause of our sensory ideas, and he continues the existence of objects when they can or cannot be perceived by humans. Some critics argue that Berkeley’s system is overdependent on God and the divine nature, this raises questions such as can philosophy continue without theological explanations. These points will be developed further in this essay.</w:t>
      </w:r>
    </w:p>
    <w:p w14:paraId="6DEB32DB" w14:textId="7DA5C5A4" w:rsidR="004445B0" w:rsidRDefault="004445B0">
      <w:r>
        <w:t>Firstly, Berkeley begins in “The Principles of Human Knowledge” by stating that “various sensations or ideas that are imprinted on our senses cannot exist except in a mid that perceives them”</w:t>
      </w:r>
      <w:r>
        <w:rPr>
          <w:rStyle w:val="FootnoteReference"/>
        </w:rPr>
        <w:footnoteReference w:id="1"/>
      </w:r>
      <w:r>
        <w:t xml:space="preserve">. This highlights Berkeley’s central claim </w:t>
      </w:r>
      <w:r w:rsidR="00EF526D">
        <w:t>that ideas cannot exist independently in the mind “to exist is to be perceived”</w:t>
      </w:r>
      <w:r w:rsidR="00EF526D">
        <w:rPr>
          <w:rStyle w:val="FootnoteReference"/>
        </w:rPr>
        <w:footnoteReference w:id="2"/>
      </w:r>
      <w:r w:rsidR="00EF526D">
        <w:t>, so existence depends on being perceived, such as the redness of an apple to someone who sees it. However, this</w:t>
      </w:r>
      <w:r>
        <w:t xml:space="preserve"> creates problems for unperceived objects, which Berkeley indicates that God later can solve as ideas cannot cause other ideas, there </w:t>
      </w:r>
      <w:r w:rsidR="00EF526D">
        <w:t>must</w:t>
      </w:r>
      <w:r>
        <w:t xml:space="preserve"> be someone behind them, and for Berkeley, this would be the divine</w:t>
      </w:r>
      <w:r w:rsidR="00EF526D">
        <w:t xml:space="preserve"> as do things stop existing of no human is looking at them? Berkeley would argue that because God’s perception never stops, objects continue to exist even when humans cannot perceive or has stopped perceiving them.</w:t>
      </w:r>
    </w:p>
    <w:p w14:paraId="52E7BAA9" w14:textId="48CCAFB1" w:rsidR="00EF526D" w:rsidRDefault="00EF526D">
      <w:r>
        <w:t>Moreover, Berkeley further develops his argument because “ideas must have a cause – something they depend on”</w:t>
      </w:r>
      <w:r>
        <w:rPr>
          <w:rStyle w:val="FootnoteReference"/>
        </w:rPr>
        <w:footnoteReference w:id="3"/>
      </w:r>
      <w:r>
        <w:t>. Again this is an indication that ideas cannot create themselves, and this is the beginning of Berkeley’s argument for God causing sensory ideas, although it isn’t a direct indication, you can gather through the text later that God is this cause as the “author of nature displays his overruling power in producing some appearance that doesn’t fit his ordinary pattern of events”</w:t>
      </w:r>
      <w:r>
        <w:rPr>
          <w:rStyle w:val="FootnoteReference"/>
        </w:rPr>
        <w:footnoteReference w:id="4"/>
      </w:r>
      <w:r w:rsidR="001C4BA9">
        <w:t xml:space="preserve">. The author of nature here is a reference to God as he produces sensory experiences in regular and predicted </w:t>
      </w:r>
      <w:r w:rsidR="001C4BA9">
        <w:lastRenderedPageBreak/>
        <w:t>patterns, which is known as the laws of nature. An example of this is when we see fire we usually feel heat, and when we drop objects, they fall. This quote however suggests that God is not bound to these patterns, God can use his overruling power to create something that doesn’t fit into a pattern of events that is usual, meaning that he overrides the normal order of nature. This also highlights God’s role in Berkeley’s philosophy as God has ultimate control over reality, he isn’t limited by natural laws as they are an expression of his will, not independent forces.</w:t>
      </w:r>
    </w:p>
    <w:p w14:paraId="509372F7" w14:textId="7BC182D3" w:rsidR="00794FC3" w:rsidRPr="00794FC3" w:rsidRDefault="001C4BA9" w:rsidP="00794FC3">
      <w:r w:rsidRPr="00794FC3">
        <w:t xml:space="preserve">Although, some critics such as </w:t>
      </w:r>
      <w:r w:rsidR="004F7402" w:rsidRPr="00794FC3">
        <w:t>David Hume highlighted that God is unnecessary. In “A</w:t>
      </w:r>
      <w:r w:rsidR="00794FC3">
        <w:t>n</w:t>
      </w:r>
      <w:r w:rsidR="004F7402" w:rsidRPr="00794FC3">
        <w:t xml:space="preserve"> Enquiry Concerning Human Understanding” 1748, Hume </w:t>
      </w:r>
      <w:r w:rsidR="00794FC3" w:rsidRPr="00794FC3">
        <w:t xml:space="preserve">explains that </w:t>
      </w:r>
      <w:r w:rsidR="00794FC3">
        <w:t>“</w:t>
      </w:r>
      <w:r w:rsidR="00794FC3" w:rsidRPr="00794FC3">
        <w:t>if we allow that belief is</w:t>
      </w:r>
      <w:r w:rsidR="00794FC3">
        <w:t xml:space="preserve"> </w:t>
      </w:r>
      <w:r w:rsidR="00794FC3" w:rsidRPr="00794FC3">
        <w:t>nothing but a firmer and stronger conception of an object</w:t>
      </w:r>
      <w:r w:rsidR="00794FC3">
        <w:t xml:space="preserve"> </w:t>
      </w:r>
      <w:r w:rsidR="00794FC3" w:rsidRPr="00794FC3">
        <w:t>than what accompanies the mere fictions of the imagination</w:t>
      </w:r>
      <w:r w:rsidR="00794FC3">
        <w:t>”</w:t>
      </w:r>
      <w:r w:rsidR="00794FC3">
        <w:rPr>
          <w:rStyle w:val="FootnoteReference"/>
        </w:rPr>
        <w:footnoteReference w:id="5"/>
      </w:r>
      <w:r w:rsidR="00794FC3" w:rsidRPr="00794FC3">
        <w:t>.</w:t>
      </w:r>
      <w:r w:rsidR="00794FC3">
        <w:t xml:space="preserve"> Hume here is arguing that God is unnecessary because belief is not based on discovering metaphysical causes, but it should be based on how an idea feels in our mind. Belief never leads us, for Hume to a real cause, we are simply forming an expectation based on some sort of repeated experience. Hume believed that in Berkeley’s case, this was God.</w:t>
      </w:r>
    </w:p>
    <w:p w14:paraId="2A571D6C" w14:textId="784999AC" w:rsidR="001C4BA9" w:rsidRDefault="00F819EC">
      <w:r>
        <w:t>To counter argue Hume, Berkeley would respond that ideas cannot cause themselves, someone needs to create an idea first. Berkeley stated that ideas are passive, and there needs to be an active mind, God for example to produce these ideas. Berkeley explains that God is the perceiver “some truths are so close to the mind…open your eyes you will see them”</w:t>
      </w:r>
      <w:r>
        <w:rPr>
          <w:rStyle w:val="FootnoteReference"/>
        </w:rPr>
        <w:footnoteReference w:id="6"/>
      </w:r>
      <w:r>
        <w:t>. For Berkeley existence requires perception, and this is an indirect hint that God is the perceiver because this divine perception could be a way to sustain reality.</w:t>
      </w:r>
    </w:p>
    <w:p w14:paraId="24BBEA96" w14:textId="6FC6C35F" w:rsidR="00F819EC" w:rsidRDefault="00F819EC">
      <w:r>
        <w:t>Furthermore, philosopher</w:t>
      </w:r>
      <w:r w:rsidR="00367F4A">
        <w:t>s</w:t>
      </w:r>
      <w:r>
        <w:t xml:space="preserve"> such as Nicolas Melebranche (1638-1715) mentioned in Berkeley’s “The Principles of Human Knowledge” as Malebranche pushes the idea that “God alone is the immediate cause of everything”</w:t>
      </w:r>
      <w:r>
        <w:rPr>
          <w:rStyle w:val="FootnoteReference"/>
        </w:rPr>
        <w:footnoteReference w:id="7"/>
      </w:r>
      <w:r w:rsidR="00367F4A">
        <w:t>. For example, if you touch a hot stove, we think it causes the feeling of pain, but for Malebranche our hand touches the stove, this gives God time to act and then God is the one who produces this sensation of pain in our minds. Malebranche believed that because God is omnipotent (all powerful) then causal power must belong to God. Malebranche here aligns with the views of Berkeley that God is the producer of our sensory experiences and that natural laws are patterns in God’s activity.</w:t>
      </w:r>
    </w:p>
    <w:p w14:paraId="7D5CE0D4" w14:textId="61D76AF2" w:rsidR="00367F4A" w:rsidRDefault="00367F4A">
      <w:r w:rsidRPr="00666AD2">
        <w:lastRenderedPageBreak/>
        <w:t xml:space="preserve">Additionally, </w:t>
      </w:r>
      <w:r w:rsidR="00666AD2" w:rsidRPr="00666AD2">
        <w:t xml:space="preserve">Berkeley </w:t>
      </w:r>
      <w:r w:rsidR="00666AD2">
        <w:t xml:space="preserve">argues that sensory </w:t>
      </w:r>
      <w:proofErr w:type="gramStart"/>
      <w:r w:rsidR="00666AD2">
        <w:t>“</w:t>
      </w:r>
      <w:r w:rsidR="00666AD2" w:rsidRPr="00666AD2">
        <w:t xml:space="preserve"> ideas</w:t>
      </w:r>
      <w:proofErr w:type="gramEnd"/>
      <w:r w:rsidR="00666AD2">
        <w:t xml:space="preserve"> </w:t>
      </w:r>
      <w:r w:rsidR="00666AD2" w:rsidRPr="00666AD2">
        <w:t>must have a cause—something they</w:t>
      </w:r>
      <w:r w:rsidR="00666AD2">
        <w:t xml:space="preserve"> </w:t>
      </w:r>
      <w:r w:rsidR="00666AD2" w:rsidRPr="00666AD2">
        <w:t>depend on, something</w:t>
      </w:r>
      <w:r w:rsidR="00666AD2">
        <w:t xml:space="preserve"> </w:t>
      </w:r>
      <w:r w:rsidR="00666AD2" w:rsidRPr="00666AD2">
        <w:t>that produces and changes them</w:t>
      </w:r>
      <w:r w:rsidR="00666AD2">
        <w:t>”</w:t>
      </w:r>
      <w:r w:rsidR="00666AD2">
        <w:rPr>
          <w:rStyle w:val="FootnoteReference"/>
        </w:rPr>
        <w:footnoteReference w:id="8"/>
      </w:r>
      <w:r w:rsidR="00666AD2" w:rsidRPr="00666AD2">
        <w:t>.</w:t>
      </w:r>
      <w:r w:rsidR="00666AD2">
        <w:t xml:space="preserve"> Berkeley believed this cause couldn’t be a material object, and that they are produced by God. Berkeley’s argument here is trying to counteract scepticism because it explains where our perception comes from</w:t>
      </w:r>
      <w:r w:rsidR="002B355A">
        <w:t>, they are not random, but they are cause by this divine mind. It is through Berkeley’s grounding in God that he relies heavily on him for the role within his philosophy to defeat issues such as scepticism. This is further supported in section 32, through the “goodness and wisdom of God”</w:t>
      </w:r>
      <w:r w:rsidR="002B355A">
        <w:rPr>
          <w:rStyle w:val="FootnoteReference"/>
        </w:rPr>
        <w:footnoteReference w:id="9"/>
      </w:r>
      <w:r w:rsidR="002B355A">
        <w:t xml:space="preserve"> to explain that God is not deceiving us, this “goodness” is to argue that our perceptions can be trusted</w:t>
      </w:r>
      <w:r w:rsidR="00B94C15">
        <w:t xml:space="preserve"> as God is seen as perfectly good.</w:t>
      </w:r>
    </w:p>
    <w:p w14:paraId="168E2719" w14:textId="175A7133" w:rsidR="00CC4AF5" w:rsidRDefault="00367F4A">
      <w:r>
        <w:t>In continuation,</w:t>
      </w:r>
      <w:r w:rsidR="00CC4AF5">
        <w:t xml:space="preserve"> in “Three Dialogues between Hylas and </w:t>
      </w:r>
      <w:proofErr w:type="spellStart"/>
      <w:r w:rsidR="00CC4AF5">
        <w:t>Philonous</w:t>
      </w:r>
      <w:proofErr w:type="spellEnd"/>
      <w:r w:rsidR="00CC4AF5">
        <w:t>” scepticism gets brought up again – “I must give up my belief in matter if I am to avoid absurdity and scepticism”</w:t>
      </w:r>
      <w:r w:rsidR="00CC4AF5">
        <w:rPr>
          <w:rStyle w:val="FootnoteReference"/>
        </w:rPr>
        <w:footnoteReference w:id="10"/>
      </w:r>
      <w:r w:rsidR="002765C5">
        <w:t>. Berkeley here is explaining that once matter is rejected, we must explain where our ideas come from and what sustains the world, and it is here that God becomes central in the role of Berkeley’s philosophy, because without God we don’t have a guaranteed existence of the world because God is the perceiver and scepticism here gets prevented because the ideas we perceive come from the benevolent (loving) God.</w:t>
      </w:r>
    </w:p>
    <w:p w14:paraId="6C610194" w14:textId="76A30A93" w:rsidR="00367F4A" w:rsidRDefault="00CC4AF5">
      <w:r>
        <w:t xml:space="preserve">However, </w:t>
      </w:r>
      <w:r w:rsidR="00B94C15">
        <w:t>Berkeley tries to identify why God’s role is central to the order of the world – “the supreme agent’s regular constant methods of working have a great and obvious usefulness to us”</w:t>
      </w:r>
      <w:r w:rsidR="00B94C15">
        <w:rPr>
          <w:rStyle w:val="FootnoteReference"/>
        </w:rPr>
        <w:footnoteReference w:id="11"/>
      </w:r>
      <w:r w:rsidR="00B94C15">
        <w:t>. The supreme agent here refers to God, Berkeley throughout majority of his work here does this indirectly, but these indirect hints always link to God. The “regular constant methods of working” show that the predictable patterns of nature, which is what we call the laws of nature</w:t>
      </w:r>
      <w:r>
        <w:t>, such as food gives us nourishment or gravity means that objects fall if they are knocked off a table,</w:t>
      </w:r>
      <w:r w:rsidR="00B94C15">
        <w:t xml:space="preserve"> are always caused because of God. Berkeley shows here that this consistency of having a force behind ideas is useful for humans</w:t>
      </w:r>
      <w:r>
        <w:t xml:space="preserve"> as it gives us something to build foundations on.</w:t>
      </w:r>
    </w:p>
    <w:p w14:paraId="02A3191A" w14:textId="058C537E" w:rsidR="00710B20" w:rsidRDefault="0070682A">
      <w:r>
        <w:t xml:space="preserve">Moving on, </w:t>
      </w:r>
      <w:r w:rsidR="00B1336D">
        <w:t>John Locke heavily criticises Berkeley’s philosophy and his use of God</w:t>
      </w:r>
      <w:r w:rsidR="007F20E6">
        <w:t xml:space="preserve">. Locke believed in material substance, meaning objects only exist independently </w:t>
      </w:r>
      <w:r w:rsidR="00612CE3">
        <w:t>of</w:t>
      </w:r>
      <w:r w:rsidR="007F20E6">
        <w:t xml:space="preserve"> the </w:t>
      </w:r>
      <w:r w:rsidR="007F20E6">
        <w:lastRenderedPageBreak/>
        <w:t>mind and that we perceive ideas because of material things</w:t>
      </w:r>
      <w:r w:rsidR="00612CE3">
        <w:t>.</w:t>
      </w:r>
      <w:r w:rsidR="00DE3D1B">
        <w:t xml:space="preserve"> In “An Essay Concerning Human Understanding” Locke states “when does a man begin to have any </w:t>
      </w:r>
      <w:proofErr w:type="gramStart"/>
      <w:r w:rsidR="00DE3D1B">
        <w:t>ideas?...</w:t>
      </w:r>
      <w:proofErr w:type="gramEnd"/>
      <w:r w:rsidR="00DE3D1B">
        <w:t>when he first has some sensation”</w:t>
      </w:r>
      <w:r w:rsidR="00DE3D1B">
        <w:rPr>
          <w:rStyle w:val="FootnoteReference"/>
        </w:rPr>
        <w:footnoteReference w:id="12"/>
      </w:r>
      <w:r w:rsidR="008638D8">
        <w:t>. Locke here is arguing that all ideas come from experience a</w:t>
      </w:r>
      <w:r w:rsidR="00966D2A">
        <w:t>n</w:t>
      </w:r>
      <w:r w:rsidR="008638D8">
        <w:t>d not a divine being such as God</w:t>
      </w:r>
      <w:r w:rsidR="00966D2A">
        <w:t>, it shows that Berkley relies too heavily on God</w:t>
      </w:r>
      <w:r w:rsidR="00BB7AF6">
        <w:t>,</w:t>
      </w:r>
      <w:r w:rsidR="00966D2A">
        <w:t xml:space="preserve"> as individuals can create an idea from a thought in their head as the human mind is constantly ‘awake’ and thinking. Locke also argues here that the mind starts as a blank slate, there is no supernatural being behind it, and it is through our experiences that our minds </w:t>
      </w:r>
      <w:proofErr w:type="gramStart"/>
      <w:r w:rsidR="00966D2A">
        <w:t>starts</w:t>
      </w:r>
      <w:proofErr w:type="gramEnd"/>
      <w:r w:rsidR="00966D2A">
        <w:t xml:space="preserve"> to configure such ideas because sensation is the starting point of knowledge for Locke.</w:t>
      </w:r>
    </w:p>
    <w:p w14:paraId="2F57FD43" w14:textId="27AC64F4" w:rsidR="009223C8" w:rsidRDefault="009223C8">
      <w:r>
        <w:t>Although, Berkely would counter argue Locke’s position here,</w:t>
      </w:r>
      <w:r w:rsidR="00567DE0">
        <w:t xml:space="preserve"> Berkeley rejects that sensations are caused by a material substance or substances</w:t>
      </w:r>
      <w:r w:rsidR="00712CA6">
        <w:t xml:space="preserve"> as we never perceive </w:t>
      </w:r>
      <w:r w:rsidR="004210C0">
        <w:t>matter</w:t>
      </w:r>
      <w:r w:rsidR="00712CA6">
        <w:t>, we only perceive ideas</w:t>
      </w:r>
      <w:r w:rsidR="004210C0">
        <w:t>. This links back again to colour, shape and texture</w:t>
      </w:r>
      <w:r w:rsidR="00332B47">
        <w:t xml:space="preserve"> because there is never a material substance behind them.</w:t>
      </w:r>
      <w:r w:rsidR="00240B25">
        <w:t xml:space="preserve"> Locke could argue again by stating “that the mind is fitted to receive the impressions made of it”</w:t>
      </w:r>
      <w:r w:rsidR="005263EB">
        <w:rPr>
          <w:rStyle w:val="FootnoteReference"/>
        </w:rPr>
        <w:footnoteReference w:id="13"/>
      </w:r>
      <w:r w:rsidR="00A16AE6">
        <w:t>. Locke here holds a solid position as the mind can create things such as the imagination. Berkeley could be using God as imaginary to use him as a solution to the problems he has faced in his philosophy.</w:t>
      </w:r>
      <w:r w:rsidR="000F7D2D">
        <w:t xml:space="preserve"> This shows that’s God does has a hold a heavy reliance in Berkeley’s philosophy.</w:t>
      </w:r>
    </w:p>
    <w:p w14:paraId="55B057E3" w14:textId="1A384EA9" w:rsidR="000F7D2D" w:rsidRDefault="000F7D2D">
      <w:r>
        <w:t xml:space="preserve">Finally, </w:t>
      </w:r>
      <w:r w:rsidR="00905E8C">
        <w:t xml:space="preserve">Baruch Spinoza also criticises the role of God in Berkeley’s </w:t>
      </w:r>
      <w:r w:rsidR="00EF6EF2">
        <w:t>philosophy</w:t>
      </w:r>
      <w:r w:rsidR="00905E8C">
        <w:t xml:space="preserve">. </w:t>
      </w:r>
      <w:r w:rsidR="00A32FCC">
        <w:t xml:space="preserve">In “Ethics </w:t>
      </w:r>
      <w:r w:rsidR="00EF6EF2">
        <w:t>Demonstrated in Geometrical Order”</w:t>
      </w:r>
      <w:r w:rsidR="0078053D">
        <w:t xml:space="preserve"> Spinoza mentions “whatever exists in God, and nothing can exist or be conceived without God”</w:t>
      </w:r>
      <w:r w:rsidR="005E0A5F">
        <w:rPr>
          <w:rStyle w:val="FootnoteReference"/>
        </w:rPr>
        <w:footnoteReference w:id="14"/>
      </w:r>
      <w:r w:rsidR="001C4761">
        <w:t xml:space="preserve"> This is Spinoza’s core view, this means that God is nature itself, and everything follows from necessary laws, not divine choice. Spinoza challenges Berkeley here by </w:t>
      </w:r>
      <w:r w:rsidR="00674FF4">
        <w:t>stating God is not a personal agent and therefore they cannot produce ideas or choose ideas by moment, everything happens through natural law.</w:t>
      </w:r>
      <w:r w:rsidR="00047AFC">
        <w:t xml:space="preserve"> Spinoza is actively </w:t>
      </w:r>
      <w:r w:rsidR="00637C2F">
        <w:t xml:space="preserve">removing the need for Berkeley’s intervention of </w:t>
      </w:r>
      <w:proofErr w:type="gramStart"/>
      <w:r w:rsidR="00637C2F">
        <w:t>God,</w:t>
      </w:r>
      <w:proofErr w:type="gramEnd"/>
      <w:r w:rsidR="00637C2F">
        <w:t xml:space="preserve"> there is no need for an individual to intervene constantly which you can see is evident in Berkeley’s work.</w:t>
      </w:r>
    </w:p>
    <w:p w14:paraId="29CFAC10" w14:textId="7BE0B3E2" w:rsidR="00282818" w:rsidRDefault="00282818">
      <w:r>
        <w:t xml:space="preserve">In contradiction of Spinoza, Berkeley would argue </w:t>
      </w:r>
      <w:r w:rsidR="00A20734">
        <w:t>that without a divine being, such as God, there is no explanation of order.</w:t>
      </w:r>
      <w:r w:rsidR="00B965F0">
        <w:t xml:space="preserve"> As seen throughout Berkeley</w:t>
      </w:r>
      <w:r w:rsidR="004C15E4">
        <w:t xml:space="preserve"> writings, there are</w:t>
      </w:r>
      <w:r w:rsidR="00B965F0">
        <w:t xml:space="preserve"> mentions that the regularity of nature is due to God’s constant activity, so Spinoza’s </w:t>
      </w:r>
      <w:r w:rsidR="00B965F0">
        <w:lastRenderedPageBreak/>
        <w:t>point on the laws of nature seems invalid here for Berkeley</w:t>
      </w:r>
      <w:r w:rsidR="0029417E">
        <w:t xml:space="preserve"> as laws to him don’t cause anything, they just describe the patterns of the world that God can then take into their hands.</w:t>
      </w:r>
      <w:r w:rsidR="002A7C22">
        <w:t xml:space="preserve"> Another criticism to Spinoza could be that he </w:t>
      </w:r>
      <w:r w:rsidR="005F29F1">
        <w:t>cannot explain perception as Berkeley’s core is that reality consists of ideas and minds</w:t>
      </w:r>
      <w:r w:rsidR="003600EB">
        <w:t xml:space="preserve"> because </w:t>
      </w:r>
      <w:r w:rsidR="003600EB">
        <w:t>matter is “perceived by God”</w:t>
      </w:r>
      <w:r w:rsidR="003600EB">
        <w:rPr>
          <w:rStyle w:val="FootnoteReference"/>
        </w:rPr>
        <w:footnoteReference w:id="15"/>
      </w:r>
      <w:r w:rsidR="005F29F1">
        <w:t>, whe</w:t>
      </w:r>
      <w:r w:rsidR="003600EB">
        <w:t xml:space="preserve">reas Spinoza’s system </w:t>
      </w:r>
      <w:r w:rsidR="00C80812">
        <w:t>relies heaving on that everything has one substance, in this case that is nature. Spinoza, for Berkeley, fails to explain why we have specific sensory ideas and why they appear in an ordered way</w:t>
      </w:r>
      <w:r w:rsidR="00483685">
        <w:t xml:space="preserve">. </w:t>
      </w:r>
      <w:r w:rsidR="008D3443">
        <w:t>Therefore,</w:t>
      </w:r>
      <w:r w:rsidR="00483685">
        <w:t xml:space="preserve"> Berkeley’s reliance on God here shows that only a mind like God’s can cause and organise ideas, not abstract nature.</w:t>
      </w:r>
    </w:p>
    <w:p w14:paraId="24BB7F94" w14:textId="35CA36FE" w:rsidR="00E21FF9" w:rsidRDefault="00DB20EA">
      <w:r>
        <w:t>To conclude, it is evident that God plays a significant, if not a leading role within Berkeley’s philosophy</w:t>
      </w:r>
      <w:r w:rsidR="00B2645C">
        <w:t xml:space="preserve">. </w:t>
      </w:r>
      <w:r w:rsidR="00A1746E">
        <w:t>It seems throughout Berkeley’s work, God is mentioned very often, whether that be evident or subtle</w:t>
      </w:r>
      <w:r w:rsidR="00752F23">
        <w:t xml:space="preserve"> and </w:t>
      </w:r>
      <w:r w:rsidR="00A1746E">
        <w:t xml:space="preserve">this leads to much controversy if Berkeley’s work can be fully trusted or if we can gain knowledge </w:t>
      </w:r>
      <w:r w:rsidR="00BC5D64">
        <w:t>due to this heavy reliance. Although Berkeley makes some interesting and very much persuading points</w:t>
      </w:r>
      <w:r w:rsidR="00414215">
        <w:t xml:space="preserve"> on how these ideas stem from God or religious backgrounds</w:t>
      </w:r>
      <w:r w:rsidR="004743A9">
        <w:t xml:space="preserve"> for some non-religious believers, although round the time Berkeley produced his work, this wasn’t common, it could lead to more questions that maybe Berkeley couldn’t answer without his reliance on God. Overall, the role of God within Berkeley’s philosophy</w:t>
      </w:r>
      <w:r w:rsidR="00976859">
        <w:t xml:space="preserve"> overpowers any other potential causes</w:t>
      </w:r>
      <w:r w:rsidR="00323288">
        <w:t xml:space="preserve"> which would be difficult for newer readers, </w:t>
      </w:r>
      <w:r w:rsidR="0069165D">
        <w:t xml:space="preserve">it is hard to determine </w:t>
      </w:r>
      <w:r w:rsidR="00C6570F">
        <w:t>whether</w:t>
      </w:r>
      <w:r w:rsidR="0069165D">
        <w:t xml:space="preserve"> this is in a good or bad context. </w:t>
      </w:r>
      <w:r w:rsidR="00C6570F">
        <w:t>If some readers</w:t>
      </w:r>
      <w:r w:rsidR="00323288">
        <w:t xml:space="preserve"> are </w:t>
      </w:r>
      <w:r w:rsidR="00965CDE">
        <w:t>atheist,</w:t>
      </w:r>
      <w:r w:rsidR="00C6570F">
        <w:t xml:space="preserve"> </w:t>
      </w:r>
      <w:r w:rsidR="00323288">
        <w:t xml:space="preserve">it </w:t>
      </w:r>
      <w:r w:rsidR="00C6570F">
        <w:t xml:space="preserve">may </w:t>
      </w:r>
      <w:r w:rsidR="00323288">
        <w:t xml:space="preserve">seem </w:t>
      </w:r>
      <w:r w:rsidR="00965CDE">
        <w:t>a</w:t>
      </w:r>
      <w:r w:rsidR="00323288">
        <w:t xml:space="preserve"> complex</w:t>
      </w:r>
      <w:r w:rsidR="00D15BAE">
        <w:t xml:space="preserve"> conception</w:t>
      </w:r>
      <w:r w:rsidR="00323288">
        <w:t xml:space="preserve"> that almost one person is the root cause to </w:t>
      </w:r>
      <w:r w:rsidR="00FE647C">
        <w:t>all these new ideas and creations that Berkeley states throughout his philosophy.</w:t>
      </w:r>
    </w:p>
    <w:p w14:paraId="253F7A60" w14:textId="5FE336EA" w:rsidR="008D3443" w:rsidRDefault="008D3443">
      <w:pPr>
        <w:rPr>
          <w:b/>
          <w:bCs/>
          <w:i/>
          <w:iCs/>
          <w:u w:val="single"/>
        </w:rPr>
      </w:pPr>
      <w:r w:rsidRPr="008D3443">
        <w:rPr>
          <w:b/>
          <w:bCs/>
          <w:i/>
          <w:iCs/>
          <w:u w:val="single"/>
        </w:rPr>
        <w:t>Bibliography:</w:t>
      </w:r>
    </w:p>
    <w:p w14:paraId="723902C0" w14:textId="0E4E93BE" w:rsidR="008D3443" w:rsidRDefault="008D3443">
      <w:r w:rsidRPr="004445B0">
        <w:t>Berkeley, G., 1710. A Treatise Concerning the Principles of Human Knowledge. Version by Jonathan Bennett.</w:t>
      </w:r>
    </w:p>
    <w:p w14:paraId="7A634317" w14:textId="4D11B879" w:rsidR="008D3443" w:rsidRDefault="008D3443">
      <w:r w:rsidRPr="00794FC3">
        <w:t>Hume, D., 1748. An Enquiry Concerning Human Understanding. Version prepared by Jonathan Bennett.</w:t>
      </w:r>
    </w:p>
    <w:p w14:paraId="00C9E7B1" w14:textId="1029DF0E" w:rsidR="008D3443" w:rsidRPr="008D3443" w:rsidRDefault="008D3443">
      <w:r w:rsidRPr="001C0939">
        <w:t>Locke, J., 1690. An Essay Concerning Human Understanding, Book II. Version prepared by Jonathan Bennett.</w:t>
      </w:r>
    </w:p>
    <w:p w14:paraId="6FC4C2C1" w14:textId="69D070CA" w:rsidR="008D3443" w:rsidRDefault="008D3443">
      <w:r w:rsidRPr="00181890">
        <w:t>Spinoza, B., c.1665. Short Treatise on God, Man, and His Well-Being. Version prepared by Jonathan Bennett.</w:t>
      </w:r>
    </w:p>
    <w:sectPr w:rsidR="008D34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F23D7" w14:textId="77777777" w:rsidR="00BC0B84" w:rsidRDefault="00BC0B84" w:rsidP="004445B0">
      <w:pPr>
        <w:spacing w:after="0" w:line="240" w:lineRule="auto"/>
      </w:pPr>
      <w:r>
        <w:separator/>
      </w:r>
    </w:p>
  </w:endnote>
  <w:endnote w:type="continuationSeparator" w:id="0">
    <w:p w14:paraId="41F32623" w14:textId="77777777" w:rsidR="00BC0B84" w:rsidRDefault="00BC0B84" w:rsidP="00444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0C043" w14:textId="77777777" w:rsidR="00BC0B84" w:rsidRDefault="00BC0B84" w:rsidP="004445B0">
      <w:pPr>
        <w:spacing w:after="0" w:line="240" w:lineRule="auto"/>
      </w:pPr>
      <w:r>
        <w:separator/>
      </w:r>
    </w:p>
  </w:footnote>
  <w:footnote w:type="continuationSeparator" w:id="0">
    <w:p w14:paraId="3D80B53B" w14:textId="77777777" w:rsidR="00BC0B84" w:rsidRDefault="00BC0B84" w:rsidP="004445B0">
      <w:pPr>
        <w:spacing w:after="0" w:line="240" w:lineRule="auto"/>
      </w:pPr>
      <w:r>
        <w:continuationSeparator/>
      </w:r>
    </w:p>
  </w:footnote>
  <w:footnote w:id="1">
    <w:p w14:paraId="042460B7" w14:textId="5CBDA8EF" w:rsidR="004445B0" w:rsidRDefault="004445B0">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1" w:tgtFrame="_new" w:history="1">
        <w:r w:rsidRPr="004445B0">
          <w:rPr>
            <w:rStyle w:val="Hyperlink"/>
          </w:rPr>
          <w:t>https://www.earlymoderntexts.com/assets/pdfs/berkeley1710.pdf</w:t>
        </w:r>
      </w:hyperlink>
      <w:r w:rsidRPr="004445B0">
        <w:t> (Accessed: 10 March 2026).</w:t>
      </w:r>
      <w:r w:rsidR="00EF526D">
        <w:t xml:space="preserve"> Section 3, Page 11.</w:t>
      </w:r>
    </w:p>
  </w:footnote>
  <w:footnote w:id="2">
    <w:p w14:paraId="382B5C88" w14:textId="7306C2D8" w:rsidR="00EF526D" w:rsidRDefault="00EF526D">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2" w:tgtFrame="_new" w:history="1">
        <w:r w:rsidRPr="004445B0">
          <w:rPr>
            <w:rStyle w:val="Hyperlink"/>
          </w:rPr>
          <w:t>https://www.earlymoderntexts.com/assets/pdfs/berkeley1710.pdf</w:t>
        </w:r>
      </w:hyperlink>
      <w:r w:rsidRPr="004445B0">
        <w:t> (Accessed: 10 March 2026).</w:t>
      </w:r>
      <w:r>
        <w:t xml:space="preserve"> Section 3, Page 11.</w:t>
      </w:r>
    </w:p>
  </w:footnote>
  <w:footnote w:id="3">
    <w:p w14:paraId="2A873E17" w14:textId="1F6EC009" w:rsidR="00EF526D" w:rsidRDefault="00EF526D">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3" w:tgtFrame="_new" w:history="1">
        <w:r w:rsidRPr="004445B0">
          <w:rPr>
            <w:rStyle w:val="Hyperlink"/>
          </w:rPr>
          <w:t>https://www.earlymoderntexts.com/assets/pdfs/berkeley1710.pdf</w:t>
        </w:r>
      </w:hyperlink>
      <w:r w:rsidRPr="004445B0">
        <w:t> (Accessed: 10 March 2026).</w:t>
      </w:r>
      <w:r>
        <w:t xml:space="preserve"> Section 26, Page 17</w:t>
      </w:r>
    </w:p>
  </w:footnote>
  <w:footnote w:id="4">
    <w:p w14:paraId="7DA59E06" w14:textId="1946EB34" w:rsidR="00EF526D" w:rsidRDefault="00EF526D">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4" w:tgtFrame="_new" w:history="1">
        <w:r w:rsidRPr="004445B0">
          <w:rPr>
            <w:rStyle w:val="Hyperlink"/>
          </w:rPr>
          <w:t>https://www.earlymoderntexts.com/assets/pdfs/berkeley1710.pdf</w:t>
        </w:r>
      </w:hyperlink>
      <w:r w:rsidRPr="004445B0">
        <w:t> (Accessed: 10 March 2026).</w:t>
      </w:r>
      <w:r>
        <w:t xml:space="preserve"> Section 63, Page </w:t>
      </w:r>
      <w:r w:rsidR="001C4BA9">
        <w:t>28</w:t>
      </w:r>
    </w:p>
  </w:footnote>
  <w:footnote w:id="5">
    <w:p w14:paraId="537C0E62" w14:textId="69A261D9" w:rsidR="00794FC3" w:rsidRDefault="00794FC3">
      <w:pPr>
        <w:pStyle w:val="FootnoteText"/>
      </w:pPr>
      <w:r>
        <w:rPr>
          <w:rStyle w:val="FootnoteReference"/>
        </w:rPr>
        <w:footnoteRef/>
      </w:r>
      <w:r>
        <w:t xml:space="preserve"> </w:t>
      </w:r>
      <w:r w:rsidRPr="00794FC3">
        <w:t>Hume, D., 1748. An Enquiry Concerning Human Understanding. Version prepared by Jonathan Bennett. Early Modern Texts. Available at: </w:t>
      </w:r>
      <w:hyperlink r:id="rId5" w:tgtFrame="_new" w:history="1">
        <w:r w:rsidRPr="00794FC3">
          <w:rPr>
            <w:rStyle w:val="Hyperlink"/>
          </w:rPr>
          <w:t>https://www.earlymoderntexts.com/assets/pdfs/hume1748_2.pdf</w:t>
        </w:r>
      </w:hyperlink>
      <w:r w:rsidRPr="00794FC3">
        <w:t> (Accessed: 11 March 2026).</w:t>
      </w:r>
      <w:r>
        <w:t xml:space="preserve"> Section 6, Page 28.</w:t>
      </w:r>
    </w:p>
  </w:footnote>
  <w:footnote w:id="6">
    <w:p w14:paraId="37E668DA" w14:textId="42194007" w:rsidR="00F819EC" w:rsidRDefault="00F819EC">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6" w:tgtFrame="_new" w:history="1">
        <w:r w:rsidRPr="004445B0">
          <w:rPr>
            <w:rStyle w:val="Hyperlink"/>
          </w:rPr>
          <w:t>https://www.earlymoderntexts.com/assets/pdfs/berkeley1710.pdf</w:t>
        </w:r>
      </w:hyperlink>
      <w:r w:rsidRPr="004445B0">
        <w:t> (Accessed: 10 March 2026).</w:t>
      </w:r>
      <w:r>
        <w:t xml:space="preserve"> Section 6, Page 12.</w:t>
      </w:r>
    </w:p>
  </w:footnote>
  <w:footnote w:id="7">
    <w:p w14:paraId="65F5E9C1" w14:textId="51E0A25A" w:rsidR="00F819EC" w:rsidRDefault="00F819EC">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7" w:tgtFrame="_new" w:history="1">
        <w:r w:rsidRPr="004445B0">
          <w:rPr>
            <w:rStyle w:val="Hyperlink"/>
          </w:rPr>
          <w:t>https://www.earlymoderntexts.com/assets/pdfs/berkeley1710.pdf</w:t>
        </w:r>
      </w:hyperlink>
      <w:r w:rsidRPr="004445B0">
        <w:t> (Accessed: 10 March 2026).</w:t>
      </w:r>
      <w:r>
        <w:t xml:space="preserve"> Section 53, Page 25.</w:t>
      </w:r>
    </w:p>
  </w:footnote>
  <w:footnote w:id="8">
    <w:p w14:paraId="5CF2CB68" w14:textId="40D52A76" w:rsidR="00666AD2" w:rsidRDefault="00666AD2">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8" w:tgtFrame="_new" w:history="1">
        <w:r w:rsidRPr="004445B0">
          <w:rPr>
            <w:rStyle w:val="Hyperlink"/>
          </w:rPr>
          <w:t>https://www.earlymoderntexts.com/assets/pdfs/berkeley1710.pdf</w:t>
        </w:r>
      </w:hyperlink>
      <w:r w:rsidRPr="004445B0">
        <w:t> (Accessed: 10 March 2026).</w:t>
      </w:r>
      <w:r>
        <w:t xml:space="preserve"> Section 26, Page 17.</w:t>
      </w:r>
    </w:p>
  </w:footnote>
  <w:footnote w:id="9">
    <w:p w14:paraId="6CF91C5D" w14:textId="53F3AEA3" w:rsidR="002B355A" w:rsidRDefault="002B355A">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9" w:tgtFrame="_new" w:history="1">
        <w:r w:rsidRPr="004445B0">
          <w:rPr>
            <w:rStyle w:val="Hyperlink"/>
          </w:rPr>
          <w:t>https://www.earlymoderntexts.com/assets/pdfs/berkeley1710.pdf</w:t>
        </w:r>
      </w:hyperlink>
      <w:r w:rsidRPr="004445B0">
        <w:t> (Accessed: 10 March 2026).</w:t>
      </w:r>
      <w:r>
        <w:t xml:space="preserve"> Section 32, Page 18.</w:t>
      </w:r>
    </w:p>
  </w:footnote>
  <w:footnote w:id="10">
    <w:p w14:paraId="0949A9C5" w14:textId="0568AE00" w:rsidR="00CC4AF5" w:rsidRDefault="00CC4AF5" w:rsidP="00CC4AF5">
      <w:r>
        <w:rPr>
          <w:rStyle w:val="FootnoteReference"/>
        </w:rPr>
        <w:footnoteRef/>
      </w:r>
      <w:r>
        <w:t xml:space="preserve"> </w:t>
      </w:r>
      <w:r w:rsidRPr="00CC4AF5">
        <w:rPr>
          <w:sz w:val="20"/>
          <w:szCs w:val="20"/>
        </w:rPr>
        <w:t xml:space="preserve">Berkeley, G., 1713. Three Dialogues between Hylas and </w:t>
      </w:r>
      <w:proofErr w:type="spellStart"/>
      <w:r w:rsidRPr="00CC4AF5">
        <w:rPr>
          <w:sz w:val="20"/>
          <w:szCs w:val="20"/>
        </w:rPr>
        <w:t>Philonous</w:t>
      </w:r>
      <w:proofErr w:type="spellEnd"/>
      <w:r w:rsidRPr="00CC4AF5">
        <w:rPr>
          <w:sz w:val="20"/>
          <w:szCs w:val="20"/>
        </w:rPr>
        <w:t>. Version prepared by Jonathan Bennett. Early Modern Texts. Available</w:t>
      </w:r>
      <w:r>
        <w:rPr>
          <w:sz w:val="20"/>
          <w:szCs w:val="20"/>
        </w:rPr>
        <w:t xml:space="preserve"> </w:t>
      </w:r>
      <w:r w:rsidRPr="00CC4AF5">
        <w:rPr>
          <w:sz w:val="20"/>
          <w:szCs w:val="20"/>
        </w:rPr>
        <w:t>at: </w:t>
      </w:r>
      <w:hyperlink r:id="rId10" w:tgtFrame="_new" w:history="1">
        <w:r w:rsidRPr="00CC4AF5">
          <w:rPr>
            <w:rStyle w:val="Hyperlink"/>
            <w:sz w:val="20"/>
            <w:szCs w:val="20"/>
          </w:rPr>
          <w:t>https://www.earlymoderntexts.com/assets/pdfs/berkeley1713.pdf</w:t>
        </w:r>
      </w:hyperlink>
      <w:r w:rsidRPr="00CC4AF5">
        <w:rPr>
          <w:sz w:val="20"/>
          <w:szCs w:val="20"/>
        </w:rPr>
        <w:t> (Accessed: 11 March 2026).</w:t>
      </w:r>
      <w:r>
        <w:rPr>
          <w:sz w:val="20"/>
          <w:szCs w:val="20"/>
        </w:rPr>
        <w:t xml:space="preserve"> Page 2</w:t>
      </w:r>
    </w:p>
  </w:footnote>
  <w:footnote w:id="11">
    <w:p w14:paraId="677BE0FF" w14:textId="606BFB80" w:rsidR="00B94C15" w:rsidRDefault="00B94C15">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11" w:tgtFrame="_new" w:history="1">
        <w:r w:rsidRPr="004445B0">
          <w:rPr>
            <w:rStyle w:val="Hyperlink"/>
          </w:rPr>
          <w:t>https://www.earlymoderntexts.com/assets/pdfs/berkeley1710.pdf</w:t>
        </w:r>
      </w:hyperlink>
      <w:r w:rsidRPr="004445B0">
        <w:t> (Accessed: 10 March 2026).</w:t>
      </w:r>
      <w:r>
        <w:t xml:space="preserve"> Section 62, Page 28.</w:t>
      </w:r>
    </w:p>
  </w:footnote>
  <w:footnote w:id="12">
    <w:p w14:paraId="31AEC664" w14:textId="63CB943E" w:rsidR="00DE3D1B" w:rsidRDefault="00DE3D1B">
      <w:pPr>
        <w:pStyle w:val="FootnoteText"/>
      </w:pPr>
      <w:r>
        <w:rPr>
          <w:rStyle w:val="FootnoteReference"/>
        </w:rPr>
        <w:footnoteRef/>
      </w:r>
      <w:r>
        <w:t xml:space="preserve"> </w:t>
      </w:r>
      <w:r w:rsidR="001C0939" w:rsidRPr="001C0939">
        <w:t>Locke, J., 1690. An Essay Concerning Human Understanding, Book II. Version prepared by Jonathan Bennett. Early Modern Texts. Available at: </w:t>
      </w:r>
      <w:hyperlink r:id="rId12" w:tgtFrame="_new" w:history="1">
        <w:r w:rsidR="001C0939" w:rsidRPr="001C0939">
          <w:rPr>
            <w:rStyle w:val="Hyperlink"/>
          </w:rPr>
          <w:t>https://www.earlymoderntexts.com/assets/pdfs/locke1690book2.pdf</w:t>
        </w:r>
      </w:hyperlink>
      <w:r w:rsidR="001C0939" w:rsidRPr="001C0939">
        <w:t> (Accessed: 11 March 2026).</w:t>
      </w:r>
      <w:r w:rsidR="00332B47">
        <w:t xml:space="preserve"> Section 23, Page 22</w:t>
      </w:r>
    </w:p>
  </w:footnote>
  <w:footnote w:id="13">
    <w:p w14:paraId="6B6D3A88" w14:textId="0B97A201" w:rsidR="005263EB" w:rsidRDefault="005263EB">
      <w:pPr>
        <w:pStyle w:val="FootnoteText"/>
      </w:pPr>
      <w:r>
        <w:rPr>
          <w:rStyle w:val="FootnoteReference"/>
        </w:rPr>
        <w:footnoteRef/>
      </w:r>
      <w:r>
        <w:t xml:space="preserve"> </w:t>
      </w:r>
      <w:r w:rsidRPr="005263EB">
        <w:t>Locke, J., 1690. An Essay Concerning Human Understanding, Book II. Version prepared by Jonathan Bennett. Early Modern Texts. Available at: </w:t>
      </w:r>
      <w:hyperlink r:id="rId13" w:tgtFrame="_new" w:history="1">
        <w:r w:rsidRPr="005263EB">
          <w:rPr>
            <w:rStyle w:val="Hyperlink"/>
          </w:rPr>
          <w:t>https://www.earlymoderntexts.com/assets/pdfs/locke1690book2.pdf</w:t>
        </w:r>
      </w:hyperlink>
      <w:r w:rsidRPr="005263EB">
        <w:t> (Accessed: 11 March 2026).</w:t>
      </w:r>
      <w:r>
        <w:t xml:space="preserve"> Section 24, Page 22</w:t>
      </w:r>
    </w:p>
  </w:footnote>
  <w:footnote w:id="14">
    <w:p w14:paraId="341E6178" w14:textId="01959DC2" w:rsidR="005E0A5F" w:rsidRDefault="005E0A5F">
      <w:pPr>
        <w:pStyle w:val="FootnoteText"/>
      </w:pPr>
      <w:r>
        <w:rPr>
          <w:rStyle w:val="FootnoteReference"/>
        </w:rPr>
        <w:footnoteRef/>
      </w:r>
      <w:r>
        <w:t xml:space="preserve"> </w:t>
      </w:r>
      <w:r w:rsidR="00181890" w:rsidRPr="00181890">
        <w:t>Spinoza, B., c.1665. Short Treatise on God, Man, and His Well-Being. Version prepared by Jonathan Bennett. Early Modern Texts. Available at: </w:t>
      </w:r>
      <w:hyperlink r:id="rId14" w:tgtFrame="_new" w:history="1">
        <w:r w:rsidR="00181890" w:rsidRPr="00181890">
          <w:rPr>
            <w:rStyle w:val="Hyperlink"/>
          </w:rPr>
          <w:t>https://www.earlymoderntexts.com/assets/pdfs/spinoza1665.pdf</w:t>
        </w:r>
      </w:hyperlink>
      <w:r w:rsidR="00181890" w:rsidRPr="00181890">
        <w:t> (Accessed: 11 March 2026).</w:t>
      </w:r>
      <w:r w:rsidR="002B0BED">
        <w:t xml:space="preserve"> Section 15, Page 7.</w:t>
      </w:r>
    </w:p>
  </w:footnote>
  <w:footnote w:id="15">
    <w:p w14:paraId="3A01755F" w14:textId="77777777" w:rsidR="003600EB" w:rsidRDefault="003600EB" w:rsidP="003600EB">
      <w:pPr>
        <w:pStyle w:val="FootnoteText"/>
      </w:pPr>
      <w:r>
        <w:rPr>
          <w:rStyle w:val="FootnoteReference"/>
        </w:rPr>
        <w:footnoteRef/>
      </w:r>
      <w:r>
        <w:t xml:space="preserve"> </w:t>
      </w:r>
      <w:r w:rsidRPr="004445B0">
        <w:t>Berkeley, G., 1710. A Treatise Concerning the Principles of Human Knowledge. Version by Jonathan Bennett. Available at: </w:t>
      </w:r>
      <w:hyperlink r:id="rId15" w:tgtFrame="_new" w:history="1">
        <w:r w:rsidRPr="004445B0">
          <w:rPr>
            <w:rStyle w:val="Hyperlink"/>
          </w:rPr>
          <w:t>https://www.earlymoderntexts.com/assets/pdfs/berkeley1710.pdf</w:t>
        </w:r>
      </w:hyperlink>
      <w:r w:rsidRPr="004445B0">
        <w:t> (Accessed: 10 March 2026).</w:t>
      </w:r>
      <w:r>
        <w:t xml:space="preserve"> Section 70, Page 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73"/>
    <w:rsid w:val="00047AFC"/>
    <w:rsid w:val="00050006"/>
    <w:rsid w:val="00090F37"/>
    <w:rsid w:val="000A1DC5"/>
    <w:rsid w:val="000F7D2D"/>
    <w:rsid w:val="00147C42"/>
    <w:rsid w:val="001507D9"/>
    <w:rsid w:val="00181890"/>
    <w:rsid w:val="001B7B74"/>
    <w:rsid w:val="001C0939"/>
    <w:rsid w:val="001C4761"/>
    <w:rsid w:val="001C4BA9"/>
    <w:rsid w:val="00206EA6"/>
    <w:rsid w:val="00240B25"/>
    <w:rsid w:val="002765C5"/>
    <w:rsid w:val="00282818"/>
    <w:rsid w:val="0029417E"/>
    <w:rsid w:val="002A7C22"/>
    <w:rsid w:val="002B0BED"/>
    <w:rsid w:val="002B355A"/>
    <w:rsid w:val="00323288"/>
    <w:rsid w:val="00332B47"/>
    <w:rsid w:val="003600EB"/>
    <w:rsid w:val="00367F4A"/>
    <w:rsid w:val="003B34E9"/>
    <w:rsid w:val="00414215"/>
    <w:rsid w:val="004210C0"/>
    <w:rsid w:val="004445B0"/>
    <w:rsid w:val="00452673"/>
    <w:rsid w:val="00470BC2"/>
    <w:rsid w:val="004743A9"/>
    <w:rsid w:val="00483685"/>
    <w:rsid w:val="004B289E"/>
    <w:rsid w:val="004C15E4"/>
    <w:rsid w:val="004F7402"/>
    <w:rsid w:val="005263EB"/>
    <w:rsid w:val="0054703F"/>
    <w:rsid w:val="00547DFE"/>
    <w:rsid w:val="00567DE0"/>
    <w:rsid w:val="005B3149"/>
    <w:rsid w:val="005E0A5F"/>
    <w:rsid w:val="005F29F1"/>
    <w:rsid w:val="00612CE3"/>
    <w:rsid w:val="00637C2F"/>
    <w:rsid w:val="00666AD2"/>
    <w:rsid w:val="00674FF4"/>
    <w:rsid w:val="0069165D"/>
    <w:rsid w:val="0070682A"/>
    <w:rsid w:val="00710B20"/>
    <w:rsid w:val="00712CA6"/>
    <w:rsid w:val="007324A4"/>
    <w:rsid w:val="00752F23"/>
    <w:rsid w:val="0078053D"/>
    <w:rsid w:val="007870A8"/>
    <w:rsid w:val="00794FC3"/>
    <w:rsid w:val="007F20E6"/>
    <w:rsid w:val="008638D8"/>
    <w:rsid w:val="008D3443"/>
    <w:rsid w:val="008F15FF"/>
    <w:rsid w:val="00905E8C"/>
    <w:rsid w:val="009223C8"/>
    <w:rsid w:val="00941F57"/>
    <w:rsid w:val="00965CDE"/>
    <w:rsid w:val="00966D2A"/>
    <w:rsid w:val="00972D55"/>
    <w:rsid w:val="00976859"/>
    <w:rsid w:val="00A16AE6"/>
    <w:rsid w:val="00A1746E"/>
    <w:rsid w:val="00A20734"/>
    <w:rsid w:val="00A32FCC"/>
    <w:rsid w:val="00AA358B"/>
    <w:rsid w:val="00AC46FD"/>
    <w:rsid w:val="00B1336D"/>
    <w:rsid w:val="00B2645C"/>
    <w:rsid w:val="00B422BE"/>
    <w:rsid w:val="00B821F8"/>
    <w:rsid w:val="00B82919"/>
    <w:rsid w:val="00B94C15"/>
    <w:rsid w:val="00B965F0"/>
    <w:rsid w:val="00BB7AF6"/>
    <w:rsid w:val="00BC0B84"/>
    <w:rsid w:val="00BC5D64"/>
    <w:rsid w:val="00C14FE3"/>
    <w:rsid w:val="00C54685"/>
    <w:rsid w:val="00C6570F"/>
    <w:rsid w:val="00C774DD"/>
    <w:rsid w:val="00C80812"/>
    <w:rsid w:val="00CC4AF5"/>
    <w:rsid w:val="00D15BAE"/>
    <w:rsid w:val="00DB20EA"/>
    <w:rsid w:val="00DB51DB"/>
    <w:rsid w:val="00DE3D1B"/>
    <w:rsid w:val="00E21FF9"/>
    <w:rsid w:val="00EF470A"/>
    <w:rsid w:val="00EF526D"/>
    <w:rsid w:val="00EF6EF2"/>
    <w:rsid w:val="00F61AE5"/>
    <w:rsid w:val="00F819EC"/>
    <w:rsid w:val="00FE6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E1B446"/>
  <w15:chartTrackingRefBased/>
  <w15:docId w15:val="{20CED4D5-5438-B145-8F3B-750F7D6B8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6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6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6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6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6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6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673"/>
    <w:rPr>
      <w:rFonts w:eastAsiaTheme="majorEastAsia" w:cstheme="majorBidi"/>
      <w:color w:val="272727" w:themeColor="text1" w:themeTint="D8"/>
    </w:rPr>
  </w:style>
  <w:style w:type="paragraph" w:styleId="Title">
    <w:name w:val="Title"/>
    <w:basedOn w:val="Normal"/>
    <w:next w:val="Normal"/>
    <w:link w:val="TitleChar"/>
    <w:uiPriority w:val="10"/>
    <w:qFormat/>
    <w:rsid w:val="00452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6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673"/>
    <w:pPr>
      <w:spacing w:before="160"/>
      <w:jc w:val="center"/>
    </w:pPr>
    <w:rPr>
      <w:i/>
      <w:iCs/>
      <w:color w:val="404040" w:themeColor="text1" w:themeTint="BF"/>
    </w:rPr>
  </w:style>
  <w:style w:type="character" w:customStyle="1" w:styleId="QuoteChar">
    <w:name w:val="Quote Char"/>
    <w:basedOn w:val="DefaultParagraphFont"/>
    <w:link w:val="Quote"/>
    <w:uiPriority w:val="29"/>
    <w:rsid w:val="00452673"/>
    <w:rPr>
      <w:i/>
      <w:iCs/>
      <w:color w:val="404040" w:themeColor="text1" w:themeTint="BF"/>
    </w:rPr>
  </w:style>
  <w:style w:type="paragraph" w:styleId="ListParagraph">
    <w:name w:val="List Paragraph"/>
    <w:basedOn w:val="Normal"/>
    <w:uiPriority w:val="34"/>
    <w:qFormat/>
    <w:rsid w:val="00452673"/>
    <w:pPr>
      <w:ind w:left="720"/>
      <w:contextualSpacing/>
    </w:pPr>
  </w:style>
  <w:style w:type="character" w:styleId="IntenseEmphasis">
    <w:name w:val="Intense Emphasis"/>
    <w:basedOn w:val="DefaultParagraphFont"/>
    <w:uiPriority w:val="21"/>
    <w:qFormat/>
    <w:rsid w:val="00452673"/>
    <w:rPr>
      <w:i/>
      <w:iCs/>
      <w:color w:val="0F4761" w:themeColor="accent1" w:themeShade="BF"/>
    </w:rPr>
  </w:style>
  <w:style w:type="paragraph" w:styleId="IntenseQuote">
    <w:name w:val="Intense Quote"/>
    <w:basedOn w:val="Normal"/>
    <w:next w:val="Normal"/>
    <w:link w:val="IntenseQuoteChar"/>
    <w:uiPriority w:val="30"/>
    <w:qFormat/>
    <w:rsid w:val="00452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673"/>
    <w:rPr>
      <w:i/>
      <w:iCs/>
      <w:color w:val="0F4761" w:themeColor="accent1" w:themeShade="BF"/>
    </w:rPr>
  </w:style>
  <w:style w:type="character" w:styleId="IntenseReference">
    <w:name w:val="Intense Reference"/>
    <w:basedOn w:val="DefaultParagraphFont"/>
    <w:uiPriority w:val="32"/>
    <w:qFormat/>
    <w:rsid w:val="00452673"/>
    <w:rPr>
      <w:b/>
      <w:bCs/>
      <w:smallCaps/>
      <w:color w:val="0F4761" w:themeColor="accent1" w:themeShade="BF"/>
      <w:spacing w:val="5"/>
    </w:rPr>
  </w:style>
  <w:style w:type="paragraph" w:styleId="FootnoteText">
    <w:name w:val="footnote text"/>
    <w:basedOn w:val="Normal"/>
    <w:link w:val="FootnoteTextChar"/>
    <w:uiPriority w:val="99"/>
    <w:semiHidden/>
    <w:unhideWhenUsed/>
    <w:rsid w:val="004445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45B0"/>
    <w:rPr>
      <w:sz w:val="20"/>
      <w:szCs w:val="20"/>
    </w:rPr>
  </w:style>
  <w:style w:type="character" w:styleId="FootnoteReference">
    <w:name w:val="footnote reference"/>
    <w:basedOn w:val="DefaultParagraphFont"/>
    <w:uiPriority w:val="99"/>
    <w:semiHidden/>
    <w:unhideWhenUsed/>
    <w:rsid w:val="004445B0"/>
    <w:rPr>
      <w:vertAlign w:val="superscript"/>
    </w:rPr>
  </w:style>
  <w:style w:type="character" w:styleId="Hyperlink">
    <w:name w:val="Hyperlink"/>
    <w:basedOn w:val="DefaultParagraphFont"/>
    <w:uiPriority w:val="99"/>
    <w:unhideWhenUsed/>
    <w:rsid w:val="004445B0"/>
    <w:rPr>
      <w:color w:val="0000FF"/>
      <w:u w:val="single"/>
    </w:rPr>
  </w:style>
  <w:style w:type="paragraph" w:customStyle="1" w:styleId="p1">
    <w:name w:val="p1"/>
    <w:basedOn w:val="Normal"/>
    <w:rsid w:val="00794FC3"/>
    <w:pPr>
      <w:spacing w:after="0" w:line="240" w:lineRule="auto"/>
    </w:pPr>
    <w:rPr>
      <w:rFonts w:ascii="Helvetica" w:eastAsia="Times New Roman" w:hAnsi="Helvetica" w:cs="Times New Roman"/>
      <w:color w:val="000000"/>
      <w:kern w:val="0"/>
      <w:sz w:val="17"/>
      <w:szCs w:val="17"/>
      <w:lang w:eastAsia="en-GB"/>
      <w14:ligatures w14:val="none"/>
    </w:rPr>
  </w:style>
  <w:style w:type="paragraph" w:customStyle="1" w:styleId="p2">
    <w:name w:val="p2"/>
    <w:basedOn w:val="Normal"/>
    <w:rsid w:val="00794FC3"/>
    <w:pPr>
      <w:spacing w:after="0" w:line="240" w:lineRule="auto"/>
    </w:pPr>
    <w:rPr>
      <w:rFonts w:ascii="Helvetica" w:eastAsia="Times New Roman" w:hAnsi="Helvetica" w:cs="Times New Roman"/>
      <w:color w:val="000000"/>
      <w:kern w:val="0"/>
      <w:sz w:val="16"/>
      <w:szCs w:val="16"/>
      <w:lang w:eastAsia="en-GB"/>
      <w14:ligatures w14:val="none"/>
    </w:rPr>
  </w:style>
  <w:style w:type="character" w:customStyle="1" w:styleId="s1">
    <w:name w:val="s1"/>
    <w:basedOn w:val="DefaultParagraphFont"/>
    <w:rsid w:val="00666AD2"/>
    <w:rPr>
      <w:rFonts w:ascii="Helvetica" w:hAnsi="Helvetica" w:hint="default"/>
      <w:sz w:val="17"/>
      <w:szCs w:val="17"/>
    </w:rPr>
  </w:style>
  <w:style w:type="character" w:customStyle="1" w:styleId="apple-converted-space">
    <w:name w:val="apple-converted-space"/>
    <w:basedOn w:val="DefaultParagraphFont"/>
    <w:rsid w:val="00CC4AF5"/>
  </w:style>
  <w:style w:type="character" w:styleId="Emphasis">
    <w:name w:val="Emphasis"/>
    <w:basedOn w:val="DefaultParagraphFont"/>
    <w:uiPriority w:val="20"/>
    <w:qFormat/>
    <w:rsid w:val="00CC4A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earlymoderntexts.com/assets/pdfs/berkeley1710.pdf" TargetMode="External"/><Relationship Id="rId13" Type="http://schemas.openxmlformats.org/officeDocument/2006/relationships/hyperlink" Target="https://www.earlymoderntexts.com/assets/pdfs/locke1690book2.pdf" TargetMode="External"/><Relationship Id="rId3" Type="http://schemas.openxmlformats.org/officeDocument/2006/relationships/hyperlink" Target="https://www.earlymoderntexts.com/assets/pdfs/berkeley1710.pdf" TargetMode="External"/><Relationship Id="rId7" Type="http://schemas.openxmlformats.org/officeDocument/2006/relationships/hyperlink" Target="https://www.earlymoderntexts.com/assets/pdfs/berkeley1710.pdf" TargetMode="External"/><Relationship Id="rId12" Type="http://schemas.openxmlformats.org/officeDocument/2006/relationships/hyperlink" Target="https://www.earlymoderntexts.com/assets/pdfs/locke1690book2.pdf" TargetMode="External"/><Relationship Id="rId2" Type="http://schemas.openxmlformats.org/officeDocument/2006/relationships/hyperlink" Target="https://www.earlymoderntexts.com/assets/pdfs/berkeley1710.pdf" TargetMode="External"/><Relationship Id="rId1" Type="http://schemas.openxmlformats.org/officeDocument/2006/relationships/hyperlink" Target="https://www.earlymoderntexts.com/assets/pdfs/berkeley1710.pdf" TargetMode="External"/><Relationship Id="rId6" Type="http://schemas.openxmlformats.org/officeDocument/2006/relationships/hyperlink" Target="https://www.earlymoderntexts.com/assets/pdfs/berkeley1710.pdf" TargetMode="External"/><Relationship Id="rId11" Type="http://schemas.openxmlformats.org/officeDocument/2006/relationships/hyperlink" Target="https://www.earlymoderntexts.com/assets/pdfs/berkeley1710.pdf" TargetMode="External"/><Relationship Id="rId5" Type="http://schemas.openxmlformats.org/officeDocument/2006/relationships/hyperlink" Target="https://www.earlymoderntexts.com/assets/pdfs/hume1748_2.pdf" TargetMode="External"/><Relationship Id="rId15" Type="http://schemas.openxmlformats.org/officeDocument/2006/relationships/hyperlink" Target="https://www.earlymoderntexts.com/assets/pdfs/berkeley1710.pdf" TargetMode="External"/><Relationship Id="rId10" Type="http://schemas.openxmlformats.org/officeDocument/2006/relationships/hyperlink" Target="https://www.earlymoderntexts.com/assets/pdfs/berkeley1713.pdf" TargetMode="External"/><Relationship Id="rId4" Type="http://schemas.openxmlformats.org/officeDocument/2006/relationships/hyperlink" Target="https://www.earlymoderntexts.com/assets/pdfs/berkeley1710.pdf" TargetMode="External"/><Relationship Id="rId9" Type="http://schemas.openxmlformats.org/officeDocument/2006/relationships/hyperlink" Target="https://www.earlymoderntexts.com/assets/pdfs/berkeley1710.pdf" TargetMode="External"/><Relationship Id="rId14" Type="http://schemas.openxmlformats.org/officeDocument/2006/relationships/hyperlink" Target="https://www.earlymoderntexts.com/assets/pdfs/spinoza166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C4C97-7504-AB4A-8BB4-4A8B86C02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1737</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Stephens-Hockridge (2405276)</dc:creator>
  <cp:keywords/>
  <dc:description/>
  <cp:lastModifiedBy>Kelsey Stephens-Hockridge (2405276)</cp:lastModifiedBy>
  <cp:revision>2</cp:revision>
  <dcterms:created xsi:type="dcterms:W3CDTF">2026-03-19T12:10:00Z</dcterms:created>
  <dcterms:modified xsi:type="dcterms:W3CDTF">2026-03-19T12:10:00Z</dcterms:modified>
</cp:coreProperties>
</file>