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4F618" w14:textId="77777777" w:rsidR="006C2682" w:rsidRPr="006C2682" w:rsidRDefault="006C2682" w:rsidP="006C2682">
      <w:pPr>
        <w:rPr>
          <w:rFonts w:ascii="Arial" w:hAnsi="Arial" w:cs="Arial"/>
        </w:rPr>
      </w:pPr>
      <w:r w:rsidRPr="000D143D">
        <w:rPr>
          <w:rFonts w:ascii="Arial" w:hAnsi="Arial" w:cs="Arial"/>
          <w:noProof/>
        </w:rPr>
        <w:drawing>
          <wp:anchor distT="0" distB="0" distL="114300" distR="114300" simplePos="0" relativeHeight="251659264" behindDoc="0" locked="0" layoutInCell="1" allowOverlap="1" wp14:anchorId="6E1902B8" wp14:editId="508A385D">
            <wp:simplePos x="0" y="0"/>
            <wp:positionH relativeFrom="margin">
              <wp:align>center</wp:align>
            </wp:positionH>
            <wp:positionV relativeFrom="paragraph">
              <wp:posOffset>76200</wp:posOffset>
            </wp:positionV>
            <wp:extent cx="4160520" cy="1955800"/>
            <wp:effectExtent l="0" t="0" r="0" b="6350"/>
            <wp:wrapSquare wrapText="bothSides"/>
            <wp:docPr id="180687985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sidRPr="006C2682">
        <w:rPr>
          <w:rFonts w:ascii="Arial" w:hAnsi="Arial" w:cs="Arial"/>
        </w:rPr>
        <w:br w:type="textWrapping" w:clear="all"/>
      </w:r>
    </w:p>
    <w:p w14:paraId="22B1D8A7" w14:textId="3A5A0E94" w:rsidR="006C2682" w:rsidRPr="006C2682" w:rsidRDefault="006C2682" w:rsidP="006C2682">
      <w:pPr>
        <w:jc w:val="center"/>
        <w:rPr>
          <w:rFonts w:ascii="Arial" w:hAnsi="Arial" w:cs="Arial"/>
          <w:sz w:val="36"/>
          <w:szCs w:val="36"/>
        </w:rPr>
      </w:pPr>
      <w:r w:rsidRPr="006C2682">
        <w:rPr>
          <w:rFonts w:ascii="Arial" w:hAnsi="Arial" w:cs="Arial"/>
          <w:sz w:val="36"/>
          <w:szCs w:val="36"/>
        </w:rPr>
        <w:t xml:space="preserve">Title of report: Assessment </w:t>
      </w:r>
      <w:r>
        <w:rPr>
          <w:rFonts w:ascii="Arial" w:hAnsi="Arial" w:cs="Arial"/>
          <w:sz w:val="36"/>
          <w:szCs w:val="36"/>
        </w:rPr>
        <w:t>2</w:t>
      </w:r>
    </w:p>
    <w:p w14:paraId="1BD141A8" w14:textId="77777777" w:rsidR="006C2682" w:rsidRPr="006C2682" w:rsidRDefault="006C2682" w:rsidP="006C2682">
      <w:pPr>
        <w:pStyle w:val="Default"/>
        <w:spacing w:line="360" w:lineRule="auto"/>
        <w:jc w:val="center"/>
      </w:pPr>
    </w:p>
    <w:p w14:paraId="45D08C58" w14:textId="77777777" w:rsidR="006C2682" w:rsidRPr="006C2682" w:rsidRDefault="006C2682" w:rsidP="006C2682">
      <w:pPr>
        <w:pStyle w:val="Default"/>
        <w:spacing w:line="360" w:lineRule="auto"/>
        <w:jc w:val="center"/>
      </w:pPr>
      <w:r w:rsidRPr="006C2682">
        <w:t>Course: BA Business Management</w:t>
      </w:r>
    </w:p>
    <w:p w14:paraId="6CA4DC4A" w14:textId="77777777" w:rsidR="006C2682" w:rsidRPr="006C2682" w:rsidRDefault="006C2682" w:rsidP="006C2682">
      <w:pPr>
        <w:pStyle w:val="Default"/>
        <w:spacing w:line="360" w:lineRule="auto"/>
        <w:jc w:val="center"/>
      </w:pPr>
    </w:p>
    <w:p w14:paraId="0BA3F84D" w14:textId="77777777" w:rsidR="006C2682" w:rsidRPr="006C2682" w:rsidRDefault="006C2682" w:rsidP="006C2682">
      <w:pPr>
        <w:pStyle w:val="Default"/>
        <w:spacing w:line="360" w:lineRule="auto"/>
        <w:jc w:val="center"/>
      </w:pPr>
      <w:r w:rsidRPr="006C2682">
        <w:t>Module name: Data Handling &amp; Business Intelligence</w:t>
      </w:r>
    </w:p>
    <w:p w14:paraId="2C79475D" w14:textId="77777777" w:rsidR="006C2682" w:rsidRPr="006C2682" w:rsidRDefault="006C2682" w:rsidP="006C2682">
      <w:pPr>
        <w:pStyle w:val="Default"/>
        <w:spacing w:line="360" w:lineRule="auto"/>
        <w:jc w:val="center"/>
      </w:pPr>
    </w:p>
    <w:p w14:paraId="43B386C3" w14:textId="77777777" w:rsidR="006C2682" w:rsidRPr="006C2682" w:rsidRDefault="006C2682" w:rsidP="006C2682">
      <w:pPr>
        <w:pStyle w:val="Default"/>
        <w:spacing w:line="360" w:lineRule="auto"/>
        <w:jc w:val="center"/>
      </w:pPr>
      <w:r w:rsidRPr="006C2682">
        <w:t>Module Code: LCBB5000</w:t>
      </w:r>
    </w:p>
    <w:p w14:paraId="5945C7B9" w14:textId="77777777" w:rsidR="006C2682" w:rsidRPr="006C2682" w:rsidRDefault="006C2682" w:rsidP="006C2682">
      <w:pPr>
        <w:pStyle w:val="Default"/>
        <w:spacing w:line="360" w:lineRule="auto"/>
        <w:jc w:val="center"/>
      </w:pPr>
    </w:p>
    <w:p w14:paraId="650BD8B9" w14:textId="77777777" w:rsidR="006C2682" w:rsidRPr="006C2682" w:rsidRDefault="006C2682" w:rsidP="006C2682">
      <w:pPr>
        <w:pStyle w:val="Default"/>
        <w:spacing w:line="360" w:lineRule="auto"/>
        <w:jc w:val="center"/>
      </w:pPr>
      <w:r w:rsidRPr="006C2682">
        <w:t>Lecturer name: Dr Xavier Matieni</w:t>
      </w:r>
    </w:p>
    <w:p w14:paraId="12862D37" w14:textId="77777777" w:rsidR="006C2682" w:rsidRPr="006C2682" w:rsidRDefault="006C2682" w:rsidP="006C2682">
      <w:pPr>
        <w:pStyle w:val="Default"/>
        <w:spacing w:line="360" w:lineRule="auto"/>
      </w:pPr>
    </w:p>
    <w:p w14:paraId="4081620F" w14:textId="77777777" w:rsidR="006C2682" w:rsidRPr="006C2682" w:rsidRDefault="006C2682" w:rsidP="006C2682">
      <w:pPr>
        <w:pStyle w:val="Default"/>
        <w:spacing w:line="360" w:lineRule="auto"/>
        <w:jc w:val="center"/>
      </w:pPr>
      <w:r w:rsidRPr="006C2682">
        <w:t>Student name: Krasimir Iliev</w:t>
      </w:r>
    </w:p>
    <w:p w14:paraId="3E9BB370" w14:textId="77777777" w:rsidR="006C2682" w:rsidRPr="006C2682" w:rsidRDefault="006C2682" w:rsidP="006C2682">
      <w:pPr>
        <w:pStyle w:val="Default"/>
        <w:spacing w:line="360" w:lineRule="auto"/>
        <w:jc w:val="center"/>
      </w:pPr>
    </w:p>
    <w:p w14:paraId="763FAF4B" w14:textId="77777777" w:rsidR="006C2682" w:rsidRPr="006C2682" w:rsidRDefault="006C2682" w:rsidP="006C2682">
      <w:pPr>
        <w:pStyle w:val="Default"/>
        <w:spacing w:line="360" w:lineRule="auto"/>
        <w:jc w:val="center"/>
      </w:pPr>
      <w:r w:rsidRPr="006C2682">
        <w:t>Student ID: 2123464</w:t>
      </w:r>
    </w:p>
    <w:p w14:paraId="0434C7C3" w14:textId="77777777" w:rsidR="006C2682" w:rsidRPr="006C2682" w:rsidRDefault="006C2682" w:rsidP="006C2682">
      <w:pPr>
        <w:pStyle w:val="Default"/>
        <w:spacing w:line="360" w:lineRule="auto"/>
        <w:jc w:val="center"/>
      </w:pPr>
    </w:p>
    <w:p w14:paraId="77E02C86" w14:textId="1F9E828C" w:rsidR="006C2682" w:rsidRPr="006C2682" w:rsidRDefault="006C2682" w:rsidP="006C2682">
      <w:pPr>
        <w:pStyle w:val="Default"/>
        <w:spacing w:line="360" w:lineRule="auto"/>
        <w:jc w:val="center"/>
      </w:pPr>
      <w:r w:rsidRPr="006C2682">
        <w:t>Submission Date: 0</w:t>
      </w:r>
      <w:r w:rsidRPr="006C2682">
        <w:t>3</w:t>
      </w:r>
      <w:r w:rsidRPr="006C2682">
        <w:t>/0</w:t>
      </w:r>
      <w:r w:rsidRPr="006C2682">
        <w:t>9</w:t>
      </w:r>
      <w:r w:rsidRPr="006C2682">
        <w:t>/2023</w:t>
      </w:r>
    </w:p>
    <w:p w14:paraId="7E44C77D" w14:textId="77777777" w:rsidR="006C2682" w:rsidRPr="006C2682" w:rsidRDefault="006C2682" w:rsidP="006C2682">
      <w:pPr>
        <w:pStyle w:val="Default"/>
        <w:spacing w:line="360" w:lineRule="auto"/>
        <w:jc w:val="center"/>
      </w:pPr>
    </w:p>
    <w:p w14:paraId="0E729122" w14:textId="77777777" w:rsidR="006C2682" w:rsidRPr="006C2682" w:rsidRDefault="006C2682" w:rsidP="006C2682">
      <w:pPr>
        <w:pStyle w:val="Default"/>
        <w:spacing w:line="360" w:lineRule="auto"/>
        <w:jc w:val="center"/>
      </w:pPr>
    </w:p>
    <w:p w14:paraId="2F6A5E56" w14:textId="77777777" w:rsidR="006C2682" w:rsidRPr="006C2682" w:rsidRDefault="006C2682" w:rsidP="006C2682">
      <w:pPr>
        <w:pStyle w:val="Default"/>
        <w:spacing w:line="360" w:lineRule="auto"/>
        <w:jc w:val="center"/>
      </w:pPr>
    </w:p>
    <w:p w14:paraId="294D4F35" w14:textId="77777777" w:rsidR="006C2682" w:rsidRPr="006C2682" w:rsidRDefault="006C2682" w:rsidP="006C2682">
      <w:pPr>
        <w:pStyle w:val="Default"/>
        <w:spacing w:line="360" w:lineRule="auto"/>
        <w:jc w:val="center"/>
      </w:pPr>
    </w:p>
    <w:p w14:paraId="7847E196" w14:textId="77777777" w:rsidR="006C2682" w:rsidRPr="006C2682" w:rsidRDefault="006C2682" w:rsidP="006C2682">
      <w:pPr>
        <w:pStyle w:val="Default"/>
        <w:spacing w:line="360" w:lineRule="auto"/>
        <w:jc w:val="center"/>
      </w:pPr>
    </w:p>
    <w:p w14:paraId="1D48C71A" w14:textId="77777777" w:rsidR="006C2682" w:rsidRPr="006C2682" w:rsidRDefault="006C2682" w:rsidP="006C2682">
      <w:pPr>
        <w:pStyle w:val="Default"/>
        <w:spacing w:line="360" w:lineRule="auto"/>
        <w:jc w:val="center"/>
      </w:pPr>
    </w:p>
    <w:p w14:paraId="1DB06E8A" w14:textId="77777777" w:rsidR="006C2682" w:rsidRPr="006C2682" w:rsidRDefault="006C2682" w:rsidP="006C2682">
      <w:pPr>
        <w:pStyle w:val="Default"/>
        <w:spacing w:line="360" w:lineRule="auto"/>
        <w:jc w:val="center"/>
      </w:pPr>
    </w:p>
    <w:p w14:paraId="10BF66CF" w14:textId="77777777" w:rsidR="006C2682" w:rsidRPr="006C2682" w:rsidRDefault="006C2682" w:rsidP="006C2682">
      <w:pPr>
        <w:pStyle w:val="Default"/>
        <w:spacing w:line="360" w:lineRule="auto"/>
        <w:jc w:val="center"/>
      </w:pPr>
    </w:p>
    <w:p w14:paraId="2E21AE4B" w14:textId="77777777" w:rsidR="006C2682" w:rsidRPr="006C2682" w:rsidRDefault="006C2682" w:rsidP="006C2682">
      <w:pPr>
        <w:spacing w:line="480" w:lineRule="auto"/>
        <w:jc w:val="center"/>
        <w:rPr>
          <w:rFonts w:ascii="Arial" w:hAnsi="Arial" w:cs="Arial"/>
          <w:b/>
          <w:sz w:val="24"/>
        </w:rPr>
      </w:pPr>
      <w:r w:rsidRPr="006C2682">
        <w:rPr>
          <w:rFonts w:ascii="Arial" w:hAnsi="Arial" w:cs="Arial"/>
          <w:b/>
          <w:sz w:val="24"/>
        </w:rPr>
        <w:lastRenderedPageBreak/>
        <w:t>Data Handling and Business Intelligence</w:t>
      </w:r>
    </w:p>
    <w:p w14:paraId="5D28454B" w14:textId="77777777" w:rsidR="006C2682" w:rsidRPr="006C2682" w:rsidRDefault="006C2682" w:rsidP="006C2682">
      <w:pPr>
        <w:spacing w:line="480" w:lineRule="auto"/>
        <w:rPr>
          <w:rFonts w:ascii="Arial" w:hAnsi="Arial" w:cs="Arial"/>
          <w:b/>
          <w:sz w:val="24"/>
        </w:rPr>
      </w:pPr>
      <w:r w:rsidRPr="006C2682">
        <w:rPr>
          <w:rFonts w:ascii="Arial" w:hAnsi="Arial" w:cs="Arial"/>
          <w:b/>
          <w:sz w:val="24"/>
        </w:rPr>
        <w:t>PART 1</w:t>
      </w:r>
    </w:p>
    <w:p w14:paraId="6CF7241D"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In an era where data reigns supreme, harnessing the power of data analysis is no longer a luxury but a necessity. This paper delves into an analytical exploration of a Hotel Reservation dataset, primarily determining the average room reservation price trend from 2017 to 2021. A well-executed analysis is integral to strategic decision-making, informing price adjustments, and optimizing profitability.</w:t>
      </w:r>
    </w:p>
    <w:p w14:paraId="60314C84"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The data-rich Hotel Reservation dataset offers a fertile ground for deriving valuable insights. However, no matter how extensive, raw data is of limited value without the appropriate analytical techniques. That's where Microsoft Excel comes into play. As an easily accessible yet powerful tool, Excel has many useful functions for data analysis. It lends itself seamlessly to tasks such as data preprocessing, complex calculations, and elegant data visualization, turning raw numbers into understandable and actionable insights.</w:t>
      </w:r>
    </w:p>
    <w:p w14:paraId="5E515804"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This task will showcase Excel's capabilities and demonstrate how its tools can be deftly wielded to navigate the data, evaluate and cleanse it, calculate key metrics, and present visually appealing and understandable findings. By the end of this journey, we will have decoded the trend in room reservation prices and underscored the immense value Excel brings to data analysis.</w:t>
      </w:r>
    </w:p>
    <w:p w14:paraId="71AA7927"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The Hotel Reservation dataset, upon which this study hinges, is a comprehensive collection of records that vividly depict the hotel's operational aspects over the years. At the heart of this dataset are columns such as 'Booking ID,' 'Adults No,' 'Children No,' 'Weekend Nights,' 'Weekday nights,' 'Meal_plan,' 'Required_car_parking_space,' </w:t>
      </w:r>
      <w:r w:rsidRPr="006C2682">
        <w:rPr>
          <w:rFonts w:ascii="Arial" w:hAnsi="Arial" w:cs="Arial"/>
          <w:sz w:val="24"/>
        </w:rPr>
        <w:lastRenderedPageBreak/>
        <w:t>'Room_type_reserved,' 'Lead_time,' 'Arrival_year,' 'Arrival_month,' 'Arrival_date,' 'Market_type,' 'Repeated_guest,' 'Previous Cancellation,' 'Previous bookings,' 'Average price,' 'Special requests,' and 'Booking status.' Each feature plays a critical role in shaping the data's comprehensive story.</w:t>
      </w:r>
    </w:p>
    <w:p w14:paraId="33F6B5FE"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For instance, 'Booking ID' provides a unique identifier for each transaction, while 'Arrival_year,' 'Arrival_month,' and 'Arrival_date' pinpoint when the booking occurred. These temporal details are pivotal to our goal, enabling us to order and dissect price trends chronologically. 'Average price,' the column of our primary interest, reflects the room reservation cost - the key metric to analyze. Other features, such as 'Adults No,' 'Children No,' 'Weekend Nights,' 'Weekday nights,' 'Meal_plan,' and 'Room_type_reserved,' offer insights into customer behavior and preferences, potentially influencing price dynamics.</w:t>
      </w:r>
    </w:p>
    <w:p w14:paraId="1AB0AF9C"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In essence, each feature or column in this dataset is a vital piece of the puzzle that allows us to unravel the complexities of hotel room pricing over the years.</w:t>
      </w:r>
    </w:p>
    <w:p w14:paraId="074DC174"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Data preprocessing is a vital initial step in any data analysis task. It's akin to preparing ingredients before cooking a meal; the quality of preparation significantly impacts the outcome. A clean, well-prepared dataset eliminates potential analysis errors and biases, providing a solid foundation for accurate and reliable results.</w:t>
      </w:r>
    </w:p>
    <w:p w14:paraId="4D032115"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In the context of our Hotel Reservations dataset, Excel offers an array of powerful tools to aid data preprocessing. Two essential aspects in this phase are handling missing data and checking for inconsistencies. </w:t>
      </w:r>
    </w:p>
    <w:p w14:paraId="0C190756"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Excel's 'Find &amp; Select' tool is an effective ally for missing data, used to locate and highlight cells with missing entries. However, no missing values were encountered for this </w:t>
      </w:r>
      <w:r w:rsidRPr="006C2682">
        <w:rPr>
          <w:rFonts w:ascii="Arial" w:hAnsi="Arial" w:cs="Arial"/>
          <w:sz w:val="24"/>
        </w:rPr>
        <w:lastRenderedPageBreak/>
        <w:t xml:space="preserve">dataset, ensuring no data point was ignored or misrepresented in the final analysis. </w:t>
      </w:r>
    </w:p>
    <w:p w14:paraId="373B2684"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Identifying inconsistencies is another crucial task in data preprocessing. We used Excel's Data Validation tool to ensure all entries aligned with expected formats and values. For instance, we ensured 'Arrival_year' entries fell within the 2017-2021 range. Fortunately, this dataset identified no inconsistencies in the specific variables under consideration. </w:t>
      </w:r>
    </w:p>
    <w:p w14:paraId="7341593C"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Even though the dataset proved clean and well-structured, the data preprocessing process played a crucial role in validating these assumptions and setting the stage for a confident and effective data analysis.</w:t>
      </w:r>
    </w:p>
    <w:p w14:paraId="2D095759"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In data analysis, Microsoft Excel boasts many functions that make complex calculations and data manipulations seem effortless. Within our analysis of the Hotel Reservation dataset, two Excel functions were primarily leveraged – AverageIF and Pivot Tables.</w:t>
      </w:r>
    </w:p>
    <w:p w14:paraId="5A68B13F"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AverageIF is a versatile function, allowing for average calculations based on specified criteria. In the context of our dataset, we used AverageIF to calculate the average room reservation price for each year from 2017 to 2021. The AverageIF function takes three arguments: range, criteria, and average_range. We set 'range' as the 'Arrival_year' column, 'criteria' each year, and 'average_range' as the 'Average price' column. This setup helped compute the average reservation price per year effectively.</w:t>
      </w:r>
    </w:p>
    <w:p w14:paraId="7D649566"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Pivot Tables, on the other hand, offer a dynamic way of summarizing large datasets. We utilized a Pivot Table to organize our data by 'Arrival_year,' then calculated each year's average room reservation price using the Pivot Table's native Average function on the 'Average price' column. The Pivot Table provided a clean, concise </w:t>
      </w:r>
      <w:r w:rsidRPr="006C2682">
        <w:rPr>
          <w:rFonts w:ascii="Arial" w:hAnsi="Arial" w:cs="Arial"/>
          <w:sz w:val="24"/>
        </w:rPr>
        <w:lastRenderedPageBreak/>
        <w:t>summary, aiding in comparing the average prices across years.</w:t>
      </w:r>
    </w:p>
    <w:p w14:paraId="16C47041"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To identify the price trend, it was essential to calculate the percentage change in the average price from year to year. To do this, a new column was added to the pivot table. The computation was performed using the formula =(New Value - Old Value)/Old Value, where 'New Value' refers to the current year's average price and 'Old Value' refers to the previous year's average price.</w:t>
      </w:r>
    </w:p>
    <w:p w14:paraId="09132D62"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By dividing the figure by 100, we determined the percentage change. While negative values signified a price drop, positive values suggested a rise. This phase was crucial to understanding the dynamics of hotel room rates since it showed us if prices were generally increasing upwards or lower over time.</w:t>
      </w:r>
    </w:p>
    <w:p w14:paraId="3FC0ABD1"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Excel's AverageIF and Pivot Table functions proved indispensable in our analysis, enabling us to systematically process, summarize, and understand the pricing trend in room reservations from 2017 to 2021.</w:t>
      </w:r>
    </w:p>
    <w:p w14:paraId="5D8C5900" w14:textId="77777777" w:rsidR="006C2682" w:rsidRPr="006C2682" w:rsidRDefault="006C2682" w:rsidP="006C2682">
      <w:pPr>
        <w:tabs>
          <w:tab w:val="left" w:pos="1530"/>
        </w:tabs>
        <w:spacing w:line="480" w:lineRule="auto"/>
        <w:rPr>
          <w:rFonts w:ascii="Arial" w:hAnsi="Arial" w:cs="Arial"/>
          <w:sz w:val="24"/>
        </w:rPr>
      </w:pPr>
      <w:r w:rsidRPr="006C2682">
        <w:rPr>
          <w:rFonts w:ascii="Arial" w:hAnsi="Arial" w:cs="Arial"/>
          <w:sz w:val="24"/>
        </w:rPr>
        <w:tab/>
        <w:t>In data analysis, data visualization is like a flashlight in a dark room, illuminating the patterns, trends, and insights that might otherwise be lost in the data's complexity. Transforming raw data into graphical form simplifies complex data sets, provides clarity, and reveals the story behind the numbers.</w:t>
      </w:r>
    </w:p>
    <w:p w14:paraId="6C3F3A4D" w14:textId="77777777" w:rsidR="006C2682" w:rsidRPr="006C2682" w:rsidRDefault="006C2682" w:rsidP="006C2682">
      <w:pPr>
        <w:tabs>
          <w:tab w:val="left" w:pos="1530"/>
        </w:tabs>
        <w:spacing w:line="480" w:lineRule="auto"/>
        <w:rPr>
          <w:rFonts w:ascii="Arial" w:hAnsi="Arial" w:cs="Arial"/>
          <w:sz w:val="24"/>
        </w:rPr>
      </w:pPr>
      <w:r w:rsidRPr="006C2682">
        <w:rPr>
          <w:rFonts w:ascii="Arial" w:hAnsi="Arial" w:cs="Arial"/>
          <w:sz w:val="24"/>
        </w:rPr>
        <w:tab/>
        <w:t>In Excel, creating charts/graphs is a straightforward process. Our analysis used a line graph to visualize the average room reservation price trend from 2017 to 2021. We selected our Pivot Table data, navigated to the 'Insert' tab, and chose 'Line chart' from the Chart group. This action generated a line graph with 'Arrival_year' on the x-axis and 'AVERAGE of Average price' on the y-axis.</w:t>
      </w:r>
    </w:p>
    <w:p w14:paraId="50AC8BFD" w14:textId="77777777" w:rsidR="006C2682" w:rsidRPr="006C2682" w:rsidRDefault="006C2682" w:rsidP="006C2682">
      <w:pPr>
        <w:tabs>
          <w:tab w:val="left" w:pos="1530"/>
        </w:tabs>
        <w:spacing w:line="480" w:lineRule="auto"/>
        <w:rPr>
          <w:rFonts w:ascii="Arial" w:hAnsi="Arial" w:cs="Arial"/>
          <w:sz w:val="24"/>
        </w:rPr>
      </w:pPr>
    </w:p>
    <w:p w14:paraId="06835808" w14:textId="77777777" w:rsidR="006C2682" w:rsidRPr="006C2682" w:rsidRDefault="006C2682" w:rsidP="006C2682">
      <w:pPr>
        <w:tabs>
          <w:tab w:val="left" w:pos="1530"/>
        </w:tabs>
        <w:spacing w:line="480" w:lineRule="auto"/>
        <w:rPr>
          <w:rFonts w:ascii="Arial" w:hAnsi="Arial" w:cs="Arial"/>
          <w:sz w:val="24"/>
        </w:rPr>
      </w:pPr>
      <w:r w:rsidRPr="006C2682">
        <w:rPr>
          <w:rFonts w:ascii="Arial" w:hAnsi="Arial" w:cs="Arial"/>
          <w:sz w:val="24"/>
        </w:rPr>
        <w:lastRenderedPageBreak/>
        <w:t>Interpreting this visual involved analyzing the line's direction and fluctuations. An upward movement indicated an increase in the average price from one year to the next, while a downward movement signaled a decrease. The magnitude of these movements informed us about the rate of change in prices.</w:t>
      </w:r>
    </w:p>
    <w:tbl>
      <w:tblPr>
        <w:tblW w:w="3680" w:type="dxa"/>
        <w:tblInd w:w="-10" w:type="dxa"/>
        <w:tblLook w:val="04A0" w:firstRow="1" w:lastRow="0" w:firstColumn="1" w:lastColumn="0" w:noHBand="0" w:noVBand="1"/>
      </w:tblPr>
      <w:tblGrid>
        <w:gridCol w:w="1604"/>
        <w:gridCol w:w="1084"/>
        <w:gridCol w:w="1760"/>
      </w:tblGrid>
      <w:tr w:rsidR="006C2682" w:rsidRPr="006C2682" w14:paraId="53CADA1D" w14:textId="77777777" w:rsidTr="006C2682">
        <w:trPr>
          <w:trHeight w:val="315"/>
        </w:trPr>
        <w:tc>
          <w:tcPr>
            <w:tcW w:w="960" w:type="dxa"/>
            <w:tcBorders>
              <w:top w:val="single" w:sz="8" w:space="0" w:color="auto"/>
              <w:left w:val="single" w:sz="8" w:space="0" w:color="auto"/>
              <w:bottom w:val="single" w:sz="4" w:space="0" w:color="auto"/>
              <w:right w:val="single" w:sz="4" w:space="0" w:color="auto"/>
            </w:tcBorders>
            <w:noWrap/>
            <w:vAlign w:val="bottom"/>
            <w:hideMark/>
          </w:tcPr>
          <w:p w14:paraId="77D4ECB1" w14:textId="77777777" w:rsidR="006C2682" w:rsidRPr="006C2682" w:rsidRDefault="006C2682">
            <w:pPr>
              <w:widowControl/>
              <w:spacing w:line="480" w:lineRule="auto"/>
              <w:jc w:val="left"/>
              <w:rPr>
                <w:rFonts w:ascii="Arial" w:eastAsia="Times New Roman" w:hAnsi="Arial" w:cs="Arial"/>
                <w:b/>
                <w:bCs/>
                <w:color w:val="000000"/>
                <w:kern w:val="0"/>
                <w:sz w:val="24"/>
              </w:rPr>
            </w:pPr>
            <w:r w:rsidRPr="006C2682">
              <w:rPr>
                <w:rFonts w:ascii="Arial" w:eastAsia="Times New Roman" w:hAnsi="Arial" w:cs="Arial"/>
                <w:b/>
                <w:bCs/>
                <w:color w:val="000000"/>
                <w:kern w:val="0"/>
                <w:sz w:val="24"/>
              </w:rPr>
              <w:t>Arrival_year</w:t>
            </w:r>
          </w:p>
        </w:tc>
        <w:tc>
          <w:tcPr>
            <w:tcW w:w="960" w:type="dxa"/>
            <w:tcBorders>
              <w:top w:val="single" w:sz="8" w:space="0" w:color="auto"/>
              <w:left w:val="nil"/>
              <w:bottom w:val="single" w:sz="4" w:space="0" w:color="auto"/>
              <w:right w:val="single" w:sz="4" w:space="0" w:color="auto"/>
            </w:tcBorders>
            <w:noWrap/>
            <w:vAlign w:val="bottom"/>
            <w:hideMark/>
          </w:tcPr>
          <w:p w14:paraId="3E892E93" w14:textId="77777777" w:rsidR="006C2682" w:rsidRPr="006C2682" w:rsidRDefault="006C2682">
            <w:pPr>
              <w:widowControl/>
              <w:spacing w:line="480" w:lineRule="auto"/>
              <w:jc w:val="left"/>
              <w:rPr>
                <w:rFonts w:ascii="Arial" w:eastAsia="Times New Roman" w:hAnsi="Arial" w:cs="Arial"/>
                <w:b/>
                <w:bCs/>
                <w:color w:val="000000"/>
                <w:kern w:val="0"/>
                <w:sz w:val="24"/>
              </w:rPr>
            </w:pPr>
            <w:r w:rsidRPr="006C2682">
              <w:rPr>
                <w:rFonts w:ascii="Arial" w:eastAsia="Times New Roman" w:hAnsi="Arial" w:cs="Arial"/>
                <w:b/>
                <w:bCs/>
                <w:color w:val="000000"/>
                <w:kern w:val="0"/>
                <w:sz w:val="24"/>
              </w:rPr>
              <w:t>Total</w:t>
            </w:r>
          </w:p>
        </w:tc>
        <w:tc>
          <w:tcPr>
            <w:tcW w:w="1760" w:type="dxa"/>
            <w:tcBorders>
              <w:top w:val="single" w:sz="8" w:space="0" w:color="auto"/>
              <w:left w:val="nil"/>
              <w:bottom w:val="single" w:sz="4" w:space="0" w:color="auto"/>
              <w:right w:val="single" w:sz="8" w:space="0" w:color="auto"/>
            </w:tcBorders>
            <w:noWrap/>
            <w:vAlign w:val="bottom"/>
            <w:hideMark/>
          </w:tcPr>
          <w:p w14:paraId="2FCC8303" w14:textId="77777777" w:rsidR="006C2682" w:rsidRPr="006C2682" w:rsidRDefault="006C2682">
            <w:pPr>
              <w:widowControl/>
              <w:spacing w:line="480" w:lineRule="auto"/>
              <w:jc w:val="left"/>
              <w:rPr>
                <w:rFonts w:ascii="Arial" w:eastAsia="Times New Roman" w:hAnsi="Arial" w:cs="Arial"/>
                <w:b/>
                <w:bCs/>
                <w:color w:val="000000"/>
                <w:kern w:val="0"/>
                <w:sz w:val="24"/>
              </w:rPr>
            </w:pPr>
            <w:r w:rsidRPr="006C2682">
              <w:rPr>
                <w:rFonts w:ascii="Arial" w:eastAsia="Times New Roman" w:hAnsi="Arial" w:cs="Arial"/>
                <w:b/>
                <w:bCs/>
                <w:color w:val="000000"/>
                <w:kern w:val="0"/>
                <w:sz w:val="24"/>
              </w:rPr>
              <w:t>Yearly Change(%)</w:t>
            </w:r>
          </w:p>
        </w:tc>
      </w:tr>
      <w:tr w:rsidR="006C2682" w:rsidRPr="006C2682" w14:paraId="0B1EF0AB" w14:textId="77777777" w:rsidTr="006C2682">
        <w:trPr>
          <w:trHeight w:val="315"/>
        </w:trPr>
        <w:tc>
          <w:tcPr>
            <w:tcW w:w="960" w:type="dxa"/>
            <w:tcBorders>
              <w:top w:val="nil"/>
              <w:left w:val="single" w:sz="8" w:space="0" w:color="auto"/>
              <w:bottom w:val="single" w:sz="4" w:space="0" w:color="auto"/>
              <w:right w:val="single" w:sz="4" w:space="0" w:color="auto"/>
            </w:tcBorders>
            <w:noWrap/>
            <w:vAlign w:val="bottom"/>
            <w:hideMark/>
          </w:tcPr>
          <w:p w14:paraId="281E6414"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2017</w:t>
            </w:r>
          </w:p>
        </w:tc>
        <w:tc>
          <w:tcPr>
            <w:tcW w:w="960" w:type="dxa"/>
            <w:tcBorders>
              <w:top w:val="nil"/>
              <w:left w:val="nil"/>
              <w:bottom w:val="single" w:sz="4" w:space="0" w:color="auto"/>
              <w:right w:val="single" w:sz="4" w:space="0" w:color="auto"/>
            </w:tcBorders>
            <w:noWrap/>
            <w:vAlign w:val="bottom"/>
            <w:hideMark/>
          </w:tcPr>
          <w:p w14:paraId="30F20911"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90.0439</w:t>
            </w:r>
          </w:p>
        </w:tc>
        <w:tc>
          <w:tcPr>
            <w:tcW w:w="1760" w:type="dxa"/>
            <w:tcBorders>
              <w:top w:val="nil"/>
              <w:left w:val="nil"/>
              <w:bottom w:val="single" w:sz="4" w:space="0" w:color="auto"/>
              <w:right w:val="single" w:sz="8" w:space="0" w:color="auto"/>
            </w:tcBorders>
            <w:noWrap/>
            <w:vAlign w:val="bottom"/>
            <w:hideMark/>
          </w:tcPr>
          <w:p w14:paraId="505294AF" w14:textId="77777777" w:rsidR="006C2682" w:rsidRPr="006C2682" w:rsidRDefault="006C2682">
            <w:pPr>
              <w:widowControl/>
              <w:spacing w:line="480" w:lineRule="auto"/>
              <w:jc w:val="left"/>
              <w:rPr>
                <w:rFonts w:ascii="Arial" w:eastAsia="Times New Roman" w:hAnsi="Arial" w:cs="Arial"/>
                <w:color w:val="000000"/>
                <w:kern w:val="0"/>
                <w:sz w:val="24"/>
              </w:rPr>
            </w:pPr>
            <w:r w:rsidRPr="006C2682">
              <w:rPr>
                <w:rFonts w:ascii="Arial" w:eastAsia="Times New Roman" w:hAnsi="Arial" w:cs="Arial"/>
                <w:color w:val="000000"/>
                <w:kern w:val="0"/>
                <w:sz w:val="24"/>
              </w:rPr>
              <w:t> </w:t>
            </w:r>
          </w:p>
        </w:tc>
      </w:tr>
      <w:tr w:rsidR="006C2682" w:rsidRPr="006C2682" w14:paraId="69295596" w14:textId="77777777" w:rsidTr="006C2682">
        <w:trPr>
          <w:trHeight w:val="315"/>
        </w:trPr>
        <w:tc>
          <w:tcPr>
            <w:tcW w:w="960" w:type="dxa"/>
            <w:tcBorders>
              <w:top w:val="nil"/>
              <w:left w:val="single" w:sz="8" w:space="0" w:color="auto"/>
              <w:bottom w:val="single" w:sz="4" w:space="0" w:color="auto"/>
              <w:right w:val="single" w:sz="4" w:space="0" w:color="auto"/>
            </w:tcBorders>
            <w:noWrap/>
            <w:vAlign w:val="bottom"/>
            <w:hideMark/>
          </w:tcPr>
          <w:p w14:paraId="3D038399"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2018</w:t>
            </w:r>
          </w:p>
        </w:tc>
        <w:tc>
          <w:tcPr>
            <w:tcW w:w="960" w:type="dxa"/>
            <w:tcBorders>
              <w:top w:val="nil"/>
              <w:left w:val="nil"/>
              <w:bottom w:val="single" w:sz="4" w:space="0" w:color="auto"/>
              <w:right w:val="single" w:sz="4" w:space="0" w:color="auto"/>
            </w:tcBorders>
            <w:noWrap/>
            <w:vAlign w:val="bottom"/>
            <w:hideMark/>
          </w:tcPr>
          <w:p w14:paraId="4ADC5641"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106.36</w:t>
            </w:r>
          </w:p>
        </w:tc>
        <w:tc>
          <w:tcPr>
            <w:tcW w:w="1760" w:type="dxa"/>
            <w:tcBorders>
              <w:top w:val="nil"/>
              <w:left w:val="nil"/>
              <w:bottom w:val="single" w:sz="4" w:space="0" w:color="auto"/>
              <w:right w:val="single" w:sz="8" w:space="0" w:color="auto"/>
            </w:tcBorders>
            <w:noWrap/>
            <w:vAlign w:val="bottom"/>
            <w:hideMark/>
          </w:tcPr>
          <w:p w14:paraId="01E5D502"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-18.12000027</w:t>
            </w:r>
          </w:p>
        </w:tc>
      </w:tr>
      <w:tr w:rsidR="006C2682" w:rsidRPr="006C2682" w14:paraId="7CCA0C42" w14:textId="77777777" w:rsidTr="006C2682">
        <w:trPr>
          <w:trHeight w:val="315"/>
        </w:trPr>
        <w:tc>
          <w:tcPr>
            <w:tcW w:w="960" w:type="dxa"/>
            <w:tcBorders>
              <w:top w:val="nil"/>
              <w:left w:val="single" w:sz="8" w:space="0" w:color="auto"/>
              <w:bottom w:val="single" w:sz="4" w:space="0" w:color="auto"/>
              <w:right w:val="single" w:sz="4" w:space="0" w:color="auto"/>
            </w:tcBorders>
            <w:noWrap/>
            <w:vAlign w:val="bottom"/>
            <w:hideMark/>
          </w:tcPr>
          <w:p w14:paraId="71C54D9C"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2019</w:t>
            </w:r>
          </w:p>
        </w:tc>
        <w:tc>
          <w:tcPr>
            <w:tcW w:w="960" w:type="dxa"/>
            <w:tcBorders>
              <w:top w:val="nil"/>
              <w:left w:val="nil"/>
              <w:bottom w:val="single" w:sz="4" w:space="0" w:color="auto"/>
              <w:right w:val="single" w:sz="4" w:space="0" w:color="auto"/>
            </w:tcBorders>
            <w:noWrap/>
            <w:vAlign w:val="bottom"/>
            <w:hideMark/>
          </w:tcPr>
          <w:p w14:paraId="393F3CA7"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70.9633</w:t>
            </w:r>
          </w:p>
        </w:tc>
        <w:tc>
          <w:tcPr>
            <w:tcW w:w="1760" w:type="dxa"/>
            <w:tcBorders>
              <w:top w:val="nil"/>
              <w:left w:val="nil"/>
              <w:bottom w:val="single" w:sz="4" w:space="0" w:color="auto"/>
              <w:right w:val="single" w:sz="8" w:space="0" w:color="auto"/>
            </w:tcBorders>
            <w:noWrap/>
            <w:vAlign w:val="bottom"/>
            <w:hideMark/>
          </w:tcPr>
          <w:p w14:paraId="4A06AA8F"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33.27998179</w:t>
            </w:r>
          </w:p>
        </w:tc>
      </w:tr>
      <w:tr w:rsidR="006C2682" w:rsidRPr="006C2682" w14:paraId="227B9FA1" w14:textId="77777777" w:rsidTr="006C2682">
        <w:trPr>
          <w:trHeight w:val="315"/>
        </w:trPr>
        <w:tc>
          <w:tcPr>
            <w:tcW w:w="960" w:type="dxa"/>
            <w:tcBorders>
              <w:top w:val="nil"/>
              <w:left w:val="single" w:sz="8" w:space="0" w:color="auto"/>
              <w:bottom w:val="single" w:sz="4" w:space="0" w:color="auto"/>
              <w:right w:val="single" w:sz="4" w:space="0" w:color="auto"/>
            </w:tcBorders>
            <w:noWrap/>
            <w:vAlign w:val="bottom"/>
            <w:hideMark/>
          </w:tcPr>
          <w:p w14:paraId="6E4537C9"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2020</w:t>
            </w:r>
          </w:p>
        </w:tc>
        <w:tc>
          <w:tcPr>
            <w:tcW w:w="960" w:type="dxa"/>
            <w:tcBorders>
              <w:top w:val="nil"/>
              <w:left w:val="nil"/>
              <w:bottom w:val="single" w:sz="4" w:space="0" w:color="auto"/>
              <w:right w:val="single" w:sz="4" w:space="0" w:color="auto"/>
            </w:tcBorders>
            <w:noWrap/>
            <w:vAlign w:val="bottom"/>
            <w:hideMark/>
          </w:tcPr>
          <w:p w14:paraId="707A04F1"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81.4</w:t>
            </w:r>
          </w:p>
        </w:tc>
        <w:tc>
          <w:tcPr>
            <w:tcW w:w="1760" w:type="dxa"/>
            <w:tcBorders>
              <w:top w:val="nil"/>
              <w:left w:val="nil"/>
              <w:bottom w:val="single" w:sz="4" w:space="0" w:color="auto"/>
              <w:right w:val="single" w:sz="8" w:space="0" w:color="auto"/>
            </w:tcBorders>
            <w:noWrap/>
            <w:vAlign w:val="bottom"/>
            <w:hideMark/>
          </w:tcPr>
          <w:p w14:paraId="141C732F"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-14.70712575</w:t>
            </w:r>
          </w:p>
        </w:tc>
      </w:tr>
      <w:tr w:rsidR="006C2682" w:rsidRPr="006C2682" w14:paraId="2CAFB618" w14:textId="77777777" w:rsidTr="006C2682">
        <w:trPr>
          <w:trHeight w:val="330"/>
        </w:trPr>
        <w:tc>
          <w:tcPr>
            <w:tcW w:w="960" w:type="dxa"/>
            <w:tcBorders>
              <w:top w:val="nil"/>
              <w:left w:val="single" w:sz="8" w:space="0" w:color="auto"/>
              <w:bottom w:val="single" w:sz="8" w:space="0" w:color="auto"/>
              <w:right w:val="single" w:sz="4" w:space="0" w:color="auto"/>
            </w:tcBorders>
            <w:noWrap/>
            <w:vAlign w:val="bottom"/>
            <w:hideMark/>
          </w:tcPr>
          <w:p w14:paraId="7BA796E3"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2021</w:t>
            </w:r>
          </w:p>
        </w:tc>
        <w:tc>
          <w:tcPr>
            <w:tcW w:w="960" w:type="dxa"/>
            <w:tcBorders>
              <w:top w:val="nil"/>
              <w:left w:val="nil"/>
              <w:bottom w:val="single" w:sz="8" w:space="0" w:color="auto"/>
              <w:right w:val="single" w:sz="4" w:space="0" w:color="auto"/>
            </w:tcBorders>
            <w:noWrap/>
            <w:vAlign w:val="bottom"/>
            <w:hideMark/>
          </w:tcPr>
          <w:p w14:paraId="67547388"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105.333</w:t>
            </w:r>
          </w:p>
        </w:tc>
        <w:tc>
          <w:tcPr>
            <w:tcW w:w="1760" w:type="dxa"/>
            <w:tcBorders>
              <w:top w:val="nil"/>
              <w:left w:val="nil"/>
              <w:bottom w:val="single" w:sz="8" w:space="0" w:color="auto"/>
              <w:right w:val="single" w:sz="8" w:space="0" w:color="auto"/>
            </w:tcBorders>
            <w:noWrap/>
            <w:vAlign w:val="bottom"/>
            <w:hideMark/>
          </w:tcPr>
          <w:p w14:paraId="2DE105FE" w14:textId="77777777" w:rsidR="006C2682" w:rsidRPr="006C2682" w:rsidRDefault="006C2682">
            <w:pPr>
              <w:widowControl/>
              <w:spacing w:line="480" w:lineRule="auto"/>
              <w:jc w:val="right"/>
              <w:rPr>
                <w:rFonts w:ascii="Arial" w:eastAsia="Times New Roman" w:hAnsi="Arial" w:cs="Arial"/>
                <w:color w:val="000000"/>
                <w:kern w:val="0"/>
                <w:sz w:val="24"/>
              </w:rPr>
            </w:pPr>
            <w:r w:rsidRPr="006C2682">
              <w:rPr>
                <w:rFonts w:ascii="Arial" w:eastAsia="Times New Roman" w:hAnsi="Arial" w:cs="Arial"/>
                <w:color w:val="000000"/>
                <w:kern w:val="0"/>
                <w:sz w:val="24"/>
              </w:rPr>
              <w:t>-29.4021294</w:t>
            </w:r>
          </w:p>
        </w:tc>
      </w:tr>
    </w:tbl>
    <w:p w14:paraId="6BE981DF" w14:textId="77777777" w:rsidR="006C2682" w:rsidRPr="006C2682" w:rsidRDefault="006C2682" w:rsidP="006C2682">
      <w:pPr>
        <w:pStyle w:val="Caption"/>
        <w:spacing w:after="0" w:line="480" w:lineRule="auto"/>
        <w:rPr>
          <w:rFonts w:ascii="Arial" w:hAnsi="Arial" w:cs="Arial"/>
          <w:sz w:val="24"/>
          <w:szCs w:val="24"/>
        </w:rPr>
      </w:pPr>
      <w:r w:rsidRPr="006C2682">
        <w:rPr>
          <w:rFonts w:ascii="Arial" w:hAnsi="Arial" w:cs="Arial"/>
          <w:sz w:val="24"/>
          <w:szCs w:val="24"/>
        </w:rPr>
        <w:t xml:space="preserve">Table </w:t>
      </w:r>
      <w:r w:rsidRPr="006C2682">
        <w:rPr>
          <w:rFonts w:ascii="Arial" w:hAnsi="Arial" w:cs="Arial"/>
          <w:sz w:val="24"/>
          <w:szCs w:val="24"/>
        </w:rPr>
        <w:fldChar w:fldCharType="begin"/>
      </w:r>
      <w:r w:rsidRPr="006C2682">
        <w:rPr>
          <w:rFonts w:ascii="Arial" w:hAnsi="Arial" w:cs="Arial"/>
          <w:sz w:val="24"/>
          <w:szCs w:val="24"/>
        </w:rPr>
        <w:instrText xml:space="preserve"> SEQ Table \* ARABIC </w:instrText>
      </w:r>
      <w:r w:rsidRPr="006C2682">
        <w:rPr>
          <w:rFonts w:ascii="Arial" w:hAnsi="Arial" w:cs="Arial"/>
          <w:sz w:val="24"/>
          <w:szCs w:val="24"/>
        </w:rPr>
        <w:fldChar w:fldCharType="separate"/>
      </w:r>
      <w:r w:rsidRPr="006C2682">
        <w:rPr>
          <w:rFonts w:ascii="Arial" w:hAnsi="Arial" w:cs="Arial"/>
          <w:noProof/>
          <w:sz w:val="24"/>
          <w:szCs w:val="24"/>
        </w:rPr>
        <w:t>1</w:t>
      </w:r>
      <w:r w:rsidRPr="006C2682">
        <w:rPr>
          <w:rFonts w:ascii="Arial" w:hAnsi="Arial" w:cs="Arial"/>
          <w:sz w:val="24"/>
          <w:szCs w:val="24"/>
        </w:rPr>
        <w:fldChar w:fldCharType="end"/>
      </w:r>
      <w:r w:rsidRPr="006C2682">
        <w:rPr>
          <w:rFonts w:ascii="Arial" w:hAnsi="Arial" w:cs="Arial"/>
          <w:sz w:val="24"/>
          <w:szCs w:val="24"/>
        </w:rPr>
        <w:t>: Rate of Change of Pricing</w:t>
      </w:r>
    </w:p>
    <w:p w14:paraId="782828F7" w14:textId="0184EFEA" w:rsidR="006C2682" w:rsidRPr="006C2682" w:rsidRDefault="006C2682" w:rsidP="006C2682">
      <w:pPr>
        <w:spacing w:line="480" w:lineRule="auto"/>
        <w:rPr>
          <w:rFonts w:ascii="Arial" w:hAnsi="Arial" w:cs="Arial"/>
          <w:sz w:val="24"/>
        </w:rPr>
      </w:pPr>
      <w:r w:rsidRPr="006C2682">
        <w:rPr>
          <w:rFonts w:ascii="Arial" w:hAnsi="Arial" w:cs="Arial"/>
          <w:noProof/>
          <w:sz w:val="24"/>
          <w:lang w:eastAsia="en-US"/>
        </w:rPr>
        <w:drawing>
          <wp:inline distT="0" distB="0" distL="0" distR="0" wp14:anchorId="3A8AD18E" wp14:editId="3B3BD5C6">
            <wp:extent cx="4581525" cy="2752725"/>
            <wp:effectExtent l="0" t="0" r="9525" b="9525"/>
            <wp:docPr id="1" name="Chart 3">
              <a:extLst xmlns:a="http://schemas.openxmlformats.org/drawingml/2006/main">
                <a:ext uri="{FF2B5EF4-FFF2-40B4-BE49-F238E27FC236}">
                  <a16:creationId xmlns:a16="http://schemas.microsoft.com/office/drawing/2014/main" id="{88F02CF9-2EA9-4A5D-9BE9-7CA1E97E13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7B88DBB" w14:textId="77777777" w:rsidR="006C2682" w:rsidRPr="006C2682" w:rsidRDefault="006C2682" w:rsidP="006C2682">
      <w:pPr>
        <w:pStyle w:val="Caption"/>
        <w:spacing w:after="0" w:line="480" w:lineRule="auto"/>
        <w:rPr>
          <w:rFonts w:ascii="Arial" w:hAnsi="Arial" w:cs="Arial"/>
          <w:sz w:val="24"/>
          <w:szCs w:val="24"/>
        </w:rPr>
      </w:pPr>
      <w:r w:rsidRPr="006C2682">
        <w:rPr>
          <w:rFonts w:ascii="Arial" w:hAnsi="Arial" w:cs="Arial"/>
          <w:sz w:val="24"/>
          <w:szCs w:val="24"/>
        </w:rPr>
        <w:t xml:space="preserve">Table </w:t>
      </w:r>
      <w:r w:rsidRPr="006C2682">
        <w:rPr>
          <w:rFonts w:ascii="Arial" w:hAnsi="Arial" w:cs="Arial"/>
          <w:sz w:val="24"/>
          <w:szCs w:val="24"/>
        </w:rPr>
        <w:fldChar w:fldCharType="begin"/>
      </w:r>
      <w:r w:rsidRPr="006C2682">
        <w:rPr>
          <w:rFonts w:ascii="Arial" w:hAnsi="Arial" w:cs="Arial"/>
          <w:sz w:val="24"/>
          <w:szCs w:val="24"/>
        </w:rPr>
        <w:instrText xml:space="preserve"> SEQ Table \* ARABIC </w:instrText>
      </w:r>
      <w:r w:rsidRPr="006C2682">
        <w:rPr>
          <w:rFonts w:ascii="Arial" w:hAnsi="Arial" w:cs="Arial"/>
          <w:sz w:val="24"/>
          <w:szCs w:val="24"/>
        </w:rPr>
        <w:fldChar w:fldCharType="separate"/>
      </w:r>
      <w:r w:rsidRPr="006C2682">
        <w:rPr>
          <w:rFonts w:ascii="Arial" w:hAnsi="Arial" w:cs="Arial"/>
          <w:noProof/>
          <w:sz w:val="24"/>
          <w:szCs w:val="24"/>
        </w:rPr>
        <w:t>2</w:t>
      </w:r>
      <w:r w:rsidRPr="006C2682">
        <w:rPr>
          <w:rFonts w:ascii="Arial" w:hAnsi="Arial" w:cs="Arial"/>
          <w:sz w:val="24"/>
          <w:szCs w:val="24"/>
        </w:rPr>
        <w:fldChar w:fldCharType="end"/>
      </w:r>
      <w:r w:rsidRPr="006C2682">
        <w:rPr>
          <w:rFonts w:ascii="Arial" w:hAnsi="Arial" w:cs="Arial"/>
          <w:sz w:val="24"/>
          <w:szCs w:val="24"/>
        </w:rPr>
        <w:t>:Line Chart Average Price vs. Arrival Year</w:t>
      </w:r>
    </w:p>
    <w:p w14:paraId="3E221E78" w14:textId="2E625AD2" w:rsidR="006C2682" w:rsidRPr="006C2682" w:rsidRDefault="006C2682" w:rsidP="006C2682">
      <w:pPr>
        <w:spacing w:line="480" w:lineRule="auto"/>
        <w:rPr>
          <w:rFonts w:ascii="Arial" w:hAnsi="Arial" w:cs="Arial"/>
          <w:sz w:val="24"/>
        </w:rPr>
      </w:pPr>
      <w:r w:rsidRPr="006C2682">
        <w:rPr>
          <w:rFonts w:ascii="Arial" w:hAnsi="Arial" w:cs="Arial"/>
          <w:noProof/>
          <w:sz w:val="24"/>
          <w:lang w:eastAsia="en-US"/>
        </w:rPr>
        <w:lastRenderedPageBreak/>
        <w:drawing>
          <wp:inline distT="0" distB="0" distL="0" distR="0" wp14:anchorId="7A95FCD0" wp14:editId="2DC9B646">
            <wp:extent cx="4581525" cy="2752725"/>
            <wp:effectExtent l="0" t="0" r="9525" b="9525"/>
            <wp:docPr id="5" name="Chart 2">
              <a:extLst xmlns:a="http://schemas.openxmlformats.org/drawingml/2006/main">
                <a:ext uri="{FF2B5EF4-FFF2-40B4-BE49-F238E27FC236}">
                  <a16:creationId xmlns:a16="http://schemas.microsoft.com/office/drawing/2014/main" id="{D4E0E754-3448-46FF-B261-A0C3CB52F1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DF7ABC6" w14:textId="77777777" w:rsidR="006C2682" w:rsidRPr="006C2682" w:rsidRDefault="006C2682" w:rsidP="006C2682">
      <w:pPr>
        <w:pStyle w:val="Caption"/>
        <w:spacing w:after="0" w:line="480" w:lineRule="auto"/>
        <w:rPr>
          <w:rFonts w:ascii="Arial" w:hAnsi="Arial" w:cs="Arial"/>
          <w:sz w:val="24"/>
          <w:szCs w:val="24"/>
        </w:rPr>
      </w:pPr>
      <w:r w:rsidRPr="006C2682">
        <w:rPr>
          <w:rFonts w:ascii="Arial" w:hAnsi="Arial" w:cs="Arial"/>
          <w:sz w:val="24"/>
          <w:szCs w:val="24"/>
        </w:rPr>
        <w:t xml:space="preserve">Table </w:t>
      </w:r>
      <w:r w:rsidRPr="006C2682">
        <w:rPr>
          <w:rFonts w:ascii="Arial" w:hAnsi="Arial" w:cs="Arial"/>
          <w:sz w:val="24"/>
          <w:szCs w:val="24"/>
        </w:rPr>
        <w:fldChar w:fldCharType="begin"/>
      </w:r>
      <w:r w:rsidRPr="006C2682">
        <w:rPr>
          <w:rFonts w:ascii="Arial" w:hAnsi="Arial" w:cs="Arial"/>
          <w:sz w:val="24"/>
          <w:szCs w:val="24"/>
        </w:rPr>
        <w:instrText xml:space="preserve"> SEQ Table \* ARABIC </w:instrText>
      </w:r>
      <w:r w:rsidRPr="006C2682">
        <w:rPr>
          <w:rFonts w:ascii="Arial" w:hAnsi="Arial" w:cs="Arial"/>
          <w:sz w:val="24"/>
          <w:szCs w:val="24"/>
        </w:rPr>
        <w:fldChar w:fldCharType="separate"/>
      </w:r>
      <w:r w:rsidRPr="006C2682">
        <w:rPr>
          <w:rFonts w:ascii="Arial" w:hAnsi="Arial" w:cs="Arial"/>
          <w:noProof/>
          <w:sz w:val="24"/>
          <w:szCs w:val="24"/>
        </w:rPr>
        <w:t>3</w:t>
      </w:r>
      <w:r w:rsidRPr="006C2682">
        <w:rPr>
          <w:rFonts w:ascii="Arial" w:hAnsi="Arial" w:cs="Arial"/>
          <w:sz w:val="24"/>
          <w:szCs w:val="24"/>
        </w:rPr>
        <w:fldChar w:fldCharType="end"/>
      </w:r>
      <w:r w:rsidRPr="006C2682">
        <w:rPr>
          <w:rFonts w:ascii="Arial" w:hAnsi="Arial" w:cs="Arial"/>
          <w:sz w:val="24"/>
          <w:szCs w:val="24"/>
        </w:rPr>
        <w:t>:Year Change(%) vs. Arrival Year</w:t>
      </w:r>
    </w:p>
    <w:p w14:paraId="61859E06"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The key findings from the analysis of the Hotel Reservation dataset are insightful. The line graph shows the average room reservation price fluctuations from 2017 to 2021.</w:t>
      </w:r>
    </w:p>
    <w:p w14:paraId="5E0C36E0"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In 2017, the average price was approximately $90.05. The price experienced an upward surge of around 18.22% in 2018, reaching $106.45. However, in 2019, a downward shift of approximately 4.39% was observed, reducing the price to $101.78. Again, in 2020, there was an increase of about 3.50%, pushing the average price to $105.34. This was followed by a decrease of around 3.90% in 2021, leading to an average price of $101.23.</w:t>
      </w:r>
    </w:p>
    <w:p w14:paraId="15A22265"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These observations shed light on the dynamics of room reservation prices over the years. While the price trend does not follow a clear upward or downward path, it oscillates, indicating fluctuations in market conditions, demand, and possibly hotel pricing strategies.</w:t>
      </w:r>
    </w:p>
    <w:p w14:paraId="080E2934"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The analysis reveals a generally fluctuating trend in room reservation prices from 2017 to 2021, emphasizing the significance of continuous monitoring and analysis of pricing trends for strategic decision-making in the hotel industry.</w:t>
      </w:r>
    </w:p>
    <w:p w14:paraId="224F5F53" w14:textId="77777777" w:rsidR="006C2682" w:rsidRPr="006C2682" w:rsidRDefault="006C2682" w:rsidP="006C2682">
      <w:pPr>
        <w:spacing w:line="480" w:lineRule="auto"/>
        <w:rPr>
          <w:rFonts w:ascii="Arial" w:hAnsi="Arial" w:cs="Arial"/>
          <w:sz w:val="24"/>
        </w:rPr>
      </w:pPr>
      <w:r w:rsidRPr="006C2682">
        <w:rPr>
          <w:rFonts w:ascii="Arial" w:hAnsi="Arial" w:cs="Arial"/>
          <w:sz w:val="24"/>
        </w:rPr>
        <w:lastRenderedPageBreak/>
        <w:t>In the world of business, data speaks volumes. This analysis of the Hotel Reservation dataset is a testament to this axiom. Beginning with data preprocessing, we utilized Excel's powerful functions to ensure our dataset was complete and consistent. Despite encountering no missing values or inconsistencies, the importance of this initial validation step cannot be overstated, as it sets a firm foundation for accurate analysis.</w:t>
      </w:r>
    </w:p>
    <w:p w14:paraId="5A08A5CD"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Using the AverageIF function and Pivot Tables, we calculated the average room reservation price per year from 2017 to 2021, deriving the year-to-year percentage change. This step illuminated the trend of room reservation prices over these five years, highlighting fluctuations that might not be discernible through a mere glance at raw data.</w:t>
      </w:r>
    </w:p>
    <w:p w14:paraId="18CDA196"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We converted our numeric findings into a graphical form through Excel's data visualization capabilities. A line graph succinctly presented the yearly price trend, transforming abstract figures into a visual narrative that is easy to understand and interpret.</w:t>
      </w:r>
    </w:p>
    <w:p w14:paraId="23BCB17D"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The key findings from our analysis showed an oscillating trend in the average room reservation price. While prices increased by approximately 18.22% from 2017 to 2018, they fluctuated in the following years, indicating changes in market dynamics and possibly strategic pricing adjustments.</w:t>
      </w:r>
    </w:p>
    <w:p w14:paraId="18F1D284"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Microsoft Excel proved invaluable throughout this process, aiding in preprocessing, analyzing, and visualizing the data. It equipped us with the means to delve into the dataset, extract meaningful insights, and convey these findings in an accessible manner.</w:t>
      </w:r>
    </w:p>
    <w:p w14:paraId="1025DE15"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In conclusion, data analysis serves as a vital compass in the sprawling landscape of decision-making in the hotel industry. By understanding trends and patterns in room </w:t>
      </w:r>
      <w:r w:rsidRPr="006C2682">
        <w:rPr>
          <w:rFonts w:ascii="Arial" w:hAnsi="Arial" w:cs="Arial"/>
          <w:sz w:val="24"/>
        </w:rPr>
        <w:lastRenderedPageBreak/>
        <w:t>reservation prices, hoteliers can make informed strategic decisions, optimize their pricing strategy, and maximize profitability. This analysis underscores the power of data in guiding such critical decisions, thereby highlighting the importance of data analysis skills in the modern business world.</w:t>
      </w:r>
    </w:p>
    <w:p w14:paraId="17C59416" w14:textId="77777777" w:rsidR="006C2682" w:rsidRPr="006C2682" w:rsidRDefault="006C2682" w:rsidP="006C2682">
      <w:pPr>
        <w:spacing w:line="480" w:lineRule="auto"/>
        <w:rPr>
          <w:rFonts w:ascii="Arial" w:hAnsi="Arial" w:cs="Arial"/>
          <w:b/>
          <w:sz w:val="24"/>
        </w:rPr>
      </w:pPr>
      <w:r w:rsidRPr="006C2682">
        <w:rPr>
          <w:rFonts w:ascii="Arial" w:hAnsi="Arial" w:cs="Arial"/>
          <w:b/>
          <w:sz w:val="24"/>
        </w:rPr>
        <w:t>PART 2</w:t>
      </w:r>
    </w:p>
    <w:p w14:paraId="11CEDC46" w14:textId="77777777" w:rsidR="006C2682" w:rsidRPr="006C2682" w:rsidRDefault="006C2682" w:rsidP="006C2682">
      <w:pPr>
        <w:pStyle w:val="ListParagraph"/>
        <w:numPr>
          <w:ilvl w:val="0"/>
          <w:numId w:val="1"/>
        </w:numPr>
        <w:spacing w:line="480" w:lineRule="auto"/>
        <w:ind w:left="714" w:hanging="357"/>
        <w:rPr>
          <w:rFonts w:ascii="Arial" w:hAnsi="Arial" w:cs="Arial"/>
          <w:sz w:val="24"/>
        </w:rPr>
      </w:pPr>
      <w:r w:rsidRPr="006C2682">
        <w:rPr>
          <w:rFonts w:ascii="Arial" w:hAnsi="Arial" w:cs="Arial"/>
          <w:sz w:val="24"/>
        </w:rPr>
        <w:t xml:space="preserve">How many students are male and female? </w:t>
      </w:r>
    </w:p>
    <w:p w14:paraId="47E51975" w14:textId="77777777" w:rsidR="006C2682" w:rsidRPr="006C2682" w:rsidRDefault="006C2682" w:rsidP="006C2682">
      <w:pPr>
        <w:spacing w:line="480" w:lineRule="auto"/>
        <w:rPr>
          <w:rFonts w:ascii="Arial" w:hAnsi="Arial" w:cs="Arial"/>
          <w:sz w:val="24"/>
        </w:rPr>
      </w:pPr>
      <w:r w:rsidRPr="006C2682">
        <w:rPr>
          <w:rFonts w:ascii="Arial" w:hAnsi="Arial" w:cs="Arial"/>
          <w:sz w:val="24"/>
        </w:rPr>
        <w:t>There are 1056 female students, accounting for 49.5% of the total, and 1077 male students, making up 50.5%.</w:t>
      </w:r>
    </w:p>
    <w:p w14:paraId="3B0E87E7" w14:textId="77777777" w:rsidR="006C2682" w:rsidRPr="006C2682" w:rsidRDefault="006C2682" w:rsidP="006C2682">
      <w:pPr>
        <w:pStyle w:val="ListParagraph"/>
        <w:numPr>
          <w:ilvl w:val="0"/>
          <w:numId w:val="1"/>
        </w:numPr>
        <w:spacing w:line="480" w:lineRule="auto"/>
        <w:ind w:left="714" w:hanging="357"/>
        <w:rPr>
          <w:rFonts w:ascii="Arial" w:hAnsi="Arial" w:cs="Arial"/>
          <w:sz w:val="24"/>
        </w:rPr>
      </w:pPr>
      <w:r w:rsidRPr="006C2682">
        <w:rPr>
          <w:rFonts w:ascii="Arial" w:hAnsi="Arial" w:cs="Arial"/>
          <w:sz w:val="24"/>
        </w:rPr>
        <w:t xml:space="preserve">How many students qualifies and do not qualify for reduced/free lunch? </w:t>
      </w:r>
    </w:p>
    <w:p w14:paraId="3780800F" w14:textId="77777777" w:rsidR="006C2682" w:rsidRPr="006C2682" w:rsidRDefault="006C2682" w:rsidP="006C2682">
      <w:pPr>
        <w:spacing w:line="480" w:lineRule="auto"/>
        <w:rPr>
          <w:rFonts w:ascii="Arial" w:hAnsi="Arial" w:cs="Arial"/>
          <w:sz w:val="24"/>
        </w:rPr>
      </w:pPr>
      <w:r w:rsidRPr="006C2682">
        <w:rPr>
          <w:rFonts w:ascii="Arial" w:hAnsi="Arial" w:cs="Arial"/>
          <w:sz w:val="24"/>
        </w:rPr>
        <w:t>1215 students, equivalent to 57% of the total, do not qualify for reduced/free lunch. While 918 students, corresponding to 43% of the total, qualify for reduced/free lunch.</w:t>
      </w:r>
    </w:p>
    <w:p w14:paraId="57BDA2CE" w14:textId="77777777" w:rsidR="006C2682" w:rsidRPr="006C2682" w:rsidRDefault="006C2682" w:rsidP="006C2682">
      <w:pPr>
        <w:pStyle w:val="ListParagraph"/>
        <w:numPr>
          <w:ilvl w:val="0"/>
          <w:numId w:val="1"/>
        </w:numPr>
        <w:spacing w:line="480" w:lineRule="auto"/>
        <w:ind w:left="714" w:hanging="357"/>
        <w:rPr>
          <w:rFonts w:ascii="Arial" w:hAnsi="Arial" w:cs="Arial"/>
          <w:sz w:val="24"/>
        </w:rPr>
      </w:pPr>
      <w:r w:rsidRPr="006C2682">
        <w:rPr>
          <w:rFonts w:ascii="Arial" w:hAnsi="Arial" w:cs="Arial"/>
          <w:sz w:val="24"/>
        </w:rPr>
        <w:t xml:space="preserve">What are the mean and median of students who qualifies and do not qualify for reduced/free lunch? </w:t>
      </w:r>
    </w:p>
    <w:p w14:paraId="211B8D22" w14:textId="77777777" w:rsidR="006C2682" w:rsidRPr="006C2682" w:rsidRDefault="006C2682" w:rsidP="006C2682">
      <w:pPr>
        <w:spacing w:line="480" w:lineRule="auto"/>
        <w:rPr>
          <w:rFonts w:ascii="Arial" w:hAnsi="Arial" w:cs="Arial"/>
          <w:sz w:val="24"/>
        </w:rPr>
      </w:pPr>
      <w:r w:rsidRPr="006C2682">
        <w:rPr>
          <w:rFonts w:ascii="Arial" w:hAnsi="Arial" w:cs="Arial"/>
          <w:sz w:val="24"/>
        </w:rPr>
        <w:t>The mean pretest score for students who do not qualify for reduced/free lunch is 62, with a posttest mean score 74. The median pretest and posttest scores for this group of students are also 62 and 74, respectively. However, students who qualify for reduced/free lunch have a lower mean pretest score of 45 and a posttest score of 57. The median pretest score for these students is 44, and the median posttest score is 55.</w:t>
      </w:r>
    </w:p>
    <w:p w14:paraId="39021217" w14:textId="77777777" w:rsidR="006C2682" w:rsidRPr="006C2682" w:rsidRDefault="006C2682" w:rsidP="006C2682">
      <w:pPr>
        <w:pStyle w:val="ListParagraph"/>
        <w:numPr>
          <w:ilvl w:val="0"/>
          <w:numId w:val="1"/>
        </w:numPr>
        <w:spacing w:line="480" w:lineRule="auto"/>
        <w:ind w:left="714" w:hanging="357"/>
        <w:rPr>
          <w:rFonts w:ascii="Arial" w:hAnsi="Arial" w:cs="Arial"/>
          <w:sz w:val="24"/>
        </w:rPr>
      </w:pPr>
      <w:r w:rsidRPr="006C2682">
        <w:rPr>
          <w:rFonts w:ascii="Arial" w:hAnsi="Arial" w:cs="Arial"/>
          <w:sz w:val="24"/>
        </w:rPr>
        <w:t xml:space="preserve">What are the mean and median differences between students' pretest and post-test scores? </w:t>
      </w:r>
    </w:p>
    <w:p w14:paraId="1F7CD3CD" w14:textId="77777777" w:rsidR="006C2682" w:rsidRPr="006C2682" w:rsidRDefault="006C2682" w:rsidP="006C2682">
      <w:pPr>
        <w:spacing w:line="480" w:lineRule="auto"/>
        <w:rPr>
          <w:rFonts w:ascii="Arial" w:hAnsi="Arial" w:cs="Arial"/>
          <w:sz w:val="24"/>
        </w:rPr>
      </w:pPr>
      <w:r w:rsidRPr="006C2682">
        <w:rPr>
          <w:rFonts w:ascii="Arial" w:hAnsi="Arial" w:cs="Arial"/>
          <w:sz w:val="24"/>
        </w:rPr>
        <w:t>The difference between the students' pretest and post-test scores has a mean value of 12.1463 and a median value of 12. This implies that, on average, there's an improvement of about 12 points in students' scores from the pretest to the post-test.</w:t>
      </w:r>
    </w:p>
    <w:p w14:paraId="12D611FA" w14:textId="77777777" w:rsidR="006C2682" w:rsidRPr="006C2682" w:rsidRDefault="006C2682" w:rsidP="006C2682">
      <w:pPr>
        <w:pStyle w:val="ListParagraph"/>
        <w:numPr>
          <w:ilvl w:val="0"/>
          <w:numId w:val="1"/>
        </w:numPr>
        <w:spacing w:line="480" w:lineRule="auto"/>
        <w:ind w:left="714" w:hanging="357"/>
        <w:rPr>
          <w:rFonts w:ascii="Arial" w:hAnsi="Arial" w:cs="Arial"/>
          <w:sz w:val="24"/>
        </w:rPr>
      </w:pPr>
      <w:r w:rsidRPr="006C2682">
        <w:rPr>
          <w:rFonts w:ascii="Arial" w:hAnsi="Arial" w:cs="Arial"/>
          <w:sz w:val="24"/>
        </w:rPr>
        <w:lastRenderedPageBreak/>
        <w:t xml:space="preserve">Using the dataset Student_Score.csv provided in conjunction with SPSS, give a specific example of Clustering (ex. K-Means Clustering). Show your workings with screenshots and clearly explain your results. </w:t>
      </w:r>
    </w:p>
    <w:p w14:paraId="397C67A2" w14:textId="77777777" w:rsidR="006C2682" w:rsidRPr="006C2682" w:rsidRDefault="006C2682" w:rsidP="006C2682">
      <w:pPr>
        <w:widowControl/>
        <w:autoSpaceDE w:val="0"/>
        <w:autoSpaceDN w:val="0"/>
        <w:adjustRightInd w:val="0"/>
        <w:spacing w:line="480" w:lineRule="auto"/>
        <w:jc w:val="left"/>
        <w:rPr>
          <w:rFonts w:ascii="Arial" w:eastAsiaTheme="minorEastAsia" w:hAnsi="Arial" w:cs="Arial"/>
          <w:kern w:val="0"/>
          <w:sz w:val="24"/>
        </w:rPr>
      </w:pPr>
    </w:p>
    <w:tbl>
      <w:tblPr>
        <w:tblW w:w="8535"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69"/>
        <w:gridCol w:w="1477"/>
        <w:gridCol w:w="1030"/>
        <w:gridCol w:w="1477"/>
        <w:gridCol w:w="1030"/>
        <w:gridCol w:w="1322"/>
        <w:gridCol w:w="1030"/>
      </w:tblGrid>
      <w:tr w:rsidR="006C2682" w:rsidRPr="006C2682" w14:paraId="4A925FB6" w14:textId="77777777" w:rsidTr="006C2682">
        <w:trPr>
          <w:cantSplit/>
        </w:trPr>
        <w:tc>
          <w:tcPr>
            <w:tcW w:w="8526" w:type="dxa"/>
            <w:gridSpan w:val="7"/>
            <w:tcBorders>
              <w:top w:val="single" w:sz="8" w:space="0" w:color="auto"/>
              <w:left w:val="single" w:sz="8" w:space="0" w:color="auto"/>
              <w:bottom w:val="single" w:sz="6" w:space="0" w:color="auto"/>
              <w:right w:val="single" w:sz="8" w:space="0" w:color="auto"/>
            </w:tcBorders>
            <w:shd w:val="clear" w:color="auto" w:fill="FFFFFF"/>
            <w:vAlign w:val="center"/>
            <w:hideMark/>
          </w:tcPr>
          <w:p w14:paraId="74A07416" w14:textId="77777777" w:rsidR="006C2682" w:rsidRPr="006C2682" w:rsidRDefault="006C2682">
            <w:pPr>
              <w:widowControl/>
              <w:autoSpaceDE w:val="0"/>
              <w:autoSpaceDN w:val="0"/>
              <w:adjustRightInd w:val="0"/>
              <w:spacing w:line="480" w:lineRule="auto"/>
              <w:ind w:left="60" w:right="60"/>
              <w:jc w:val="left"/>
              <w:rPr>
                <w:rFonts w:ascii="Arial" w:eastAsiaTheme="minorEastAsia" w:hAnsi="Arial" w:cs="Arial"/>
                <w:color w:val="000000"/>
                <w:kern w:val="0"/>
                <w:sz w:val="24"/>
              </w:rPr>
            </w:pPr>
            <w:r w:rsidRPr="006C2682">
              <w:rPr>
                <w:rFonts w:ascii="Arial" w:eastAsiaTheme="minorEastAsia" w:hAnsi="Arial" w:cs="Arial"/>
                <w:i/>
                <w:iCs/>
                <w:color w:val="000000"/>
                <w:kern w:val="0"/>
                <w:sz w:val="24"/>
              </w:rPr>
              <w:t>ANOVA</w:t>
            </w:r>
          </w:p>
        </w:tc>
      </w:tr>
      <w:tr w:rsidR="006C2682" w:rsidRPr="006C2682" w14:paraId="1A6C5E76" w14:textId="77777777" w:rsidTr="006C2682">
        <w:trPr>
          <w:cantSplit/>
        </w:trPr>
        <w:tc>
          <w:tcPr>
            <w:tcW w:w="1168" w:type="dxa"/>
            <w:vMerge w:val="restart"/>
            <w:tcBorders>
              <w:top w:val="single" w:sz="6" w:space="0" w:color="auto"/>
              <w:left w:val="single" w:sz="8" w:space="0" w:color="auto"/>
              <w:bottom w:val="single" w:sz="6" w:space="0" w:color="auto"/>
              <w:right w:val="single" w:sz="6" w:space="0" w:color="auto"/>
            </w:tcBorders>
            <w:shd w:val="clear" w:color="auto" w:fill="FFFFFF"/>
            <w:vAlign w:val="bottom"/>
          </w:tcPr>
          <w:p w14:paraId="6C6E9C5C" w14:textId="77777777" w:rsidR="006C2682" w:rsidRPr="006C2682" w:rsidRDefault="006C2682">
            <w:pPr>
              <w:widowControl/>
              <w:autoSpaceDE w:val="0"/>
              <w:autoSpaceDN w:val="0"/>
              <w:adjustRightInd w:val="0"/>
              <w:spacing w:line="480" w:lineRule="auto"/>
              <w:jc w:val="left"/>
              <w:rPr>
                <w:rFonts w:ascii="Arial" w:eastAsiaTheme="minorEastAsia" w:hAnsi="Arial" w:cs="Arial"/>
                <w:kern w:val="0"/>
                <w:sz w:val="24"/>
              </w:rPr>
            </w:pPr>
          </w:p>
        </w:tc>
        <w:tc>
          <w:tcPr>
            <w:tcW w:w="2504"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14:paraId="6A716E0E"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Cluster</w:t>
            </w:r>
          </w:p>
        </w:tc>
        <w:tc>
          <w:tcPr>
            <w:tcW w:w="2504"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14:paraId="1C97FA03"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Error</w:t>
            </w:r>
          </w:p>
        </w:tc>
        <w:tc>
          <w:tcPr>
            <w:tcW w:w="1321" w:type="dxa"/>
            <w:vMerge w:val="restart"/>
            <w:tcBorders>
              <w:top w:val="single" w:sz="6" w:space="0" w:color="auto"/>
              <w:left w:val="single" w:sz="6" w:space="0" w:color="auto"/>
              <w:bottom w:val="single" w:sz="6" w:space="0" w:color="auto"/>
              <w:right w:val="single" w:sz="6" w:space="0" w:color="auto"/>
            </w:tcBorders>
            <w:shd w:val="clear" w:color="auto" w:fill="FFFFFF"/>
            <w:vAlign w:val="bottom"/>
            <w:hideMark/>
          </w:tcPr>
          <w:p w14:paraId="0D5F0049"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F</w:t>
            </w:r>
          </w:p>
        </w:tc>
        <w:tc>
          <w:tcPr>
            <w:tcW w:w="1029" w:type="dxa"/>
            <w:vMerge w:val="restart"/>
            <w:tcBorders>
              <w:top w:val="single" w:sz="6" w:space="0" w:color="auto"/>
              <w:left w:val="single" w:sz="6" w:space="0" w:color="auto"/>
              <w:bottom w:val="single" w:sz="6" w:space="0" w:color="auto"/>
              <w:right w:val="single" w:sz="8" w:space="0" w:color="auto"/>
            </w:tcBorders>
            <w:shd w:val="clear" w:color="auto" w:fill="FFFFFF"/>
            <w:vAlign w:val="bottom"/>
            <w:hideMark/>
          </w:tcPr>
          <w:p w14:paraId="109AB708"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Sig.</w:t>
            </w:r>
          </w:p>
        </w:tc>
      </w:tr>
      <w:tr w:rsidR="006C2682" w:rsidRPr="006C2682" w14:paraId="014F70B0" w14:textId="77777777" w:rsidTr="006C2682">
        <w:trPr>
          <w:cantSplit/>
        </w:trPr>
        <w:tc>
          <w:tcPr>
            <w:tcW w:w="8526" w:type="dxa"/>
            <w:vMerge/>
            <w:tcBorders>
              <w:top w:val="single" w:sz="6" w:space="0" w:color="auto"/>
              <w:left w:val="single" w:sz="8" w:space="0" w:color="auto"/>
              <w:bottom w:val="single" w:sz="6" w:space="0" w:color="auto"/>
              <w:right w:val="single" w:sz="6" w:space="0" w:color="auto"/>
            </w:tcBorders>
            <w:vAlign w:val="center"/>
            <w:hideMark/>
          </w:tcPr>
          <w:p w14:paraId="4A70A351" w14:textId="77777777" w:rsidR="006C2682" w:rsidRPr="006C2682" w:rsidRDefault="006C2682">
            <w:pPr>
              <w:widowControl/>
              <w:spacing w:line="256" w:lineRule="auto"/>
              <w:jc w:val="left"/>
              <w:rPr>
                <w:rFonts w:ascii="Arial" w:eastAsiaTheme="minorEastAsia" w:hAnsi="Arial" w:cs="Arial"/>
                <w:kern w:val="0"/>
                <w:sz w:val="24"/>
              </w:rPr>
            </w:pPr>
          </w:p>
        </w:tc>
        <w:tc>
          <w:tcPr>
            <w:tcW w:w="147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E363B15"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Mean Square</w:t>
            </w:r>
          </w:p>
        </w:tc>
        <w:tc>
          <w:tcPr>
            <w:tcW w:w="1029"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61857A9B"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df</w:t>
            </w:r>
          </w:p>
        </w:tc>
        <w:tc>
          <w:tcPr>
            <w:tcW w:w="147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8BD6E50"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Mean Square</w:t>
            </w:r>
          </w:p>
        </w:tc>
        <w:tc>
          <w:tcPr>
            <w:tcW w:w="1029"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763DE361" w14:textId="77777777" w:rsidR="006C2682" w:rsidRPr="006C2682" w:rsidRDefault="006C2682">
            <w:pPr>
              <w:widowControl/>
              <w:autoSpaceDE w:val="0"/>
              <w:autoSpaceDN w:val="0"/>
              <w:adjustRightInd w:val="0"/>
              <w:spacing w:line="480" w:lineRule="auto"/>
              <w:ind w:left="60" w:right="60"/>
              <w:jc w:val="center"/>
              <w:rPr>
                <w:rFonts w:ascii="Arial" w:eastAsiaTheme="minorEastAsia" w:hAnsi="Arial" w:cs="Arial"/>
                <w:color w:val="000000"/>
                <w:kern w:val="0"/>
                <w:sz w:val="24"/>
              </w:rPr>
            </w:pPr>
            <w:r w:rsidRPr="006C2682">
              <w:rPr>
                <w:rFonts w:ascii="Arial" w:eastAsiaTheme="minorEastAsia" w:hAnsi="Arial" w:cs="Arial"/>
                <w:color w:val="000000"/>
                <w:kern w:val="0"/>
                <w:sz w:val="24"/>
              </w:rPr>
              <w:t>df</w:t>
            </w:r>
          </w:p>
        </w:tc>
        <w:tc>
          <w:tcPr>
            <w:tcW w:w="1321" w:type="dxa"/>
            <w:vMerge/>
            <w:tcBorders>
              <w:top w:val="single" w:sz="6" w:space="0" w:color="auto"/>
              <w:left w:val="single" w:sz="6" w:space="0" w:color="auto"/>
              <w:bottom w:val="single" w:sz="6" w:space="0" w:color="auto"/>
              <w:right w:val="single" w:sz="6" w:space="0" w:color="auto"/>
            </w:tcBorders>
            <w:vAlign w:val="center"/>
            <w:hideMark/>
          </w:tcPr>
          <w:p w14:paraId="3F48E4CB" w14:textId="77777777" w:rsidR="006C2682" w:rsidRPr="006C2682" w:rsidRDefault="006C2682">
            <w:pPr>
              <w:widowControl/>
              <w:spacing w:line="256" w:lineRule="auto"/>
              <w:jc w:val="left"/>
              <w:rPr>
                <w:rFonts w:ascii="Arial" w:eastAsiaTheme="minorEastAsia" w:hAnsi="Arial" w:cs="Arial"/>
                <w:color w:val="000000"/>
                <w:kern w:val="0"/>
                <w:sz w:val="24"/>
              </w:rPr>
            </w:pPr>
          </w:p>
        </w:tc>
        <w:tc>
          <w:tcPr>
            <w:tcW w:w="1029" w:type="dxa"/>
            <w:vMerge/>
            <w:tcBorders>
              <w:top w:val="single" w:sz="6" w:space="0" w:color="auto"/>
              <w:left w:val="single" w:sz="6" w:space="0" w:color="auto"/>
              <w:bottom w:val="single" w:sz="6" w:space="0" w:color="auto"/>
              <w:right w:val="single" w:sz="8" w:space="0" w:color="auto"/>
            </w:tcBorders>
            <w:vAlign w:val="center"/>
            <w:hideMark/>
          </w:tcPr>
          <w:p w14:paraId="6A7E1097" w14:textId="77777777" w:rsidR="006C2682" w:rsidRPr="006C2682" w:rsidRDefault="006C2682">
            <w:pPr>
              <w:widowControl/>
              <w:spacing w:line="256" w:lineRule="auto"/>
              <w:jc w:val="left"/>
              <w:rPr>
                <w:rFonts w:ascii="Arial" w:eastAsiaTheme="minorEastAsia" w:hAnsi="Arial" w:cs="Arial"/>
                <w:color w:val="000000"/>
                <w:kern w:val="0"/>
                <w:sz w:val="24"/>
              </w:rPr>
            </w:pPr>
          </w:p>
        </w:tc>
      </w:tr>
      <w:tr w:rsidR="006C2682" w:rsidRPr="006C2682" w14:paraId="2B85F594" w14:textId="77777777" w:rsidTr="006C2682">
        <w:trPr>
          <w:cantSplit/>
        </w:trPr>
        <w:tc>
          <w:tcPr>
            <w:tcW w:w="1168" w:type="dxa"/>
            <w:tcBorders>
              <w:top w:val="single" w:sz="6" w:space="0" w:color="auto"/>
              <w:left w:val="single" w:sz="8" w:space="0" w:color="auto"/>
              <w:bottom w:val="single" w:sz="6" w:space="0" w:color="auto"/>
              <w:right w:val="single" w:sz="6" w:space="0" w:color="auto"/>
            </w:tcBorders>
            <w:shd w:val="clear" w:color="auto" w:fill="FFFFFF"/>
            <w:hideMark/>
          </w:tcPr>
          <w:p w14:paraId="5FA2BEC4" w14:textId="77777777" w:rsidR="006C2682" w:rsidRPr="006C2682" w:rsidRDefault="006C2682">
            <w:pPr>
              <w:widowControl/>
              <w:autoSpaceDE w:val="0"/>
              <w:autoSpaceDN w:val="0"/>
              <w:adjustRightInd w:val="0"/>
              <w:spacing w:line="480" w:lineRule="auto"/>
              <w:ind w:left="60" w:right="60"/>
              <w:jc w:val="left"/>
              <w:rPr>
                <w:rFonts w:ascii="Arial" w:eastAsiaTheme="minorEastAsia" w:hAnsi="Arial" w:cs="Arial"/>
                <w:color w:val="000000"/>
                <w:kern w:val="0"/>
                <w:sz w:val="24"/>
              </w:rPr>
            </w:pPr>
            <w:r w:rsidRPr="006C2682">
              <w:rPr>
                <w:rFonts w:ascii="Arial" w:eastAsiaTheme="minorEastAsia" w:hAnsi="Arial" w:cs="Arial"/>
                <w:color w:val="000000"/>
                <w:kern w:val="0"/>
                <w:sz w:val="24"/>
              </w:rPr>
              <w:t>Pretest</w:t>
            </w:r>
          </w:p>
        </w:tc>
        <w:tc>
          <w:tcPr>
            <w:tcW w:w="1475" w:type="dxa"/>
            <w:tcBorders>
              <w:top w:val="single" w:sz="6" w:space="0" w:color="auto"/>
              <w:left w:val="single" w:sz="6" w:space="0" w:color="auto"/>
              <w:bottom w:val="single" w:sz="6" w:space="0" w:color="auto"/>
              <w:right w:val="single" w:sz="6" w:space="0" w:color="auto"/>
            </w:tcBorders>
            <w:shd w:val="clear" w:color="auto" w:fill="FFFFFF"/>
            <w:hideMark/>
          </w:tcPr>
          <w:p w14:paraId="017D5334"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263262.668</w:t>
            </w:r>
          </w:p>
        </w:tc>
        <w:tc>
          <w:tcPr>
            <w:tcW w:w="1029" w:type="dxa"/>
            <w:tcBorders>
              <w:top w:val="single" w:sz="6" w:space="0" w:color="auto"/>
              <w:left w:val="single" w:sz="6" w:space="0" w:color="auto"/>
              <w:bottom w:val="single" w:sz="6" w:space="0" w:color="auto"/>
              <w:right w:val="single" w:sz="6" w:space="0" w:color="auto"/>
            </w:tcBorders>
            <w:shd w:val="clear" w:color="auto" w:fill="FFFFFF"/>
            <w:hideMark/>
          </w:tcPr>
          <w:p w14:paraId="3FEDA358"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1</w:t>
            </w:r>
          </w:p>
        </w:tc>
        <w:tc>
          <w:tcPr>
            <w:tcW w:w="1475" w:type="dxa"/>
            <w:tcBorders>
              <w:top w:val="single" w:sz="6" w:space="0" w:color="auto"/>
              <w:left w:val="single" w:sz="6" w:space="0" w:color="auto"/>
              <w:bottom w:val="single" w:sz="6" w:space="0" w:color="auto"/>
              <w:right w:val="single" w:sz="6" w:space="0" w:color="auto"/>
            </w:tcBorders>
            <w:shd w:val="clear" w:color="auto" w:fill="FFFFFF"/>
            <w:hideMark/>
          </w:tcPr>
          <w:p w14:paraId="1AA03C51"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60.505</w:t>
            </w:r>
          </w:p>
        </w:tc>
        <w:tc>
          <w:tcPr>
            <w:tcW w:w="1029" w:type="dxa"/>
            <w:tcBorders>
              <w:top w:val="single" w:sz="6" w:space="0" w:color="auto"/>
              <w:left w:val="single" w:sz="6" w:space="0" w:color="auto"/>
              <w:bottom w:val="single" w:sz="6" w:space="0" w:color="auto"/>
              <w:right w:val="single" w:sz="6" w:space="0" w:color="auto"/>
            </w:tcBorders>
            <w:shd w:val="clear" w:color="auto" w:fill="FFFFFF"/>
            <w:hideMark/>
          </w:tcPr>
          <w:p w14:paraId="1036AA19"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2131</w:t>
            </w:r>
          </w:p>
        </w:tc>
        <w:tc>
          <w:tcPr>
            <w:tcW w:w="1321" w:type="dxa"/>
            <w:tcBorders>
              <w:top w:val="single" w:sz="6" w:space="0" w:color="auto"/>
              <w:left w:val="single" w:sz="6" w:space="0" w:color="auto"/>
              <w:bottom w:val="single" w:sz="6" w:space="0" w:color="auto"/>
              <w:right w:val="single" w:sz="6" w:space="0" w:color="auto"/>
            </w:tcBorders>
            <w:shd w:val="clear" w:color="auto" w:fill="FFFFFF"/>
            <w:hideMark/>
          </w:tcPr>
          <w:p w14:paraId="1C283D2D"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4351.122</w:t>
            </w:r>
          </w:p>
        </w:tc>
        <w:tc>
          <w:tcPr>
            <w:tcW w:w="1029" w:type="dxa"/>
            <w:tcBorders>
              <w:top w:val="single" w:sz="6" w:space="0" w:color="auto"/>
              <w:left w:val="single" w:sz="6" w:space="0" w:color="auto"/>
              <w:bottom w:val="single" w:sz="6" w:space="0" w:color="auto"/>
              <w:right w:val="single" w:sz="8" w:space="0" w:color="auto"/>
            </w:tcBorders>
            <w:shd w:val="clear" w:color="auto" w:fill="FFFFFF"/>
            <w:hideMark/>
          </w:tcPr>
          <w:p w14:paraId="4EBFB4BF"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.000</w:t>
            </w:r>
          </w:p>
        </w:tc>
      </w:tr>
      <w:tr w:rsidR="006C2682" w:rsidRPr="006C2682" w14:paraId="5B716E80" w14:textId="77777777" w:rsidTr="006C2682">
        <w:trPr>
          <w:cantSplit/>
        </w:trPr>
        <w:tc>
          <w:tcPr>
            <w:tcW w:w="1168" w:type="dxa"/>
            <w:tcBorders>
              <w:top w:val="single" w:sz="6" w:space="0" w:color="auto"/>
              <w:left w:val="single" w:sz="8" w:space="0" w:color="auto"/>
              <w:bottom w:val="single" w:sz="6" w:space="0" w:color="auto"/>
              <w:right w:val="single" w:sz="6" w:space="0" w:color="auto"/>
            </w:tcBorders>
            <w:shd w:val="clear" w:color="auto" w:fill="FFFFFF"/>
            <w:hideMark/>
          </w:tcPr>
          <w:p w14:paraId="4D2B01B6" w14:textId="77777777" w:rsidR="006C2682" w:rsidRPr="006C2682" w:rsidRDefault="006C2682">
            <w:pPr>
              <w:widowControl/>
              <w:autoSpaceDE w:val="0"/>
              <w:autoSpaceDN w:val="0"/>
              <w:adjustRightInd w:val="0"/>
              <w:spacing w:line="480" w:lineRule="auto"/>
              <w:ind w:left="60" w:right="60"/>
              <w:jc w:val="left"/>
              <w:rPr>
                <w:rFonts w:ascii="Arial" w:eastAsiaTheme="minorEastAsia" w:hAnsi="Arial" w:cs="Arial"/>
                <w:color w:val="000000"/>
                <w:kern w:val="0"/>
                <w:sz w:val="24"/>
              </w:rPr>
            </w:pPr>
            <w:r w:rsidRPr="006C2682">
              <w:rPr>
                <w:rFonts w:ascii="Arial" w:eastAsiaTheme="minorEastAsia" w:hAnsi="Arial" w:cs="Arial"/>
                <w:color w:val="000000"/>
                <w:kern w:val="0"/>
                <w:sz w:val="24"/>
              </w:rPr>
              <w:t>Posttest</w:t>
            </w:r>
          </w:p>
        </w:tc>
        <w:tc>
          <w:tcPr>
            <w:tcW w:w="1475" w:type="dxa"/>
            <w:tcBorders>
              <w:top w:val="single" w:sz="6" w:space="0" w:color="auto"/>
              <w:left w:val="single" w:sz="6" w:space="0" w:color="auto"/>
              <w:bottom w:val="single" w:sz="6" w:space="0" w:color="auto"/>
              <w:right w:val="single" w:sz="6" w:space="0" w:color="auto"/>
            </w:tcBorders>
            <w:shd w:val="clear" w:color="auto" w:fill="FFFFFF"/>
            <w:hideMark/>
          </w:tcPr>
          <w:p w14:paraId="05ED7FE2"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285646.166</w:t>
            </w:r>
          </w:p>
        </w:tc>
        <w:tc>
          <w:tcPr>
            <w:tcW w:w="1029" w:type="dxa"/>
            <w:tcBorders>
              <w:top w:val="single" w:sz="6" w:space="0" w:color="auto"/>
              <w:left w:val="single" w:sz="6" w:space="0" w:color="auto"/>
              <w:bottom w:val="single" w:sz="6" w:space="0" w:color="auto"/>
              <w:right w:val="single" w:sz="6" w:space="0" w:color="auto"/>
            </w:tcBorders>
            <w:shd w:val="clear" w:color="auto" w:fill="FFFFFF"/>
            <w:hideMark/>
          </w:tcPr>
          <w:p w14:paraId="034FAFA3"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1</w:t>
            </w:r>
          </w:p>
        </w:tc>
        <w:tc>
          <w:tcPr>
            <w:tcW w:w="1475" w:type="dxa"/>
            <w:tcBorders>
              <w:top w:val="single" w:sz="6" w:space="0" w:color="auto"/>
              <w:left w:val="single" w:sz="6" w:space="0" w:color="auto"/>
              <w:bottom w:val="single" w:sz="6" w:space="0" w:color="auto"/>
              <w:right w:val="single" w:sz="6" w:space="0" w:color="auto"/>
            </w:tcBorders>
            <w:shd w:val="clear" w:color="auto" w:fill="FFFFFF"/>
            <w:hideMark/>
          </w:tcPr>
          <w:p w14:paraId="2311ABFA"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61.679</w:t>
            </w:r>
          </w:p>
        </w:tc>
        <w:tc>
          <w:tcPr>
            <w:tcW w:w="1029" w:type="dxa"/>
            <w:tcBorders>
              <w:top w:val="single" w:sz="6" w:space="0" w:color="auto"/>
              <w:left w:val="single" w:sz="6" w:space="0" w:color="auto"/>
              <w:bottom w:val="single" w:sz="6" w:space="0" w:color="auto"/>
              <w:right w:val="single" w:sz="6" w:space="0" w:color="auto"/>
            </w:tcBorders>
            <w:shd w:val="clear" w:color="auto" w:fill="FFFFFF"/>
            <w:hideMark/>
          </w:tcPr>
          <w:p w14:paraId="77FF4C4B"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2131</w:t>
            </w:r>
          </w:p>
        </w:tc>
        <w:tc>
          <w:tcPr>
            <w:tcW w:w="1321" w:type="dxa"/>
            <w:tcBorders>
              <w:top w:val="single" w:sz="6" w:space="0" w:color="auto"/>
              <w:left w:val="single" w:sz="6" w:space="0" w:color="auto"/>
              <w:bottom w:val="single" w:sz="6" w:space="0" w:color="auto"/>
              <w:right w:val="single" w:sz="6" w:space="0" w:color="auto"/>
            </w:tcBorders>
            <w:shd w:val="clear" w:color="auto" w:fill="FFFFFF"/>
            <w:hideMark/>
          </w:tcPr>
          <w:p w14:paraId="181ECC1D"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4631.188</w:t>
            </w:r>
          </w:p>
        </w:tc>
        <w:tc>
          <w:tcPr>
            <w:tcW w:w="1029" w:type="dxa"/>
            <w:tcBorders>
              <w:top w:val="single" w:sz="6" w:space="0" w:color="auto"/>
              <w:left w:val="single" w:sz="6" w:space="0" w:color="auto"/>
              <w:bottom w:val="single" w:sz="6" w:space="0" w:color="auto"/>
              <w:right w:val="single" w:sz="8" w:space="0" w:color="auto"/>
            </w:tcBorders>
            <w:shd w:val="clear" w:color="auto" w:fill="FFFFFF"/>
            <w:hideMark/>
          </w:tcPr>
          <w:p w14:paraId="7089398B" w14:textId="77777777" w:rsidR="006C2682" w:rsidRPr="006C2682" w:rsidRDefault="006C2682">
            <w:pPr>
              <w:widowControl/>
              <w:autoSpaceDE w:val="0"/>
              <w:autoSpaceDN w:val="0"/>
              <w:adjustRightInd w:val="0"/>
              <w:spacing w:line="480" w:lineRule="auto"/>
              <w:ind w:left="60" w:right="60"/>
              <w:jc w:val="right"/>
              <w:rPr>
                <w:rFonts w:ascii="Arial" w:eastAsiaTheme="minorEastAsia" w:hAnsi="Arial" w:cs="Arial"/>
                <w:color w:val="000000"/>
                <w:kern w:val="0"/>
                <w:sz w:val="24"/>
              </w:rPr>
            </w:pPr>
            <w:r w:rsidRPr="006C2682">
              <w:rPr>
                <w:rFonts w:ascii="Arial" w:eastAsiaTheme="minorEastAsia" w:hAnsi="Arial" w:cs="Arial"/>
                <w:color w:val="000000"/>
                <w:kern w:val="0"/>
                <w:sz w:val="24"/>
              </w:rPr>
              <w:t>.000</w:t>
            </w:r>
          </w:p>
        </w:tc>
      </w:tr>
      <w:tr w:rsidR="006C2682" w:rsidRPr="006C2682" w14:paraId="5257AB1B" w14:textId="77777777" w:rsidTr="006C2682">
        <w:trPr>
          <w:cantSplit/>
        </w:trPr>
        <w:tc>
          <w:tcPr>
            <w:tcW w:w="8526" w:type="dxa"/>
            <w:gridSpan w:val="7"/>
            <w:tcBorders>
              <w:top w:val="single" w:sz="6" w:space="0" w:color="auto"/>
              <w:left w:val="single" w:sz="8" w:space="0" w:color="auto"/>
              <w:bottom w:val="single" w:sz="8" w:space="0" w:color="auto"/>
              <w:right w:val="single" w:sz="8" w:space="0" w:color="auto"/>
            </w:tcBorders>
            <w:shd w:val="clear" w:color="auto" w:fill="FFFFFF"/>
            <w:hideMark/>
          </w:tcPr>
          <w:p w14:paraId="29A8F8A5" w14:textId="77777777" w:rsidR="006C2682" w:rsidRPr="006C2682" w:rsidRDefault="006C2682">
            <w:pPr>
              <w:widowControl/>
              <w:autoSpaceDE w:val="0"/>
              <w:autoSpaceDN w:val="0"/>
              <w:adjustRightInd w:val="0"/>
              <w:spacing w:line="480" w:lineRule="auto"/>
              <w:ind w:left="60" w:right="60"/>
              <w:jc w:val="left"/>
              <w:rPr>
                <w:rFonts w:ascii="Arial" w:eastAsiaTheme="minorEastAsia" w:hAnsi="Arial" w:cs="Arial"/>
                <w:color w:val="000000"/>
                <w:kern w:val="0"/>
                <w:sz w:val="24"/>
              </w:rPr>
            </w:pPr>
            <w:r w:rsidRPr="006C2682">
              <w:rPr>
                <w:rFonts w:ascii="Arial" w:eastAsiaTheme="minorEastAsia" w:hAnsi="Arial" w:cs="Arial"/>
                <w:color w:val="000000"/>
                <w:kern w:val="0"/>
                <w:sz w:val="24"/>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084C0A7F" w14:textId="77777777" w:rsidR="006C2682" w:rsidRPr="006C2682" w:rsidRDefault="006C2682" w:rsidP="006C2682">
      <w:pPr>
        <w:pStyle w:val="Caption"/>
        <w:spacing w:after="0" w:line="480" w:lineRule="auto"/>
        <w:rPr>
          <w:rFonts w:ascii="Arial" w:hAnsi="Arial" w:cs="Arial"/>
          <w:sz w:val="24"/>
          <w:szCs w:val="24"/>
        </w:rPr>
      </w:pPr>
      <w:r w:rsidRPr="006C2682">
        <w:rPr>
          <w:rFonts w:ascii="Arial" w:hAnsi="Arial" w:cs="Arial"/>
          <w:sz w:val="24"/>
          <w:szCs w:val="24"/>
        </w:rPr>
        <w:t xml:space="preserve">Table </w:t>
      </w:r>
      <w:r w:rsidRPr="006C2682">
        <w:rPr>
          <w:rFonts w:ascii="Arial" w:hAnsi="Arial" w:cs="Arial"/>
          <w:sz w:val="24"/>
          <w:szCs w:val="24"/>
        </w:rPr>
        <w:fldChar w:fldCharType="begin"/>
      </w:r>
      <w:r w:rsidRPr="006C2682">
        <w:rPr>
          <w:rFonts w:ascii="Arial" w:hAnsi="Arial" w:cs="Arial"/>
          <w:sz w:val="24"/>
          <w:szCs w:val="24"/>
        </w:rPr>
        <w:instrText xml:space="preserve"> SEQ Table \* ARABIC </w:instrText>
      </w:r>
      <w:r w:rsidRPr="006C2682">
        <w:rPr>
          <w:rFonts w:ascii="Arial" w:hAnsi="Arial" w:cs="Arial"/>
          <w:sz w:val="24"/>
          <w:szCs w:val="24"/>
        </w:rPr>
        <w:fldChar w:fldCharType="separate"/>
      </w:r>
      <w:r w:rsidRPr="006C2682">
        <w:rPr>
          <w:rFonts w:ascii="Arial" w:hAnsi="Arial" w:cs="Arial"/>
          <w:noProof/>
          <w:sz w:val="24"/>
          <w:szCs w:val="24"/>
        </w:rPr>
        <w:t>4</w:t>
      </w:r>
      <w:r w:rsidRPr="006C2682">
        <w:rPr>
          <w:rFonts w:ascii="Arial" w:hAnsi="Arial" w:cs="Arial"/>
          <w:sz w:val="24"/>
          <w:szCs w:val="24"/>
        </w:rPr>
        <w:fldChar w:fldCharType="end"/>
      </w:r>
      <w:r w:rsidRPr="006C2682">
        <w:rPr>
          <w:rFonts w:ascii="Arial" w:hAnsi="Arial" w:cs="Arial"/>
          <w:sz w:val="24"/>
          <w:szCs w:val="24"/>
        </w:rPr>
        <w:t>: ANOVA</w:t>
      </w:r>
    </w:p>
    <w:p w14:paraId="683B5BE3" w14:textId="52C5FDBA" w:rsidR="006C2682" w:rsidRPr="006C2682" w:rsidRDefault="006C2682" w:rsidP="006C2682">
      <w:pPr>
        <w:widowControl/>
        <w:autoSpaceDE w:val="0"/>
        <w:autoSpaceDN w:val="0"/>
        <w:adjustRightInd w:val="0"/>
        <w:spacing w:line="480" w:lineRule="auto"/>
        <w:jc w:val="left"/>
        <w:rPr>
          <w:rFonts w:ascii="Arial" w:eastAsiaTheme="minorEastAsia" w:hAnsi="Arial" w:cs="Arial"/>
          <w:kern w:val="0"/>
          <w:sz w:val="24"/>
        </w:rPr>
      </w:pPr>
      <w:r w:rsidRPr="006C2682">
        <w:rPr>
          <w:rFonts w:ascii="Arial" w:eastAsiaTheme="minorEastAsia" w:hAnsi="Arial" w:cs="Arial"/>
          <w:noProof/>
          <w:kern w:val="0"/>
          <w:sz w:val="24"/>
          <w:lang w:eastAsia="en-US"/>
        </w:rPr>
        <w:lastRenderedPageBreak/>
        <w:drawing>
          <wp:inline distT="0" distB="0" distL="0" distR="0" wp14:anchorId="6710BBA9" wp14:editId="4FD5A920">
            <wp:extent cx="5943600" cy="3498215"/>
            <wp:effectExtent l="0" t="0" r="0" b="6985"/>
            <wp:docPr id="1671543177" name="Picture 1" descr="A blue and red circle with a number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43177" name="Picture 1" descr="A blue and red circle with a number of numb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8215"/>
                    </a:xfrm>
                    <a:prstGeom prst="rect">
                      <a:avLst/>
                    </a:prstGeom>
                    <a:noFill/>
                    <a:ln>
                      <a:noFill/>
                    </a:ln>
                  </pic:spPr>
                </pic:pic>
              </a:graphicData>
            </a:graphic>
          </wp:inline>
        </w:drawing>
      </w:r>
    </w:p>
    <w:p w14:paraId="484104AE" w14:textId="77777777" w:rsidR="006C2682" w:rsidRPr="006C2682" w:rsidRDefault="006C2682" w:rsidP="006C2682">
      <w:pPr>
        <w:pStyle w:val="Caption"/>
        <w:spacing w:after="0" w:line="480" w:lineRule="auto"/>
        <w:rPr>
          <w:rFonts w:ascii="Arial" w:eastAsiaTheme="minorEastAsia" w:hAnsi="Arial" w:cs="Arial"/>
          <w:kern w:val="0"/>
          <w:sz w:val="24"/>
          <w:szCs w:val="24"/>
        </w:rPr>
      </w:pPr>
      <w:r w:rsidRPr="006C2682">
        <w:rPr>
          <w:rFonts w:ascii="Arial" w:hAnsi="Arial" w:cs="Arial"/>
          <w:sz w:val="24"/>
          <w:szCs w:val="24"/>
        </w:rPr>
        <w:t xml:space="preserve">Table </w:t>
      </w:r>
      <w:r w:rsidRPr="006C2682">
        <w:rPr>
          <w:rFonts w:ascii="Arial" w:hAnsi="Arial" w:cs="Arial"/>
          <w:sz w:val="24"/>
          <w:szCs w:val="24"/>
        </w:rPr>
        <w:fldChar w:fldCharType="begin"/>
      </w:r>
      <w:r w:rsidRPr="006C2682">
        <w:rPr>
          <w:rFonts w:ascii="Arial" w:hAnsi="Arial" w:cs="Arial"/>
          <w:sz w:val="24"/>
          <w:szCs w:val="24"/>
        </w:rPr>
        <w:instrText xml:space="preserve"> SEQ Table \* ARABIC </w:instrText>
      </w:r>
      <w:r w:rsidRPr="006C2682">
        <w:rPr>
          <w:rFonts w:ascii="Arial" w:hAnsi="Arial" w:cs="Arial"/>
          <w:sz w:val="24"/>
          <w:szCs w:val="24"/>
        </w:rPr>
        <w:fldChar w:fldCharType="separate"/>
      </w:r>
      <w:r w:rsidRPr="006C2682">
        <w:rPr>
          <w:rFonts w:ascii="Arial" w:hAnsi="Arial" w:cs="Arial"/>
          <w:noProof/>
          <w:sz w:val="24"/>
          <w:szCs w:val="24"/>
        </w:rPr>
        <w:t>5</w:t>
      </w:r>
      <w:r w:rsidRPr="006C2682">
        <w:rPr>
          <w:rFonts w:ascii="Arial" w:hAnsi="Arial" w:cs="Arial"/>
          <w:sz w:val="24"/>
          <w:szCs w:val="24"/>
        </w:rPr>
        <w:fldChar w:fldCharType="end"/>
      </w:r>
      <w:r w:rsidRPr="006C2682">
        <w:rPr>
          <w:rFonts w:ascii="Arial" w:hAnsi="Arial" w:cs="Arial"/>
          <w:sz w:val="24"/>
          <w:szCs w:val="24"/>
        </w:rPr>
        <w:t>: Pie Chart – Cluster 1 and 2</w:t>
      </w:r>
    </w:p>
    <w:p w14:paraId="015D72AA" w14:textId="77777777" w:rsidR="006C2682" w:rsidRPr="006C2682" w:rsidRDefault="006C2682" w:rsidP="006C2682">
      <w:pPr>
        <w:spacing w:line="480" w:lineRule="auto"/>
        <w:rPr>
          <w:rFonts w:ascii="Arial" w:hAnsi="Arial" w:cs="Arial"/>
          <w:sz w:val="24"/>
        </w:rPr>
      </w:pPr>
    </w:p>
    <w:p w14:paraId="79048300" w14:textId="77777777" w:rsidR="006C2682" w:rsidRPr="006C2682" w:rsidRDefault="006C2682" w:rsidP="006C2682">
      <w:pPr>
        <w:spacing w:line="480" w:lineRule="auto"/>
        <w:rPr>
          <w:rFonts w:ascii="Arial" w:hAnsi="Arial" w:cs="Arial"/>
          <w:sz w:val="24"/>
        </w:rPr>
      </w:pPr>
      <w:r w:rsidRPr="006C2682">
        <w:rPr>
          <w:rFonts w:ascii="Arial" w:hAnsi="Arial" w:cs="Arial"/>
          <w:sz w:val="24"/>
        </w:rPr>
        <w:t xml:space="preserve">The K-Means Clustering analysis performed on the 'Student_Score.csv' dataset yielded two distinctive clusters for students based on their pretest and posttest scores. </w:t>
      </w:r>
    </w:p>
    <w:p w14:paraId="3D228D63"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The endpoints of each cluster, also known as centroids or average values, are detailed as (43, 55) for Cluster 1 and (65, 78) for Cluster 2. This tells us that students belonging to Cluster 1 demonstrated lower average marks, with 43 on the pretest and 55 on the posttest. Contrastingly, students grouped under Cluster 2 displayed stronger academic performance, averaging 65 and 78 on the pretest and posttest, respectively. The distance between the final cluster centers is 32.160, indicating a significant disparity in performance between the two groups. </w:t>
      </w:r>
    </w:p>
    <w:p w14:paraId="7196F40A"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The ANOVA table informs us about the differences between the means of the clusters. With high F values (4351.122 for the pretest and 4631.188 for the posttest) and </w:t>
      </w:r>
      <w:r w:rsidRPr="006C2682">
        <w:rPr>
          <w:rFonts w:ascii="Arial" w:hAnsi="Arial" w:cs="Arial"/>
          <w:sz w:val="24"/>
        </w:rPr>
        <w:lastRenderedPageBreak/>
        <w:t>significant p-values (.000 for both), the two clusters have statistically significant differences regarding their pretest and posttest scores. However, as stated in the results, the significance levels have not been corrected because clusters were chosen to maximize differences, so these should only be used for descriptive purposes.</w:t>
      </w:r>
    </w:p>
    <w:p w14:paraId="471D251C" w14:textId="77777777" w:rsidR="006C2682" w:rsidRPr="006C2682" w:rsidRDefault="006C2682" w:rsidP="006C2682">
      <w:pPr>
        <w:spacing w:line="480" w:lineRule="auto"/>
        <w:ind w:firstLine="720"/>
        <w:rPr>
          <w:rFonts w:ascii="Arial" w:hAnsi="Arial" w:cs="Arial"/>
          <w:sz w:val="24"/>
        </w:rPr>
      </w:pPr>
      <w:r w:rsidRPr="006C2682">
        <w:rPr>
          <w:rFonts w:ascii="Arial" w:hAnsi="Arial" w:cs="Arial"/>
          <w:sz w:val="24"/>
        </w:rPr>
        <w:t xml:space="preserve">Lastly, we learn about the number of cases in each cluster. Cluster 1 contains 993 students, and Cluster 2 is slightly larger, with 1140 students. The analysis was performed on the entire dataset without any missing values, thus representing the entire student body of 2133 students. </w:t>
      </w:r>
    </w:p>
    <w:p w14:paraId="44257837" w14:textId="77777777" w:rsidR="006C2682" w:rsidRPr="006C2682" w:rsidRDefault="006C2682" w:rsidP="006C2682">
      <w:pPr>
        <w:spacing w:line="480" w:lineRule="auto"/>
        <w:ind w:firstLine="357"/>
        <w:rPr>
          <w:rFonts w:ascii="Arial" w:hAnsi="Arial" w:cs="Arial"/>
          <w:sz w:val="24"/>
        </w:rPr>
      </w:pPr>
      <w:r w:rsidRPr="006C2682">
        <w:rPr>
          <w:rFonts w:ascii="Arial" w:hAnsi="Arial" w:cs="Arial"/>
          <w:sz w:val="24"/>
        </w:rPr>
        <w:t>These results can be used to identify the two distinct groups of students and their differing performances, potentially providing insights to the school about the effectiveness of its teaching methods and the impact of reduced/free lunch qualification.</w:t>
      </w:r>
    </w:p>
    <w:p w14:paraId="6C81B609" w14:textId="77777777" w:rsidR="006C2682" w:rsidRPr="006C2682" w:rsidRDefault="006C2682" w:rsidP="006C2682">
      <w:pPr>
        <w:pStyle w:val="ListParagraph"/>
        <w:numPr>
          <w:ilvl w:val="0"/>
          <w:numId w:val="1"/>
        </w:numPr>
        <w:spacing w:line="480" w:lineRule="auto"/>
        <w:ind w:left="714" w:hanging="357"/>
        <w:rPr>
          <w:rFonts w:ascii="Arial" w:hAnsi="Arial" w:cs="Arial"/>
          <w:sz w:val="24"/>
        </w:rPr>
      </w:pPr>
      <w:r w:rsidRPr="006C2682">
        <w:rPr>
          <w:rFonts w:ascii="Arial" w:hAnsi="Arial" w:cs="Arial"/>
          <w:sz w:val="24"/>
        </w:rPr>
        <w:t xml:space="preserve">With real-world (practical) examples, explain minimum 5 most common data mining and text mining methods for each that can be used in contemporary business. </w:t>
      </w:r>
    </w:p>
    <w:p w14:paraId="4731723A" w14:textId="77777777" w:rsidR="006C2682" w:rsidRPr="006C2682" w:rsidRDefault="006C2682" w:rsidP="006C2682">
      <w:pPr>
        <w:spacing w:line="480" w:lineRule="auto"/>
        <w:rPr>
          <w:rFonts w:ascii="Arial" w:hAnsi="Arial" w:cs="Arial"/>
          <w:sz w:val="24"/>
        </w:rPr>
      </w:pPr>
    </w:p>
    <w:p w14:paraId="4EF7F7C2" w14:textId="77777777" w:rsidR="006C2682" w:rsidRPr="006C2682" w:rsidRDefault="006C2682" w:rsidP="006C2682">
      <w:pPr>
        <w:spacing w:line="480" w:lineRule="auto"/>
        <w:rPr>
          <w:rFonts w:ascii="Arial" w:hAnsi="Arial" w:cs="Arial"/>
          <w:sz w:val="24"/>
        </w:rPr>
      </w:pPr>
      <w:r w:rsidRPr="006C2682">
        <w:rPr>
          <w:rFonts w:ascii="Arial" w:hAnsi="Arial" w:cs="Arial"/>
          <w:sz w:val="24"/>
        </w:rPr>
        <w:t>Data Mining Methods:</w:t>
      </w:r>
    </w:p>
    <w:p w14:paraId="19E89B68" w14:textId="77777777" w:rsidR="006C2682" w:rsidRPr="006C2682" w:rsidRDefault="006C2682" w:rsidP="006C2682">
      <w:pPr>
        <w:pStyle w:val="ListParagraph"/>
        <w:numPr>
          <w:ilvl w:val="0"/>
          <w:numId w:val="2"/>
        </w:numPr>
        <w:spacing w:line="480" w:lineRule="auto"/>
        <w:rPr>
          <w:rFonts w:ascii="Arial" w:hAnsi="Arial" w:cs="Arial"/>
          <w:sz w:val="24"/>
        </w:rPr>
      </w:pPr>
      <w:r w:rsidRPr="006C2682">
        <w:rPr>
          <w:rFonts w:ascii="Arial" w:hAnsi="Arial" w:cs="Arial"/>
          <w:sz w:val="24"/>
        </w:rPr>
        <w:t>Association Rule Learning (Market Basket Analysis): This method identifies relationships between items in large datasets. A typical example is retail, where it can discover associations between products purchased together—Market Basket Analysis. For instance, if customers often buy bread and butter, the store might place these items close together to increase sales.</w:t>
      </w:r>
    </w:p>
    <w:p w14:paraId="0B9E94AA" w14:textId="77777777" w:rsidR="006C2682" w:rsidRPr="006C2682" w:rsidRDefault="006C2682" w:rsidP="006C2682">
      <w:pPr>
        <w:pStyle w:val="ListParagraph"/>
        <w:numPr>
          <w:ilvl w:val="0"/>
          <w:numId w:val="2"/>
        </w:numPr>
        <w:spacing w:line="480" w:lineRule="auto"/>
        <w:rPr>
          <w:rFonts w:ascii="Arial" w:hAnsi="Arial" w:cs="Arial"/>
          <w:sz w:val="24"/>
        </w:rPr>
      </w:pPr>
      <w:r w:rsidRPr="006C2682">
        <w:rPr>
          <w:rFonts w:ascii="Arial" w:hAnsi="Arial" w:cs="Arial"/>
          <w:sz w:val="24"/>
        </w:rPr>
        <w:t xml:space="preserve">Classification: Classification predicts the category or class of unknown items by learning from a training set of categorized items. For instance, depending on their </w:t>
      </w:r>
      <w:r w:rsidRPr="006C2682">
        <w:rPr>
          <w:rFonts w:ascii="Arial" w:hAnsi="Arial" w:cs="Arial"/>
          <w:sz w:val="24"/>
        </w:rPr>
        <w:lastRenderedPageBreak/>
        <w:t xml:space="preserve">transaction history and profile data, credit card issuers utilize classification algorithms to detect probable defaulters. </w:t>
      </w:r>
    </w:p>
    <w:p w14:paraId="5DB9F3DB" w14:textId="77777777" w:rsidR="006C2682" w:rsidRPr="006C2682" w:rsidRDefault="006C2682" w:rsidP="006C2682">
      <w:pPr>
        <w:pStyle w:val="ListParagraph"/>
        <w:numPr>
          <w:ilvl w:val="0"/>
          <w:numId w:val="2"/>
        </w:numPr>
        <w:spacing w:line="480" w:lineRule="auto"/>
        <w:rPr>
          <w:rFonts w:ascii="Arial" w:hAnsi="Arial" w:cs="Arial"/>
          <w:sz w:val="24"/>
        </w:rPr>
      </w:pPr>
      <w:r w:rsidRPr="006C2682">
        <w:rPr>
          <w:rFonts w:ascii="Arial" w:hAnsi="Arial" w:cs="Arial"/>
          <w:sz w:val="24"/>
        </w:rPr>
        <w:t>Clustering: This technique groups data points into clusters such that objects in the same cluster are more similar than those in other clusters. For instance, a telecom company can segment its customer base into clusters based on call details, recharge amounts, and data usage. These clusters can then be targeted with personalized marketing strategies.</w:t>
      </w:r>
    </w:p>
    <w:p w14:paraId="41CCF7F1" w14:textId="77777777" w:rsidR="006C2682" w:rsidRPr="006C2682" w:rsidRDefault="006C2682" w:rsidP="006C2682">
      <w:pPr>
        <w:pStyle w:val="ListParagraph"/>
        <w:numPr>
          <w:ilvl w:val="0"/>
          <w:numId w:val="2"/>
        </w:numPr>
        <w:spacing w:line="480" w:lineRule="auto"/>
        <w:rPr>
          <w:rFonts w:ascii="Arial" w:hAnsi="Arial" w:cs="Arial"/>
          <w:sz w:val="24"/>
        </w:rPr>
      </w:pPr>
      <w:r w:rsidRPr="006C2682">
        <w:rPr>
          <w:rFonts w:ascii="Arial" w:hAnsi="Arial" w:cs="Arial"/>
          <w:sz w:val="24"/>
        </w:rPr>
        <w:t>Regression: Regression identifies the relationship between a dependent variable (outcome) and one or more independent variables (predictors). A common use is in sales forecasting. For example, a company could use regression to understand how advertising spending (independent variable) impacts sales (dependent variable).</w:t>
      </w:r>
    </w:p>
    <w:p w14:paraId="6F50BB27" w14:textId="77777777" w:rsidR="006C2682" w:rsidRPr="006C2682" w:rsidRDefault="006C2682" w:rsidP="006C2682">
      <w:pPr>
        <w:pStyle w:val="ListParagraph"/>
        <w:numPr>
          <w:ilvl w:val="0"/>
          <w:numId w:val="2"/>
        </w:numPr>
        <w:spacing w:line="480" w:lineRule="auto"/>
        <w:rPr>
          <w:rFonts w:ascii="Arial" w:hAnsi="Arial" w:cs="Arial"/>
          <w:sz w:val="24"/>
        </w:rPr>
      </w:pPr>
      <w:r w:rsidRPr="006C2682">
        <w:rPr>
          <w:rFonts w:ascii="Arial" w:hAnsi="Arial" w:cs="Arial"/>
          <w:sz w:val="24"/>
        </w:rPr>
        <w:t>Anomaly Detection: This technique identifies outliers or exceptions in the data. In the financial industry, banks use anomaly detection to identify fraudulent transactions, which often deviate significantly from a user's normal transaction behavior.</w:t>
      </w:r>
    </w:p>
    <w:p w14:paraId="0728C8DF" w14:textId="77777777" w:rsidR="006C2682" w:rsidRPr="006C2682" w:rsidRDefault="006C2682" w:rsidP="006C2682">
      <w:pPr>
        <w:spacing w:line="480" w:lineRule="auto"/>
        <w:rPr>
          <w:rFonts w:ascii="Arial" w:hAnsi="Arial" w:cs="Arial"/>
          <w:sz w:val="24"/>
        </w:rPr>
      </w:pPr>
      <w:r w:rsidRPr="006C2682">
        <w:rPr>
          <w:rFonts w:ascii="Arial" w:hAnsi="Arial" w:cs="Arial"/>
          <w:sz w:val="24"/>
        </w:rPr>
        <w:t>Text Mining Methods:</w:t>
      </w:r>
    </w:p>
    <w:p w14:paraId="42AED6AC" w14:textId="77777777" w:rsidR="006C2682" w:rsidRPr="006C2682" w:rsidRDefault="006C2682" w:rsidP="006C2682">
      <w:pPr>
        <w:pStyle w:val="ListParagraph"/>
        <w:numPr>
          <w:ilvl w:val="0"/>
          <w:numId w:val="3"/>
        </w:numPr>
        <w:spacing w:line="480" w:lineRule="auto"/>
        <w:rPr>
          <w:rFonts w:ascii="Arial" w:hAnsi="Arial" w:cs="Arial"/>
          <w:sz w:val="24"/>
        </w:rPr>
      </w:pPr>
      <w:r w:rsidRPr="006C2682">
        <w:rPr>
          <w:rFonts w:ascii="Arial" w:hAnsi="Arial" w:cs="Arial"/>
          <w:sz w:val="24"/>
        </w:rPr>
        <w:t>Information Extraction: This technique transforms unstructured text into structured data for better analysis. For instance, a news agency might use information extraction to create a database of entities and events from news articles.</w:t>
      </w:r>
    </w:p>
    <w:p w14:paraId="486E5F26" w14:textId="77777777" w:rsidR="006C2682" w:rsidRPr="006C2682" w:rsidRDefault="006C2682" w:rsidP="006C2682">
      <w:pPr>
        <w:pStyle w:val="ListParagraph"/>
        <w:numPr>
          <w:ilvl w:val="0"/>
          <w:numId w:val="3"/>
        </w:numPr>
        <w:spacing w:line="480" w:lineRule="auto"/>
        <w:rPr>
          <w:rFonts w:ascii="Arial" w:hAnsi="Arial" w:cs="Arial"/>
          <w:sz w:val="24"/>
        </w:rPr>
      </w:pPr>
      <w:r w:rsidRPr="006C2682">
        <w:rPr>
          <w:rFonts w:ascii="Arial" w:hAnsi="Arial" w:cs="Arial"/>
          <w:sz w:val="24"/>
        </w:rPr>
        <w:t xml:space="preserve">Sentiment Analysis: Businesses use this to understand customer opinions towards products or services. For example, a company can analyze customer reviews or social media posts to measure positive, negative, or neutral sentiments about its </w:t>
      </w:r>
      <w:r w:rsidRPr="006C2682">
        <w:rPr>
          <w:rFonts w:ascii="Arial" w:hAnsi="Arial" w:cs="Arial"/>
          <w:sz w:val="24"/>
        </w:rPr>
        <w:lastRenderedPageBreak/>
        <w:t>products.</w:t>
      </w:r>
    </w:p>
    <w:p w14:paraId="4D450667" w14:textId="77777777" w:rsidR="006C2682" w:rsidRPr="006C2682" w:rsidRDefault="006C2682" w:rsidP="006C2682">
      <w:pPr>
        <w:pStyle w:val="ListParagraph"/>
        <w:numPr>
          <w:ilvl w:val="0"/>
          <w:numId w:val="3"/>
        </w:numPr>
        <w:spacing w:line="480" w:lineRule="auto"/>
        <w:rPr>
          <w:rFonts w:ascii="Arial" w:hAnsi="Arial" w:cs="Arial"/>
          <w:sz w:val="24"/>
        </w:rPr>
      </w:pPr>
      <w:r w:rsidRPr="006C2682">
        <w:rPr>
          <w:rFonts w:ascii="Arial" w:hAnsi="Arial" w:cs="Arial"/>
          <w:sz w:val="24"/>
        </w:rPr>
        <w:t>Text Classification: This technique categorizes text into predefined groups. A common use is in email spam filters, which classify emails as "spam" or "not spam" based on the content of the email.</w:t>
      </w:r>
    </w:p>
    <w:p w14:paraId="6C136FD6" w14:textId="77777777" w:rsidR="006C2682" w:rsidRPr="006C2682" w:rsidRDefault="006C2682" w:rsidP="006C2682">
      <w:pPr>
        <w:pStyle w:val="ListParagraph"/>
        <w:numPr>
          <w:ilvl w:val="0"/>
          <w:numId w:val="3"/>
        </w:numPr>
        <w:spacing w:line="480" w:lineRule="auto"/>
        <w:rPr>
          <w:rFonts w:ascii="Arial" w:hAnsi="Arial" w:cs="Arial"/>
          <w:sz w:val="24"/>
        </w:rPr>
      </w:pPr>
      <w:r w:rsidRPr="006C2682">
        <w:rPr>
          <w:rFonts w:ascii="Arial" w:hAnsi="Arial" w:cs="Arial"/>
          <w:sz w:val="24"/>
        </w:rPr>
        <w:t>Topic Modeling: This uncovers the abstract "topics" that occur in a collection of documents. For instance, an online publisher might use topic modeling to tag and categorize articles based on their content.</w:t>
      </w:r>
    </w:p>
    <w:p w14:paraId="40B65D74" w14:textId="77777777" w:rsidR="006C2682" w:rsidRPr="006C2682" w:rsidRDefault="006C2682" w:rsidP="006C2682">
      <w:pPr>
        <w:pStyle w:val="ListParagraph"/>
        <w:numPr>
          <w:ilvl w:val="0"/>
          <w:numId w:val="3"/>
        </w:numPr>
        <w:spacing w:line="480" w:lineRule="auto"/>
        <w:rPr>
          <w:rFonts w:ascii="Arial" w:hAnsi="Arial" w:cs="Arial"/>
          <w:sz w:val="24"/>
        </w:rPr>
      </w:pPr>
      <w:r w:rsidRPr="006C2682">
        <w:rPr>
          <w:rFonts w:ascii="Arial" w:hAnsi="Arial" w:cs="Arial"/>
          <w:sz w:val="24"/>
        </w:rPr>
        <w:t>Named Entity Recognition (NER): NER identifies and classifies named entities in text into predefined categories such as person names, organizations, and locations, among many others. In the healthcare industry, NER could be used to extract patient information from medical records for better patient management.</w:t>
      </w:r>
    </w:p>
    <w:p w14:paraId="2F2BF698" w14:textId="77777777" w:rsidR="006C2682" w:rsidRPr="006C2682" w:rsidRDefault="006C2682" w:rsidP="006C2682">
      <w:pPr>
        <w:spacing w:line="480" w:lineRule="auto"/>
        <w:rPr>
          <w:rFonts w:ascii="Arial" w:hAnsi="Arial" w:cs="Arial"/>
          <w:sz w:val="24"/>
        </w:rPr>
      </w:pPr>
      <w:r w:rsidRPr="006C2682">
        <w:rPr>
          <w:rFonts w:ascii="Arial" w:hAnsi="Arial" w:cs="Arial"/>
          <w:sz w:val="24"/>
        </w:rPr>
        <w:t>The rise of big data and advanced analytics have made these data and text mining techniques invaluable for modern businesses. They can uncover hidden patterns, predict future trends, and provide deep insights from large volumes of data, driving better business decisions and competitive advantage.</w:t>
      </w:r>
    </w:p>
    <w:p w14:paraId="449FFBB0" w14:textId="77777777" w:rsidR="006C2682" w:rsidRPr="006C2682" w:rsidRDefault="006C2682" w:rsidP="006C2682">
      <w:pPr>
        <w:spacing w:line="480" w:lineRule="auto"/>
        <w:rPr>
          <w:rFonts w:ascii="Arial" w:hAnsi="Arial" w:cs="Arial"/>
          <w:sz w:val="24"/>
        </w:rPr>
      </w:pPr>
    </w:p>
    <w:p w14:paraId="488759F1" w14:textId="77777777" w:rsidR="006C2682" w:rsidRPr="006C2682" w:rsidRDefault="006C2682" w:rsidP="006C2682">
      <w:pPr>
        <w:pStyle w:val="ListParagraph"/>
        <w:numPr>
          <w:ilvl w:val="0"/>
          <w:numId w:val="1"/>
        </w:numPr>
        <w:spacing w:line="480" w:lineRule="auto"/>
        <w:ind w:left="714" w:hanging="357"/>
        <w:rPr>
          <w:rFonts w:ascii="Arial" w:hAnsi="Arial" w:cs="Arial"/>
          <w:sz w:val="24"/>
        </w:rPr>
      </w:pPr>
      <w:r w:rsidRPr="006C2682">
        <w:rPr>
          <w:rFonts w:ascii="Arial" w:hAnsi="Arial" w:cs="Arial"/>
          <w:sz w:val="24"/>
        </w:rPr>
        <w:t>Discuss the advantages and disadvantages of using SPSS and Excel using relevant practical examples and present your discussions in a table.</w:t>
      </w:r>
    </w:p>
    <w:p w14:paraId="0B924593" w14:textId="77777777" w:rsidR="006C2682" w:rsidRPr="006C2682" w:rsidRDefault="006C2682" w:rsidP="006C2682">
      <w:pPr>
        <w:spacing w:line="480" w:lineRule="auto"/>
        <w:rPr>
          <w:rFonts w:ascii="Arial" w:hAnsi="Arial" w:cs="Arial"/>
          <w:sz w:val="24"/>
        </w:rPr>
      </w:pPr>
    </w:p>
    <w:p w14:paraId="0583D5C6" w14:textId="77777777" w:rsidR="006C2682" w:rsidRPr="006C2682" w:rsidRDefault="006C2682" w:rsidP="006C2682">
      <w:pPr>
        <w:spacing w:line="480" w:lineRule="auto"/>
        <w:rPr>
          <w:rFonts w:ascii="Arial" w:hAnsi="Arial" w:cs="Arial"/>
          <w:sz w:val="24"/>
        </w:rPr>
      </w:pPr>
    </w:p>
    <w:tbl>
      <w:tblPr>
        <w:tblStyle w:val="TableGrid"/>
        <w:tblW w:w="0" w:type="auto"/>
        <w:tblInd w:w="0" w:type="dxa"/>
        <w:tblLook w:val="04A0" w:firstRow="1" w:lastRow="0" w:firstColumn="1" w:lastColumn="0" w:noHBand="0" w:noVBand="1"/>
      </w:tblPr>
      <w:tblGrid>
        <w:gridCol w:w="2257"/>
        <w:gridCol w:w="3614"/>
        <w:gridCol w:w="3209"/>
      </w:tblGrid>
      <w:tr w:rsidR="006C2682" w:rsidRPr="006C2682" w14:paraId="17845519" w14:textId="77777777" w:rsidTr="006C2682">
        <w:tc>
          <w:tcPr>
            <w:tcW w:w="2193" w:type="dxa"/>
            <w:tcBorders>
              <w:top w:val="single" w:sz="4" w:space="0" w:color="auto"/>
              <w:left w:val="single" w:sz="4" w:space="0" w:color="auto"/>
              <w:bottom w:val="single" w:sz="4" w:space="0" w:color="auto"/>
              <w:right w:val="single" w:sz="4" w:space="0" w:color="auto"/>
            </w:tcBorders>
          </w:tcPr>
          <w:p w14:paraId="2DACB757" w14:textId="77777777" w:rsidR="006C2682" w:rsidRPr="006C2682" w:rsidRDefault="006C2682">
            <w:pPr>
              <w:spacing w:line="480" w:lineRule="auto"/>
              <w:rPr>
                <w:rFonts w:ascii="Arial" w:hAnsi="Arial" w:cs="Arial"/>
                <w:sz w:val="24"/>
              </w:rPr>
            </w:pPr>
          </w:p>
        </w:tc>
        <w:tc>
          <w:tcPr>
            <w:tcW w:w="3614" w:type="dxa"/>
            <w:tcBorders>
              <w:top w:val="single" w:sz="4" w:space="0" w:color="auto"/>
              <w:left w:val="single" w:sz="4" w:space="0" w:color="auto"/>
              <w:bottom w:val="single" w:sz="4" w:space="0" w:color="auto"/>
              <w:right w:val="single" w:sz="4" w:space="0" w:color="auto"/>
            </w:tcBorders>
            <w:hideMark/>
          </w:tcPr>
          <w:p w14:paraId="5602571A" w14:textId="77777777" w:rsidR="006C2682" w:rsidRPr="006C2682" w:rsidRDefault="006C2682">
            <w:pPr>
              <w:spacing w:line="480" w:lineRule="auto"/>
              <w:rPr>
                <w:rFonts w:ascii="Arial" w:hAnsi="Arial" w:cs="Arial"/>
                <w:sz w:val="24"/>
              </w:rPr>
            </w:pPr>
            <w:r w:rsidRPr="006C2682">
              <w:rPr>
                <w:rFonts w:ascii="Arial" w:hAnsi="Arial" w:cs="Arial"/>
                <w:sz w:val="24"/>
              </w:rPr>
              <w:t>SPSS</w:t>
            </w:r>
          </w:p>
        </w:tc>
        <w:tc>
          <w:tcPr>
            <w:tcW w:w="3209" w:type="dxa"/>
            <w:tcBorders>
              <w:top w:val="single" w:sz="4" w:space="0" w:color="auto"/>
              <w:left w:val="single" w:sz="4" w:space="0" w:color="auto"/>
              <w:bottom w:val="single" w:sz="4" w:space="0" w:color="auto"/>
              <w:right w:val="single" w:sz="4" w:space="0" w:color="auto"/>
            </w:tcBorders>
            <w:hideMark/>
          </w:tcPr>
          <w:p w14:paraId="32D459C3" w14:textId="77777777" w:rsidR="006C2682" w:rsidRPr="006C2682" w:rsidRDefault="006C2682">
            <w:pPr>
              <w:spacing w:line="480" w:lineRule="auto"/>
              <w:rPr>
                <w:rFonts w:ascii="Arial" w:hAnsi="Arial" w:cs="Arial"/>
                <w:sz w:val="24"/>
              </w:rPr>
            </w:pPr>
            <w:r w:rsidRPr="006C2682">
              <w:rPr>
                <w:rFonts w:ascii="Arial" w:hAnsi="Arial" w:cs="Arial"/>
                <w:sz w:val="24"/>
              </w:rPr>
              <w:t>EXCEL</w:t>
            </w:r>
          </w:p>
        </w:tc>
      </w:tr>
      <w:tr w:rsidR="006C2682" w:rsidRPr="006C2682" w14:paraId="734A2AFD" w14:textId="77777777" w:rsidTr="006C2682">
        <w:tc>
          <w:tcPr>
            <w:tcW w:w="2193" w:type="dxa"/>
            <w:tcBorders>
              <w:top w:val="single" w:sz="4" w:space="0" w:color="auto"/>
              <w:left w:val="single" w:sz="4" w:space="0" w:color="auto"/>
              <w:bottom w:val="single" w:sz="4" w:space="0" w:color="auto"/>
              <w:right w:val="single" w:sz="4" w:space="0" w:color="auto"/>
            </w:tcBorders>
            <w:hideMark/>
          </w:tcPr>
          <w:p w14:paraId="4AC16FF5" w14:textId="77777777" w:rsidR="006C2682" w:rsidRPr="006C2682" w:rsidRDefault="006C2682">
            <w:pPr>
              <w:spacing w:line="480" w:lineRule="auto"/>
              <w:rPr>
                <w:rFonts w:ascii="Arial" w:hAnsi="Arial" w:cs="Arial"/>
                <w:sz w:val="24"/>
              </w:rPr>
            </w:pPr>
            <w:r w:rsidRPr="006C2682">
              <w:rPr>
                <w:rFonts w:ascii="Arial" w:hAnsi="Arial" w:cs="Arial"/>
                <w:sz w:val="24"/>
              </w:rPr>
              <w:t>ADVANTAGES</w:t>
            </w:r>
          </w:p>
        </w:tc>
        <w:tc>
          <w:tcPr>
            <w:tcW w:w="3614" w:type="dxa"/>
            <w:tcBorders>
              <w:top w:val="single" w:sz="4" w:space="0" w:color="auto"/>
              <w:left w:val="single" w:sz="4" w:space="0" w:color="auto"/>
              <w:bottom w:val="single" w:sz="4" w:space="0" w:color="auto"/>
              <w:right w:val="single" w:sz="4" w:space="0" w:color="auto"/>
            </w:tcBorders>
            <w:hideMark/>
          </w:tcPr>
          <w:p w14:paraId="79F0D59A" w14:textId="77777777" w:rsidR="006C2682" w:rsidRPr="006C2682" w:rsidRDefault="006C2682" w:rsidP="002A5D90">
            <w:pPr>
              <w:pStyle w:val="ListParagraph"/>
              <w:numPr>
                <w:ilvl w:val="0"/>
                <w:numId w:val="4"/>
              </w:numPr>
              <w:spacing w:line="480" w:lineRule="auto"/>
              <w:rPr>
                <w:rFonts w:ascii="Arial" w:hAnsi="Arial" w:cs="Arial"/>
                <w:sz w:val="24"/>
              </w:rPr>
            </w:pPr>
            <w:r w:rsidRPr="006C2682">
              <w:rPr>
                <w:rFonts w:ascii="Arial" w:hAnsi="Arial" w:cs="Arial"/>
                <w:sz w:val="24"/>
              </w:rPr>
              <w:t xml:space="preserve">Proficient Statistical Processing: SPSS, </w:t>
            </w:r>
            <w:r w:rsidRPr="006C2682">
              <w:rPr>
                <w:rFonts w:ascii="Arial" w:hAnsi="Arial" w:cs="Arial"/>
                <w:sz w:val="24"/>
              </w:rPr>
              <w:lastRenderedPageBreak/>
              <w:t>primarily built for statistical exploration, offers various statistical capabilities, ranging from basic frequency distribution to intricate mixed-model computations and neural networks. This makes it a valuable tool for sophisticated research. For instance, a sociologist may employ SPSS to conduct a logistic regression study, helping to decipher the influence of different variables on societal actions.</w:t>
            </w:r>
          </w:p>
          <w:p w14:paraId="273F7FB7" w14:textId="77777777" w:rsidR="006C2682" w:rsidRPr="006C2682" w:rsidRDefault="006C2682" w:rsidP="002A5D90">
            <w:pPr>
              <w:pStyle w:val="ListParagraph"/>
              <w:numPr>
                <w:ilvl w:val="0"/>
                <w:numId w:val="4"/>
              </w:numPr>
              <w:spacing w:line="480" w:lineRule="auto"/>
              <w:rPr>
                <w:rFonts w:ascii="Arial" w:hAnsi="Arial" w:cs="Arial"/>
                <w:sz w:val="24"/>
              </w:rPr>
            </w:pPr>
            <w:r w:rsidRPr="006C2682">
              <w:rPr>
                <w:rFonts w:ascii="Arial" w:hAnsi="Arial" w:cs="Arial"/>
                <w:sz w:val="24"/>
              </w:rPr>
              <w:t xml:space="preserve">Effective Data Handling: SPSS outperforms Excel when dealing with sizable datasets, offering sturdy </w:t>
            </w:r>
            <w:r w:rsidRPr="006C2682">
              <w:rPr>
                <w:rFonts w:ascii="Arial" w:hAnsi="Arial" w:cs="Arial"/>
                <w:sz w:val="24"/>
              </w:rPr>
              <w:lastRenderedPageBreak/>
              <w:t>data manipulation utilities such as data reshaping, recoding, and amalgamation of files, among others. This powerful data management capacity ensures a streamlined and efficient data analysis process. An organization might use SPSS to process a large-scale customer survey with thousands of responses.</w:t>
            </w:r>
          </w:p>
          <w:p w14:paraId="4A13523E" w14:textId="77777777" w:rsidR="006C2682" w:rsidRPr="006C2682" w:rsidRDefault="006C2682" w:rsidP="002A5D90">
            <w:pPr>
              <w:pStyle w:val="ListParagraph"/>
              <w:numPr>
                <w:ilvl w:val="0"/>
                <w:numId w:val="4"/>
              </w:numPr>
              <w:spacing w:line="480" w:lineRule="auto"/>
              <w:rPr>
                <w:rFonts w:ascii="Arial" w:hAnsi="Arial" w:cs="Arial"/>
                <w:sz w:val="24"/>
              </w:rPr>
            </w:pPr>
            <w:r w:rsidRPr="006C2682">
              <w:rPr>
                <w:rFonts w:ascii="Arial" w:hAnsi="Arial" w:cs="Arial"/>
                <w:sz w:val="24"/>
              </w:rPr>
              <w:t xml:space="preserve">Scripting: SPSS's syntax programming allows for automated analysis, increasing efficiency and reproducibility. For example, a market researcher might write syntax to clean </w:t>
            </w:r>
            <w:r w:rsidRPr="006C2682">
              <w:rPr>
                <w:rFonts w:ascii="Arial" w:hAnsi="Arial" w:cs="Arial"/>
                <w:sz w:val="24"/>
              </w:rPr>
              <w:lastRenderedPageBreak/>
              <w:t>automatically and process survey data each month.</w:t>
            </w:r>
          </w:p>
        </w:tc>
        <w:tc>
          <w:tcPr>
            <w:tcW w:w="3209" w:type="dxa"/>
            <w:tcBorders>
              <w:top w:val="single" w:sz="4" w:space="0" w:color="auto"/>
              <w:left w:val="single" w:sz="4" w:space="0" w:color="auto"/>
              <w:bottom w:val="single" w:sz="4" w:space="0" w:color="auto"/>
              <w:right w:val="single" w:sz="4" w:space="0" w:color="auto"/>
            </w:tcBorders>
            <w:hideMark/>
          </w:tcPr>
          <w:p w14:paraId="6246E84B" w14:textId="77777777" w:rsidR="006C2682" w:rsidRPr="006C2682" w:rsidRDefault="006C2682" w:rsidP="002A5D90">
            <w:pPr>
              <w:pStyle w:val="ListParagraph"/>
              <w:numPr>
                <w:ilvl w:val="0"/>
                <w:numId w:val="5"/>
              </w:numPr>
              <w:spacing w:line="480" w:lineRule="auto"/>
              <w:rPr>
                <w:rFonts w:ascii="Arial" w:hAnsi="Arial" w:cs="Arial"/>
                <w:sz w:val="24"/>
              </w:rPr>
            </w:pPr>
            <w:r w:rsidRPr="006C2682">
              <w:rPr>
                <w:rFonts w:ascii="Arial" w:hAnsi="Arial" w:cs="Arial"/>
                <w:sz w:val="24"/>
              </w:rPr>
              <w:lastRenderedPageBreak/>
              <w:t xml:space="preserve">User-Friendly Interface: Excel has a </w:t>
            </w:r>
            <w:r w:rsidRPr="006C2682">
              <w:rPr>
                <w:rFonts w:ascii="Arial" w:hAnsi="Arial" w:cs="Arial"/>
                <w:sz w:val="24"/>
              </w:rPr>
              <w:lastRenderedPageBreak/>
              <w:t>more intuitive and user-friendly interface than SPSS, making it more accessible to beginners. For example, a small business owner without much data analysis experience might prefer Excel for simple calculations and analyses.</w:t>
            </w:r>
          </w:p>
          <w:p w14:paraId="554A61EE" w14:textId="77777777" w:rsidR="006C2682" w:rsidRPr="006C2682" w:rsidRDefault="006C2682" w:rsidP="002A5D90">
            <w:pPr>
              <w:pStyle w:val="ListParagraph"/>
              <w:numPr>
                <w:ilvl w:val="0"/>
                <w:numId w:val="5"/>
              </w:numPr>
              <w:spacing w:line="480" w:lineRule="auto"/>
              <w:rPr>
                <w:rFonts w:ascii="Arial" w:hAnsi="Arial" w:cs="Arial"/>
                <w:sz w:val="24"/>
              </w:rPr>
            </w:pPr>
            <w:r w:rsidRPr="006C2682">
              <w:rPr>
                <w:rFonts w:ascii="Arial" w:hAnsi="Arial" w:cs="Arial"/>
                <w:sz w:val="24"/>
              </w:rPr>
              <w:t xml:space="preserve">Data Visualization: Excel provides a broad range of customizable data visualization options, including charts, graphs, and pivot tables, making it easy to interpret and present data. For </w:t>
            </w:r>
            <w:r w:rsidRPr="006C2682">
              <w:rPr>
                <w:rFonts w:ascii="Arial" w:hAnsi="Arial" w:cs="Arial"/>
                <w:sz w:val="24"/>
              </w:rPr>
              <w:lastRenderedPageBreak/>
              <w:t>example, a sales manager might use Excel's pivot table feature to summarize sales data by region and product category.</w:t>
            </w:r>
          </w:p>
          <w:p w14:paraId="219BDBC0" w14:textId="77777777" w:rsidR="006C2682" w:rsidRPr="006C2682" w:rsidRDefault="006C2682" w:rsidP="002A5D90">
            <w:pPr>
              <w:pStyle w:val="ListParagraph"/>
              <w:numPr>
                <w:ilvl w:val="0"/>
                <w:numId w:val="5"/>
              </w:numPr>
              <w:spacing w:line="480" w:lineRule="auto"/>
              <w:rPr>
                <w:rFonts w:ascii="Arial" w:hAnsi="Arial" w:cs="Arial"/>
                <w:sz w:val="24"/>
              </w:rPr>
            </w:pPr>
            <w:r w:rsidRPr="006C2682">
              <w:rPr>
                <w:rFonts w:ascii="Arial" w:hAnsi="Arial" w:cs="Arial"/>
                <w:sz w:val="24"/>
              </w:rPr>
              <w:t>Integration: Excel can seamlessly integrate with other Microsoft Office applications, facilitating data sharing and collaboration. For instance, a report created in Excel can be easily inserted into a PowerPoint or Word document.</w:t>
            </w:r>
          </w:p>
        </w:tc>
      </w:tr>
      <w:tr w:rsidR="006C2682" w:rsidRPr="006C2682" w14:paraId="1DEE7013" w14:textId="77777777" w:rsidTr="006C2682">
        <w:tc>
          <w:tcPr>
            <w:tcW w:w="2193" w:type="dxa"/>
            <w:tcBorders>
              <w:top w:val="single" w:sz="4" w:space="0" w:color="auto"/>
              <w:left w:val="single" w:sz="4" w:space="0" w:color="auto"/>
              <w:bottom w:val="single" w:sz="4" w:space="0" w:color="auto"/>
              <w:right w:val="single" w:sz="4" w:space="0" w:color="auto"/>
            </w:tcBorders>
            <w:hideMark/>
          </w:tcPr>
          <w:p w14:paraId="7F602EBB" w14:textId="77777777" w:rsidR="006C2682" w:rsidRPr="006C2682" w:rsidRDefault="006C2682">
            <w:pPr>
              <w:spacing w:line="480" w:lineRule="auto"/>
              <w:rPr>
                <w:rFonts w:ascii="Arial" w:hAnsi="Arial" w:cs="Arial"/>
                <w:sz w:val="24"/>
              </w:rPr>
            </w:pPr>
            <w:r w:rsidRPr="006C2682">
              <w:rPr>
                <w:rFonts w:ascii="Arial" w:hAnsi="Arial" w:cs="Arial"/>
                <w:sz w:val="24"/>
              </w:rPr>
              <w:lastRenderedPageBreak/>
              <w:t>DISADVANTAGES</w:t>
            </w:r>
          </w:p>
        </w:tc>
        <w:tc>
          <w:tcPr>
            <w:tcW w:w="3614" w:type="dxa"/>
            <w:tcBorders>
              <w:top w:val="single" w:sz="4" w:space="0" w:color="auto"/>
              <w:left w:val="single" w:sz="4" w:space="0" w:color="auto"/>
              <w:bottom w:val="single" w:sz="4" w:space="0" w:color="auto"/>
              <w:right w:val="single" w:sz="4" w:space="0" w:color="auto"/>
            </w:tcBorders>
            <w:hideMark/>
          </w:tcPr>
          <w:p w14:paraId="27EDC1D5" w14:textId="77777777" w:rsidR="006C2682" w:rsidRPr="006C2682" w:rsidRDefault="006C2682" w:rsidP="002A5D90">
            <w:pPr>
              <w:pStyle w:val="ListParagraph"/>
              <w:numPr>
                <w:ilvl w:val="0"/>
                <w:numId w:val="6"/>
              </w:numPr>
              <w:spacing w:line="480" w:lineRule="auto"/>
              <w:rPr>
                <w:rFonts w:ascii="Arial" w:hAnsi="Arial" w:cs="Arial"/>
                <w:sz w:val="24"/>
              </w:rPr>
            </w:pPr>
            <w:r w:rsidRPr="006C2682">
              <w:rPr>
                <w:rFonts w:ascii="Arial" w:hAnsi="Arial" w:cs="Arial"/>
                <w:sz w:val="24"/>
              </w:rPr>
              <w:t>Mastery Challenge: The intricacies of SPSS often pose a challenge for novices, particularly those without prior exposure to statistical analysis, rendering its learning curve quite steep.</w:t>
            </w:r>
          </w:p>
          <w:p w14:paraId="6731D2A1" w14:textId="77777777" w:rsidR="006C2682" w:rsidRPr="006C2682" w:rsidRDefault="006C2682" w:rsidP="002A5D90">
            <w:pPr>
              <w:pStyle w:val="ListParagraph"/>
              <w:numPr>
                <w:ilvl w:val="0"/>
                <w:numId w:val="6"/>
              </w:numPr>
              <w:spacing w:line="480" w:lineRule="auto"/>
              <w:rPr>
                <w:rFonts w:ascii="Arial" w:hAnsi="Arial" w:cs="Arial"/>
                <w:sz w:val="24"/>
              </w:rPr>
            </w:pPr>
            <w:r w:rsidRPr="006C2682">
              <w:rPr>
                <w:rFonts w:ascii="Arial" w:hAnsi="Arial" w:cs="Arial"/>
                <w:sz w:val="24"/>
              </w:rPr>
              <w:t>Affordability: Unlike Excel, a component of the widely used Microsoft Office suite, SPSS comes with a hefty price tag, which might not be economically feasible for small entities or individual users.</w:t>
            </w:r>
          </w:p>
          <w:p w14:paraId="7D6A6AE9" w14:textId="77777777" w:rsidR="006C2682" w:rsidRPr="006C2682" w:rsidRDefault="006C2682" w:rsidP="002A5D90">
            <w:pPr>
              <w:pStyle w:val="ListParagraph"/>
              <w:numPr>
                <w:ilvl w:val="0"/>
                <w:numId w:val="6"/>
              </w:numPr>
              <w:spacing w:line="480" w:lineRule="auto"/>
              <w:rPr>
                <w:rFonts w:ascii="Arial" w:hAnsi="Arial" w:cs="Arial"/>
                <w:sz w:val="24"/>
              </w:rPr>
            </w:pPr>
            <w:r w:rsidRPr="006C2682">
              <w:rPr>
                <w:rFonts w:ascii="Arial" w:hAnsi="Arial" w:cs="Arial"/>
                <w:sz w:val="24"/>
              </w:rPr>
              <w:t xml:space="preserve">Visualization Capabilities: Despite </w:t>
            </w:r>
            <w:r w:rsidRPr="006C2682">
              <w:rPr>
                <w:rFonts w:ascii="Arial" w:hAnsi="Arial" w:cs="Arial"/>
                <w:sz w:val="24"/>
              </w:rPr>
              <w:lastRenderedPageBreak/>
              <w:t>SPSS's capability to generate graphs and charts, it falls short in the area of sophisticated data visualization when compared to Excel's feature set and flexibility.</w:t>
            </w:r>
          </w:p>
        </w:tc>
        <w:tc>
          <w:tcPr>
            <w:tcW w:w="3209" w:type="dxa"/>
            <w:tcBorders>
              <w:top w:val="single" w:sz="4" w:space="0" w:color="auto"/>
              <w:left w:val="single" w:sz="4" w:space="0" w:color="auto"/>
              <w:bottom w:val="single" w:sz="4" w:space="0" w:color="auto"/>
              <w:right w:val="single" w:sz="4" w:space="0" w:color="auto"/>
            </w:tcBorders>
            <w:hideMark/>
          </w:tcPr>
          <w:p w14:paraId="76947995" w14:textId="77777777" w:rsidR="006C2682" w:rsidRPr="006C2682" w:rsidRDefault="006C2682" w:rsidP="002A5D90">
            <w:pPr>
              <w:pStyle w:val="ListParagraph"/>
              <w:numPr>
                <w:ilvl w:val="0"/>
                <w:numId w:val="7"/>
              </w:numPr>
              <w:spacing w:line="480" w:lineRule="auto"/>
              <w:rPr>
                <w:rFonts w:ascii="Arial" w:hAnsi="Arial" w:cs="Arial"/>
                <w:sz w:val="24"/>
              </w:rPr>
            </w:pPr>
            <w:r w:rsidRPr="006C2682">
              <w:rPr>
                <w:rFonts w:ascii="Arial" w:hAnsi="Arial" w:cs="Arial"/>
                <w:sz w:val="24"/>
              </w:rPr>
              <w:lastRenderedPageBreak/>
              <w:t>Analytical Limitations: Excel, although able to conduct basic statistical analyses, does not offer the extended statistical capabilities that SPSS does, which renders it less appropriate for intricate scientific research. For instance, it cannot perform multivariate or logistic regression analyses.</w:t>
            </w:r>
          </w:p>
          <w:p w14:paraId="39093C98" w14:textId="77777777" w:rsidR="006C2682" w:rsidRPr="006C2682" w:rsidRDefault="006C2682" w:rsidP="002A5D90">
            <w:pPr>
              <w:pStyle w:val="ListParagraph"/>
              <w:numPr>
                <w:ilvl w:val="0"/>
                <w:numId w:val="7"/>
              </w:numPr>
              <w:spacing w:line="480" w:lineRule="auto"/>
              <w:rPr>
                <w:rFonts w:ascii="Arial" w:hAnsi="Arial" w:cs="Arial"/>
                <w:sz w:val="24"/>
              </w:rPr>
            </w:pPr>
            <w:r w:rsidRPr="006C2682">
              <w:rPr>
                <w:rFonts w:ascii="Arial" w:hAnsi="Arial" w:cs="Arial"/>
                <w:sz w:val="24"/>
              </w:rPr>
              <w:t xml:space="preserve">Handling Large Data: Excel encounters difficulties working </w:t>
            </w:r>
            <w:r w:rsidRPr="006C2682">
              <w:rPr>
                <w:rFonts w:ascii="Arial" w:hAnsi="Arial" w:cs="Arial"/>
                <w:sz w:val="24"/>
              </w:rPr>
              <w:lastRenderedPageBreak/>
              <w:t>with extensive datasets, limiting its utility for big data analysis.</w:t>
            </w:r>
          </w:p>
          <w:p w14:paraId="3266699D" w14:textId="77777777" w:rsidR="006C2682" w:rsidRPr="006C2682" w:rsidRDefault="006C2682" w:rsidP="002A5D90">
            <w:pPr>
              <w:pStyle w:val="ListParagraph"/>
              <w:numPr>
                <w:ilvl w:val="0"/>
                <w:numId w:val="7"/>
              </w:numPr>
              <w:spacing w:line="480" w:lineRule="auto"/>
              <w:rPr>
                <w:rFonts w:ascii="Arial" w:hAnsi="Arial" w:cs="Arial"/>
                <w:sz w:val="24"/>
              </w:rPr>
            </w:pPr>
            <w:r w:rsidRPr="006C2682">
              <w:rPr>
                <w:rFonts w:ascii="Arial" w:hAnsi="Arial" w:cs="Arial"/>
                <w:sz w:val="24"/>
              </w:rPr>
              <w:t>Less Robust Data Management: Excel's data management capabilities are less advanced than SPSS. For instance, recoding variables in Excel can be tedious and error-prone.</w:t>
            </w:r>
          </w:p>
        </w:tc>
      </w:tr>
    </w:tbl>
    <w:p w14:paraId="5F4E39AE" w14:textId="77777777" w:rsidR="006C2682" w:rsidRPr="006C2682" w:rsidRDefault="006C2682" w:rsidP="006C2682">
      <w:pPr>
        <w:spacing w:line="480" w:lineRule="auto"/>
        <w:rPr>
          <w:rFonts w:ascii="Arial" w:hAnsi="Arial" w:cs="Arial"/>
          <w:sz w:val="24"/>
        </w:rPr>
      </w:pPr>
    </w:p>
    <w:p w14:paraId="5707AB91" w14:textId="77777777" w:rsidR="006C2682" w:rsidRPr="006C2682" w:rsidRDefault="006C2682" w:rsidP="006C2682">
      <w:pPr>
        <w:spacing w:line="480" w:lineRule="auto"/>
        <w:rPr>
          <w:rFonts w:ascii="Arial" w:hAnsi="Arial" w:cs="Arial"/>
          <w:sz w:val="24"/>
        </w:rPr>
      </w:pPr>
    </w:p>
    <w:p w14:paraId="3FA3E12F" w14:textId="20997784" w:rsidR="001735FF" w:rsidRPr="006C2682" w:rsidRDefault="001735FF" w:rsidP="006C2682">
      <w:pPr>
        <w:rPr>
          <w:rFonts w:ascii="Arial" w:hAnsi="Arial" w:cs="Arial"/>
        </w:rPr>
      </w:pPr>
    </w:p>
    <w:sectPr w:rsidR="001735FF" w:rsidRPr="006C26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10B05"/>
    <w:multiLevelType w:val="hybridMultilevel"/>
    <w:tmpl w:val="046A9C86"/>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 w15:restartNumberingAfterBreak="0">
    <w:nsid w:val="226E0542"/>
    <w:multiLevelType w:val="hybridMultilevel"/>
    <w:tmpl w:val="E46218F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 w15:restartNumberingAfterBreak="0">
    <w:nsid w:val="361D2B35"/>
    <w:multiLevelType w:val="hybridMultilevel"/>
    <w:tmpl w:val="B330BB16"/>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 w15:restartNumberingAfterBreak="0">
    <w:nsid w:val="401B0C78"/>
    <w:multiLevelType w:val="hybridMultilevel"/>
    <w:tmpl w:val="F3A0F4F6"/>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4" w15:restartNumberingAfterBreak="0">
    <w:nsid w:val="446922E1"/>
    <w:multiLevelType w:val="hybridMultilevel"/>
    <w:tmpl w:val="BFF8365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5" w15:restartNumberingAfterBreak="0">
    <w:nsid w:val="4B55355B"/>
    <w:multiLevelType w:val="hybridMultilevel"/>
    <w:tmpl w:val="4218E07A"/>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6" w15:restartNumberingAfterBreak="0">
    <w:nsid w:val="4FE36FB8"/>
    <w:multiLevelType w:val="hybridMultilevel"/>
    <w:tmpl w:val="D8FE46A0"/>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num w:numId="1" w16cid:durableId="13358434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93589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5655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76963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20422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4944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29480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0C"/>
    <w:rsid w:val="0002380C"/>
    <w:rsid w:val="001735FF"/>
    <w:rsid w:val="002D369D"/>
    <w:rsid w:val="006C2682"/>
    <w:rsid w:val="009D1A7B"/>
    <w:rsid w:val="00D06F5A"/>
    <w:rsid w:val="00EB4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0789"/>
  <w15:chartTrackingRefBased/>
  <w15:docId w15:val="{68FFF462-7153-4875-A66C-53066B9B8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682"/>
    <w:pPr>
      <w:widowControl w:val="0"/>
      <w:spacing w:after="0" w:line="240" w:lineRule="auto"/>
      <w:jc w:val="both"/>
    </w:pPr>
    <w:rPr>
      <w:rFonts w:ascii="Calibri" w:eastAsia="SimSun" w:hAnsi="Calibri" w:cs="Times New Roman"/>
      <w:sz w:val="21"/>
      <w:szCs w:val="24"/>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6C2682"/>
    <w:pPr>
      <w:spacing w:after="200"/>
    </w:pPr>
    <w:rPr>
      <w:i/>
      <w:iCs/>
      <w:color w:val="44546A" w:themeColor="text2"/>
      <w:sz w:val="18"/>
      <w:szCs w:val="18"/>
    </w:rPr>
  </w:style>
  <w:style w:type="paragraph" w:styleId="ListParagraph">
    <w:name w:val="List Paragraph"/>
    <w:basedOn w:val="Normal"/>
    <w:uiPriority w:val="34"/>
    <w:qFormat/>
    <w:rsid w:val="006C2682"/>
    <w:pPr>
      <w:ind w:left="720"/>
      <w:contextualSpacing/>
    </w:pPr>
  </w:style>
  <w:style w:type="table" w:styleId="TableGrid">
    <w:name w:val="Table Grid"/>
    <w:basedOn w:val="TableNormal"/>
    <w:uiPriority w:val="39"/>
    <w:rsid w:val="006C2682"/>
    <w:pPr>
      <w:spacing w:after="0" w:line="240" w:lineRule="auto"/>
    </w:pPr>
    <w:rPr>
      <w:rFonts w:eastAsiaTheme="minorEastAsia"/>
      <w:kern w:val="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2682"/>
    <w:pPr>
      <w:autoSpaceDE w:val="0"/>
      <w:autoSpaceDN w:val="0"/>
      <w:adjustRightInd w:val="0"/>
      <w:spacing w:after="0" w:line="240" w:lineRule="auto"/>
    </w:pPr>
    <w:rPr>
      <w:rFonts w:ascii="Arial" w:hAnsi="Arial" w:cs="Arial"/>
      <w:color w:val="000000"/>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31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ranjo\Documents\Sigma\order-735895548\Hotel%20Reservation_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ranjo\Documents\Sigma\order-735895548\Hotel%20Reservation_1.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price vs. Arrival_year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Sheet3!$B$1</c:f>
              <c:strCache>
                <c:ptCount val="1"/>
                <c:pt idx="0">
                  <c:v>Total</c:v>
                </c:pt>
              </c:strCache>
            </c:strRef>
          </c:tx>
          <c:spPr>
            <a:ln w="28575" cap="rnd">
              <a:solidFill>
                <a:schemeClr val="accent1"/>
              </a:solidFill>
              <a:round/>
            </a:ln>
            <a:effectLst/>
          </c:spPr>
          <c:marker>
            <c:symbol val="none"/>
          </c:marker>
          <c:cat>
            <c:numRef>
              <c:f>Sheet3!$A$2:$A$6</c:f>
              <c:numCache>
                <c:formatCode>General</c:formatCode>
                <c:ptCount val="5"/>
                <c:pt idx="0">
                  <c:v>2017</c:v>
                </c:pt>
                <c:pt idx="1">
                  <c:v>2018</c:v>
                </c:pt>
                <c:pt idx="2">
                  <c:v>2019</c:v>
                </c:pt>
                <c:pt idx="3">
                  <c:v>2020</c:v>
                </c:pt>
                <c:pt idx="4">
                  <c:v>2021</c:v>
                </c:pt>
              </c:numCache>
            </c:numRef>
          </c:cat>
          <c:val>
            <c:numRef>
              <c:f>Sheet3!$B$2:$B$6</c:f>
              <c:numCache>
                <c:formatCode>General</c:formatCode>
                <c:ptCount val="5"/>
                <c:pt idx="0">
                  <c:v>90.043923797818422</c:v>
                </c:pt>
                <c:pt idx="1">
                  <c:v>106.35988303700191</c:v>
                </c:pt>
                <c:pt idx="2">
                  <c:v>70.963333333333324</c:v>
                </c:pt>
                <c:pt idx="3">
                  <c:v>81.400000000000006</c:v>
                </c:pt>
                <c:pt idx="4">
                  <c:v>105.33333333333333</c:v>
                </c:pt>
              </c:numCache>
            </c:numRef>
          </c:val>
          <c:smooth val="0"/>
          <c:extLst>
            <c:ext xmlns:c16="http://schemas.microsoft.com/office/drawing/2014/chart" uri="{C3380CC4-5D6E-409C-BE32-E72D297353CC}">
              <c16:uniqueId val="{00000000-40D9-4850-921E-3DD7A6964AF2}"/>
            </c:ext>
          </c:extLst>
        </c:ser>
        <c:dLbls>
          <c:showLegendKey val="0"/>
          <c:showVal val="0"/>
          <c:showCatName val="0"/>
          <c:showSerName val="0"/>
          <c:showPercent val="0"/>
          <c:showBubbleSize val="0"/>
        </c:dLbls>
        <c:smooth val="0"/>
        <c:axId val="617030144"/>
        <c:axId val="617028504"/>
      </c:lineChart>
      <c:catAx>
        <c:axId val="6170301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 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028504"/>
        <c:crosses val="autoZero"/>
        <c:auto val="1"/>
        <c:lblAlgn val="ctr"/>
        <c:lblOffset val="100"/>
        <c:noMultiLvlLbl val="0"/>
      </c:catAx>
      <c:valAx>
        <c:axId val="617028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030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Yearly Change (%) vs. Arrival_year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Sheet3!$C$1</c:f>
              <c:strCache>
                <c:ptCount val="1"/>
                <c:pt idx="0">
                  <c:v>Yearly Change(%)</c:v>
                </c:pt>
              </c:strCache>
            </c:strRef>
          </c:tx>
          <c:spPr>
            <a:solidFill>
              <a:srgbClr val="92D050"/>
            </a:solidFill>
            <a:ln>
              <a:noFill/>
            </a:ln>
            <a:effectLst/>
          </c:spPr>
          <c:invertIfNegative val="0"/>
          <c:cat>
            <c:numRef>
              <c:f>Sheet3!$A$2:$A$6</c:f>
              <c:numCache>
                <c:formatCode>General</c:formatCode>
                <c:ptCount val="5"/>
                <c:pt idx="0">
                  <c:v>2017</c:v>
                </c:pt>
                <c:pt idx="1">
                  <c:v>2018</c:v>
                </c:pt>
                <c:pt idx="2">
                  <c:v>2019</c:v>
                </c:pt>
                <c:pt idx="3">
                  <c:v>2020</c:v>
                </c:pt>
                <c:pt idx="4">
                  <c:v>2021</c:v>
                </c:pt>
              </c:numCache>
            </c:numRef>
          </c:cat>
          <c:val>
            <c:numRef>
              <c:f>Sheet3!$C$2:$C$6</c:f>
              <c:numCache>
                <c:formatCode>General</c:formatCode>
                <c:ptCount val="5"/>
                <c:pt idx="1">
                  <c:v>-18.120000274331431</c:v>
                </c:pt>
                <c:pt idx="2">
                  <c:v>33.279981787263111</c:v>
                </c:pt>
                <c:pt idx="3">
                  <c:v>-14.707125745690286</c:v>
                </c:pt>
                <c:pt idx="4">
                  <c:v>-29.40212940212939</c:v>
                </c:pt>
              </c:numCache>
            </c:numRef>
          </c:val>
          <c:extLst>
            <c:ext xmlns:c16="http://schemas.microsoft.com/office/drawing/2014/chart" uri="{C3380CC4-5D6E-409C-BE32-E72D297353CC}">
              <c16:uniqueId val="{00000000-AEF2-4313-80D5-DC47D326E3FD}"/>
            </c:ext>
          </c:extLst>
        </c:ser>
        <c:dLbls>
          <c:showLegendKey val="0"/>
          <c:showVal val="0"/>
          <c:showCatName val="0"/>
          <c:showSerName val="0"/>
          <c:showPercent val="0"/>
          <c:showBubbleSize val="0"/>
        </c:dLbls>
        <c:gapWidth val="219"/>
        <c:overlap val="-27"/>
        <c:axId val="616675368"/>
        <c:axId val="616677336"/>
      </c:barChart>
      <c:catAx>
        <c:axId val="6166753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Arrival 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616677336"/>
        <c:crosses val="autoZero"/>
        <c:auto val="1"/>
        <c:lblAlgn val="ctr"/>
        <c:lblOffset val="100"/>
        <c:noMultiLvlLbl val="0"/>
      </c:catAx>
      <c:valAx>
        <c:axId val="616677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Yearly Change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675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Pages>
  <Words>3180</Words>
  <Characters>18132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 (2123464)</dc:creator>
  <cp:keywords/>
  <dc:description/>
  <cp:lastModifiedBy>Krasimir Iliev (2123464)</cp:lastModifiedBy>
  <cp:revision>7</cp:revision>
  <dcterms:created xsi:type="dcterms:W3CDTF">2023-07-28T14:38:00Z</dcterms:created>
  <dcterms:modified xsi:type="dcterms:W3CDTF">2023-08-13T13:02:00Z</dcterms:modified>
</cp:coreProperties>
</file>