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A231F" w14:textId="51D097A4" w:rsidR="00353432" w:rsidRPr="00B93B7F" w:rsidRDefault="175E128C" w:rsidP="26EA7004">
      <w:pPr>
        <w:spacing w:line="259" w:lineRule="auto"/>
        <w:jc w:val="center"/>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Learner</w:t>
      </w:r>
      <w:r w:rsidRPr="00B93B7F">
        <w:rPr>
          <w:rFonts w:ascii="Calibri" w:eastAsia="Calibri" w:hAnsi="Calibri" w:cs="Calibri"/>
          <w:sz w:val="22"/>
          <w:szCs w:val="22"/>
          <w:lang w:val="en-GB"/>
        </w:rPr>
        <w:t xml:space="preserve"> – Mrs. Alison Victoria Evans – 2230696</w:t>
      </w:r>
    </w:p>
    <w:p w14:paraId="2DA3D7D6" w14:textId="385C382F" w:rsidR="00353432" w:rsidRPr="00B93B7F" w:rsidRDefault="175E128C" w:rsidP="26EA7004">
      <w:pPr>
        <w:spacing w:line="259" w:lineRule="auto"/>
        <w:jc w:val="center"/>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Unit</w:t>
      </w:r>
      <w:r w:rsidRPr="00B93B7F">
        <w:rPr>
          <w:rFonts w:ascii="Calibri" w:eastAsia="Calibri" w:hAnsi="Calibri" w:cs="Calibri"/>
          <w:sz w:val="22"/>
          <w:szCs w:val="22"/>
          <w:lang w:val="en-GB"/>
        </w:rPr>
        <w:t xml:space="preserve">: 5HR03 </w:t>
      </w:r>
      <w:r w:rsidRPr="00B93B7F">
        <w:rPr>
          <w:rFonts w:ascii="Calibri" w:eastAsia="Calibri" w:hAnsi="Calibri" w:cs="Calibri"/>
          <w:b/>
          <w:bCs/>
          <w:sz w:val="22"/>
          <w:szCs w:val="22"/>
          <w:lang w:val="en-GB"/>
        </w:rPr>
        <w:t>Unit Title</w:t>
      </w:r>
      <w:r w:rsidRPr="00B93B7F">
        <w:rPr>
          <w:rFonts w:ascii="Calibri" w:eastAsia="Calibri" w:hAnsi="Calibri" w:cs="Calibri"/>
          <w:sz w:val="22"/>
          <w:szCs w:val="22"/>
          <w:lang w:val="en-GB"/>
        </w:rPr>
        <w:t>: Reward for performance and contribution</w:t>
      </w:r>
    </w:p>
    <w:p w14:paraId="14A9AF51" w14:textId="2DBF25CE" w:rsidR="00353432" w:rsidRPr="00B93B7F" w:rsidRDefault="175E128C" w:rsidP="26EA7004">
      <w:pPr>
        <w:spacing w:line="259" w:lineRule="auto"/>
        <w:jc w:val="center"/>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Assessment ID</w:t>
      </w:r>
      <w:r w:rsidRPr="00B93B7F">
        <w:rPr>
          <w:rFonts w:ascii="Calibri" w:eastAsia="Calibri" w:hAnsi="Calibri" w:cs="Calibri"/>
          <w:sz w:val="22"/>
          <w:szCs w:val="22"/>
          <w:lang w:val="en-GB"/>
        </w:rPr>
        <w:t>: CIPD_5HR03_24_01</w:t>
      </w:r>
    </w:p>
    <w:p w14:paraId="68C3F876" w14:textId="54789602" w:rsidR="00353432" w:rsidRPr="00B93B7F" w:rsidRDefault="175E128C" w:rsidP="26EA7004">
      <w:pPr>
        <w:spacing w:line="259" w:lineRule="auto"/>
        <w:jc w:val="center"/>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Word Count -</w:t>
      </w:r>
      <w:r w:rsidRPr="00B93B7F">
        <w:rPr>
          <w:rFonts w:ascii="Calibri" w:eastAsia="Calibri" w:hAnsi="Calibri" w:cs="Calibri"/>
          <w:sz w:val="22"/>
          <w:szCs w:val="22"/>
          <w:lang w:val="en-GB"/>
        </w:rPr>
        <w:t xml:space="preserve"> </w:t>
      </w:r>
      <w:r w:rsidR="00C82853">
        <w:rPr>
          <w:rFonts w:ascii="Calibri" w:eastAsia="Calibri" w:hAnsi="Calibri" w:cs="Calibri"/>
          <w:sz w:val="22"/>
          <w:szCs w:val="22"/>
          <w:lang w:val="en-GB"/>
        </w:rPr>
        <w:t>4261</w:t>
      </w:r>
      <w:r w:rsidRPr="00B93B7F">
        <w:rPr>
          <w:rFonts w:ascii="Calibri" w:eastAsia="Calibri" w:hAnsi="Calibri" w:cs="Calibri"/>
          <w:sz w:val="22"/>
          <w:szCs w:val="22"/>
          <w:lang w:val="en-GB"/>
        </w:rPr>
        <w:t xml:space="preserve"> Actual Words (Allowance 3900 +/- 10% = 3510/4290)</w:t>
      </w:r>
    </w:p>
    <w:p w14:paraId="6D604B6B" w14:textId="070AEAE2" w:rsidR="00353432" w:rsidRPr="00B93B7F" w:rsidRDefault="00353432" w:rsidP="26EA7004">
      <w:pPr>
        <w:spacing w:line="259" w:lineRule="auto"/>
        <w:jc w:val="center"/>
        <w:rPr>
          <w:rFonts w:ascii="Calibri" w:eastAsia="Calibri" w:hAnsi="Calibri" w:cs="Calibri"/>
          <w:color w:val="000000" w:themeColor="text1"/>
          <w:sz w:val="22"/>
          <w:szCs w:val="22"/>
        </w:rPr>
      </w:pPr>
    </w:p>
    <w:p w14:paraId="760EED8A" w14:textId="5DC91E53" w:rsidR="00353432" w:rsidRPr="00B93B7F" w:rsidRDefault="00353432" w:rsidP="26EA7004">
      <w:pPr>
        <w:spacing w:line="259" w:lineRule="auto"/>
        <w:jc w:val="center"/>
        <w:rPr>
          <w:rFonts w:ascii="Calibri" w:eastAsia="Calibri" w:hAnsi="Calibri" w:cs="Calibri"/>
          <w:color w:val="000000" w:themeColor="text1"/>
          <w:sz w:val="22"/>
          <w:szCs w:val="22"/>
        </w:rPr>
      </w:pPr>
    </w:p>
    <w:p w14:paraId="5B0BD7A2" w14:textId="57F8883C"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8B8235F" w14:textId="1A7EA799"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69BD1649" w14:textId="70F6930A"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31BE2701" w14:textId="20849C3A"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24BE7A9F" w14:textId="2A1E2203"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0B30BC20" w14:textId="3CEC6FE9"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2692B106" w14:textId="41AA5766"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8EF43FB" w14:textId="4A12FDBF"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0DB5A0A2" w14:textId="29EB7958"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733356B" w14:textId="67A8FC25"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37D1FCA" w14:textId="7BBE0941"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0F0D712" w14:textId="7FCD16FF"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627EE7A3" w14:textId="6EA1F417"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0FC4A8FB" w14:textId="1AD2689B"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DC908A0" w14:textId="0497021E"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7C2FB0C" w14:textId="35DFE86F"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57DD4F3" w14:textId="19BF28C0"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5FB60697" w14:textId="70134BFA"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25D7DFEF" w14:textId="27DF61CE"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09CF0176" w14:textId="3C33C646"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7146D49" w14:textId="15F6B143"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9A93BFB" w14:textId="125A90A6"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09F87B0" w14:textId="6047CECE"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6646691F" w14:textId="6973F119"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989C481" w14:textId="0B6D8C20"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4936EF4" w14:textId="6F415A9D"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5BFDE7DB" w14:textId="46EDB850"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04040E77" w14:textId="0CC202FE"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574D5B70" w14:textId="0B268B4F"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40EB1D0" w14:textId="2F7CB9A4"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31475780" w14:textId="0CFF3B00"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F924CD2" w14:textId="163FA078"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FCE5895" w14:textId="53CCC575"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5D035195" w14:textId="40443844"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41DD64F" w14:textId="583A04E2"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C0788B7" w14:textId="1EAC86C7"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32E2FEB9" w14:textId="3813E977"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44BB95B" w14:textId="11D61D16" w:rsidR="00353432" w:rsidRPr="00B93B7F" w:rsidRDefault="00353432" w:rsidP="26EA7004">
      <w:pPr>
        <w:spacing w:after="0" w:line="240" w:lineRule="auto"/>
        <w:jc w:val="center"/>
        <w:rPr>
          <w:rFonts w:ascii="Calibri" w:eastAsia="Calibri" w:hAnsi="Calibri" w:cs="Calibri"/>
          <w:b/>
          <w:bCs/>
          <w:color w:val="000000" w:themeColor="text1"/>
          <w:sz w:val="22"/>
          <w:szCs w:val="22"/>
          <w:lang w:val="en-GB"/>
        </w:rPr>
      </w:pPr>
    </w:p>
    <w:p w14:paraId="2758B27D" w14:textId="42039B37"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lastRenderedPageBreak/>
        <w:t xml:space="preserve">Table of contents </w:t>
      </w:r>
      <w:r w:rsidRPr="00B93B7F">
        <w:tab/>
      </w:r>
      <w:r w:rsidRPr="00B93B7F">
        <w:tab/>
      </w:r>
      <w:r w:rsidRPr="00B93B7F">
        <w:rPr>
          <w:rFonts w:ascii="Calibri" w:eastAsia="Calibri" w:hAnsi="Calibri" w:cs="Calibri"/>
          <w:b/>
          <w:bCs/>
          <w:sz w:val="22"/>
          <w:szCs w:val="22"/>
          <w:lang w:val="en-GB"/>
        </w:rPr>
        <w:t xml:space="preserve">                              </w:t>
      </w:r>
      <w:r w:rsidRPr="00B93B7F">
        <w:tab/>
      </w:r>
      <w:r w:rsidRPr="00B93B7F">
        <w:tab/>
      </w:r>
      <w:r w:rsidRPr="00B93B7F">
        <w:tab/>
      </w:r>
      <w:r w:rsidRPr="00B93B7F">
        <w:tab/>
      </w:r>
      <w:r w:rsidRPr="00B93B7F">
        <w:tab/>
      </w:r>
      <w:r w:rsidRPr="00B93B7F">
        <w:tab/>
      </w:r>
    </w:p>
    <w:p w14:paraId="669AABC9" w14:textId="5E9D311E" w:rsidR="00353432" w:rsidRPr="00B93B7F" w:rsidRDefault="00353432" w:rsidP="26EA7004">
      <w:pPr>
        <w:spacing w:line="257" w:lineRule="auto"/>
        <w:jc w:val="both"/>
        <w:rPr>
          <w:rFonts w:ascii="Calibri" w:eastAsia="Calibri" w:hAnsi="Calibri" w:cs="Calibri"/>
          <w:color w:val="000000" w:themeColor="text1"/>
          <w:sz w:val="22"/>
          <w:szCs w:val="22"/>
        </w:rPr>
      </w:pPr>
    </w:p>
    <w:p w14:paraId="12E54BC4" w14:textId="126DC46F"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Introduction </w:t>
      </w:r>
      <w:r w:rsidRPr="00B93B7F">
        <w:rPr>
          <w:rFonts w:ascii="Calibri" w:eastAsia="Calibri" w:hAnsi="Calibri" w:cs="Calibri"/>
          <w:sz w:val="22"/>
          <w:szCs w:val="22"/>
          <w:lang w:val="en-GB"/>
        </w:rPr>
        <w:t>……………………………………………………………………….…………………………………………………….……</w:t>
      </w:r>
    </w:p>
    <w:p w14:paraId="51B4112C" w14:textId="761FBA0D" w:rsidR="00353432" w:rsidRPr="00B93B7F" w:rsidRDefault="00353432" w:rsidP="26EA7004">
      <w:pPr>
        <w:spacing w:after="0" w:line="240" w:lineRule="auto"/>
        <w:jc w:val="both"/>
        <w:rPr>
          <w:rFonts w:ascii="Calibri" w:eastAsia="Calibri" w:hAnsi="Calibri" w:cs="Calibri"/>
          <w:color w:val="000000" w:themeColor="text1"/>
          <w:sz w:val="22"/>
          <w:szCs w:val="22"/>
        </w:rPr>
      </w:pPr>
    </w:p>
    <w:p w14:paraId="3EEF237A" w14:textId="3415E3DE"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1.1. T</w:t>
      </w:r>
      <w:r w:rsidRPr="00B93B7F">
        <w:rPr>
          <w:rFonts w:ascii="Calibri" w:eastAsia="Calibri" w:hAnsi="Calibri" w:cs="Calibri"/>
          <w:sz w:val="22"/>
          <w:szCs w:val="22"/>
          <w:lang w:val="en-GB"/>
        </w:rPr>
        <w:t>he principles of reward ..............................................................................................................</w:t>
      </w:r>
      <w:r w:rsidRPr="00B93B7F">
        <w:rPr>
          <w:rFonts w:ascii="Calibri" w:eastAsia="Calibri" w:hAnsi="Calibri" w:cs="Calibri"/>
          <w:b/>
          <w:bCs/>
          <w:sz w:val="22"/>
          <w:szCs w:val="22"/>
          <w:lang w:val="en-GB"/>
        </w:rPr>
        <w:t xml:space="preserve">  </w:t>
      </w:r>
    </w:p>
    <w:p w14:paraId="715D0449" w14:textId="181CBB89"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1.2. </w:t>
      </w:r>
      <w:r w:rsidRPr="00B93B7F">
        <w:rPr>
          <w:rFonts w:ascii="Calibri" w:eastAsia="Calibri" w:hAnsi="Calibri" w:cs="Calibri"/>
          <w:sz w:val="22"/>
          <w:szCs w:val="22"/>
          <w:lang w:val="en-GB"/>
        </w:rPr>
        <w:t>Extrinsic and intrinsic rewards …..................................................................................................</w:t>
      </w:r>
    </w:p>
    <w:p w14:paraId="0CB807F6" w14:textId="7BAE2CF6"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2.1.</w:t>
      </w:r>
      <w:r w:rsidRPr="00B93B7F">
        <w:rPr>
          <w:rFonts w:ascii="Calibri" w:eastAsia="Calibri" w:hAnsi="Calibri" w:cs="Calibri"/>
          <w:sz w:val="22"/>
          <w:szCs w:val="22"/>
          <w:lang w:val="en-GB"/>
        </w:rPr>
        <w:t xml:space="preserve"> Pay Grades and Structures ………...............…............................................................…...…………….</w:t>
      </w:r>
    </w:p>
    <w:p w14:paraId="74307A7B" w14:textId="3A92F382"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2.2. </w:t>
      </w:r>
      <w:r w:rsidRPr="00B93B7F">
        <w:rPr>
          <w:rFonts w:ascii="Calibri" w:eastAsia="Calibri" w:hAnsi="Calibri" w:cs="Calibri"/>
          <w:sz w:val="22"/>
          <w:szCs w:val="22"/>
          <w:lang w:val="en-GB"/>
        </w:rPr>
        <w:t>Contingent rewards…………….........................................................................................................</w:t>
      </w:r>
    </w:p>
    <w:p w14:paraId="2F3A7BCA" w14:textId="629D5329"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2.3. </w:t>
      </w:r>
      <w:r w:rsidRPr="00B93B7F">
        <w:rPr>
          <w:rFonts w:ascii="Calibri" w:eastAsia="Calibri" w:hAnsi="Calibri" w:cs="Calibri"/>
          <w:sz w:val="22"/>
          <w:szCs w:val="22"/>
          <w:lang w:val="en-GB"/>
        </w:rPr>
        <w:t>Benefits.........................................................................................................................................</w:t>
      </w:r>
      <w:r w:rsidRPr="00B93B7F">
        <w:rPr>
          <w:rFonts w:ascii="Calibri" w:eastAsia="Calibri" w:hAnsi="Calibri" w:cs="Calibri"/>
          <w:b/>
          <w:bCs/>
          <w:sz w:val="22"/>
          <w:szCs w:val="22"/>
          <w:lang w:val="en-GB"/>
        </w:rPr>
        <w:t xml:space="preserve"> </w:t>
      </w:r>
    </w:p>
    <w:p w14:paraId="35DBA10B" w14:textId="694885EF"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2.4. </w:t>
      </w:r>
      <w:r w:rsidRPr="00B93B7F">
        <w:rPr>
          <w:rFonts w:ascii="Calibri" w:eastAsia="Calibri" w:hAnsi="Calibri" w:cs="Calibri"/>
          <w:sz w:val="22"/>
          <w:szCs w:val="22"/>
          <w:lang w:val="en-GB"/>
        </w:rPr>
        <w:t>Recognition schemes ....................................................................................................................</w:t>
      </w:r>
    </w:p>
    <w:p w14:paraId="4FEE012E" w14:textId="63ED2CF7"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3.1. </w:t>
      </w:r>
      <w:r w:rsidRPr="00B93B7F">
        <w:rPr>
          <w:rFonts w:ascii="Calibri" w:eastAsia="Calibri" w:hAnsi="Calibri" w:cs="Calibri"/>
          <w:sz w:val="22"/>
          <w:szCs w:val="22"/>
          <w:lang w:val="en-GB"/>
        </w:rPr>
        <w:t>Business context ............................................…...........................................................................</w:t>
      </w:r>
      <w:r w:rsidRPr="00B93B7F">
        <w:rPr>
          <w:rFonts w:ascii="Calibri" w:eastAsia="Calibri" w:hAnsi="Calibri" w:cs="Calibri"/>
          <w:b/>
          <w:bCs/>
          <w:sz w:val="22"/>
          <w:szCs w:val="22"/>
          <w:lang w:val="en-GB"/>
        </w:rPr>
        <w:t>.</w:t>
      </w:r>
    </w:p>
    <w:p w14:paraId="48EB981E" w14:textId="5BFAE98C"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3.2. </w:t>
      </w:r>
      <w:r w:rsidRPr="00B93B7F">
        <w:rPr>
          <w:rFonts w:ascii="Calibri" w:eastAsia="Calibri" w:hAnsi="Calibri" w:cs="Calibri"/>
          <w:sz w:val="22"/>
          <w:szCs w:val="22"/>
          <w:lang w:val="en-GB"/>
        </w:rPr>
        <w:t>Benchmarking Data….....................................................................................................................</w:t>
      </w:r>
    </w:p>
    <w:p w14:paraId="727E25FD" w14:textId="0463D56C"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3.3.</w:t>
      </w:r>
      <w:r w:rsidRPr="00B93B7F">
        <w:rPr>
          <w:rFonts w:ascii="Calibri" w:eastAsia="Calibri" w:hAnsi="Calibri" w:cs="Calibri"/>
          <w:sz w:val="22"/>
          <w:szCs w:val="22"/>
          <w:lang w:val="en-GB"/>
        </w:rPr>
        <w:t xml:space="preserve"> Job evaluation …............................................................................................................................</w:t>
      </w:r>
    </w:p>
    <w:p w14:paraId="7B5E17CD" w14:textId="0D3ADBFA" w:rsidR="00353432" w:rsidRPr="00B93B7F" w:rsidRDefault="175E128C" w:rsidP="26EA7004">
      <w:pPr>
        <w:spacing w:line="257" w:lineRule="auto"/>
        <w:jc w:val="both"/>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3.4. </w:t>
      </w:r>
      <w:r w:rsidRPr="00B93B7F">
        <w:rPr>
          <w:rFonts w:ascii="Calibri" w:eastAsia="Calibri" w:hAnsi="Calibri" w:cs="Calibri"/>
          <w:sz w:val="22"/>
          <w:szCs w:val="22"/>
          <w:lang w:val="en-GB"/>
        </w:rPr>
        <w:t>Legislative Requirements …...........................................................................................................</w:t>
      </w:r>
    </w:p>
    <w:p w14:paraId="112F0054" w14:textId="24F04CDA" w:rsidR="00353432" w:rsidRPr="00B93B7F" w:rsidRDefault="00353432" w:rsidP="26EA7004">
      <w:pPr>
        <w:spacing w:line="257" w:lineRule="auto"/>
        <w:rPr>
          <w:rFonts w:ascii="Calibri" w:eastAsia="Calibri" w:hAnsi="Calibri" w:cs="Calibri"/>
          <w:color w:val="000000" w:themeColor="text1"/>
          <w:sz w:val="22"/>
          <w:szCs w:val="22"/>
        </w:rPr>
      </w:pPr>
    </w:p>
    <w:p w14:paraId="1ACE40F2" w14:textId="3F3B8F49"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Conclusion</w:t>
      </w:r>
      <w:r w:rsidRPr="00B93B7F">
        <w:rPr>
          <w:rFonts w:ascii="Calibri" w:eastAsia="Calibri" w:hAnsi="Calibri" w:cs="Calibri"/>
          <w:sz w:val="22"/>
          <w:szCs w:val="22"/>
          <w:lang w:val="en-GB"/>
        </w:rPr>
        <w:t>.............................................................................................................................................</w:t>
      </w:r>
    </w:p>
    <w:p w14:paraId="1461DD7D" w14:textId="1734A9BA" w:rsidR="00353432" w:rsidRPr="00B93B7F" w:rsidRDefault="00353432" w:rsidP="26EA7004">
      <w:pPr>
        <w:spacing w:line="257" w:lineRule="auto"/>
        <w:rPr>
          <w:rFonts w:ascii="Calibri" w:eastAsia="Calibri" w:hAnsi="Calibri" w:cs="Calibri"/>
          <w:color w:val="000000" w:themeColor="text1"/>
          <w:sz w:val="22"/>
          <w:szCs w:val="22"/>
        </w:rPr>
      </w:pPr>
    </w:p>
    <w:p w14:paraId="0B364E98" w14:textId="33AA3BAF" w:rsidR="00353432" w:rsidRPr="00B93B7F" w:rsidRDefault="175E128C" w:rsidP="26EA7004">
      <w:pPr>
        <w:spacing w:after="0" w:line="257"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References</w:t>
      </w:r>
      <w:r w:rsidRPr="00B93B7F">
        <w:rPr>
          <w:rFonts w:ascii="Calibri" w:eastAsia="Calibri" w:hAnsi="Calibri" w:cs="Calibri"/>
          <w:sz w:val="22"/>
          <w:szCs w:val="22"/>
          <w:lang w:val="en-GB"/>
        </w:rPr>
        <w:t>.............................................................................................................................................</w:t>
      </w:r>
    </w:p>
    <w:p w14:paraId="7663B566" w14:textId="405D9230" w:rsidR="00353432" w:rsidRPr="00B93B7F" w:rsidRDefault="00353432" w:rsidP="26EA7004">
      <w:pPr>
        <w:spacing w:after="0" w:line="240" w:lineRule="auto"/>
        <w:rPr>
          <w:rFonts w:ascii="Calibri" w:eastAsia="Calibri" w:hAnsi="Calibri" w:cs="Calibri"/>
          <w:color w:val="000000" w:themeColor="text1"/>
          <w:sz w:val="22"/>
          <w:szCs w:val="22"/>
        </w:rPr>
      </w:pPr>
    </w:p>
    <w:p w14:paraId="3F10DEF6" w14:textId="46EC08E5" w:rsidR="00353432" w:rsidRPr="00B93B7F" w:rsidRDefault="00353432" w:rsidP="26EA7004">
      <w:pPr>
        <w:spacing w:after="0" w:line="240" w:lineRule="auto"/>
        <w:rPr>
          <w:rFonts w:ascii="Calibri" w:eastAsia="Calibri" w:hAnsi="Calibri" w:cs="Calibri"/>
          <w:color w:val="000000" w:themeColor="text1"/>
          <w:sz w:val="22"/>
          <w:szCs w:val="22"/>
        </w:rPr>
      </w:pPr>
    </w:p>
    <w:p w14:paraId="52C3BF21" w14:textId="48273C0C" w:rsidR="00353432" w:rsidRPr="00B93B7F" w:rsidRDefault="00353432" w:rsidP="26EA7004">
      <w:pPr>
        <w:spacing w:after="0" w:line="240" w:lineRule="auto"/>
        <w:rPr>
          <w:rFonts w:ascii="Calibri" w:eastAsia="Calibri" w:hAnsi="Calibri" w:cs="Calibri"/>
          <w:color w:val="000000" w:themeColor="text1"/>
          <w:sz w:val="22"/>
          <w:szCs w:val="22"/>
        </w:rPr>
      </w:pPr>
    </w:p>
    <w:p w14:paraId="45AC04EF" w14:textId="66D2ABF3" w:rsidR="00353432" w:rsidRPr="00B93B7F" w:rsidRDefault="00353432" w:rsidP="26EA7004">
      <w:pPr>
        <w:spacing w:after="0" w:line="240" w:lineRule="auto"/>
        <w:rPr>
          <w:rFonts w:ascii="Calibri" w:eastAsia="Calibri" w:hAnsi="Calibri" w:cs="Calibri"/>
          <w:color w:val="000000" w:themeColor="text1"/>
          <w:sz w:val="22"/>
          <w:szCs w:val="22"/>
        </w:rPr>
      </w:pPr>
    </w:p>
    <w:p w14:paraId="32C5817E" w14:textId="6992575A" w:rsidR="00353432" w:rsidRPr="00B93B7F" w:rsidRDefault="00353432" w:rsidP="26EA7004">
      <w:pPr>
        <w:spacing w:after="0" w:line="240" w:lineRule="auto"/>
        <w:rPr>
          <w:rFonts w:ascii="Calibri" w:eastAsia="Calibri" w:hAnsi="Calibri" w:cs="Calibri"/>
          <w:color w:val="000000" w:themeColor="text1"/>
          <w:sz w:val="22"/>
          <w:szCs w:val="22"/>
        </w:rPr>
      </w:pPr>
    </w:p>
    <w:p w14:paraId="20EC2F5D" w14:textId="38FCD6C2" w:rsidR="00353432" w:rsidRPr="00B93B7F" w:rsidRDefault="00353432" w:rsidP="26EA7004">
      <w:pPr>
        <w:spacing w:after="0" w:line="240" w:lineRule="auto"/>
        <w:rPr>
          <w:rFonts w:ascii="Calibri" w:eastAsia="Calibri" w:hAnsi="Calibri" w:cs="Calibri"/>
          <w:color w:val="000000" w:themeColor="text1"/>
          <w:sz w:val="22"/>
          <w:szCs w:val="22"/>
        </w:rPr>
      </w:pPr>
    </w:p>
    <w:p w14:paraId="6B325915" w14:textId="12CBD91E"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5E81B88" w14:textId="24A59657"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D96F48E" w14:textId="70FEE059"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D04A39A" w14:textId="6DC11095"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4C2FBC5A" w14:textId="7106C933"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546D455E" w14:textId="21E7BB65"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3F8FFA7D" w14:textId="6403A6B5"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F8F1450" w14:textId="4E293FFF"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1E757792" w14:textId="388C2421"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70EB6EB1" w14:textId="55055115"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3A658823" w14:textId="061CCCC2"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688C08B3" w14:textId="24EBBAB6"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3340E228" w14:textId="68D2A407" w:rsidR="00353432" w:rsidRPr="00B93B7F" w:rsidRDefault="00353432" w:rsidP="26EA7004">
      <w:pPr>
        <w:spacing w:after="0" w:line="240" w:lineRule="auto"/>
        <w:jc w:val="center"/>
        <w:rPr>
          <w:rFonts w:ascii="Calibri" w:eastAsia="Calibri" w:hAnsi="Calibri" w:cs="Calibri"/>
          <w:color w:val="000000" w:themeColor="text1"/>
          <w:sz w:val="22"/>
          <w:szCs w:val="22"/>
        </w:rPr>
      </w:pPr>
    </w:p>
    <w:p w14:paraId="502A8668" w14:textId="2CC74054" w:rsidR="00353432" w:rsidRPr="00B93B7F" w:rsidRDefault="00353432" w:rsidP="26EA7004">
      <w:pPr>
        <w:spacing w:after="0" w:line="240" w:lineRule="auto"/>
        <w:jc w:val="center"/>
        <w:rPr>
          <w:rFonts w:ascii="Calibri" w:eastAsia="Calibri" w:hAnsi="Calibri" w:cs="Calibri"/>
          <w:b/>
          <w:bCs/>
          <w:color w:val="000000" w:themeColor="text1"/>
          <w:sz w:val="22"/>
          <w:szCs w:val="22"/>
        </w:rPr>
      </w:pPr>
    </w:p>
    <w:p w14:paraId="4BDE5F2D" w14:textId="067578A9" w:rsidR="26EA7004" w:rsidRPr="00B93B7F" w:rsidRDefault="26EA7004" w:rsidP="26EA7004">
      <w:pPr>
        <w:spacing w:after="0" w:line="240" w:lineRule="auto"/>
        <w:rPr>
          <w:rFonts w:ascii="Calibri" w:eastAsia="Calibri" w:hAnsi="Calibri" w:cs="Calibri"/>
          <w:b/>
          <w:bCs/>
          <w:sz w:val="22"/>
          <w:szCs w:val="22"/>
        </w:rPr>
      </w:pPr>
    </w:p>
    <w:p w14:paraId="6EF033C9" w14:textId="50939F3A"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rPr>
        <w:lastRenderedPageBreak/>
        <w:t xml:space="preserve">Introduction </w:t>
      </w:r>
    </w:p>
    <w:p w14:paraId="73966867" w14:textId="0EFFFA01" w:rsidR="00353432" w:rsidRPr="00B93B7F" w:rsidRDefault="00353432" w:rsidP="26EA7004">
      <w:pPr>
        <w:spacing w:after="0" w:line="240" w:lineRule="auto"/>
        <w:rPr>
          <w:rFonts w:ascii="Calibri" w:eastAsia="Calibri" w:hAnsi="Calibri" w:cs="Calibri"/>
          <w:color w:val="000000" w:themeColor="text1"/>
          <w:sz w:val="22"/>
          <w:szCs w:val="22"/>
        </w:rPr>
      </w:pPr>
    </w:p>
    <w:p w14:paraId="45900D97" w14:textId="350BFE92"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 xml:space="preserve">This report aims to provide a knowledge of the incentive context and approaches and how they may affect various elements at Eco-Insulate UK. </w:t>
      </w:r>
      <w:r w:rsidRPr="00B93B7F">
        <w:rPr>
          <w:rFonts w:ascii="Calibri" w:eastAsia="Calibri" w:hAnsi="Calibri" w:cs="Calibri"/>
          <w:sz w:val="22"/>
          <w:szCs w:val="22"/>
          <w:lang w:val="en-GB"/>
        </w:rPr>
        <w:t>Strategies, policies, and practices that make sure people are valued and awarded for their work towards organisational, departmental, and team goals are what reward management is all about (Armstrong 2019). To best serve the interests of the business and its employees, it is imperative to find the right balance between different forms of compensation and benefits (Perkins 2024).</w:t>
      </w:r>
    </w:p>
    <w:p w14:paraId="7BEA800C" w14:textId="2D6688D7" w:rsidR="00353432" w:rsidRPr="00B93B7F" w:rsidRDefault="00353432" w:rsidP="26EA7004">
      <w:pPr>
        <w:spacing w:after="0" w:line="240" w:lineRule="auto"/>
        <w:rPr>
          <w:rFonts w:ascii="Calibri" w:eastAsia="Calibri" w:hAnsi="Calibri" w:cs="Calibri"/>
          <w:color w:val="000000" w:themeColor="text1"/>
          <w:sz w:val="22"/>
          <w:szCs w:val="22"/>
        </w:rPr>
      </w:pPr>
    </w:p>
    <w:p w14:paraId="6B35AFA0" w14:textId="7A94E260" w:rsidR="00353432" w:rsidRPr="00B93B7F" w:rsidRDefault="175E128C" w:rsidP="26EA7004">
      <w:pPr>
        <w:pStyle w:val="Nornal"/>
        <w:spacing w:after="0" w:line="240" w:lineRule="auto"/>
        <w:rPr>
          <w:rFonts w:ascii="Calibri" w:eastAsia="Calibri" w:hAnsi="Calibri" w:cs="Calibri"/>
          <w:color w:val="000000" w:themeColor="text1"/>
        </w:rPr>
      </w:pPr>
      <w:bookmarkStart w:id="0" w:name="_Int_PSDkvOtU"/>
      <w:r w:rsidRPr="00B93B7F">
        <w:rPr>
          <w:rFonts w:ascii="Calibri" w:eastAsia="Calibri" w:hAnsi="Calibri" w:cs="Calibri"/>
          <w:b/>
          <w:bCs/>
        </w:rPr>
        <w:t>Explain the principles of reward and its importance to organisational culture and performance management.</w:t>
      </w:r>
      <w:bookmarkEnd w:id="0"/>
      <w:r w:rsidRPr="00B93B7F">
        <w:rPr>
          <w:rFonts w:ascii="Calibri" w:eastAsia="Calibri" w:hAnsi="Calibri" w:cs="Calibri"/>
          <w:b/>
          <w:bCs/>
        </w:rPr>
        <w:t xml:space="preserve"> (AC 1.1)</w:t>
      </w:r>
    </w:p>
    <w:p w14:paraId="74C6064C" w14:textId="0E09E1CB" w:rsidR="00353432" w:rsidRPr="00B93B7F" w:rsidRDefault="00353432" w:rsidP="26EA7004">
      <w:pPr>
        <w:spacing w:after="0" w:line="240" w:lineRule="auto"/>
        <w:rPr>
          <w:rFonts w:ascii="Calibri" w:eastAsia="Calibri" w:hAnsi="Calibri" w:cs="Calibri"/>
          <w:color w:val="000000" w:themeColor="text1"/>
          <w:sz w:val="22"/>
          <w:szCs w:val="22"/>
        </w:rPr>
      </w:pPr>
    </w:p>
    <w:p w14:paraId="5AF015E8" w14:textId="75CDC196"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When assessing work, it is essential to consider all the aspects that individuals deem important. This covers various aspects like flexible working options and fair rewards, along with the compensation and benefits package (Cotton 2024). A successful total reward strategy is typically influenced by the organisation's business strategy to encourage and inspire the workforce. Implementing successful strategies can benefit the organisation, improving performance, engagement, and motivation (Armstrong 2019). Considering a range of strategies that include both intrinsic and extrinsic rewards is crucial. Employees derive psychological rewards when they successfully complete work and perform at </w:t>
      </w:r>
      <w:bookmarkStart w:id="1" w:name="_Int_r9SasSPu"/>
      <w:r w:rsidRPr="00B93B7F">
        <w:rPr>
          <w:rFonts w:ascii="Calibri" w:eastAsia="Calibri" w:hAnsi="Calibri" w:cs="Calibri"/>
          <w:sz w:val="22"/>
          <w:szCs w:val="22"/>
          <w:lang w:val="en-GB"/>
        </w:rPr>
        <w:t>a high level</w:t>
      </w:r>
      <w:bookmarkEnd w:id="1"/>
      <w:r w:rsidRPr="00B93B7F">
        <w:rPr>
          <w:rFonts w:ascii="Calibri" w:eastAsia="Calibri" w:hAnsi="Calibri" w:cs="Calibri"/>
          <w:sz w:val="22"/>
          <w:szCs w:val="22"/>
          <w:lang w:val="en-GB"/>
        </w:rPr>
        <w:t xml:space="preserve">, leading to heightened motivation and personal growth. Extrinsic rewards refer to the monetary or material incentives that organisations provide to their employees, such as bonuses, salary increases, or benefits (Rose 2022). </w:t>
      </w:r>
    </w:p>
    <w:p w14:paraId="6AB094CE" w14:textId="247A2520"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There are five key factors that contribute to a comprehensive reward package: compensation, benefits, professional development, performance recognition, and work-life balance. These can also be classified within Maslow's hierarchy of needs (Cotton 2024). </w:t>
      </w:r>
    </w:p>
    <w:p w14:paraId="6CE6ACA6" w14:textId="7995AC19"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Employees are eager to receive feedback and recognition to gauge their performance. Organisations must thoroughly evaluate the impact of their rewards on performance management to develop a comprehensive and motivating reward package for employees (Armstrong 2023). Implementing performance reviews, goal-specific awards, team meals/outings, coaching and mentoring, and employee awards can be effective ways to provide recognition to employees and establish clear performance goals (Taylor 2022). </w:t>
      </w:r>
    </w:p>
    <w:p w14:paraId="5E7B7410" w14:textId="5A604947"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 importance of a comprehensive total reward package cannot be overstated when it comes to managing performance and shaping the culture of an organisation (Cotton 2024). Having a well-designed package in place can bring numerous benefits to organisations. Evaluating its effects can result in a boost in employee engagement, improved morale, and increased job satisfaction. In addition, it can help attract and keep talented employees (Rose 2018). Furthermore, it can contribute to a reduction in employee turnover and the promotion of equitable compensation practices, all while fostering a workforce that embraces diversity (Armstrong 2023). </w:t>
      </w:r>
    </w:p>
    <w:p w14:paraId="15640472" w14:textId="7D0E247E" w:rsidR="00353432" w:rsidRPr="00B93B7F" w:rsidRDefault="00353432" w:rsidP="26EA7004">
      <w:pPr>
        <w:spacing w:line="259" w:lineRule="auto"/>
        <w:rPr>
          <w:rFonts w:ascii="Calibri" w:eastAsia="Calibri" w:hAnsi="Calibri" w:cs="Calibri"/>
          <w:color w:val="000000" w:themeColor="text1"/>
          <w:sz w:val="22"/>
          <w:szCs w:val="22"/>
          <w:lang w:val="en-GB"/>
        </w:rPr>
      </w:pPr>
    </w:p>
    <w:p w14:paraId="3DA84689" w14:textId="480506E5" w:rsidR="00353432" w:rsidRPr="00B93B7F" w:rsidRDefault="00353432" w:rsidP="26EA7004">
      <w:pPr>
        <w:spacing w:line="259" w:lineRule="auto"/>
        <w:rPr>
          <w:rFonts w:ascii="Calibri" w:eastAsia="Calibri" w:hAnsi="Calibri" w:cs="Calibri"/>
          <w:color w:val="000000" w:themeColor="text1"/>
          <w:sz w:val="22"/>
          <w:szCs w:val="22"/>
          <w:lang w:val="en-GB"/>
        </w:rPr>
      </w:pPr>
    </w:p>
    <w:p w14:paraId="37E9070F" w14:textId="75C8B204" w:rsidR="00353432" w:rsidRPr="00B93B7F" w:rsidRDefault="00353432" w:rsidP="26EA7004">
      <w:pPr>
        <w:spacing w:after="0" w:line="240" w:lineRule="auto"/>
        <w:rPr>
          <w:rFonts w:ascii="Calibri" w:eastAsia="Calibri" w:hAnsi="Calibri" w:cs="Calibri"/>
          <w:color w:val="000000" w:themeColor="text1"/>
          <w:sz w:val="22"/>
          <w:szCs w:val="22"/>
        </w:rPr>
      </w:pPr>
    </w:p>
    <w:p w14:paraId="4E669775" w14:textId="37FBA4D2" w:rsidR="00353432" w:rsidRPr="00B93B7F" w:rsidRDefault="175E128C" w:rsidP="26EA7004">
      <w:pPr>
        <w:pStyle w:val="Nornal"/>
        <w:spacing w:after="0" w:line="240" w:lineRule="auto"/>
        <w:rPr>
          <w:rFonts w:ascii="Calibri" w:eastAsia="Calibri" w:hAnsi="Calibri" w:cs="Calibri"/>
          <w:color w:val="000000" w:themeColor="text1"/>
        </w:rPr>
      </w:pPr>
      <w:bookmarkStart w:id="2" w:name="_Int_uTqqqOSC"/>
      <w:r w:rsidRPr="51189991">
        <w:rPr>
          <w:rFonts w:ascii="Calibri" w:eastAsia="Calibri" w:hAnsi="Calibri" w:cs="Calibri"/>
          <w:b/>
          <w:bCs/>
        </w:rPr>
        <w:lastRenderedPageBreak/>
        <w:t>Assess the contribution of extrinsic and intrinsic rewards to improving employee contribution and sustained organisational performance.</w:t>
      </w:r>
      <w:bookmarkEnd w:id="2"/>
      <w:r w:rsidRPr="51189991">
        <w:rPr>
          <w:rFonts w:ascii="Calibri" w:eastAsia="Calibri" w:hAnsi="Calibri" w:cs="Calibri"/>
          <w:b/>
          <w:bCs/>
        </w:rPr>
        <w:t xml:space="preserve"> (AC 1.2)</w:t>
      </w:r>
    </w:p>
    <w:p w14:paraId="55360165" w14:textId="4D213EB5" w:rsidR="00353432" w:rsidRPr="00B93B7F" w:rsidRDefault="00353432" w:rsidP="26EA7004">
      <w:pPr>
        <w:spacing w:after="0" w:line="240" w:lineRule="auto"/>
        <w:rPr>
          <w:rFonts w:ascii="Calibri" w:eastAsia="Calibri" w:hAnsi="Calibri" w:cs="Calibri"/>
          <w:color w:val="000000" w:themeColor="text1"/>
          <w:sz w:val="22"/>
          <w:szCs w:val="22"/>
        </w:rPr>
      </w:pPr>
    </w:p>
    <w:p w14:paraId="25B55970" w14:textId="68916230"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Extrinsic rewards are concrete and include compensation, benefits, and incentives. Employees can experience psychological benefits when they feel that their work is meaningful and contributes to the overall goals of the organisation (Suff 2024). Employees are now driven by factors beyond financial compensation. They also appreciate the positive impact on mental well-being that their work provides. One effective approach to utilising money as a motivator is to ensure that employees are compensated sufficiently, alleviating any concerns they may have about their financial situation (Rickard 2023). </w:t>
      </w:r>
    </w:p>
    <w:p w14:paraId="3AC804B3" w14:textId="1B48447B" w:rsidR="00353432" w:rsidRPr="00B93B7F" w:rsidRDefault="175E128C" w:rsidP="26EA7004">
      <w:pPr>
        <w:spacing w:line="259" w:lineRule="auto"/>
        <w:rPr>
          <w:rFonts w:ascii="Calibri" w:eastAsia="Calibri" w:hAnsi="Calibri" w:cs="Calibri"/>
          <w:color w:val="000000" w:themeColor="text1"/>
          <w:sz w:val="22"/>
          <w:szCs w:val="22"/>
        </w:rPr>
      </w:pPr>
      <w:r w:rsidRPr="51189991">
        <w:rPr>
          <w:rFonts w:ascii="Calibri" w:eastAsia="Calibri" w:hAnsi="Calibri" w:cs="Calibri"/>
          <w:sz w:val="22"/>
          <w:szCs w:val="22"/>
          <w:lang w:val="en-GB"/>
        </w:rPr>
        <w:t xml:space="preserve">Finishing a task can bring about a sense of fulfilment and joy for individuals, as they experience the satisfaction and pride that comes with accomplishing something. This internal reward acts as a strong motivator, driving employees to move forward. There are many benefits associated with intrinsic rewards, which can be advantageous for both individuals and organisations (Cotton et al 2022). When individuals are driven by their own personal satisfaction and a desire for accomplishment, they are more likely to be fully engaged, perform at </w:t>
      </w:r>
      <w:bookmarkStart w:id="3" w:name="_Int_GNqEfu6a"/>
      <w:r w:rsidRPr="51189991">
        <w:rPr>
          <w:rFonts w:ascii="Calibri" w:eastAsia="Calibri" w:hAnsi="Calibri" w:cs="Calibri"/>
          <w:sz w:val="22"/>
          <w:szCs w:val="22"/>
          <w:lang w:val="en-GB"/>
        </w:rPr>
        <w:t>a high level</w:t>
      </w:r>
      <w:bookmarkEnd w:id="3"/>
      <w:r w:rsidRPr="51189991">
        <w:rPr>
          <w:rFonts w:ascii="Calibri" w:eastAsia="Calibri" w:hAnsi="Calibri" w:cs="Calibri"/>
          <w:sz w:val="22"/>
          <w:szCs w:val="22"/>
          <w:lang w:val="en-GB"/>
        </w:rPr>
        <w:t xml:space="preserve">, show loyalty, and be dedicated to the organisation. For those who are driven by financial compensation and recognition from others, extrinsic rewards can be highly beneficial (Armstrong 2023). </w:t>
      </w:r>
    </w:p>
    <w:p w14:paraId="7B63FB10" w14:textId="05F165B1" w:rsidR="00353432" w:rsidRPr="00B93B7F" w:rsidRDefault="175E128C" w:rsidP="26EA7004">
      <w:pPr>
        <w:spacing w:line="259" w:lineRule="auto"/>
        <w:rPr>
          <w:rFonts w:ascii="Calibri" w:eastAsia="Calibri" w:hAnsi="Calibri" w:cs="Calibri"/>
          <w:color w:val="000000" w:themeColor="text1"/>
          <w:sz w:val="22"/>
          <w:szCs w:val="22"/>
        </w:rPr>
      </w:pPr>
      <w:r w:rsidRPr="51189991">
        <w:rPr>
          <w:rFonts w:ascii="Calibri" w:eastAsia="Calibri" w:hAnsi="Calibri" w:cs="Calibri"/>
          <w:sz w:val="22"/>
          <w:szCs w:val="22"/>
          <w:lang w:val="en-GB"/>
        </w:rPr>
        <w:t xml:space="preserve">Organisations employ different approaches to motivate employees to perform well in their positions and maintain </w:t>
      </w:r>
      <w:bookmarkStart w:id="4" w:name="_Int_yZr9qeFm"/>
      <w:r w:rsidRPr="51189991">
        <w:rPr>
          <w:rFonts w:ascii="Calibri" w:eastAsia="Calibri" w:hAnsi="Calibri" w:cs="Calibri"/>
          <w:sz w:val="22"/>
          <w:szCs w:val="22"/>
          <w:lang w:val="en-GB"/>
        </w:rPr>
        <w:t>high levels</w:t>
      </w:r>
      <w:bookmarkEnd w:id="4"/>
      <w:r w:rsidRPr="51189991">
        <w:rPr>
          <w:rFonts w:ascii="Calibri" w:eastAsia="Calibri" w:hAnsi="Calibri" w:cs="Calibri"/>
          <w:sz w:val="22"/>
          <w:szCs w:val="22"/>
          <w:lang w:val="en-GB"/>
        </w:rPr>
        <w:t xml:space="preserve"> of productivity. These strategies can include financial incentives, opportunities for career growth, acknowledgment, and rewards (Young 2023). Enhancing employee motivation and loyalty to the organisation can be achieved through a combination of intrinsic and extrinsic rewards. This will lead to employees consistently striving for excellence, meeting deadlines, and delivering work of exceptional quality. It is important to consider that when bonuses are provided, employees tend to demonstrate a higher level of quality in their work and increased efficiency (Taylor 2022).</w:t>
      </w:r>
    </w:p>
    <w:p w14:paraId="7D7DA25F" w14:textId="1499C8EE"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As to Maslow's hierarchy of requirements, individuals must fulfil their fundamental needs before advancing up the ladder (Pichère, P et al. 2015). Individuals will experience difficulties in functioning effectively if their fundamental needs, such as nourishment, hydration, relaxation, and thermal comfort, are not met. Safety requirements encompass occupational safety, absence of illness, and financial stability; if individuals do not perceive safety, they will prioritise fulfilling these needs before progressing to the next level. Teamwork and collaboration are essential components that need to be established (Armstrong 2023). They rely on emotional connections and a sense of camaraderie, including friendship, familial bonds, acceptance, and cooperation. The linkages serve a crucial function in promoting and motivating individuals Employees experience increased motivation when they attain higher levels of achievement (Maslow 1954).</w:t>
      </w:r>
    </w:p>
    <w:p w14:paraId="48BF0C14" w14:textId="2C065E14" w:rsidR="00353432" w:rsidRPr="00B93B7F" w:rsidRDefault="00353432" w:rsidP="26EA7004">
      <w:pPr>
        <w:spacing w:after="0" w:line="240" w:lineRule="auto"/>
        <w:rPr>
          <w:rFonts w:ascii="Calibri" w:eastAsia="Calibri" w:hAnsi="Calibri" w:cs="Calibri"/>
          <w:color w:val="000000" w:themeColor="text1"/>
          <w:sz w:val="22"/>
          <w:szCs w:val="22"/>
        </w:rPr>
      </w:pPr>
    </w:p>
    <w:p w14:paraId="6C4F7C2A" w14:textId="29D95738" w:rsidR="00353432" w:rsidRPr="00B93B7F" w:rsidRDefault="175E128C" w:rsidP="26EA7004">
      <w:pPr>
        <w:spacing w:after="0" w:line="240" w:lineRule="auto"/>
        <w:rPr>
          <w:rFonts w:ascii="Calibri" w:eastAsia="Calibri" w:hAnsi="Calibri" w:cs="Calibri"/>
          <w:color w:val="000000" w:themeColor="text1"/>
          <w:sz w:val="22"/>
          <w:szCs w:val="22"/>
        </w:rPr>
      </w:pPr>
      <w:bookmarkStart w:id="5" w:name="_Int_oGEnTxUZ"/>
      <w:r w:rsidRPr="51189991">
        <w:rPr>
          <w:rFonts w:ascii="Calibri" w:eastAsia="Calibri" w:hAnsi="Calibri" w:cs="Calibri"/>
          <w:b/>
          <w:bCs/>
          <w:sz w:val="22"/>
          <w:szCs w:val="22"/>
        </w:rPr>
        <w:t xml:space="preserve">Explain the differences between types of </w:t>
      </w:r>
      <w:bookmarkStart w:id="6" w:name="_Int_Qgu24Hc8"/>
      <w:r w:rsidRPr="51189991">
        <w:rPr>
          <w:rFonts w:ascii="Calibri" w:eastAsia="Calibri" w:hAnsi="Calibri" w:cs="Calibri"/>
          <w:b/>
          <w:bCs/>
          <w:sz w:val="22"/>
          <w:szCs w:val="22"/>
        </w:rPr>
        <w:t>grade</w:t>
      </w:r>
      <w:bookmarkEnd w:id="6"/>
      <w:r w:rsidRPr="51189991">
        <w:rPr>
          <w:rFonts w:ascii="Calibri" w:eastAsia="Calibri" w:hAnsi="Calibri" w:cs="Calibri"/>
          <w:b/>
          <w:bCs/>
          <w:sz w:val="22"/>
          <w:szCs w:val="22"/>
        </w:rPr>
        <w:t xml:space="preserve"> and pay structures.</w:t>
      </w:r>
      <w:bookmarkEnd w:id="5"/>
      <w:r w:rsidRPr="51189991">
        <w:rPr>
          <w:rFonts w:ascii="Calibri" w:eastAsia="Calibri" w:hAnsi="Calibri" w:cs="Calibri"/>
          <w:b/>
          <w:bCs/>
          <w:sz w:val="22"/>
          <w:szCs w:val="22"/>
        </w:rPr>
        <w:t xml:space="preserve"> (AC 2.1)</w:t>
      </w:r>
    </w:p>
    <w:p w14:paraId="520E98A7" w14:textId="1CD4A3E3" w:rsidR="00353432" w:rsidRPr="00B93B7F" w:rsidRDefault="00353432" w:rsidP="26EA7004">
      <w:pPr>
        <w:spacing w:after="0" w:line="240" w:lineRule="auto"/>
        <w:rPr>
          <w:rFonts w:ascii="Calibri" w:eastAsia="Calibri" w:hAnsi="Calibri" w:cs="Calibri"/>
          <w:color w:val="000000" w:themeColor="text1"/>
          <w:sz w:val="22"/>
          <w:szCs w:val="22"/>
        </w:rPr>
      </w:pPr>
    </w:p>
    <w:p w14:paraId="40B59A6A" w14:textId="1EE3F472" w:rsidR="00353432" w:rsidRPr="00B93B7F" w:rsidRDefault="175E128C" w:rsidP="26EA7004">
      <w:pPr>
        <w:pStyle w:val="Nornal"/>
        <w:spacing w:line="259" w:lineRule="auto"/>
        <w:rPr>
          <w:rFonts w:ascii="Calibri" w:eastAsia="Calibri" w:hAnsi="Calibri" w:cs="Calibri"/>
          <w:color w:val="000000" w:themeColor="text1"/>
        </w:rPr>
      </w:pPr>
      <w:r w:rsidRPr="00B93B7F">
        <w:rPr>
          <w:rFonts w:ascii="Calibri" w:eastAsia="Calibri" w:hAnsi="Calibri" w:cs="Calibri"/>
        </w:rPr>
        <w:t>A pay structure is a system that organises jobs within a hierarchy or series, connecting them based on their similarities and differences. The framework helps organisations implement reward strategies and policies that are in line with their mission, vision, purpose, culture, and business strategy (Cotton 2024). It aims to promote desired behaviours and performance by providing a structure for rewards. They also contribute to promoting fairness and lawfulness by preventing any form of pay discrimination.</w:t>
      </w:r>
    </w:p>
    <w:p w14:paraId="40E55C8F" w14:textId="482E11D9" w:rsidR="00353432" w:rsidRPr="00B93B7F" w:rsidRDefault="00353432" w:rsidP="26EA7004">
      <w:pPr>
        <w:spacing w:after="0" w:line="259" w:lineRule="auto"/>
        <w:rPr>
          <w:rFonts w:ascii="Calibri" w:eastAsia="Calibri" w:hAnsi="Calibri" w:cs="Calibri"/>
          <w:color w:val="000000" w:themeColor="text1"/>
          <w:sz w:val="22"/>
          <w:szCs w:val="22"/>
        </w:rPr>
      </w:pPr>
    </w:p>
    <w:p w14:paraId="6B13AC39" w14:textId="4B66B912"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t>Individual pay rates, spot rates, spot salaries</w:t>
      </w:r>
    </w:p>
    <w:p w14:paraId="49FD6D75" w14:textId="7EF2EFEA" w:rsidR="00353432" w:rsidRPr="00B93B7F" w:rsidRDefault="175E128C" w:rsidP="51189991">
      <w:pPr>
        <w:pStyle w:val="Nornal"/>
        <w:spacing w:line="259" w:lineRule="auto"/>
        <w:rPr>
          <w:rFonts w:ascii="Calibri" w:eastAsia="Calibri" w:hAnsi="Calibri" w:cs="Calibri"/>
          <w:color w:val="000000" w:themeColor="text1"/>
        </w:rPr>
      </w:pPr>
      <w:r w:rsidRPr="51189991">
        <w:rPr>
          <w:rFonts w:ascii="Calibri" w:eastAsia="Calibri" w:hAnsi="Calibri" w:cs="Calibri"/>
        </w:rPr>
        <w:t>Every individual or job has a particular pay rate that is allotted to them, regardless of whether it is hourly, weekly, or annual. Spot rates are frequently utilised in industries that require a basic "rate for the job," such as those that require lower levels of employee ability (Armstrong 2023). They are also able to be found in positions of more authority. The compensation package has been meticulously developed with the intention of attracting, retaining, and motivating a specific unique candidate. There is no formal framework that is followed by progression when using this strategy. To bring spot rates in line with market rates or inflation, however, it is possible to consider changing to a higher spot rate or rising rates (Taylor 2022).</w:t>
      </w:r>
    </w:p>
    <w:p w14:paraId="28553E82" w14:textId="5E4F0F52"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t>Individual pay ranges, individual job ranges, individual salary ranges</w:t>
      </w:r>
    </w:p>
    <w:p w14:paraId="4D16F84E" w14:textId="7A9765FB" w:rsidR="00353432" w:rsidRPr="00B93B7F" w:rsidRDefault="175E128C" w:rsidP="51189991">
      <w:pPr>
        <w:pStyle w:val="Nornal"/>
        <w:spacing w:line="259" w:lineRule="auto"/>
        <w:rPr>
          <w:rFonts w:ascii="Calibri" w:eastAsia="Calibri" w:hAnsi="Calibri" w:cs="Calibri"/>
          <w:color w:val="000000" w:themeColor="text1"/>
        </w:rPr>
      </w:pPr>
      <w:r w:rsidRPr="51189991">
        <w:rPr>
          <w:rFonts w:ascii="Calibri" w:eastAsia="Calibri" w:hAnsi="Calibri" w:cs="Calibri"/>
        </w:rPr>
        <w:t>Employers are responsible for assigning a wage range to each job or employee. It is possible that individual salary ranges are more useful than individual spot rates since they offer a systematic framework for career advancement in terms of compensation (Cotton 2024).</w:t>
      </w:r>
    </w:p>
    <w:p w14:paraId="163F85FB" w14:textId="6753B455"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t>Narrow-graded pay structures</w:t>
      </w:r>
    </w:p>
    <w:p w14:paraId="36768B94" w14:textId="63176429" w:rsidR="00353432" w:rsidRPr="00B93B7F" w:rsidRDefault="175E128C" w:rsidP="51189991">
      <w:pPr>
        <w:pStyle w:val="Nornal"/>
        <w:spacing w:line="259" w:lineRule="auto"/>
        <w:rPr>
          <w:rFonts w:ascii="Calibri" w:eastAsia="Calibri" w:hAnsi="Calibri" w:cs="Calibri"/>
          <w:color w:val="000000" w:themeColor="text1"/>
        </w:rPr>
      </w:pPr>
      <w:r w:rsidRPr="51189991">
        <w:rPr>
          <w:rFonts w:ascii="Calibri" w:eastAsia="Calibri" w:hAnsi="Calibri" w:cs="Calibri"/>
        </w:rPr>
        <w:t>There are typically ten or more grades, each containing jobs of similar value. Typically, advancement occurs gradually and is tied to the amount of time spent in service. Due to the limited range of grades, individuals tend to reach the upper end of their range quickly (Jeffrey 2019). However, this can result in requests for upgrades and result in 'grade drift' (jobs being ranked higher than justified).</w:t>
      </w:r>
    </w:p>
    <w:p w14:paraId="49589153" w14:textId="21B4DA25"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t>Broadbanding</w:t>
      </w:r>
    </w:p>
    <w:p w14:paraId="098FA06C" w14:textId="730E1515" w:rsidR="00353432" w:rsidRPr="00B93B7F" w:rsidRDefault="175E128C" w:rsidP="51189991">
      <w:pPr>
        <w:pStyle w:val="Nornal"/>
        <w:spacing w:line="259" w:lineRule="auto"/>
        <w:rPr>
          <w:rFonts w:ascii="Calibri" w:eastAsia="Calibri" w:hAnsi="Calibri" w:cs="Calibri"/>
          <w:color w:val="000000" w:themeColor="text1"/>
        </w:rPr>
      </w:pPr>
      <w:r w:rsidRPr="51189991">
        <w:rPr>
          <w:rFonts w:ascii="Calibri" w:eastAsia="Calibri" w:hAnsi="Calibri" w:cs="Calibri"/>
        </w:rPr>
        <w:t>This utilises a limited number of pay bands, usually four or five, to provide more flexibility in pay compared to structures with narrow grading. In some cases, employers have chosen to reintroduce more structure to address concerns about equal pay, but typically there are no limits on pay progression within each band (Perkins 2020).</w:t>
      </w:r>
    </w:p>
    <w:p w14:paraId="4640116F" w14:textId="07CC8B19" w:rsidR="00353432" w:rsidRPr="00B93B7F" w:rsidRDefault="00353432" w:rsidP="26EA7004">
      <w:pPr>
        <w:spacing w:after="0" w:line="240" w:lineRule="auto"/>
        <w:rPr>
          <w:rFonts w:ascii="Calibri" w:eastAsia="Calibri" w:hAnsi="Calibri" w:cs="Calibri"/>
          <w:color w:val="000000" w:themeColor="text1"/>
          <w:sz w:val="22"/>
          <w:szCs w:val="22"/>
        </w:rPr>
      </w:pPr>
    </w:p>
    <w:p w14:paraId="2AD34D66" w14:textId="72A74D4C"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rPr>
        <w:t>Explain how contingent rewards can impact individual, team, and organisational performance. (AC 2.2)</w:t>
      </w:r>
    </w:p>
    <w:p w14:paraId="2CBD6423" w14:textId="0185F6CC" w:rsidR="00353432" w:rsidRPr="00B93B7F" w:rsidRDefault="00353432" w:rsidP="26EA7004">
      <w:pPr>
        <w:spacing w:after="0" w:line="240" w:lineRule="auto"/>
        <w:rPr>
          <w:rFonts w:ascii="Calibri" w:eastAsia="Calibri" w:hAnsi="Calibri" w:cs="Calibri"/>
          <w:color w:val="000000" w:themeColor="text1"/>
          <w:sz w:val="22"/>
          <w:szCs w:val="22"/>
        </w:rPr>
      </w:pPr>
    </w:p>
    <w:p w14:paraId="47F11223" w14:textId="0FE1F11E"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A person, a group, or an organisation may be influenced by contingent rewards, which are benefits that are awarded based on performance or criteria. Contingent pay is pay that varies in relation to performance or service and is often called variable pay (Armstrong 2023).</w:t>
      </w:r>
    </w:p>
    <w:p w14:paraId="7887795F" w14:textId="2C4A0390"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 xml:space="preserve">Individual: </w:t>
      </w:r>
    </w:p>
    <w:p w14:paraId="2DF936D3" w14:textId="4D2229BD"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Contingent rewards can improve both the level of motivation and the quality of work when they are linked to the requirements of success and performance. One way that can be employed to improve an individual's performance on high-interest jobs is to compliment them verbally or provide them with material incentives, such as bonuses (Cotton et al 2022). </w:t>
      </w:r>
    </w:p>
    <w:p w14:paraId="0A12C563" w14:textId="24FFD15F" w:rsidR="000650A0" w:rsidRPr="00B93B7F" w:rsidRDefault="175E128C" w:rsidP="51189991">
      <w:pPr>
        <w:spacing w:after="0" w:line="259" w:lineRule="auto"/>
        <w:rPr>
          <w:rFonts w:ascii="Calibri" w:eastAsia="Calibri" w:hAnsi="Calibri" w:cs="Calibri"/>
          <w:color w:val="000000" w:themeColor="text1"/>
          <w:sz w:val="22"/>
          <w:szCs w:val="22"/>
          <w:lang w:val="en-GB"/>
        </w:rPr>
      </w:pPr>
      <w:r w:rsidRPr="51189991">
        <w:rPr>
          <w:rFonts w:ascii="Calibri" w:eastAsia="Calibri" w:hAnsi="Calibri" w:cs="Calibri"/>
          <w:sz w:val="22"/>
          <w:szCs w:val="22"/>
          <w:lang w:val="en-GB"/>
        </w:rPr>
        <w:t xml:space="preserve">A decline in performance that is below average could be the result of a reduced level of intrinsic motivation and self-determination. On the other hand, rewards that give the impression of being insufficient or not having much of an impact on behaviour could have the opposite purpose (CIPD 2024). </w:t>
      </w:r>
    </w:p>
    <w:p w14:paraId="07F19FD8" w14:textId="3DC001D3" w:rsidR="00353432" w:rsidRPr="00B93B7F" w:rsidRDefault="175E128C" w:rsidP="51189991">
      <w:pPr>
        <w:spacing w:after="0" w:line="240" w:lineRule="auto"/>
        <w:rPr>
          <w:rFonts w:ascii="Calibri" w:eastAsia="Calibri" w:hAnsi="Calibri" w:cs="Calibri"/>
          <w:b/>
          <w:bCs/>
          <w:color w:val="000000" w:themeColor="text1"/>
          <w:sz w:val="22"/>
          <w:szCs w:val="22"/>
        </w:rPr>
      </w:pPr>
      <w:r w:rsidRPr="51189991">
        <w:rPr>
          <w:rFonts w:ascii="Calibri" w:eastAsia="Calibri" w:hAnsi="Calibri" w:cs="Calibri"/>
          <w:b/>
          <w:bCs/>
          <w:sz w:val="22"/>
          <w:szCs w:val="22"/>
          <w:lang w:val="en-GB"/>
        </w:rPr>
        <w:t>Team:</w:t>
      </w:r>
    </w:p>
    <w:p w14:paraId="668E79C6" w14:textId="43433C33"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 use of contingent benefits, which could build teamwork and common goals, can be an effective way to encourage workers to work together. An increase in the willingness of members of a team to </w:t>
      </w:r>
      <w:r w:rsidRPr="00B93B7F">
        <w:rPr>
          <w:rFonts w:ascii="Calibri" w:eastAsia="Calibri" w:hAnsi="Calibri" w:cs="Calibri"/>
          <w:sz w:val="22"/>
          <w:szCs w:val="22"/>
          <w:lang w:val="en-GB"/>
        </w:rPr>
        <w:lastRenderedPageBreak/>
        <w:t xml:space="preserve">cooperate with one another and their loyalty to the group can be attributed to the fact that they are rewarded or acknowledged for completing collective objectives (Cotton 2023). </w:t>
      </w:r>
    </w:p>
    <w:p w14:paraId="7F9BC45C" w14:textId="7DA77677"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If they foster unhealthy competition or undermine the unity of the team, reward systems have the potential to have a detrimental effect on the efficiency of a group.</w:t>
      </w:r>
    </w:p>
    <w:p w14:paraId="03C9EE57" w14:textId="15D8757A"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Organisation:</w:t>
      </w:r>
    </w:p>
    <w:p w14:paraId="43768260" w14:textId="20C82C6C"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Employees' actions are brought into alignment with the objectives of the company through the implementation of effective contingent reward programmes. It is possible for employees to be motivated to contribute to the success of the organisation using monetary incentives, profit-sharing, or performance-based bonuses for example (Rose 2018). </w:t>
      </w:r>
    </w:p>
    <w:p w14:paraId="3F4E33D0" w14:textId="078DBDD8"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Rewards that are either discriminatory or unclear may lead to two prospective outcomes. These results include a decrease in the organisation's overall efficacy and indifference (Perkins 2024).</w:t>
      </w:r>
    </w:p>
    <w:p w14:paraId="0699CC8F" w14:textId="1CD5B7DA"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Contingent rewards have the potential to be helpful tools if they are administered with an appropriate amount of care. When it comes to maximising the positive impact that their performance has the potential to have, it is essential for businesses to consider the context, equity, and alignment with broader goals (Cotton et al 2022).</w:t>
      </w:r>
    </w:p>
    <w:p w14:paraId="56084BC7" w14:textId="4F311EF7" w:rsidR="00353432" w:rsidRPr="00B93B7F" w:rsidRDefault="00353432" w:rsidP="26EA7004">
      <w:pPr>
        <w:spacing w:line="259" w:lineRule="auto"/>
        <w:rPr>
          <w:rFonts w:ascii="Calibri" w:eastAsia="Calibri" w:hAnsi="Calibri" w:cs="Calibri"/>
          <w:color w:val="000000" w:themeColor="text1"/>
          <w:sz w:val="22"/>
          <w:szCs w:val="22"/>
        </w:rPr>
      </w:pPr>
    </w:p>
    <w:p w14:paraId="42211184" w14:textId="73181120" w:rsidR="00353432" w:rsidRPr="00B93B7F" w:rsidRDefault="175E128C" w:rsidP="26EA7004">
      <w:pPr>
        <w:spacing w:after="0" w:line="240" w:lineRule="auto"/>
        <w:rPr>
          <w:rFonts w:ascii="Calibri" w:eastAsia="Calibri" w:hAnsi="Calibri" w:cs="Calibri"/>
          <w:color w:val="000000" w:themeColor="text1"/>
          <w:sz w:val="22"/>
          <w:szCs w:val="22"/>
        </w:rPr>
      </w:pPr>
      <w:r w:rsidRPr="51189991">
        <w:rPr>
          <w:rFonts w:ascii="Calibri" w:eastAsia="Calibri" w:hAnsi="Calibri" w:cs="Calibri"/>
          <w:b/>
          <w:bCs/>
          <w:sz w:val="22"/>
          <w:szCs w:val="22"/>
          <w:lang w:val="en-GB"/>
        </w:rPr>
        <w:t xml:space="preserve">Explain the merits of </w:t>
      </w:r>
      <w:bookmarkStart w:id="7" w:name="_Int_RQmX5syg"/>
      <w:r w:rsidRPr="51189991">
        <w:rPr>
          <w:rFonts w:ascii="Calibri" w:eastAsia="Calibri" w:hAnsi="Calibri" w:cs="Calibri"/>
          <w:b/>
          <w:bCs/>
          <w:sz w:val="22"/>
          <w:szCs w:val="22"/>
          <w:lang w:val="en-GB"/>
        </w:rPr>
        <w:t>different types</w:t>
      </w:r>
      <w:bookmarkEnd w:id="7"/>
      <w:r w:rsidRPr="51189991">
        <w:rPr>
          <w:rFonts w:ascii="Calibri" w:eastAsia="Calibri" w:hAnsi="Calibri" w:cs="Calibri"/>
          <w:b/>
          <w:bCs/>
          <w:sz w:val="22"/>
          <w:szCs w:val="22"/>
          <w:lang w:val="en-GB"/>
        </w:rPr>
        <w:t xml:space="preserve"> of benefits offered by organisations. (AC 2.3)</w:t>
      </w:r>
    </w:p>
    <w:p w14:paraId="45B2C267" w14:textId="6184FCF7" w:rsidR="00353432" w:rsidRPr="00B93B7F" w:rsidRDefault="00353432" w:rsidP="26EA7004">
      <w:pPr>
        <w:spacing w:after="0" w:line="240" w:lineRule="auto"/>
        <w:rPr>
          <w:rFonts w:ascii="Calibri" w:eastAsia="Calibri" w:hAnsi="Calibri" w:cs="Calibri"/>
          <w:color w:val="000000" w:themeColor="text1"/>
          <w:sz w:val="22"/>
          <w:szCs w:val="22"/>
        </w:rPr>
      </w:pPr>
    </w:p>
    <w:p w14:paraId="575284E5" w14:textId="610490BE"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Employee benefits play an important part in supporting most businesses' business strategies through their incentive plan, since they allow management to point directly to what the organisation prioritises by explicitly rewarding it. This incentive plan also promotes an employer's mission, vision, and values, which work together to build a resilient and agile workforce (CIPD 2021).</w:t>
      </w:r>
    </w:p>
    <w:p w14:paraId="0EA625AA" w14:textId="54A38C66" w:rsidR="00353432" w:rsidRPr="00B93B7F" w:rsidRDefault="175E128C" w:rsidP="51189991">
      <w:pPr>
        <w:spacing w:after="0" w:line="240" w:lineRule="auto"/>
        <w:rPr>
          <w:rFonts w:ascii="Calibri" w:eastAsia="Calibri" w:hAnsi="Calibri" w:cs="Calibri"/>
          <w:b/>
          <w:bCs/>
          <w:color w:val="000000" w:themeColor="text1"/>
          <w:sz w:val="22"/>
          <w:szCs w:val="22"/>
        </w:rPr>
      </w:pPr>
      <w:r w:rsidRPr="51189991">
        <w:rPr>
          <w:rFonts w:ascii="Calibri" w:eastAsia="Calibri" w:hAnsi="Calibri" w:cs="Calibri"/>
          <w:b/>
          <w:bCs/>
          <w:sz w:val="22"/>
          <w:szCs w:val="22"/>
          <w:lang w:val="en-GB"/>
        </w:rPr>
        <w:t>Allowances</w:t>
      </w:r>
    </w:p>
    <w:p w14:paraId="0200E19F" w14:textId="14F9879E" w:rsidR="00353432" w:rsidRPr="00B93B7F" w:rsidRDefault="175E128C" w:rsidP="51189991">
      <w:pPr>
        <w:spacing w:after="0" w:line="259" w:lineRule="auto"/>
        <w:rPr>
          <w:rFonts w:ascii="Calibri" w:eastAsia="Calibri" w:hAnsi="Calibri" w:cs="Calibri"/>
          <w:color w:val="000000" w:themeColor="text1"/>
          <w:sz w:val="22"/>
          <w:szCs w:val="22"/>
          <w:lang w:val="en-GB"/>
        </w:rPr>
      </w:pPr>
      <w:r w:rsidRPr="51189991">
        <w:rPr>
          <w:rFonts w:ascii="Calibri" w:eastAsia="Calibri" w:hAnsi="Calibri" w:cs="Calibri"/>
          <w:sz w:val="22"/>
          <w:szCs w:val="22"/>
          <w:lang w:val="en-GB"/>
        </w:rPr>
        <w:t xml:space="preserve">If you commute long distances to and from work, having a corporate automobile could be advantageous. This can be likened to the cycle to work scheme; while cycle to work schemes reduce carbon emissions and promote a healthy lifestyle, a business automobile saves employees time, allowing them to accomplish more work and meet targets more quickly (Department for Transport 2019). Both a company car and a cycle to work scheme would cost the employee money; a company car would have additional tax benefits, and employees would need to buy their bike to participate in the scheme; however, a company car would benefit employees more because they would be able to use it for personal as well as business miles, and it is a faster mode of transportation (Cotton 2024). Organisations should look at purchasing electric cars as company vehicles to help minimise their carbon footprint. Providing an employee with a company automobile fosters a stronger sense of connection and loyalty to the organisation, hence encouraging retention and engagement. </w:t>
      </w:r>
    </w:p>
    <w:p w14:paraId="3D67DF7F" w14:textId="45AD8612" w:rsidR="00353432" w:rsidRPr="00B93B7F" w:rsidRDefault="00353432" w:rsidP="26EA7004">
      <w:pPr>
        <w:shd w:val="clear" w:color="auto" w:fill="FFFFFF" w:themeFill="background1"/>
        <w:spacing w:after="0" w:line="240" w:lineRule="auto"/>
        <w:rPr>
          <w:rFonts w:ascii="Calibri" w:eastAsia="Calibri" w:hAnsi="Calibri" w:cs="Calibri"/>
          <w:b/>
          <w:bCs/>
          <w:color w:val="000000" w:themeColor="text1"/>
          <w:sz w:val="22"/>
          <w:szCs w:val="22"/>
          <w:lang w:val="en-GB"/>
        </w:rPr>
      </w:pPr>
    </w:p>
    <w:p w14:paraId="7A34E890" w14:textId="35A2F781" w:rsidR="00353432" w:rsidRPr="00B93B7F" w:rsidRDefault="175E128C" w:rsidP="26EA7004">
      <w:pPr>
        <w:shd w:val="clear" w:color="auto" w:fill="FFFFFF" w:themeFill="background1"/>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t>Healthcare Benefits</w:t>
      </w:r>
    </w:p>
    <w:p w14:paraId="24690204" w14:textId="77E57978" w:rsidR="00353432" w:rsidRPr="00B93B7F" w:rsidRDefault="175E128C" w:rsidP="26EA7004">
      <w:pPr>
        <w:shd w:val="clear" w:color="auto" w:fill="FFFFFF" w:themeFill="background1"/>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Organisations can offer employees sick pay and private healthcare. Sick pay can get offered to employees above the rate of Statutory Sick Pay (SSP), for example some organisations will offer their employees 52 weeks sick pay per year if they are in a manual handling job to give them a sense of security if they were injured (Suff 2021). Private healthcare schemes are separate to this, and the employee would need to enrol in this should they choose to do so (CIPD 2022). Employees would pay </w:t>
      </w:r>
      <w:r w:rsidRPr="00B93B7F">
        <w:rPr>
          <w:rFonts w:ascii="Calibri" w:eastAsia="Calibri" w:hAnsi="Calibri" w:cs="Calibri"/>
          <w:sz w:val="22"/>
          <w:szCs w:val="22"/>
          <w:lang w:val="en-GB"/>
        </w:rPr>
        <w:lastRenderedPageBreak/>
        <w:t>into the scheme by having the cost deducted from their monthly salary. Private healthcare schemes also allow employees to add family members on which can offer employees more piece of mind as they would be able to be seen quicker should they need to use it. Sick pay will cost the organisation more money if employees take advantage of it and are constantly sick because they know they get full pay however it would provide employees with a peace of mind meaning they would be more inclined to go beyond in their day-to-day role. Healthcare schemes will cost both the employer and employee money but would increase motivation and commitment to the organisation (Cotton 2024). These approaches help to ensure that workers welfare is protected for better performance.</w:t>
      </w:r>
    </w:p>
    <w:p w14:paraId="5134B8D6" w14:textId="680EBFE1" w:rsidR="00353432" w:rsidRPr="00B93B7F" w:rsidRDefault="00353432" w:rsidP="26EA7004">
      <w:pPr>
        <w:spacing w:after="0" w:line="240" w:lineRule="auto"/>
        <w:rPr>
          <w:rFonts w:ascii="Calibri" w:eastAsia="Calibri" w:hAnsi="Calibri" w:cs="Calibri"/>
          <w:color w:val="000000" w:themeColor="text1"/>
          <w:sz w:val="22"/>
          <w:szCs w:val="22"/>
        </w:rPr>
      </w:pPr>
    </w:p>
    <w:p w14:paraId="1E36E531" w14:textId="47AFE170" w:rsidR="00353432" w:rsidRDefault="175E128C" w:rsidP="26EA7004">
      <w:pPr>
        <w:spacing w:after="0" w:line="240" w:lineRule="auto"/>
        <w:rPr>
          <w:rFonts w:ascii="Calibri" w:eastAsia="Calibri" w:hAnsi="Calibri" w:cs="Calibri"/>
          <w:b/>
          <w:bCs/>
          <w:sz w:val="22"/>
          <w:szCs w:val="22"/>
          <w:lang w:val="en-GB"/>
        </w:rPr>
      </w:pPr>
      <w:bookmarkStart w:id="8" w:name="_Int_U445N8DH"/>
      <w:r w:rsidRPr="51189991">
        <w:rPr>
          <w:rFonts w:ascii="Calibri" w:eastAsia="Calibri" w:hAnsi="Calibri" w:cs="Calibri"/>
          <w:b/>
          <w:bCs/>
          <w:sz w:val="22"/>
          <w:szCs w:val="22"/>
          <w:lang w:val="en-GB"/>
        </w:rPr>
        <w:t xml:space="preserve">Explain the merits of </w:t>
      </w:r>
      <w:bookmarkStart w:id="9" w:name="_Int_FmByQzEs"/>
      <w:r w:rsidRPr="51189991">
        <w:rPr>
          <w:rFonts w:ascii="Calibri" w:eastAsia="Calibri" w:hAnsi="Calibri" w:cs="Calibri"/>
          <w:b/>
          <w:bCs/>
          <w:sz w:val="22"/>
          <w:szCs w:val="22"/>
          <w:lang w:val="en-GB"/>
        </w:rPr>
        <w:t>different types</w:t>
      </w:r>
      <w:bookmarkEnd w:id="9"/>
      <w:r w:rsidRPr="51189991">
        <w:rPr>
          <w:rFonts w:ascii="Calibri" w:eastAsia="Calibri" w:hAnsi="Calibri" w:cs="Calibri"/>
          <w:b/>
          <w:bCs/>
          <w:sz w:val="22"/>
          <w:szCs w:val="22"/>
          <w:lang w:val="en-GB"/>
        </w:rPr>
        <w:t xml:space="preserve"> of recognition schemes offered by organisations.</w:t>
      </w:r>
      <w:bookmarkEnd w:id="8"/>
      <w:r w:rsidRPr="51189991">
        <w:rPr>
          <w:rFonts w:ascii="Calibri" w:eastAsia="Calibri" w:hAnsi="Calibri" w:cs="Calibri"/>
          <w:b/>
          <w:bCs/>
          <w:sz w:val="22"/>
          <w:szCs w:val="22"/>
          <w:lang w:val="en-GB"/>
        </w:rPr>
        <w:t xml:space="preserve"> (AC 2.4)</w:t>
      </w:r>
    </w:p>
    <w:p w14:paraId="416865BF" w14:textId="5D1424FB" w:rsidR="008A2402" w:rsidRDefault="008A2402" w:rsidP="26EA7004">
      <w:pPr>
        <w:spacing w:after="0" w:line="240" w:lineRule="auto"/>
        <w:rPr>
          <w:rFonts w:ascii="Calibri" w:eastAsia="Calibri" w:hAnsi="Calibri" w:cs="Calibri"/>
          <w:b/>
          <w:bCs/>
          <w:sz w:val="22"/>
          <w:szCs w:val="22"/>
          <w:lang w:val="en-GB"/>
        </w:rPr>
      </w:pPr>
    </w:p>
    <w:p w14:paraId="75268FBC" w14:textId="1082D003" w:rsidR="00FB7000" w:rsidRDefault="00FB7000" w:rsidP="00FB7000">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lang w:val="en-US"/>
        </w:rPr>
        <w:t xml:space="preserve">To improve staff retention and motivation, acknowledgement is an extremely key factor for Eco – Insulate UK. It is natural for employees to experience an increase in their motivation and an encouragement to strive for even higher performance when they believe that their superiors value them, as stated by Young (2024). According to the findings of a poll that was conducted by Gallup in the year 2023, trying to recognise and appreciate employees' achievements and efforts can help to cultivate a happy environment at work, as well as increase employee loyalty and satisfaction. </w:t>
      </w:r>
    </w:p>
    <w:p w14:paraId="00055C76" w14:textId="77777777" w:rsidR="00FB7000" w:rsidRDefault="00FB7000" w:rsidP="00FB7000">
      <w:pPr>
        <w:pStyle w:val="paragraph"/>
        <w:spacing w:before="0" w:beforeAutospacing="0" w:after="0" w:afterAutospacing="0"/>
        <w:textAlignment w:val="baseline"/>
        <w:rPr>
          <w:rFonts w:ascii="Segoe UI" w:hAnsi="Segoe UI" w:cs="Segoe UI"/>
          <w:sz w:val="18"/>
          <w:szCs w:val="18"/>
        </w:rPr>
      </w:pPr>
    </w:p>
    <w:p w14:paraId="63651023" w14:textId="05DCB496" w:rsidR="00FB7000" w:rsidRDefault="00FB7000" w:rsidP="00FB7000">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lang w:val="en-US"/>
        </w:rPr>
        <w:t xml:space="preserve">Bonuses and other forms of financial incentives can help employees perceive that their efforts are being </w:t>
      </w:r>
      <w:r w:rsidRPr="00FB7000">
        <w:rPr>
          <w:rStyle w:val="normaltextrun"/>
          <w:rFonts w:ascii="Calibri" w:eastAsiaTheme="majorEastAsia" w:hAnsi="Calibri" w:cs="Calibri"/>
          <w:sz w:val="22"/>
          <w:szCs w:val="22"/>
        </w:rPr>
        <w:t>recognised</w:t>
      </w:r>
      <w:r>
        <w:rPr>
          <w:rStyle w:val="normaltextrun"/>
          <w:rFonts w:ascii="Calibri" w:eastAsiaTheme="majorEastAsia" w:hAnsi="Calibri" w:cs="Calibri"/>
          <w:sz w:val="22"/>
          <w:szCs w:val="22"/>
          <w:lang w:val="en-US"/>
        </w:rPr>
        <w:t xml:space="preserve"> and appreciated. Cotton (2023) suggests that a culture of encouragement and spontaneous appreciation can be cultivated by offering little bonuses to employees who surpass their goals or display extraordinary performance. According to Burney (2023), commissions and seasonal incentives are efficient ways to recognise and reward employees for the hard work and dedication they have shown during the duration of their employment. </w:t>
      </w:r>
    </w:p>
    <w:p w14:paraId="1446DDDA" w14:textId="77777777" w:rsidR="00FB7000" w:rsidRDefault="00FB7000" w:rsidP="00FB7000">
      <w:pPr>
        <w:pStyle w:val="paragraph"/>
        <w:spacing w:before="0" w:beforeAutospacing="0" w:after="0" w:afterAutospacing="0"/>
        <w:textAlignment w:val="baseline"/>
        <w:rPr>
          <w:rFonts w:ascii="Segoe UI" w:hAnsi="Segoe UI" w:cs="Segoe UI"/>
          <w:sz w:val="18"/>
          <w:szCs w:val="18"/>
        </w:rPr>
      </w:pPr>
    </w:p>
    <w:p w14:paraId="3728FDD6" w14:textId="7E71A28B" w:rsidR="00FB7000" w:rsidRDefault="00FB7000" w:rsidP="00FB7000">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eastAsiaTheme="majorEastAsia" w:hAnsi="Calibri" w:cs="Calibri"/>
          <w:sz w:val="22"/>
          <w:szCs w:val="22"/>
          <w:lang w:val="en-US"/>
        </w:rPr>
        <w:t xml:space="preserve">Face-to-face interactions are the norm when delivering verbal compliments to employees for their own efforts. Motivating employees to feel acknowledged and appreciated for their efforts by expressing gratitude for finishing tasks or submitting work is a great way to do so (Armstrong 2023). Verbal praise can also be defined as the act of expressing gratitude, noting the impact, or recognising progress, regardless of whether and how it is done. Verbal commendations can be done in both group and one-on-one settings by peers, leaders, and supervisors. Getting verbal affirmation and praise is beneficial to individuals driven by the desire to be accepted and validated (CIPD 2023). </w:t>
      </w:r>
    </w:p>
    <w:p w14:paraId="594AC1A9" w14:textId="77777777" w:rsidR="00FB7000" w:rsidRDefault="00FB7000" w:rsidP="00FB7000">
      <w:pPr>
        <w:pStyle w:val="paragraph"/>
        <w:spacing w:before="0" w:beforeAutospacing="0" w:after="0" w:afterAutospacing="0"/>
        <w:textAlignment w:val="baseline"/>
        <w:rPr>
          <w:rFonts w:ascii="Segoe UI" w:hAnsi="Segoe UI" w:cs="Segoe UI"/>
          <w:sz w:val="18"/>
          <w:szCs w:val="18"/>
        </w:rPr>
      </w:pPr>
    </w:p>
    <w:p w14:paraId="3A9EBC88" w14:textId="3A65E9D3" w:rsidR="00FB7000" w:rsidRDefault="00FB7000" w:rsidP="00FB7000">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2"/>
          <w:szCs w:val="22"/>
          <w:lang w:val="en-US"/>
        </w:rPr>
        <w:t xml:space="preserve">Formal recognition can be bestowed in many ways, and it often adheres to a timetable or framework established in advance. Work anniversaries, employee of the month, and employee of the year are just some of the awards that are given out to recognise employees for their contributions (Cotton et al 2022). When it comes to maintaining their drive to strive for this kind of recognition, it is essential for employees to be familiar with the format and procedures for these awards (Armstrong 2019). Recipients of formal recognition may be useful to individuals who have a strong desire to achieve and a mindset that is competitive (Gallup 2016). </w:t>
      </w:r>
    </w:p>
    <w:p w14:paraId="76B37350" w14:textId="77777777" w:rsidR="00FB7000" w:rsidRDefault="00FB7000" w:rsidP="00FB7000">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sz w:val="22"/>
          <w:szCs w:val="22"/>
        </w:rPr>
        <w:t> </w:t>
      </w:r>
    </w:p>
    <w:p w14:paraId="7D8097DE" w14:textId="1AEECBBF" w:rsidR="51189991" w:rsidRDefault="51189991"/>
    <w:p w14:paraId="19880FB1" w14:textId="6FACEB4D" w:rsidR="51189991" w:rsidRDefault="51189991" w:rsidP="51189991"/>
    <w:p w14:paraId="5BBD4B49" w14:textId="4145C68E" w:rsidR="51189991" w:rsidRDefault="51189991" w:rsidP="51189991">
      <w:pPr>
        <w:spacing w:after="0" w:line="259" w:lineRule="auto"/>
      </w:pPr>
    </w:p>
    <w:p w14:paraId="09F4D46D" w14:textId="00B1AB9A" w:rsidR="00353432" w:rsidRPr="00B93B7F" w:rsidRDefault="00353432" w:rsidP="26EA7004">
      <w:pPr>
        <w:spacing w:after="0" w:line="240" w:lineRule="auto"/>
        <w:rPr>
          <w:rFonts w:ascii="Calibri" w:eastAsia="Calibri" w:hAnsi="Calibri" w:cs="Calibri"/>
          <w:color w:val="000000" w:themeColor="text1"/>
          <w:sz w:val="22"/>
          <w:szCs w:val="22"/>
        </w:rPr>
      </w:pPr>
    </w:p>
    <w:p w14:paraId="71F13FD8" w14:textId="75F0459D"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lastRenderedPageBreak/>
        <w:t>Assess the business context of the reward environment. (AC 3.1)</w:t>
      </w:r>
    </w:p>
    <w:p w14:paraId="02177124" w14:textId="5C8B6303" w:rsidR="00353432" w:rsidRPr="00B93B7F" w:rsidRDefault="00353432" w:rsidP="26EA7004">
      <w:pPr>
        <w:spacing w:after="0" w:line="240" w:lineRule="auto"/>
        <w:rPr>
          <w:rFonts w:ascii="Calibri" w:eastAsia="Calibri" w:hAnsi="Calibri" w:cs="Calibri"/>
          <w:color w:val="000000" w:themeColor="text1"/>
          <w:sz w:val="22"/>
          <w:szCs w:val="22"/>
        </w:rPr>
      </w:pPr>
    </w:p>
    <w:p w14:paraId="3D232800" w14:textId="124B8FAD"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 impact that the reward system has on the company is a critical factor influencing its adoption. This implies that a company examines the influence of its compensation system on both staff productivity and operational success (Marriott 2018). </w:t>
      </w:r>
    </w:p>
    <w:p w14:paraId="21DEDD3E" w14:textId="1663F02A"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As part of the process of implementing a reward system, the organisation considers how the reward environment will affect its overall goals. In this situation, the compensation environment should be designed to incentivise employees' values and behaviours in a way that increases output (Cotton, 2024). The reward system's consistency with people management, HR policies, and development initiatives utilised at work is a secondary consideration. To encourage long-term business success, the organisation should develop a reward system that benefits both current and prospective employees (Brink 2020). The important actors engaged are another factor to consider while examining the rewards system. Given that there is a group of people with the necessary knowledge to support the system's implementation, a reward system makes sense in this case (Churchill 2020). </w:t>
      </w:r>
    </w:p>
    <w:p w14:paraId="66CCAEA4" w14:textId="3A0B7B24"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According to Cotton (2024), the purpose of establishing the reward system from a corporate standpoint is to attract and retain the most skilled employees. The company must conduct a cost-benefit analysis due to the financial implications of the engagements. Management considers the benefits of this position, including cost-effectiveness (Rose 2022). Cost accountants may quantify the analysis to provide the desired impression. Finally, how the compensation system is communicated affects the business, particularly if the goal is to boost performance (Marriott 2018). </w:t>
      </w:r>
    </w:p>
    <w:p w14:paraId="68C7E572" w14:textId="047C519B"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 business context of the incentive environment includes establishing and implementing strategies to ensure that employees are fairly compensated in accordance with the organisation’s context, culture, and external market conditions (Cotton et al 2022). The goal of reward management is to develop policies and practices that consistently honour employees' efforts, fostering a sense of value and incentive in them. It entails ensuring that remuneration and benefits are appropriate for the needs of the firm and the current market conditions (Marriott 2018). </w:t>
      </w:r>
    </w:p>
    <w:p w14:paraId="0781C66E" w14:textId="38AEB2D9"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Within the business world, the reward environment includes a variety of aspects related to employee remuneration and incentives. Reward management entails creating equitable and consistent means to recognising employees' contributions (CIPD 2021). These include monetary compensation (salaries and bonuses), non-monetary benefits (health insurance and retirement plans), and recognition (awards and accolades). External factors like as market conditions and legal limits impact reward decisions, but internal elements such as organisational culture and performance management are equally important. Maintaining a healthy balance of these characteristics ensures that employees feel valued and motivated, contributing significantly to the company's overall success (Battista 2024).</w:t>
      </w:r>
    </w:p>
    <w:p w14:paraId="43E04935" w14:textId="11EEB579" w:rsidR="00353432" w:rsidRPr="00B93B7F" w:rsidRDefault="00353432" w:rsidP="26EA7004">
      <w:pPr>
        <w:spacing w:after="0" w:line="240" w:lineRule="auto"/>
        <w:rPr>
          <w:rFonts w:ascii="Calibri" w:eastAsia="Calibri" w:hAnsi="Calibri" w:cs="Calibri"/>
          <w:color w:val="000000" w:themeColor="text1"/>
          <w:sz w:val="22"/>
          <w:szCs w:val="22"/>
        </w:rPr>
      </w:pPr>
    </w:p>
    <w:p w14:paraId="2606B922" w14:textId="39D13E02" w:rsidR="00353432" w:rsidRPr="00B93B7F" w:rsidRDefault="00353432" w:rsidP="26EA7004">
      <w:pPr>
        <w:spacing w:after="0" w:line="240" w:lineRule="auto"/>
        <w:rPr>
          <w:rFonts w:ascii="Calibri" w:eastAsia="Calibri" w:hAnsi="Calibri" w:cs="Calibri"/>
          <w:color w:val="000000" w:themeColor="text1"/>
          <w:sz w:val="22"/>
          <w:szCs w:val="22"/>
        </w:rPr>
      </w:pPr>
    </w:p>
    <w:p w14:paraId="15FF1AA0" w14:textId="54EE97D1" w:rsidR="00353432" w:rsidRPr="00B93B7F" w:rsidRDefault="175E128C" w:rsidP="26EA7004">
      <w:pPr>
        <w:pStyle w:val="Nornal"/>
        <w:spacing w:after="0" w:line="240" w:lineRule="auto"/>
        <w:rPr>
          <w:rFonts w:ascii="Calibri" w:eastAsia="Calibri" w:hAnsi="Calibri" w:cs="Calibri"/>
          <w:color w:val="000000" w:themeColor="text1"/>
        </w:rPr>
      </w:pPr>
      <w:bookmarkStart w:id="10" w:name="_Int_DC13rCEr"/>
      <w:r w:rsidRPr="51189991">
        <w:rPr>
          <w:rFonts w:ascii="Calibri" w:eastAsia="Calibri" w:hAnsi="Calibri" w:cs="Calibri"/>
          <w:b/>
          <w:bCs/>
        </w:rPr>
        <w:t>Evaluate the most appropriate ways in which benchmarking data can be gathered and measured to develop insight.</w:t>
      </w:r>
      <w:bookmarkEnd w:id="10"/>
      <w:r w:rsidRPr="51189991">
        <w:rPr>
          <w:rFonts w:ascii="Calibri" w:eastAsia="Calibri" w:hAnsi="Calibri" w:cs="Calibri"/>
          <w:b/>
          <w:bCs/>
        </w:rPr>
        <w:t xml:space="preserve"> (AC 3.2) </w:t>
      </w:r>
    </w:p>
    <w:p w14:paraId="759E4304" w14:textId="6B40DCC5" w:rsidR="00353432" w:rsidRPr="00B93B7F" w:rsidRDefault="00353432" w:rsidP="26EA7004">
      <w:pPr>
        <w:spacing w:after="0" w:line="240" w:lineRule="auto"/>
        <w:rPr>
          <w:rFonts w:ascii="Calibri" w:eastAsia="Calibri" w:hAnsi="Calibri" w:cs="Calibri"/>
          <w:color w:val="000000" w:themeColor="text1"/>
          <w:sz w:val="22"/>
          <w:szCs w:val="22"/>
        </w:rPr>
      </w:pPr>
    </w:p>
    <w:p w14:paraId="2D198564" w14:textId="54D15986"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Benchmarking is used to gather data to identify areas where businesses can improve. Consistent benchmarking helps organisations gain an understanding of their competitors, improve rewards to remain competitive and improve quality of reward packages (Armstrong 2019). There are several types </w:t>
      </w:r>
      <w:r w:rsidRPr="00B93B7F">
        <w:rPr>
          <w:rFonts w:ascii="Calibri" w:eastAsia="Calibri" w:hAnsi="Calibri" w:cs="Calibri"/>
          <w:sz w:val="22"/>
          <w:szCs w:val="22"/>
          <w:lang w:val="en-GB"/>
        </w:rPr>
        <w:lastRenderedPageBreak/>
        <w:t xml:space="preserve">of benchmarking, internal benchmarking is where organisations carry out analyses between different teams, departments, processes, or branches, e.g., organisations can compare bonuses across their branches and see if any branches are meeting their bonuses or not which will allow consistency across the board (Perkins 2024). </w:t>
      </w:r>
    </w:p>
    <w:p w14:paraId="7C2ECE27" w14:textId="233EE7CD"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Competitive benchmarking is used when organisations compare their products, services, processes, and performance to organisations within the industry to enable them to make salary and reward decisions (Armstrong 2023). This provides organisations with insight into their positioning in the market and allows them to develop the right reward package based on the information they find to stay competitive (Taylor 2022). </w:t>
      </w:r>
    </w:p>
    <w:p w14:paraId="496E2781" w14:textId="18EF432B"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Strategic benchmarking is used when looking at leading organisations in the industry and how they became successful and what strategy they used to achieve this. Organisations will then try to implement a similar strategy in their organisation (Armstrong 2019). </w:t>
      </w:r>
    </w:p>
    <w:p w14:paraId="23CF1F8B" w14:textId="50961F4F"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There are numerous ways to source benchmarking data, the ONS provides a broad range of data from national surveys, websites will give organisations information on labour productivity, workplace pensions, redundancies and bargaining and industrial disputes (Prestwood 2021). Recruitment websites can be used as a reliable source of gathering information as they will tell organisations what their competitors are currently offering in terms of salary and benefits across the region (CIPD 2023). Eco-Insulate UK would be able to see what their competitors are offering in terms of working hours and can adapt their working structure if they believed it would help entice employees into the organisation. With the cost-of-living increase, organisations would benefit from benchmarking to see how inflation is affecting their competitors and what they are offering as a reward package to new and existing employees to help with the rise in RPI (Cotton 2023). </w:t>
      </w:r>
    </w:p>
    <w:p w14:paraId="3AFAACF4" w14:textId="77777777" w:rsidR="00D15065" w:rsidRPr="00B93B7F" w:rsidRDefault="00D15065" w:rsidP="26EA7004">
      <w:pPr>
        <w:spacing w:after="0" w:line="240" w:lineRule="auto"/>
        <w:rPr>
          <w:rFonts w:ascii="Calibri" w:eastAsia="Calibri" w:hAnsi="Calibri" w:cs="Calibri"/>
          <w:color w:val="000000" w:themeColor="text1"/>
          <w:sz w:val="22"/>
          <w:szCs w:val="22"/>
        </w:rPr>
      </w:pPr>
    </w:p>
    <w:p w14:paraId="47EF29EE" w14:textId="4AF7A4E8"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t>Explain approaches to job evaluation. (AC 3.3)</w:t>
      </w:r>
    </w:p>
    <w:p w14:paraId="0BDC3336" w14:textId="3B8FC4B6" w:rsidR="00353432" w:rsidRPr="00B93B7F" w:rsidRDefault="00353432" w:rsidP="26EA7004">
      <w:pPr>
        <w:spacing w:after="0" w:line="240" w:lineRule="auto"/>
        <w:rPr>
          <w:rFonts w:ascii="Calibri" w:eastAsia="Calibri" w:hAnsi="Calibri" w:cs="Calibri"/>
          <w:sz w:val="22"/>
          <w:szCs w:val="22"/>
        </w:rPr>
      </w:pPr>
    </w:p>
    <w:p w14:paraId="7BF3C3AA" w14:textId="28F95FD6"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Market pricing is a method of determining the market rate and monitoring fluctuations in that rate by gathering data on the pay rates of comparable positions in other organisations (Cotton 2024). The goal is to establish the employer's own pay rates at a suitable level to attract and retain the necessary employees. Despite the widespread use of the term "market rate," it is impossible to establish a precise, singular rate of compensation for a particular position or occupation (Perkins 2020). Additionally, rates may fluctuate within the same occupation and location. It is crucial to evaluate the data collected and determine the organisation's desired position in the market with respect to its fixed pay and total remuneration levels.</w:t>
      </w:r>
    </w:p>
    <w:p w14:paraId="5A183BAC" w14:textId="3185819B"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 xml:space="preserve">Job evaluation is a systematic, rigorous procedure that assesses the relative value of various positions inside an organisation to define internal relativities. It is executed using analytical or non-analytical schemes (Armstrong 2023). </w:t>
      </w:r>
    </w:p>
    <w:p w14:paraId="34442D36" w14:textId="6952E410"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 xml:space="preserve">When analysing the work analytically, a graded point scale associated with a set of factors, or a grade of role profiles analysed under the same criteria are compared with the full work. This method splits the work into several distinct components or elements (ACAS 2014). Using an analytical method forces assessors to consider all relevant factors before estimating a job's value. Evaluators are given guidelines </w:t>
      </w:r>
      <w:r w:rsidRPr="00B93B7F">
        <w:rPr>
          <w:rFonts w:ascii="Calibri" w:eastAsia="Calibri" w:hAnsi="Calibri" w:cs="Calibri"/>
          <w:sz w:val="22"/>
          <w:szCs w:val="22"/>
        </w:rPr>
        <w:lastRenderedPageBreak/>
        <w:t xml:space="preserve">to follow to ensure consistency and objectivity in their assessments. It can be used as a defence in an equal pay lawsuit as well (Armstrong 2019). </w:t>
      </w:r>
    </w:p>
    <w:p w14:paraId="4E76791A" w14:textId="4EE91F5B"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 xml:space="preserve">The most popular approaches for analytical job evaluation are point factor systems. Point-factor rating is an analytical tool for job evaluation. Many factors are considered while grading jobs, such as responsibility, aptitude, effort, and dangers (Cotton 2024). The overall score determines the relative relevance of a job inside a company. There are points given for every component. The establishment of pay grades is facilitated by this method, which guarantees equitable compensation (Rose 2018). </w:t>
      </w:r>
    </w:p>
    <w:p w14:paraId="024D5968" w14:textId="49CAC960"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 xml:space="preserve">Analytical job matching involves comparing positions to preset benchmarks or profiles. It is a useful way to determine the relative value of several roles without having to assess each position independently (ACAS 2014). Analytical matching provides faster, equally accurate results than using a point factor technique. </w:t>
      </w:r>
    </w:p>
    <w:p w14:paraId="7A2178F3" w14:textId="3D3A0512"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t>Through non-analytical job evaluation techniques, entire jobs can be compared and ranked. They are not examined due to their constituent parts or variables. They may function on a job-by-job basis, determining whether one work should be valued more, less, or the same by comparing it to another (Armstrong 2023). As an alternative, they might operate according to a job-to-grade system, which entails connecting a grade description with a job description. Non-analytical schemes are easy to implement and run, but they do not offer any clear standards of judging, do not quantify work disparities, and do not offer a defence in an equal pay case (Perkins 2020).</w:t>
      </w:r>
    </w:p>
    <w:p w14:paraId="419CCECE" w14:textId="2D8D6D80" w:rsidR="00353432" w:rsidRPr="00B93B7F" w:rsidRDefault="00353432" w:rsidP="26EA7004">
      <w:pPr>
        <w:spacing w:after="0" w:line="240" w:lineRule="auto"/>
        <w:rPr>
          <w:rFonts w:ascii="Calibri" w:eastAsia="Calibri" w:hAnsi="Calibri" w:cs="Calibri"/>
          <w:color w:val="000000" w:themeColor="text1"/>
          <w:sz w:val="22"/>
          <w:szCs w:val="22"/>
        </w:rPr>
      </w:pPr>
    </w:p>
    <w:p w14:paraId="571882EE" w14:textId="63DF50BD" w:rsidR="51189991" w:rsidRDefault="51189991" w:rsidP="51189991">
      <w:pPr>
        <w:spacing w:after="0" w:line="240" w:lineRule="auto"/>
        <w:rPr>
          <w:rFonts w:ascii="Calibri" w:eastAsia="Calibri" w:hAnsi="Calibri" w:cs="Calibri"/>
          <w:color w:val="000000" w:themeColor="text1"/>
          <w:sz w:val="22"/>
          <w:szCs w:val="22"/>
        </w:rPr>
      </w:pPr>
    </w:p>
    <w:p w14:paraId="666DB1FE" w14:textId="5C7813FA" w:rsidR="51189991" w:rsidRDefault="51189991" w:rsidP="51189991">
      <w:pPr>
        <w:spacing w:after="0" w:line="240" w:lineRule="auto"/>
        <w:rPr>
          <w:rFonts w:ascii="Calibri" w:eastAsia="Calibri" w:hAnsi="Calibri" w:cs="Calibri"/>
          <w:color w:val="000000" w:themeColor="text1"/>
          <w:sz w:val="22"/>
          <w:szCs w:val="22"/>
        </w:rPr>
      </w:pPr>
    </w:p>
    <w:p w14:paraId="26E455CC" w14:textId="4EAEDED4" w:rsidR="00353432" w:rsidRPr="00B93B7F" w:rsidRDefault="175E128C" w:rsidP="26EA7004">
      <w:pPr>
        <w:pStyle w:val="Nornal"/>
        <w:spacing w:after="0" w:line="240" w:lineRule="auto"/>
        <w:rPr>
          <w:rFonts w:ascii="Calibri" w:eastAsia="Calibri" w:hAnsi="Calibri" w:cs="Calibri"/>
          <w:color w:val="000000" w:themeColor="text1"/>
        </w:rPr>
      </w:pPr>
      <w:r w:rsidRPr="00B93B7F">
        <w:rPr>
          <w:rFonts w:ascii="Calibri" w:eastAsia="Calibri" w:hAnsi="Calibri" w:cs="Calibri"/>
          <w:b/>
          <w:bCs/>
        </w:rPr>
        <w:t>Explain the legislative requirements that impact reward practice. (AC 3.4)</w:t>
      </w:r>
    </w:p>
    <w:p w14:paraId="6708A451" w14:textId="2E9276CE" w:rsidR="00353432" w:rsidRPr="00B93B7F" w:rsidRDefault="00353432" w:rsidP="26EA7004">
      <w:pPr>
        <w:spacing w:after="0" w:line="240" w:lineRule="auto"/>
        <w:rPr>
          <w:rFonts w:ascii="Calibri" w:eastAsia="Calibri" w:hAnsi="Calibri" w:cs="Calibri"/>
          <w:color w:val="000000" w:themeColor="text1"/>
          <w:sz w:val="22"/>
          <w:szCs w:val="22"/>
        </w:rPr>
      </w:pPr>
    </w:p>
    <w:p w14:paraId="29FD6DA1" w14:textId="11AD05F1"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Pay and reward packages will be influenced by legislative requirements, and it is important for Eco-Insulate UK to meet all minimum legal requirements. According to the National Minimum Wage Act 1998 (NMW), employers are required to pay their employees either the National Minimum Wage or the National Living Wage (ACAS Nd). Eco-Insulate UK must ensure that they compensate their employees according to the terms of their employment contract. For instance, if an employer has promised overtime as a form of compensation, the rates of pay should be clearly specified in the contract, and the organisation must adhere to these terms. Organisations must prioritise meeting the NMW Act through salary before considering bonuses for employees and should not be relied upon to cover the NMW element, as they are not guaranteed to be achieved (HMRC 2024). </w:t>
      </w:r>
    </w:p>
    <w:p w14:paraId="3752421A" w14:textId="67DC8002"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According to the Equality Act 2010, organisations are required to ensure that there is equal pay, benefits, and contractual terms for both men and women who are employed to perform similar work. This includes ensuring that work rates are equivalent through job evaluation and that work of equal value is compensated equally based on effort, skill, and decision making (CIPD 2024). All aspects of pay and benefits, including basic pay, holiday entitlement, access to pensions, overtime, and hours of work, are included in equal contractual terms. When organisations are constructing their reward package, it is important for them to consider the need for equal pay and terms for all individuals (Cotton 2024). This consideration also applies when implementing a reward system. </w:t>
      </w:r>
    </w:p>
    <w:p w14:paraId="7CE33C9C" w14:textId="7245DB13"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lastRenderedPageBreak/>
        <w:t xml:space="preserve">The Working Time Regulation Act 1998 established a framework for working hours in the UK. Under this act, employees are restricted from working more than 48 hours a week, unless they voluntarily choose to opt out of the 48-hour week. It is important for organisations to consider this factor when designing the reward package to ensure that the minimum requirement is fulfilled, which may influence overtime and working hours (CIPD 2024). </w:t>
      </w:r>
    </w:p>
    <w:p w14:paraId="375FC706" w14:textId="61C0F895"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The Bribery Act has prompted employers to carefully consider how they utilise rewards to promote the behaviours they desire from their employees (Gov.uk 2011). The Bribery Act 2010 encompasses four primary bribery offences which include the act of offering bribes, the act of accepting bribes, the act of bribing a foreign public official, and the failure to prevent bribery by an individual associated with relevant commercial organisations (Daniels 2022). It is crucial for organisations to align their mission statement and values with the way they reward their employees. </w:t>
      </w:r>
    </w:p>
    <w:p w14:paraId="4546CFDF" w14:textId="7979FADB" w:rsidR="00353432" w:rsidRPr="00B93B7F" w:rsidRDefault="00353432" w:rsidP="26EA7004">
      <w:pPr>
        <w:spacing w:after="0" w:line="240" w:lineRule="auto"/>
        <w:rPr>
          <w:rFonts w:ascii="Calibri" w:eastAsia="Calibri" w:hAnsi="Calibri" w:cs="Calibri"/>
          <w:color w:val="000000" w:themeColor="text1"/>
          <w:sz w:val="22"/>
          <w:szCs w:val="22"/>
        </w:rPr>
      </w:pPr>
    </w:p>
    <w:p w14:paraId="720BE54D" w14:textId="2A151AF1"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rPr>
        <w:t>Conclusion</w:t>
      </w:r>
    </w:p>
    <w:p w14:paraId="24BB58BF" w14:textId="03BF213F" w:rsidR="00353432" w:rsidRPr="00B93B7F" w:rsidRDefault="00353432" w:rsidP="26EA7004">
      <w:pPr>
        <w:spacing w:after="0" w:line="240" w:lineRule="auto"/>
        <w:rPr>
          <w:rFonts w:ascii="Calibri" w:eastAsia="Calibri" w:hAnsi="Calibri" w:cs="Calibri"/>
          <w:color w:val="000000" w:themeColor="text1"/>
          <w:sz w:val="22"/>
          <w:szCs w:val="22"/>
        </w:rPr>
      </w:pPr>
    </w:p>
    <w:p w14:paraId="60398947" w14:textId="4F26772C" w:rsidR="00353432" w:rsidRPr="00B93B7F" w:rsidRDefault="175E128C"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Rewards are essential in attracting, motivating, and retaining employees. Developing an effective reward package can be a complex task, as it necessitates a deep understanding of the incentives that will motivate and engage individuals with diverse preferences. It is crucial to prioritise fairness, equity, and consistency in reward practices (Marriott 2018). Legal considerations are of utmost importance, and it is crucial to ensure that reward approaches adhere to non-discriminatory practices and meet the minimum requirements for employee compensation and reporting as mandated by law (CIPD 2021). Eco-Insulate UK must align their reward strategies with their business goals and consider the individual needs of their employees (Rose 2018). </w:t>
      </w:r>
      <w:r w:rsidRPr="00B93B7F">
        <w:br/>
      </w:r>
      <w:r w:rsidRPr="00B93B7F">
        <w:br/>
      </w:r>
      <w:r w:rsidRPr="00B93B7F">
        <w:rPr>
          <w:rFonts w:ascii="Calibri" w:eastAsia="Calibri" w:hAnsi="Calibri" w:cs="Calibri"/>
          <w:sz w:val="22"/>
          <w:szCs w:val="22"/>
          <w:lang w:val="en-GB"/>
        </w:rPr>
        <w:t xml:space="preserve">For new initiatives and reward methods to remain relevant, effective communication is crucial. Eco-Insulate UK could consider hosting a launch day to effectively communicate their incentive policies and practices, providing an opportunity to advertise the new incentive system. After its introduction, the package can be promoted through different channels like email, posters, and social media. According to Cotton (2024), individuals who lack sufficient knowledge may struggle to fully utilise the rewards system. Regular promotional events, system updates, and celebrations help to maintain an exciting programme and foster staff engagement. It is crucial for managers to ensure clear and effective communication of the reward system to their employees. Additionally, providing appropriate training to managers can benefit Eco-Insulate UK </w:t>
      </w:r>
      <w:r w:rsidR="039A9259" w:rsidRPr="00B93B7F">
        <w:rPr>
          <w:rFonts w:ascii="Calibri" w:eastAsia="Calibri" w:hAnsi="Calibri" w:cs="Calibri"/>
          <w:sz w:val="22"/>
          <w:szCs w:val="22"/>
          <w:lang w:val="en-GB"/>
        </w:rPr>
        <w:t>(CIPD 2021)</w:t>
      </w:r>
      <w:r w:rsidRPr="00B93B7F">
        <w:rPr>
          <w:rFonts w:ascii="Calibri" w:eastAsia="Calibri" w:hAnsi="Calibri" w:cs="Calibri"/>
          <w:sz w:val="22"/>
          <w:szCs w:val="22"/>
          <w:lang w:val="en-GB"/>
        </w:rPr>
        <w:t>.</w:t>
      </w:r>
    </w:p>
    <w:p w14:paraId="56C67018" w14:textId="6D56FEC5" w:rsidR="00353432" w:rsidRPr="00B93B7F" w:rsidRDefault="00353432" w:rsidP="26EA7004">
      <w:pPr>
        <w:spacing w:after="0" w:line="240" w:lineRule="auto"/>
        <w:rPr>
          <w:rFonts w:ascii="Calibri" w:eastAsia="Calibri" w:hAnsi="Calibri" w:cs="Calibri"/>
          <w:b/>
          <w:bCs/>
          <w:color w:val="000000" w:themeColor="text1"/>
          <w:sz w:val="22"/>
          <w:szCs w:val="22"/>
          <w:lang w:val="en-GB"/>
        </w:rPr>
      </w:pPr>
    </w:p>
    <w:p w14:paraId="5CC4F6A3" w14:textId="02BA1454" w:rsidR="00353432" w:rsidRPr="00B93B7F" w:rsidRDefault="00353432" w:rsidP="26EA7004">
      <w:pPr>
        <w:spacing w:after="0" w:line="240" w:lineRule="auto"/>
        <w:rPr>
          <w:rFonts w:ascii="Calibri" w:eastAsia="Calibri" w:hAnsi="Calibri" w:cs="Calibri"/>
          <w:b/>
          <w:bCs/>
          <w:color w:val="000000" w:themeColor="text1"/>
          <w:sz w:val="22"/>
          <w:szCs w:val="22"/>
          <w:lang w:val="en-GB"/>
        </w:rPr>
      </w:pPr>
    </w:p>
    <w:p w14:paraId="2A6B8983" w14:textId="4B9785B2" w:rsidR="51189991" w:rsidRDefault="51189991" w:rsidP="51189991">
      <w:pPr>
        <w:spacing w:after="0" w:line="240" w:lineRule="auto"/>
        <w:rPr>
          <w:rFonts w:ascii="Calibri" w:eastAsia="Calibri" w:hAnsi="Calibri" w:cs="Calibri"/>
          <w:b/>
          <w:bCs/>
          <w:color w:val="000000" w:themeColor="text1"/>
          <w:sz w:val="22"/>
          <w:szCs w:val="22"/>
          <w:lang w:val="en-GB"/>
        </w:rPr>
      </w:pPr>
    </w:p>
    <w:p w14:paraId="0EF0D3AF" w14:textId="47F5A821" w:rsidR="00FB7000" w:rsidRDefault="00FB7000" w:rsidP="51189991">
      <w:pPr>
        <w:spacing w:after="0" w:line="240" w:lineRule="auto"/>
        <w:rPr>
          <w:rFonts w:ascii="Calibri" w:eastAsia="Calibri" w:hAnsi="Calibri" w:cs="Calibri"/>
          <w:b/>
          <w:bCs/>
          <w:color w:val="000000" w:themeColor="text1"/>
          <w:sz w:val="22"/>
          <w:szCs w:val="22"/>
          <w:lang w:val="en-GB"/>
        </w:rPr>
      </w:pPr>
    </w:p>
    <w:p w14:paraId="363FE5BC" w14:textId="4C5D3EC7" w:rsidR="00FB7000" w:rsidRDefault="00FB7000" w:rsidP="51189991">
      <w:pPr>
        <w:spacing w:after="0" w:line="240" w:lineRule="auto"/>
        <w:rPr>
          <w:rFonts w:ascii="Calibri" w:eastAsia="Calibri" w:hAnsi="Calibri" w:cs="Calibri"/>
          <w:b/>
          <w:bCs/>
          <w:color w:val="000000" w:themeColor="text1"/>
          <w:sz w:val="22"/>
          <w:szCs w:val="22"/>
          <w:lang w:val="en-GB"/>
        </w:rPr>
      </w:pPr>
    </w:p>
    <w:p w14:paraId="303E3E32" w14:textId="5EE4DF33" w:rsidR="00FB7000" w:rsidRDefault="00FB7000" w:rsidP="51189991">
      <w:pPr>
        <w:spacing w:after="0" w:line="240" w:lineRule="auto"/>
        <w:rPr>
          <w:rFonts w:ascii="Calibri" w:eastAsia="Calibri" w:hAnsi="Calibri" w:cs="Calibri"/>
          <w:b/>
          <w:bCs/>
          <w:color w:val="000000" w:themeColor="text1"/>
          <w:sz w:val="22"/>
          <w:szCs w:val="22"/>
          <w:lang w:val="en-GB"/>
        </w:rPr>
      </w:pPr>
    </w:p>
    <w:p w14:paraId="0D539BF8" w14:textId="5B9336E9" w:rsidR="00FB7000" w:rsidRDefault="00FB7000" w:rsidP="51189991">
      <w:pPr>
        <w:spacing w:after="0" w:line="240" w:lineRule="auto"/>
        <w:rPr>
          <w:rFonts w:ascii="Calibri" w:eastAsia="Calibri" w:hAnsi="Calibri" w:cs="Calibri"/>
          <w:b/>
          <w:bCs/>
          <w:color w:val="000000" w:themeColor="text1"/>
          <w:sz w:val="22"/>
          <w:szCs w:val="22"/>
          <w:lang w:val="en-GB"/>
        </w:rPr>
      </w:pPr>
    </w:p>
    <w:p w14:paraId="39AE5CDD" w14:textId="712D6A6A" w:rsidR="00FB7000" w:rsidRDefault="00FB7000" w:rsidP="51189991">
      <w:pPr>
        <w:spacing w:after="0" w:line="240" w:lineRule="auto"/>
        <w:rPr>
          <w:rFonts w:ascii="Calibri" w:eastAsia="Calibri" w:hAnsi="Calibri" w:cs="Calibri"/>
          <w:b/>
          <w:bCs/>
          <w:color w:val="000000" w:themeColor="text1"/>
          <w:sz w:val="22"/>
          <w:szCs w:val="22"/>
          <w:lang w:val="en-GB"/>
        </w:rPr>
      </w:pPr>
    </w:p>
    <w:p w14:paraId="7658666E" w14:textId="385E88F7" w:rsidR="00FB7000" w:rsidRDefault="00FB7000" w:rsidP="51189991">
      <w:pPr>
        <w:spacing w:after="0" w:line="240" w:lineRule="auto"/>
        <w:rPr>
          <w:rFonts w:ascii="Calibri" w:eastAsia="Calibri" w:hAnsi="Calibri" w:cs="Calibri"/>
          <w:b/>
          <w:bCs/>
          <w:color w:val="000000" w:themeColor="text1"/>
          <w:sz w:val="22"/>
          <w:szCs w:val="22"/>
          <w:lang w:val="en-GB"/>
        </w:rPr>
      </w:pPr>
    </w:p>
    <w:p w14:paraId="1DB94114" w14:textId="67024B78" w:rsidR="00FB7000" w:rsidRDefault="00FB7000" w:rsidP="51189991">
      <w:pPr>
        <w:spacing w:after="0" w:line="240" w:lineRule="auto"/>
        <w:rPr>
          <w:rFonts w:ascii="Calibri" w:eastAsia="Calibri" w:hAnsi="Calibri" w:cs="Calibri"/>
          <w:b/>
          <w:bCs/>
          <w:color w:val="000000" w:themeColor="text1"/>
          <w:sz w:val="22"/>
          <w:szCs w:val="22"/>
          <w:lang w:val="en-GB"/>
        </w:rPr>
      </w:pPr>
    </w:p>
    <w:p w14:paraId="5E162511" w14:textId="1298DB4A" w:rsidR="00FB7000" w:rsidRDefault="00FB7000" w:rsidP="51189991">
      <w:pPr>
        <w:spacing w:after="0" w:line="240" w:lineRule="auto"/>
        <w:rPr>
          <w:rFonts w:ascii="Calibri" w:eastAsia="Calibri" w:hAnsi="Calibri" w:cs="Calibri"/>
          <w:b/>
          <w:bCs/>
          <w:color w:val="000000" w:themeColor="text1"/>
          <w:sz w:val="22"/>
          <w:szCs w:val="22"/>
          <w:lang w:val="en-GB"/>
        </w:rPr>
      </w:pPr>
    </w:p>
    <w:p w14:paraId="0D215EC2" w14:textId="77777777" w:rsidR="00FB7000" w:rsidRDefault="00FB7000" w:rsidP="51189991">
      <w:pPr>
        <w:spacing w:after="0" w:line="240" w:lineRule="auto"/>
        <w:rPr>
          <w:rFonts w:ascii="Calibri" w:eastAsia="Calibri" w:hAnsi="Calibri" w:cs="Calibri"/>
          <w:b/>
          <w:bCs/>
          <w:color w:val="000000" w:themeColor="text1"/>
          <w:sz w:val="22"/>
          <w:szCs w:val="22"/>
          <w:lang w:val="en-GB"/>
        </w:rPr>
      </w:pPr>
    </w:p>
    <w:p w14:paraId="319FDB48" w14:textId="5D5D438C" w:rsidR="00353432" w:rsidRPr="00B93B7F" w:rsidRDefault="175E128C" w:rsidP="26EA7004">
      <w:pPr>
        <w:spacing w:after="0" w:line="240" w:lineRule="auto"/>
        <w:rPr>
          <w:rFonts w:ascii="Calibri" w:eastAsia="Calibri" w:hAnsi="Calibri" w:cs="Calibri"/>
          <w:color w:val="000000" w:themeColor="text1"/>
          <w:sz w:val="22"/>
          <w:szCs w:val="22"/>
        </w:rPr>
      </w:pPr>
      <w:r w:rsidRPr="00B93B7F">
        <w:rPr>
          <w:rFonts w:ascii="Calibri" w:eastAsia="Calibri" w:hAnsi="Calibri" w:cs="Calibri"/>
          <w:b/>
          <w:bCs/>
          <w:sz w:val="22"/>
          <w:szCs w:val="22"/>
          <w:lang w:val="en-GB"/>
        </w:rPr>
        <w:lastRenderedPageBreak/>
        <w:t>References</w:t>
      </w:r>
    </w:p>
    <w:p w14:paraId="2B6140DE" w14:textId="72D9B8A9" w:rsidR="00353432" w:rsidRPr="00B93B7F" w:rsidRDefault="00353432" w:rsidP="26EA7004">
      <w:pPr>
        <w:spacing w:after="0" w:line="240" w:lineRule="auto"/>
        <w:rPr>
          <w:rFonts w:ascii="Calibri" w:eastAsia="Calibri" w:hAnsi="Calibri" w:cs="Calibri"/>
          <w:color w:val="000000" w:themeColor="text1"/>
          <w:sz w:val="22"/>
          <w:szCs w:val="22"/>
        </w:rPr>
      </w:pPr>
    </w:p>
    <w:p w14:paraId="501D37F7"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ACAS (2014)</w:t>
      </w:r>
      <w:r w:rsidRPr="00B93B7F">
        <w:rPr>
          <w:rFonts w:ascii="Calibri" w:eastAsia="Calibri" w:hAnsi="Calibri" w:cs="Calibri"/>
          <w:i/>
          <w:iCs/>
          <w:sz w:val="22"/>
          <w:szCs w:val="22"/>
          <w:lang w:val="en-GB"/>
        </w:rPr>
        <w:t xml:space="preserve"> Job evaluation: considerations and risks.</w:t>
      </w:r>
      <w:r w:rsidRPr="00B93B7F">
        <w:rPr>
          <w:rFonts w:ascii="Calibri" w:eastAsia="Calibri" w:hAnsi="Calibri" w:cs="Calibri"/>
          <w:sz w:val="22"/>
          <w:szCs w:val="22"/>
          <w:lang w:val="en-GB"/>
        </w:rPr>
        <w:t xml:space="preserve"> Available at: </w:t>
      </w:r>
      <w:hyperlink r:id="rId5">
        <w:r w:rsidRPr="00B93B7F">
          <w:rPr>
            <w:rStyle w:val="Hyperlink"/>
            <w:rFonts w:ascii="Calibri" w:eastAsia="Calibri" w:hAnsi="Calibri" w:cs="Calibri"/>
            <w:color w:val="auto"/>
            <w:sz w:val="22"/>
            <w:szCs w:val="22"/>
            <w:u w:val="none"/>
            <w:lang w:val="en-GB"/>
          </w:rPr>
          <w:t>https://www.acas.org.uk/sites/default/files/2021-03/job-evaluation-considerations-and-risks-advisory-booklet.pdf</w:t>
        </w:r>
      </w:hyperlink>
      <w:r w:rsidRPr="00B93B7F">
        <w:rPr>
          <w:rStyle w:val="Hyperlink"/>
          <w:rFonts w:ascii="Calibri" w:eastAsia="Calibri" w:hAnsi="Calibri" w:cs="Calibri"/>
          <w:color w:val="auto"/>
          <w:sz w:val="22"/>
          <w:szCs w:val="22"/>
          <w:u w:val="none"/>
          <w:lang w:val="en-GB"/>
        </w:rPr>
        <w:t xml:space="preserve"> (Accessed 9 July 2024)</w:t>
      </w:r>
    </w:p>
    <w:p w14:paraId="0BF8D56D" w14:textId="77777777" w:rsidR="00FB7000" w:rsidRDefault="00FB7000" w:rsidP="51189991">
      <w:pPr>
        <w:spacing w:before="270" w:after="0" w:line="240" w:lineRule="auto"/>
        <w:rPr>
          <w:rFonts w:ascii="Calibri" w:eastAsia="Calibri" w:hAnsi="Calibri" w:cs="Calibri"/>
          <w:color w:val="000000" w:themeColor="text1"/>
          <w:sz w:val="22"/>
          <w:szCs w:val="22"/>
        </w:rPr>
      </w:pPr>
      <w:r w:rsidRPr="51189991">
        <w:rPr>
          <w:rFonts w:ascii="Calibri" w:eastAsia="Calibri" w:hAnsi="Calibri" w:cs="Calibri"/>
          <w:sz w:val="22"/>
          <w:szCs w:val="22"/>
          <w:lang w:val="en-GB"/>
        </w:rPr>
        <w:t xml:space="preserve">ACAS (Nd) </w:t>
      </w:r>
      <w:r w:rsidRPr="51189991">
        <w:rPr>
          <w:rFonts w:ascii="Calibri" w:eastAsia="Calibri" w:hAnsi="Calibri" w:cs="Calibri"/>
          <w:i/>
          <w:iCs/>
          <w:sz w:val="22"/>
          <w:szCs w:val="22"/>
          <w:lang w:val="en-GB"/>
        </w:rPr>
        <w:t>What is the minimum wage?</w:t>
      </w:r>
      <w:r w:rsidRPr="51189991">
        <w:rPr>
          <w:rFonts w:ascii="Calibri" w:eastAsia="Calibri" w:hAnsi="Calibri" w:cs="Calibri"/>
          <w:sz w:val="22"/>
          <w:szCs w:val="22"/>
          <w:lang w:val="en-GB"/>
        </w:rPr>
        <w:t xml:space="preserve"> Available at: </w:t>
      </w:r>
      <w:hyperlink r:id="rId6">
        <w:r w:rsidRPr="51189991">
          <w:rPr>
            <w:rStyle w:val="Hyperlink"/>
            <w:rFonts w:ascii="Calibri" w:eastAsia="Calibri" w:hAnsi="Calibri" w:cs="Calibri"/>
            <w:color w:val="auto"/>
            <w:sz w:val="22"/>
            <w:szCs w:val="22"/>
            <w:u w:val="none"/>
            <w:lang w:val="en-GB"/>
          </w:rPr>
          <w:t>https://www.acas.org.uk/national-minimum-wage-entitlement</w:t>
        </w:r>
      </w:hyperlink>
      <w:r w:rsidRPr="51189991">
        <w:rPr>
          <w:rFonts w:ascii="Calibri" w:eastAsia="Calibri" w:hAnsi="Calibri" w:cs="Calibri"/>
          <w:sz w:val="22"/>
          <w:szCs w:val="22"/>
          <w:lang w:val="en-GB"/>
        </w:rPr>
        <w:t xml:space="preserve"> (Accessed 2 July 2024)</w:t>
      </w:r>
    </w:p>
    <w:p w14:paraId="64207024" w14:textId="77777777" w:rsidR="00FB7000" w:rsidRPr="00B93B7F" w:rsidRDefault="00FB7000" w:rsidP="26EA7004">
      <w:pPr>
        <w:pStyle w:val="Nornal"/>
        <w:spacing w:line="259" w:lineRule="auto"/>
        <w:rPr>
          <w:rFonts w:ascii="Calibri" w:eastAsia="Calibri" w:hAnsi="Calibri" w:cs="Calibri"/>
          <w:color w:val="000000" w:themeColor="text1"/>
        </w:rPr>
      </w:pPr>
      <w:r w:rsidRPr="00B93B7F">
        <w:rPr>
          <w:rFonts w:ascii="Calibri" w:eastAsia="Calibri" w:hAnsi="Calibri" w:cs="Calibri"/>
        </w:rPr>
        <w:t>Armstrong, M. (2023) Armstrong's handbook of reward management practice: improving performance through reward. 7th ed. London: Kogan Page.</w:t>
      </w:r>
    </w:p>
    <w:p w14:paraId="4B7B0219"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Armstrong, M. and Brown, D (2019) </w:t>
      </w:r>
      <w:r w:rsidRPr="00B93B7F">
        <w:rPr>
          <w:rFonts w:ascii="Calibri" w:eastAsia="Calibri" w:hAnsi="Calibri" w:cs="Calibri"/>
          <w:i/>
          <w:iCs/>
          <w:sz w:val="22"/>
          <w:szCs w:val="22"/>
          <w:lang w:val="en-GB"/>
        </w:rPr>
        <w:t>Armstrong's handbook of reward management practice: improving performance though reward</w:t>
      </w:r>
      <w:r w:rsidRPr="00B93B7F">
        <w:rPr>
          <w:rFonts w:ascii="Calibri" w:eastAsia="Calibri" w:hAnsi="Calibri" w:cs="Calibri"/>
          <w:sz w:val="22"/>
          <w:szCs w:val="22"/>
          <w:lang w:val="en-GB"/>
        </w:rPr>
        <w:t>. 6th ed. London: Kogan Page.</w:t>
      </w:r>
    </w:p>
    <w:p w14:paraId="490C5DEF" w14:textId="77777777" w:rsidR="00FB7000" w:rsidRPr="00B93B7F" w:rsidRDefault="00FB7000" w:rsidP="26EA7004">
      <w:pPr>
        <w:spacing w:before="270"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Armstrong, M. and Taylor, S. (2023) </w:t>
      </w:r>
      <w:r w:rsidRPr="00B93B7F">
        <w:rPr>
          <w:rFonts w:ascii="Calibri" w:eastAsia="Calibri" w:hAnsi="Calibri" w:cs="Calibri"/>
          <w:i/>
          <w:iCs/>
          <w:sz w:val="22"/>
          <w:szCs w:val="22"/>
          <w:lang w:val="en-GB"/>
        </w:rPr>
        <w:t>Handbook of Human Resource Management Practice</w:t>
      </w:r>
      <w:r w:rsidRPr="00B93B7F">
        <w:rPr>
          <w:rFonts w:ascii="Calibri" w:eastAsia="Calibri" w:hAnsi="Calibri" w:cs="Calibri"/>
          <w:sz w:val="22"/>
          <w:szCs w:val="22"/>
          <w:lang w:val="en-GB"/>
        </w:rPr>
        <w:t>. 16th Edition. Edited by S. Taylor and Armstrong. London: Kogan Page</w:t>
      </w:r>
    </w:p>
    <w:p w14:paraId="7A7C8664" w14:textId="77777777" w:rsidR="00FB7000" w:rsidRPr="00B93B7F" w:rsidRDefault="00FB7000" w:rsidP="26EA7004">
      <w:pPr>
        <w:spacing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Battista, M (2024) PESTLE Analysis. Available at: </w:t>
      </w:r>
      <w:hyperlink r:id="rId7">
        <w:r w:rsidRPr="00B93B7F">
          <w:rPr>
            <w:rStyle w:val="Hyperlink"/>
            <w:rFonts w:ascii="Calibri" w:eastAsia="Calibri" w:hAnsi="Calibri" w:cs="Calibri"/>
            <w:color w:val="auto"/>
            <w:sz w:val="22"/>
            <w:szCs w:val="22"/>
            <w:u w:val="none"/>
            <w:lang w:val="en-GB"/>
          </w:rPr>
          <w:t>https://www.cipd.org/uk/knowledge/factsheets/pestle-analysis-factsheet/</w:t>
        </w:r>
      </w:hyperlink>
      <w:r w:rsidRPr="00B93B7F">
        <w:rPr>
          <w:rFonts w:ascii="Calibri" w:eastAsia="Calibri" w:hAnsi="Calibri" w:cs="Calibri"/>
          <w:sz w:val="22"/>
          <w:szCs w:val="22"/>
          <w:lang w:val="en-GB"/>
        </w:rPr>
        <w:t xml:space="preserve"> (Accessed 03 July 2024)</w:t>
      </w:r>
    </w:p>
    <w:p w14:paraId="163CB21A" w14:textId="77777777" w:rsidR="00FB7000" w:rsidRPr="00B93B7F" w:rsidRDefault="00FB7000" w:rsidP="26EA7004">
      <w:pPr>
        <w:spacing w:line="257" w:lineRule="auto"/>
        <w:rPr>
          <w:rFonts w:ascii="Calibri" w:eastAsia="Calibri" w:hAnsi="Calibri" w:cs="Calibri"/>
          <w:color w:val="000000" w:themeColor="text1"/>
          <w:sz w:val="22"/>
          <w:szCs w:val="22"/>
        </w:rPr>
      </w:pPr>
      <w:r w:rsidRPr="00B93B7F">
        <w:rPr>
          <w:rFonts w:ascii="Calibri" w:eastAsia="Calibri" w:hAnsi="Calibri" w:cs="Calibri"/>
          <w:i/>
          <w:iCs/>
          <w:sz w:val="22"/>
          <w:szCs w:val="22"/>
          <w:lang w:val="en-GB"/>
        </w:rPr>
        <w:t>Bribery Act 2010</w:t>
      </w:r>
      <w:r w:rsidRPr="00B93B7F">
        <w:rPr>
          <w:rFonts w:ascii="Calibri" w:eastAsia="Calibri" w:hAnsi="Calibri" w:cs="Calibri"/>
          <w:sz w:val="22"/>
          <w:szCs w:val="22"/>
          <w:lang w:val="en-GB"/>
        </w:rPr>
        <w:t xml:space="preserve"> Available at: </w:t>
      </w:r>
      <w:hyperlink r:id="rId8">
        <w:r w:rsidRPr="00B93B7F">
          <w:rPr>
            <w:rStyle w:val="Hyperlink"/>
            <w:rFonts w:ascii="Calibri" w:eastAsia="Calibri" w:hAnsi="Calibri" w:cs="Calibri"/>
            <w:color w:val="auto"/>
            <w:sz w:val="22"/>
            <w:szCs w:val="22"/>
            <w:u w:val="none"/>
            <w:lang w:val="en-GB"/>
          </w:rPr>
          <w:t>https://www.legislation.gov.uk/ukpga/2010/23/contents</w:t>
        </w:r>
      </w:hyperlink>
      <w:r w:rsidRPr="00B93B7F">
        <w:rPr>
          <w:rFonts w:ascii="Calibri" w:eastAsia="Calibri" w:hAnsi="Calibri" w:cs="Calibri"/>
          <w:sz w:val="22"/>
          <w:szCs w:val="22"/>
          <w:lang w:val="en-GB"/>
        </w:rPr>
        <w:t xml:space="preserve"> (Accessed 4 July 2024)</w:t>
      </w:r>
    </w:p>
    <w:p w14:paraId="31894804"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Brink, S. (2020) Re-evaluating total reward strategies for the growing remote workforce. </w:t>
      </w:r>
      <w:r w:rsidRPr="00B93B7F">
        <w:rPr>
          <w:rFonts w:ascii="Calibri" w:eastAsia="Calibri" w:hAnsi="Calibri" w:cs="Calibri"/>
          <w:i/>
          <w:iCs/>
          <w:sz w:val="22"/>
          <w:szCs w:val="22"/>
          <w:lang w:val="en-GB"/>
        </w:rPr>
        <w:t>Workspan</w:t>
      </w:r>
      <w:r w:rsidRPr="00B93B7F">
        <w:rPr>
          <w:rFonts w:ascii="Calibri" w:eastAsia="Calibri" w:hAnsi="Calibri" w:cs="Calibri"/>
          <w:sz w:val="22"/>
          <w:szCs w:val="22"/>
          <w:lang w:val="en-GB"/>
        </w:rPr>
        <w:t>. Vol 63, No 6, November/December, pp.66-69.</w:t>
      </w:r>
    </w:p>
    <w:p w14:paraId="7A9CA09C" w14:textId="77777777" w:rsidR="00FB7000" w:rsidRPr="00B93B7F" w:rsidRDefault="00FB7000" w:rsidP="51189991">
      <w:pPr>
        <w:pStyle w:val="Nornal"/>
        <w:spacing w:line="259" w:lineRule="auto"/>
        <w:rPr>
          <w:rFonts w:ascii="Calibri" w:eastAsia="Calibri" w:hAnsi="Calibri" w:cs="Calibri"/>
        </w:rPr>
      </w:pPr>
      <w:r w:rsidRPr="51189991">
        <w:rPr>
          <w:rFonts w:ascii="Calibri" w:eastAsia="Calibri" w:hAnsi="Calibri" w:cs="Calibri"/>
        </w:rPr>
        <w:t xml:space="preserve">Burney, M (2023) </w:t>
      </w:r>
      <w:r w:rsidRPr="51189991">
        <w:rPr>
          <w:rFonts w:ascii="Calibri" w:eastAsia="Calibri" w:hAnsi="Calibri" w:cs="Calibri"/>
          <w:i/>
          <w:iCs/>
        </w:rPr>
        <w:t xml:space="preserve">The compensation revolution: Incentives to motivate and retain future talent. </w:t>
      </w:r>
      <w:r w:rsidRPr="51189991">
        <w:rPr>
          <w:rFonts w:ascii="Calibri" w:eastAsia="Calibri" w:hAnsi="Calibri" w:cs="Calibri"/>
        </w:rPr>
        <w:t xml:space="preserve">Available at: </w:t>
      </w:r>
      <w:hyperlink r:id="rId9">
        <w:r w:rsidRPr="51189991">
          <w:rPr>
            <w:rStyle w:val="Hyperlink"/>
            <w:rFonts w:ascii="Calibri" w:eastAsia="Calibri" w:hAnsi="Calibri" w:cs="Calibri"/>
            <w:color w:val="auto"/>
            <w:u w:val="none"/>
          </w:rPr>
          <w:t>https://www.cipd.org/uk/views-and-insights/thought-leadership/insight/compensation-revolution/</w:t>
        </w:r>
      </w:hyperlink>
      <w:r w:rsidRPr="51189991">
        <w:rPr>
          <w:rFonts w:ascii="Calibri" w:eastAsia="Calibri" w:hAnsi="Calibri" w:cs="Calibri"/>
        </w:rPr>
        <w:t xml:space="preserve"> (Accessed 25 July 2024)</w:t>
      </w:r>
    </w:p>
    <w:p w14:paraId="65CA74BC"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Churchill, F. (2020)</w:t>
      </w:r>
      <w:r w:rsidRPr="00B93B7F">
        <w:rPr>
          <w:rFonts w:ascii="Calibri" w:eastAsia="Calibri" w:hAnsi="Calibri" w:cs="Calibri"/>
          <w:i/>
          <w:iCs/>
          <w:sz w:val="22"/>
          <w:szCs w:val="22"/>
          <w:lang w:val="en-GB"/>
        </w:rPr>
        <w:t xml:space="preserve"> More than half of reward strategies not fit for remote workforces, survey suggests. </w:t>
      </w:r>
      <w:r w:rsidRPr="00B93B7F">
        <w:rPr>
          <w:rFonts w:ascii="Calibri" w:eastAsia="Calibri" w:hAnsi="Calibri" w:cs="Calibri"/>
          <w:sz w:val="22"/>
          <w:szCs w:val="22"/>
          <w:lang w:val="en-GB"/>
        </w:rPr>
        <w:t xml:space="preserve">Available at: </w:t>
      </w:r>
      <w:hyperlink r:id="rId10">
        <w:r w:rsidRPr="00B93B7F">
          <w:rPr>
            <w:rStyle w:val="Hyperlink"/>
            <w:rFonts w:ascii="Calibri" w:eastAsia="Calibri" w:hAnsi="Calibri" w:cs="Calibri"/>
            <w:color w:val="auto"/>
            <w:sz w:val="22"/>
            <w:szCs w:val="22"/>
            <w:u w:val="none"/>
            <w:lang w:val="en-GB"/>
          </w:rPr>
          <w:t>https://www.peoplemanagement.co.uk/article/1747145/more-than-half-of-reward-strategies-not-fit-for-remote-workforces</w:t>
        </w:r>
      </w:hyperlink>
      <w:r w:rsidRPr="00B93B7F">
        <w:rPr>
          <w:rFonts w:ascii="Calibri" w:eastAsia="Calibri" w:hAnsi="Calibri" w:cs="Calibri"/>
          <w:sz w:val="22"/>
          <w:szCs w:val="22"/>
          <w:lang w:val="en-GB"/>
        </w:rPr>
        <w:t xml:space="preserve"> (Accessed 29 June 2024)</w:t>
      </w:r>
    </w:p>
    <w:p w14:paraId="22ED3813" w14:textId="543CE6C8" w:rsidR="00FB7000" w:rsidRDefault="00FB7000" w:rsidP="26EA7004">
      <w:pPr>
        <w:spacing w:after="0" w:line="240" w:lineRule="auto"/>
        <w:rPr>
          <w:rFonts w:ascii="Calibri" w:eastAsia="Calibri" w:hAnsi="Calibri" w:cs="Calibri"/>
          <w:sz w:val="22"/>
          <w:szCs w:val="22"/>
        </w:rPr>
      </w:pPr>
      <w:r w:rsidRPr="00B93B7F">
        <w:rPr>
          <w:rFonts w:ascii="Calibri" w:eastAsia="Calibri" w:hAnsi="Calibri" w:cs="Calibri"/>
          <w:sz w:val="22"/>
          <w:szCs w:val="22"/>
        </w:rPr>
        <w:t xml:space="preserve">CIPD (2021) REWARD MANAGEMENT SURVEY. Reward fairness. Available at:  </w:t>
      </w:r>
      <w:hyperlink r:id="rId11">
        <w:r w:rsidRPr="00B93B7F">
          <w:rPr>
            <w:rStyle w:val="Hyperlink"/>
            <w:rFonts w:ascii="Calibri" w:eastAsia="Calibri" w:hAnsi="Calibri" w:cs="Calibri"/>
            <w:color w:val="auto"/>
            <w:sz w:val="22"/>
            <w:szCs w:val="22"/>
            <w:u w:val="none"/>
          </w:rPr>
          <w:t>https://www.cipd.org/globalassets/media/knowledge/knowledge-hub/reports/2021-pdfs/reward-management-fairness_tcm18-91389.pdf</w:t>
        </w:r>
      </w:hyperlink>
      <w:r w:rsidRPr="00B93B7F">
        <w:rPr>
          <w:rFonts w:ascii="Calibri" w:eastAsia="Calibri" w:hAnsi="Calibri" w:cs="Calibri"/>
          <w:sz w:val="22"/>
          <w:szCs w:val="22"/>
        </w:rPr>
        <w:t xml:space="preserve"> (Accessed 12 July 2024)</w:t>
      </w:r>
    </w:p>
    <w:p w14:paraId="3F6E6A3C" w14:textId="77777777" w:rsidR="00FB7000" w:rsidRDefault="00FB7000" w:rsidP="26EA7004">
      <w:pPr>
        <w:spacing w:after="0" w:line="240" w:lineRule="auto"/>
        <w:rPr>
          <w:rFonts w:ascii="Calibri" w:eastAsia="Calibri" w:hAnsi="Calibri" w:cs="Calibri"/>
          <w:sz w:val="22"/>
          <w:szCs w:val="22"/>
        </w:rPr>
      </w:pPr>
    </w:p>
    <w:p w14:paraId="018CFA56" w14:textId="77777777" w:rsidR="00FB7000" w:rsidRPr="00B93B7F" w:rsidRDefault="00FB7000" w:rsidP="26EA7004">
      <w:pPr>
        <w:pStyle w:val="Nornal"/>
        <w:spacing w:line="256" w:lineRule="auto"/>
        <w:rPr>
          <w:rFonts w:ascii="Calibri" w:eastAsia="Calibri" w:hAnsi="Calibri" w:cs="Calibri"/>
          <w:color w:val="000000" w:themeColor="text1"/>
        </w:rPr>
      </w:pPr>
      <w:r w:rsidRPr="00B93B7F">
        <w:rPr>
          <w:rFonts w:ascii="Calibri" w:eastAsia="Calibri" w:hAnsi="Calibri" w:cs="Calibri"/>
        </w:rPr>
        <w:t>CIPD (2021)</w:t>
      </w:r>
      <w:r w:rsidRPr="00B93B7F">
        <w:rPr>
          <w:rFonts w:ascii="Calibri" w:eastAsia="Calibri" w:hAnsi="Calibri" w:cs="Calibri"/>
          <w:i/>
          <w:iCs/>
        </w:rPr>
        <w:t xml:space="preserve"> Reward Management Survey: Employee Benefits.</w:t>
      </w:r>
      <w:r w:rsidRPr="00B93B7F">
        <w:rPr>
          <w:rFonts w:ascii="Calibri" w:eastAsia="Calibri" w:hAnsi="Calibri" w:cs="Calibri"/>
        </w:rPr>
        <w:t xml:space="preserve"> Available at: </w:t>
      </w:r>
      <w:hyperlink r:id="rId12">
        <w:r w:rsidRPr="00B93B7F">
          <w:rPr>
            <w:rStyle w:val="Hyperlink"/>
            <w:rFonts w:ascii="Calibri" w:eastAsia="Calibri" w:hAnsi="Calibri" w:cs="Calibri"/>
            <w:color w:val="auto"/>
            <w:u w:val="none"/>
          </w:rPr>
          <w:t>https://prod.cipd.org/globalassets/media/knowledge/knowledge-hub/reports/2021-pdfs/reward-management-employee-benefits_tcm18-91393.pdf</w:t>
        </w:r>
      </w:hyperlink>
      <w:r w:rsidRPr="00B93B7F">
        <w:rPr>
          <w:rFonts w:ascii="Calibri" w:eastAsia="Calibri" w:hAnsi="Calibri" w:cs="Calibri"/>
        </w:rPr>
        <w:t xml:space="preserve"> (Accessed 30 June 2024)</w:t>
      </w:r>
    </w:p>
    <w:p w14:paraId="186C6905" w14:textId="77777777" w:rsidR="00FB7000" w:rsidRPr="00B93B7F" w:rsidRDefault="00FB7000" w:rsidP="26EA7004">
      <w:pPr>
        <w:shd w:val="clear" w:color="auto" w:fill="FFFFFF" w:themeFill="background1"/>
        <w:spacing w:line="256" w:lineRule="auto"/>
        <w:rPr>
          <w:rFonts w:ascii="Calibri" w:eastAsia="Calibri" w:hAnsi="Calibri" w:cs="Calibri"/>
          <w:color w:val="000000" w:themeColor="text1"/>
          <w:sz w:val="22"/>
          <w:szCs w:val="22"/>
        </w:rPr>
      </w:pPr>
      <w:bookmarkStart w:id="11" w:name="_Int_s9YaGHkG"/>
      <w:r w:rsidRPr="51189991">
        <w:rPr>
          <w:rFonts w:ascii="Calibri" w:eastAsia="Calibri" w:hAnsi="Calibri" w:cs="Calibri"/>
          <w:sz w:val="22"/>
          <w:szCs w:val="22"/>
          <w:lang w:val="en-GB"/>
        </w:rPr>
        <w:t xml:space="preserve">CIPD (2022) </w:t>
      </w:r>
      <w:r w:rsidRPr="51189991">
        <w:rPr>
          <w:rFonts w:ascii="Calibri" w:eastAsia="Calibri" w:hAnsi="Calibri" w:cs="Calibri"/>
          <w:i/>
          <w:iCs/>
          <w:sz w:val="22"/>
          <w:szCs w:val="22"/>
          <w:lang w:val="en-GB"/>
        </w:rPr>
        <w:t>Surveys reveal opportunities for employers to make benefits packages work harder for those most in need.</w:t>
      </w:r>
      <w:bookmarkEnd w:id="11"/>
      <w:r w:rsidRPr="51189991">
        <w:rPr>
          <w:rFonts w:ascii="Calibri" w:eastAsia="Calibri" w:hAnsi="Calibri" w:cs="Calibri"/>
          <w:sz w:val="22"/>
          <w:szCs w:val="22"/>
          <w:lang w:val="en-GB"/>
        </w:rPr>
        <w:t xml:space="preserve"> Available at: </w:t>
      </w:r>
      <w:hyperlink r:id="rId13">
        <w:r w:rsidRPr="51189991">
          <w:rPr>
            <w:rStyle w:val="Hyperlink"/>
            <w:rFonts w:ascii="Calibri" w:eastAsia="Calibri" w:hAnsi="Calibri" w:cs="Calibri"/>
            <w:color w:val="auto"/>
            <w:sz w:val="22"/>
            <w:szCs w:val="22"/>
            <w:u w:val="none"/>
            <w:lang w:val="en-GB"/>
          </w:rPr>
          <w:t>https://www.cipd.org/uk/about/news/reward-management-survey-news-benefits-packages/</w:t>
        </w:r>
      </w:hyperlink>
      <w:r w:rsidRPr="51189991">
        <w:rPr>
          <w:rFonts w:ascii="Calibri" w:eastAsia="Calibri" w:hAnsi="Calibri" w:cs="Calibri"/>
          <w:sz w:val="22"/>
          <w:szCs w:val="22"/>
          <w:lang w:val="en-GB"/>
        </w:rPr>
        <w:t xml:space="preserve"> (Accessed 1 July 2024)</w:t>
      </w:r>
    </w:p>
    <w:p w14:paraId="1205AC01" w14:textId="77777777" w:rsidR="00FB7000" w:rsidRPr="00B93B7F" w:rsidRDefault="00FB7000" w:rsidP="26EA7004">
      <w:pPr>
        <w:spacing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CIPD (2023) </w:t>
      </w:r>
      <w:r w:rsidRPr="00B93B7F">
        <w:rPr>
          <w:rFonts w:ascii="Calibri" w:eastAsia="Calibri" w:hAnsi="Calibri" w:cs="Calibri"/>
          <w:i/>
          <w:iCs/>
          <w:sz w:val="22"/>
          <w:szCs w:val="22"/>
          <w:lang w:val="en-GB"/>
        </w:rPr>
        <w:t>Recruitment: An introduction.</w:t>
      </w:r>
      <w:r w:rsidRPr="00B93B7F">
        <w:rPr>
          <w:rFonts w:ascii="Calibri" w:eastAsia="Calibri" w:hAnsi="Calibri" w:cs="Calibri"/>
          <w:sz w:val="22"/>
          <w:szCs w:val="22"/>
          <w:lang w:val="en-GB"/>
        </w:rPr>
        <w:t xml:space="preserve"> Available at: </w:t>
      </w:r>
      <w:hyperlink r:id="rId14">
        <w:r w:rsidRPr="00B93B7F">
          <w:rPr>
            <w:rStyle w:val="Hyperlink"/>
            <w:rFonts w:ascii="Calibri" w:eastAsia="Calibri" w:hAnsi="Calibri" w:cs="Calibri"/>
            <w:color w:val="auto"/>
            <w:sz w:val="22"/>
            <w:szCs w:val="22"/>
            <w:u w:val="none"/>
            <w:lang w:val="en-GB"/>
          </w:rPr>
          <w:t>https://www.cipd.org/uk/knowledge/factsheets/recruitment-factsheet/</w:t>
        </w:r>
      </w:hyperlink>
      <w:r w:rsidRPr="00B93B7F">
        <w:rPr>
          <w:rFonts w:ascii="Calibri" w:eastAsia="Calibri" w:hAnsi="Calibri" w:cs="Calibri"/>
          <w:sz w:val="22"/>
          <w:szCs w:val="22"/>
          <w:lang w:val="en-GB"/>
        </w:rPr>
        <w:t xml:space="preserve"> (Accessed 3 July 2024)</w:t>
      </w:r>
    </w:p>
    <w:p w14:paraId="7EA45067" w14:textId="09EE6900" w:rsidR="00FB7000" w:rsidRPr="00B93B7F" w:rsidRDefault="00FB7000" w:rsidP="00FB7000">
      <w:pPr>
        <w:spacing w:line="259" w:lineRule="auto"/>
        <w:rPr>
          <w:rStyle w:val="Hyperlink"/>
          <w:rFonts w:ascii="Calibri" w:eastAsia="Calibri" w:hAnsi="Calibri" w:cs="Calibri"/>
          <w:sz w:val="22"/>
          <w:szCs w:val="22"/>
          <w:lang w:val="en-GB"/>
        </w:rPr>
      </w:pPr>
      <w:r w:rsidRPr="51189991">
        <w:rPr>
          <w:rFonts w:ascii="Calibri" w:eastAsia="Calibri" w:hAnsi="Calibri" w:cs="Calibri"/>
          <w:color w:val="000000" w:themeColor="text1"/>
          <w:sz w:val="22"/>
          <w:szCs w:val="22"/>
          <w:lang w:val="en-GB"/>
        </w:rPr>
        <w:lastRenderedPageBreak/>
        <w:t xml:space="preserve">CIPD (2023) </w:t>
      </w:r>
      <w:r w:rsidRPr="51189991">
        <w:rPr>
          <w:rFonts w:ascii="Calibri" w:eastAsia="Calibri" w:hAnsi="Calibri" w:cs="Calibri"/>
          <w:i/>
          <w:iCs/>
          <w:color w:val="000000" w:themeColor="text1"/>
          <w:sz w:val="22"/>
          <w:szCs w:val="22"/>
          <w:lang w:val="en-GB"/>
        </w:rPr>
        <w:t>Why recognition and reward in 2023?</w:t>
      </w:r>
      <w:r w:rsidRPr="51189991">
        <w:rPr>
          <w:rFonts w:ascii="Calibri" w:eastAsia="Calibri" w:hAnsi="Calibri" w:cs="Calibri"/>
          <w:color w:val="000000" w:themeColor="text1"/>
          <w:sz w:val="22"/>
          <w:szCs w:val="22"/>
          <w:lang w:val="en-GB"/>
        </w:rPr>
        <w:t xml:space="preserve"> Available at: </w:t>
      </w:r>
      <w:hyperlink r:id="rId15">
        <w:r w:rsidRPr="51189991">
          <w:rPr>
            <w:rStyle w:val="Hyperlink"/>
            <w:rFonts w:ascii="Calibri" w:eastAsia="Calibri" w:hAnsi="Calibri" w:cs="Calibri"/>
            <w:color w:val="000000" w:themeColor="text1"/>
            <w:sz w:val="22"/>
            <w:szCs w:val="22"/>
            <w:lang w:val="en-GB"/>
          </w:rPr>
          <w:t>https://www.peoplemanagement.co.uk/article/1816014/why-recognition-reward-2023</w:t>
        </w:r>
      </w:hyperlink>
      <w:r w:rsidRPr="51189991">
        <w:rPr>
          <w:rFonts w:ascii="Calibri" w:eastAsia="Calibri" w:hAnsi="Calibri" w:cs="Calibri"/>
          <w:color w:val="000000" w:themeColor="text1"/>
          <w:sz w:val="22"/>
          <w:szCs w:val="22"/>
          <w:lang w:val="en-GB"/>
        </w:rPr>
        <w:t xml:space="preserve"> (Accessed 25 July 2024)</w:t>
      </w:r>
    </w:p>
    <w:p w14:paraId="00AD8428"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CIPD (2024) </w:t>
      </w:r>
      <w:r w:rsidRPr="00B93B7F">
        <w:rPr>
          <w:rFonts w:ascii="Calibri" w:eastAsia="Calibri" w:hAnsi="Calibri" w:cs="Calibri"/>
          <w:i/>
          <w:iCs/>
          <w:sz w:val="22"/>
          <w:szCs w:val="22"/>
          <w:lang w:val="en-GB"/>
        </w:rPr>
        <w:t>Equal pay: UK employment law</w:t>
      </w:r>
      <w:r w:rsidRPr="00B93B7F">
        <w:rPr>
          <w:rFonts w:ascii="Calibri" w:eastAsia="Calibri" w:hAnsi="Calibri" w:cs="Calibri"/>
          <w:sz w:val="22"/>
          <w:szCs w:val="22"/>
          <w:lang w:val="en-GB"/>
        </w:rPr>
        <w:t xml:space="preserve">. Available at: </w:t>
      </w:r>
      <w:hyperlink r:id="rId16" w:anchor="key-legal-principles">
        <w:r w:rsidRPr="00B93B7F">
          <w:rPr>
            <w:rStyle w:val="Hyperlink"/>
            <w:rFonts w:ascii="Calibri" w:eastAsia="Calibri" w:hAnsi="Calibri" w:cs="Calibri"/>
            <w:color w:val="auto"/>
            <w:sz w:val="22"/>
            <w:szCs w:val="22"/>
            <w:u w:val="none"/>
            <w:lang w:val="en-GB"/>
          </w:rPr>
          <w:t>https://www.cipd.org/uk/knowledge/employment-law/equal-pay/#key-legal-principles</w:t>
        </w:r>
      </w:hyperlink>
      <w:r w:rsidRPr="00B93B7F">
        <w:rPr>
          <w:rFonts w:ascii="Calibri" w:eastAsia="Calibri" w:hAnsi="Calibri" w:cs="Calibri"/>
          <w:sz w:val="22"/>
          <w:szCs w:val="22"/>
          <w:lang w:val="en-GB"/>
        </w:rPr>
        <w:t xml:space="preserve"> (Accessed 30 June 2024)</w:t>
      </w:r>
    </w:p>
    <w:p w14:paraId="1BB3B0A6"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CIPD (2024) </w:t>
      </w:r>
      <w:r w:rsidRPr="00B93B7F">
        <w:rPr>
          <w:rFonts w:ascii="Calibri" w:eastAsia="Calibri" w:hAnsi="Calibri" w:cs="Calibri"/>
          <w:i/>
          <w:iCs/>
          <w:sz w:val="22"/>
          <w:szCs w:val="22"/>
          <w:lang w:val="en-GB"/>
        </w:rPr>
        <w:t>Pay, performance and transparency 2024</w:t>
      </w:r>
      <w:r w:rsidRPr="00B93B7F">
        <w:rPr>
          <w:rFonts w:ascii="Calibri" w:eastAsia="Calibri" w:hAnsi="Calibri" w:cs="Calibri"/>
          <w:sz w:val="22"/>
          <w:szCs w:val="22"/>
          <w:lang w:val="en-GB"/>
        </w:rPr>
        <w:t xml:space="preserve">. Available at: </w:t>
      </w:r>
      <w:hyperlink r:id="rId17">
        <w:r w:rsidRPr="00B93B7F">
          <w:rPr>
            <w:rStyle w:val="Hyperlink"/>
            <w:rFonts w:ascii="Calibri" w:eastAsia="Calibri" w:hAnsi="Calibri" w:cs="Calibri"/>
            <w:color w:val="auto"/>
            <w:sz w:val="22"/>
            <w:szCs w:val="22"/>
            <w:u w:val="none"/>
            <w:lang w:val="en-GB"/>
          </w:rPr>
          <w:t>https://www.cipd.org/uk/knowledge/reports/pay-performance-transparency/</w:t>
        </w:r>
      </w:hyperlink>
      <w:r w:rsidRPr="00B93B7F">
        <w:rPr>
          <w:rFonts w:ascii="Calibri" w:eastAsia="Calibri" w:hAnsi="Calibri" w:cs="Calibri"/>
          <w:sz w:val="22"/>
          <w:szCs w:val="22"/>
          <w:lang w:val="en-GB"/>
        </w:rPr>
        <w:t xml:space="preserve"> (Accessed 12 July 2024)</w:t>
      </w:r>
    </w:p>
    <w:p w14:paraId="578C9A09" w14:textId="1A3ED961" w:rsidR="00FB7000" w:rsidRDefault="00FB7000" w:rsidP="26EA7004">
      <w:pPr>
        <w:spacing w:after="0" w:line="240" w:lineRule="auto"/>
        <w:rPr>
          <w:rFonts w:ascii="Calibri" w:eastAsia="Calibri" w:hAnsi="Calibri" w:cs="Calibri"/>
          <w:sz w:val="22"/>
          <w:szCs w:val="22"/>
          <w:lang w:val="en-GB"/>
        </w:rPr>
      </w:pPr>
      <w:r w:rsidRPr="00B93B7F">
        <w:rPr>
          <w:rFonts w:ascii="Calibri" w:eastAsia="Calibri" w:hAnsi="Calibri" w:cs="Calibri"/>
          <w:sz w:val="22"/>
          <w:szCs w:val="22"/>
          <w:lang w:val="en-GB"/>
        </w:rPr>
        <w:t xml:space="preserve">CIPD (2024) </w:t>
      </w:r>
      <w:r w:rsidRPr="00B93B7F">
        <w:rPr>
          <w:rFonts w:ascii="Calibri" w:eastAsia="Calibri" w:hAnsi="Calibri" w:cs="Calibri"/>
          <w:i/>
          <w:iCs/>
          <w:sz w:val="22"/>
          <w:szCs w:val="22"/>
          <w:lang w:val="en-GB"/>
        </w:rPr>
        <w:t>Working time: UK employment law</w:t>
      </w:r>
      <w:r w:rsidRPr="00B93B7F">
        <w:rPr>
          <w:rFonts w:ascii="Calibri" w:eastAsia="Calibri" w:hAnsi="Calibri" w:cs="Calibri"/>
          <w:sz w:val="22"/>
          <w:szCs w:val="22"/>
          <w:lang w:val="en-GB"/>
        </w:rPr>
        <w:t xml:space="preserve"> Available at: </w:t>
      </w:r>
      <w:hyperlink r:id="rId18">
        <w:r w:rsidRPr="00B93B7F">
          <w:rPr>
            <w:rStyle w:val="Hyperlink"/>
            <w:rFonts w:ascii="Calibri" w:eastAsia="Calibri" w:hAnsi="Calibri" w:cs="Calibri"/>
            <w:color w:val="auto"/>
            <w:sz w:val="22"/>
            <w:szCs w:val="22"/>
            <w:u w:val="none"/>
            <w:lang w:val="en-GB"/>
          </w:rPr>
          <w:t>https://www.cipd.org/uk/knowledge/employment-law/working-time/</w:t>
        </w:r>
      </w:hyperlink>
      <w:r w:rsidRPr="00B93B7F">
        <w:rPr>
          <w:rFonts w:ascii="Calibri" w:eastAsia="Calibri" w:hAnsi="Calibri" w:cs="Calibri"/>
          <w:sz w:val="22"/>
          <w:szCs w:val="22"/>
          <w:lang w:val="en-GB"/>
        </w:rPr>
        <w:t xml:space="preserve"> (Accessed 2 July 2024)</w:t>
      </w:r>
    </w:p>
    <w:p w14:paraId="78261070" w14:textId="77777777" w:rsidR="00FB7000" w:rsidRDefault="00FB7000" w:rsidP="26EA7004">
      <w:pPr>
        <w:spacing w:after="0" w:line="240" w:lineRule="auto"/>
        <w:rPr>
          <w:rFonts w:ascii="Calibri" w:eastAsia="Calibri" w:hAnsi="Calibri" w:cs="Calibri"/>
          <w:sz w:val="22"/>
          <w:szCs w:val="22"/>
          <w:lang w:val="en-GB"/>
        </w:rPr>
      </w:pPr>
    </w:p>
    <w:p w14:paraId="47FE266B" w14:textId="67518D59" w:rsidR="00FB7000" w:rsidRDefault="00FB7000" w:rsidP="00FB7000">
      <w:pPr>
        <w:spacing w:after="0" w:line="240" w:lineRule="auto"/>
        <w:rPr>
          <w:rFonts w:ascii="Calibri" w:eastAsia="Calibri" w:hAnsi="Calibri" w:cs="Calibri"/>
          <w:color w:val="000000" w:themeColor="text1"/>
          <w:sz w:val="22"/>
          <w:szCs w:val="22"/>
        </w:rPr>
      </w:pPr>
      <w:r w:rsidRPr="51189991">
        <w:rPr>
          <w:rFonts w:ascii="Calibri" w:eastAsia="Calibri" w:hAnsi="Calibri" w:cs="Calibri"/>
          <w:color w:val="000000" w:themeColor="text1"/>
          <w:sz w:val="22"/>
          <w:szCs w:val="22"/>
        </w:rPr>
        <w:t xml:space="preserve">Cotton, C (2023) </w:t>
      </w:r>
      <w:r w:rsidRPr="51189991">
        <w:rPr>
          <w:rFonts w:ascii="Calibri" w:eastAsia="Calibri" w:hAnsi="Calibri" w:cs="Calibri"/>
          <w:i/>
          <w:iCs/>
          <w:color w:val="000000" w:themeColor="text1"/>
          <w:sz w:val="22"/>
          <w:szCs w:val="22"/>
        </w:rPr>
        <w:t>Bonuses and incentives</w:t>
      </w:r>
      <w:r w:rsidRPr="51189991">
        <w:rPr>
          <w:rFonts w:ascii="Calibri" w:eastAsia="Calibri" w:hAnsi="Calibri" w:cs="Calibri"/>
          <w:color w:val="000000" w:themeColor="text1"/>
          <w:sz w:val="22"/>
          <w:szCs w:val="22"/>
        </w:rPr>
        <w:t xml:space="preserve">. Available at: </w:t>
      </w:r>
      <w:hyperlink r:id="rId19">
        <w:r w:rsidRPr="51189991">
          <w:rPr>
            <w:rStyle w:val="Hyperlink"/>
            <w:rFonts w:ascii="Calibri" w:eastAsia="Calibri" w:hAnsi="Calibri" w:cs="Calibri"/>
            <w:sz w:val="22"/>
            <w:szCs w:val="22"/>
          </w:rPr>
          <w:t>https://www.cipd.org/uk/knowledge/factsheets/bonuses-factsheet/</w:t>
        </w:r>
      </w:hyperlink>
      <w:r w:rsidRPr="51189991">
        <w:rPr>
          <w:rFonts w:ascii="Calibri" w:eastAsia="Calibri" w:hAnsi="Calibri" w:cs="Calibri"/>
          <w:color w:val="000000" w:themeColor="text1"/>
          <w:sz w:val="22"/>
          <w:szCs w:val="22"/>
        </w:rPr>
        <w:t xml:space="preserve"> (Accessed 25 July 2024)</w:t>
      </w:r>
    </w:p>
    <w:p w14:paraId="3EA8887E" w14:textId="77777777" w:rsidR="00FB7000" w:rsidRDefault="00FB7000" w:rsidP="00FB7000">
      <w:pPr>
        <w:spacing w:after="0" w:line="240" w:lineRule="auto"/>
        <w:rPr>
          <w:rFonts w:ascii="Calibri" w:eastAsia="Calibri" w:hAnsi="Calibri" w:cs="Calibri"/>
          <w:color w:val="000000" w:themeColor="text1"/>
          <w:sz w:val="22"/>
          <w:szCs w:val="22"/>
        </w:rPr>
      </w:pPr>
    </w:p>
    <w:p w14:paraId="7C14C29D" w14:textId="77777777" w:rsidR="00FB7000" w:rsidRPr="00B93B7F" w:rsidRDefault="00FB7000" w:rsidP="26EA7004">
      <w:pPr>
        <w:spacing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Cotton, C (2023) </w:t>
      </w:r>
      <w:r w:rsidRPr="00B93B7F">
        <w:rPr>
          <w:rFonts w:ascii="Calibri" w:eastAsia="Calibri" w:hAnsi="Calibri" w:cs="Calibri"/>
          <w:i/>
          <w:iCs/>
          <w:sz w:val="22"/>
          <w:szCs w:val="22"/>
          <w:lang w:val="en-GB"/>
        </w:rPr>
        <w:t>Hard times: How the cost-of-living crisis is affecting the workplace</w:t>
      </w:r>
      <w:r w:rsidRPr="00B93B7F">
        <w:rPr>
          <w:rFonts w:ascii="Calibri" w:eastAsia="Calibri" w:hAnsi="Calibri" w:cs="Calibri"/>
          <w:sz w:val="22"/>
          <w:szCs w:val="22"/>
          <w:lang w:val="en-GB"/>
        </w:rPr>
        <w:t xml:space="preserve">. Available at: </w:t>
      </w:r>
      <w:hyperlink r:id="rId20">
        <w:r w:rsidRPr="00B93B7F">
          <w:rPr>
            <w:rStyle w:val="Hyperlink"/>
            <w:rFonts w:ascii="Calibri" w:eastAsia="Calibri" w:hAnsi="Calibri" w:cs="Calibri"/>
            <w:color w:val="auto"/>
            <w:sz w:val="22"/>
            <w:szCs w:val="22"/>
            <w:u w:val="none"/>
            <w:lang w:val="en-GB"/>
          </w:rPr>
          <w:t>https://www.cipd.org/uk/views-and-insights/thought-leadership/cipd-voice/cost-of-living-workplace/</w:t>
        </w:r>
      </w:hyperlink>
      <w:r w:rsidRPr="00B93B7F">
        <w:rPr>
          <w:rFonts w:ascii="Calibri" w:eastAsia="Calibri" w:hAnsi="Calibri" w:cs="Calibri"/>
          <w:sz w:val="22"/>
          <w:szCs w:val="22"/>
          <w:lang w:val="en-GB"/>
        </w:rPr>
        <w:t xml:space="preserve"> (Accessed 3 July 2024)</w:t>
      </w:r>
    </w:p>
    <w:p w14:paraId="437B08E1"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Cotton, C (2023)</w:t>
      </w:r>
      <w:r w:rsidRPr="00B93B7F">
        <w:rPr>
          <w:rFonts w:ascii="Calibri" w:eastAsia="Calibri" w:hAnsi="Calibri" w:cs="Calibri"/>
          <w:i/>
          <w:iCs/>
          <w:sz w:val="22"/>
          <w:szCs w:val="22"/>
          <w:lang w:val="en-GB"/>
        </w:rPr>
        <w:t xml:space="preserve"> Performance-related pay</w:t>
      </w:r>
      <w:r w:rsidRPr="00B93B7F">
        <w:rPr>
          <w:rFonts w:ascii="Calibri" w:eastAsia="Calibri" w:hAnsi="Calibri" w:cs="Calibri"/>
          <w:sz w:val="22"/>
          <w:szCs w:val="22"/>
          <w:lang w:val="en-GB"/>
        </w:rPr>
        <w:t xml:space="preserve"> Available at: </w:t>
      </w:r>
      <w:hyperlink r:id="rId21">
        <w:r w:rsidRPr="00B93B7F">
          <w:rPr>
            <w:rStyle w:val="Hyperlink"/>
            <w:rFonts w:ascii="Calibri" w:eastAsia="Calibri" w:hAnsi="Calibri" w:cs="Calibri"/>
            <w:color w:val="auto"/>
            <w:sz w:val="22"/>
            <w:szCs w:val="22"/>
            <w:u w:val="none"/>
            <w:lang w:val="en-GB"/>
          </w:rPr>
          <w:t>https://www.cipd.org/uk/knowledge/factsheets/pay-performance-factsheet/</w:t>
        </w:r>
      </w:hyperlink>
      <w:r w:rsidRPr="00B93B7F">
        <w:rPr>
          <w:rFonts w:ascii="Calibri" w:eastAsia="Calibri" w:hAnsi="Calibri" w:cs="Calibri"/>
          <w:sz w:val="22"/>
          <w:szCs w:val="22"/>
          <w:lang w:val="en-GB"/>
        </w:rPr>
        <w:t xml:space="preserve"> (Accessed 12 July 2024)</w:t>
      </w:r>
    </w:p>
    <w:p w14:paraId="621085B7" w14:textId="77777777" w:rsidR="00FB7000" w:rsidRPr="00B93B7F" w:rsidRDefault="00FB7000" w:rsidP="26EA7004">
      <w:pPr>
        <w:pStyle w:val="Nornal"/>
        <w:spacing w:line="240" w:lineRule="auto"/>
        <w:rPr>
          <w:rFonts w:ascii="Calibri" w:eastAsia="Calibri" w:hAnsi="Calibri" w:cs="Calibri"/>
          <w:color w:val="000000" w:themeColor="text1"/>
        </w:rPr>
      </w:pPr>
      <w:r w:rsidRPr="00B93B7F">
        <w:rPr>
          <w:rFonts w:ascii="Calibri" w:eastAsia="Calibri" w:hAnsi="Calibri" w:cs="Calibri"/>
        </w:rPr>
        <w:t xml:space="preserve">Cotton, C (2024) </w:t>
      </w:r>
      <w:r w:rsidRPr="00B93B7F">
        <w:rPr>
          <w:rFonts w:ascii="Calibri" w:eastAsia="Calibri" w:hAnsi="Calibri" w:cs="Calibri"/>
          <w:i/>
          <w:iCs/>
        </w:rPr>
        <w:t>Employee benefits: an introduction</w:t>
      </w:r>
      <w:r w:rsidRPr="00B93B7F">
        <w:rPr>
          <w:rFonts w:ascii="Calibri" w:eastAsia="Calibri" w:hAnsi="Calibri" w:cs="Calibri"/>
        </w:rPr>
        <w:t xml:space="preserve"> Available at: </w:t>
      </w:r>
      <w:hyperlink r:id="rId22">
        <w:r w:rsidRPr="00B93B7F">
          <w:rPr>
            <w:rStyle w:val="Hyperlink"/>
            <w:rFonts w:ascii="Calibri" w:eastAsia="Calibri" w:hAnsi="Calibri" w:cs="Calibri"/>
            <w:color w:val="auto"/>
            <w:u w:val="none"/>
          </w:rPr>
          <w:t>https://www.cipd.org/uk/knowledge/factsheets/benefits-factsheet/</w:t>
        </w:r>
      </w:hyperlink>
      <w:r w:rsidRPr="00B93B7F">
        <w:rPr>
          <w:rFonts w:ascii="Calibri" w:eastAsia="Calibri" w:hAnsi="Calibri" w:cs="Calibri"/>
        </w:rPr>
        <w:t xml:space="preserve"> (Accessed 1 July 2024)</w:t>
      </w:r>
    </w:p>
    <w:p w14:paraId="2EE69F7D"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Cotton, C (2024)</w:t>
      </w:r>
      <w:r w:rsidRPr="00B93B7F">
        <w:rPr>
          <w:rFonts w:ascii="Calibri" w:eastAsia="Calibri" w:hAnsi="Calibri" w:cs="Calibri"/>
          <w:i/>
          <w:iCs/>
          <w:sz w:val="22"/>
          <w:szCs w:val="22"/>
          <w:lang w:val="en-GB"/>
        </w:rPr>
        <w:t xml:space="preserve"> Job evaluation and market pricing</w:t>
      </w:r>
      <w:r w:rsidRPr="00B93B7F">
        <w:rPr>
          <w:rFonts w:ascii="Calibri" w:eastAsia="Calibri" w:hAnsi="Calibri" w:cs="Calibri"/>
          <w:sz w:val="22"/>
          <w:szCs w:val="22"/>
          <w:lang w:val="en-GB"/>
        </w:rPr>
        <w:t xml:space="preserve"> Available at: </w:t>
      </w:r>
      <w:hyperlink r:id="rId23">
        <w:r w:rsidRPr="00B93B7F">
          <w:rPr>
            <w:rStyle w:val="Hyperlink"/>
            <w:rFonts w:ascii="Calibri" w:eastAsia="Calibri" w:hAnsi="Calibri" w:cs="Calibri"/>
            <w:color w:val="auto"/>
            <w:sz w:val="22"/>
            <w:szCs w:val="22"/>
            <w:u w:val="none"/>
            <w:lang w:val="en-GB"/>
          </w:rPr>
          <w:t>https://www.cipd.org/uk/knowledge/factsheets/market-pricing-factsheet/</w:t>
        </w:r>
      </w:hyperlink>
      <w:r w:rsidRPr="00B93B7F">
        <w:rPr>
          <w:rFonts w:ascii="Calibri" w:eastAsia="Calibri" w:hAnsi="Calibri" w:cs="Calibri"/>
          <w:sz w:val="22"/>
          <w:szCs w:val="22"/>
          <w:lang w:val="en-GB"/>
        </w:rPr>
        <w:t xml:space="preserve"> (Accessed 9 July 2024)</w:t>
      </w:r>
    </w:p>
    <w:p w14:paraId="6081485D" w14:textId="77777777" w:rsidR="00FB7000" w:rsidRPr="00B93B7F" w:rsidRDefault="00FB7000" w:rsidP="26EA7004">
      <w:pPr>
        <w:pStyle w:val="Nornal"/>
        <w:spacing w:line="259" w:lineRule="auto"/>
        <w:rPr>
          <w:rFonts w:ascii="Calibri" w:eastAsia="Calibri" w:hAnsi="Calibri" w:cs="Calibri"/>
          <w:color w:val="000000" w:themeColor="text1"/>
        </w:rPr>
      </w:pPr>
      <w:r w:rsidRPr="00B93B7F">
        <w:rPr>
          <w:rFonts w:ascii="Calibri" w:eastAsia="Calibri" w:hAnsi="Calibri" w:cs="Calibri"/>
        </w:rPr>
        <w:t xml:space="preserve">Cotton, C (2024) </w:t>
      </w:r>
      <w:r w:rsidRPr="00B93B7F">
        <w:rPr>
          <w:rFonts w:ascii="Calibri" w:eastAsia="Calibri" w:hAnsi="Calibri" w:cs="Calibri"/>
          <w:i/>
          <w:iCs/>
        </w:rPr>
        <w:t>Pay structures and pay progression.</w:t>
      </w:r>
      <w:r w:rsidRPr="00B93B7F">
        <w:rPr>
          <w:rFonts w:ascii="Calibri" w:eastAsia="Calibri" w:hAnsi="Calibri" w:cs="Calibri"/>
        </w:rPr>
        <w:t xml:space="preserve"> Available at: </w:t>
      </w:r>
      <w:hyperlink r:id="rId24">
        <w:r w:rsidRPr="00B93B7F">
          <w:rPr>
            <w:rStyle w:val="Hyperlink"/>
            <w:rFonts w:ascii="Calibri" w:eastAsia="Calibri" w:hAnsi="Calibri" w:cs="Calibri"/>
            <w:color w:val="auto"/>
            <w:u w:val="none"/>
          </w:rPr>
          <w:t>https://www.cipd.org/uk/knowledge/factsheets/pay-structures-factsheet/</w:t>
        </w:r>
      </w:hyperlink>
      <w:r w:rsidRPr="00B93B7F">
        <w:rPr>
          <w:rFonts w:ascii="Calibri" w:eastAsia="Calibri" w:hAnsi="Calibri" w:cs="Calibri"/>
        </w:rPr>
        <w:t xml:space="preserve"> (Accessed 11 July 2024)</w:t>
      </w:r>
    </w:p>
    <w:p w14:paraId="5AC1FC56" w14:textId="77777777" w:rsidR="00FB7000" w:rsidRPr="00B93B7F" w:rsidRDefault="00FB7000" w:rsidP="26EA7004">
      <w:pPr>
        <w:pStyle w:val="Nornal"/>
        <w:spacing w:line="240" w:lineRule="auto"/>
        <w:rPr>
          <w:rFonts w:ascii="Calibri" w:eastAsia="Calibri" w:hAnsi="Calibri" w:cs="Calibri"/>
          <w:color w:val="000000" w:themeColor="text1"/>
        </w:rPr>
      </w:pPr>
      <w:r w:rsidRPr="00B93B7F">
        <w:rPr>
          <w:rFonts w:ascii="Calibri" w:eastAsia="Calibri" w:hAnsi="Calibri" w:cs="Calibri"/>
        </w:rPr>
        <w:t xml:space="preserve">Cotton, C (2024) </w:t>
      </w:r>
      <w:r w:rsidRPr="00B93B7F">
        <w:rPr>
          <w:rFonts w:ascii="Calibri" w:eastAsia="Calibri" w:hAnsi="Calibri" w:cs="Calibri"/>
          <w:i/>
          <w:iCs/>
        </w:rPr>
        <w:t>Reward: an introduction</w:t>
      </w:r>
      <w:r w:rsidRPr="00B93B7F">
        <w:rPr>
          <w:rFonts w:ascii="Calibri" w:eastAsia="Calibri" w:hAnsi="Calibri" w:cs="Calibri"/>
        </w:rPr>
        <w:t xml:space="preserve">. Available at: </w:t>
      </w:r>
      <w:hyperlink r:id="rId25">
        <w:r w:rsidRPr="00B93B7F">
          <w:rPr>
            <w:rStyle w:val="Hyperlink"/>
            <w:rFonts w:ascii="Calibri" w:eastAsia="Calibri" w:hAnsi="Calibri" w:cs="Calibri"/>
            <w:color w:val="auto"/>
            <w:u w:val="none"/>
          </w:rPr>
          <w:t>https://www.cipd.org/uk/knowledge/factsheets/reward-factsheet/</w:t>
        </w:r>
      </w:hyperlink>
      <w:r w:rsidRPr="00B93B7F">
        <w:rPr>
          <w:rFonts w:ascii="Calibri" w:eastAsia="Calibri" w:hAnsi="Calibri" w:cs="Calibri"/>
        </w:rPr>
        <w:t xml:space="preserve"> (Accessed 28 June 2024)</w:t>
      </w:r>
    </w:p>
    <w:p w14:paraId="5EFA664D" w14:textId="77777777" w:rsidR="00FB7000" w:rsidRPr="00B93B7F" w:rsidRDefault="00FB7000" w:rsidP="26EA7004">
      <w:pPr>
        <w:pStyle w:val="Nornal"/>
        <w:spacing w:line="240" w:lineRule="auto"/>
        <w:rPr>
          <w:rFonts w:ascii="Calibri" w:eastAsia="Calibri" w:hAnsi="Calibri" w:cs="Calibri"/>
          <w:color w:val="000000" w:themeColor="text1"/>
        </w:rPr>
      </w:pPr>
      <w:r w:rsidRPr="00B93B7F">
        <w:rPr>
          <w:rFonts w:ascii="Calibri" w:eastAsia="Calibri" w:hAnsi="Calibri" w:cs="Calibri"/>
        </w:rPr>
        <w:t xml:space="preserve">Cotton, C (2024) </w:t>
      </w:r>
      <w:r w:rsidRPr="00B93B7F">
        <w:rPr>
          <w:rFonts w:ascii="Calibri" w:eastAsia="Calibri" w:hAnsi="Calibri" w:cs="Calibri"/>
          <w:i/>
          <w:iCs/>
        </w:rPr>
        <w:t>Strategic reward and total reward</w:t>
      </w:r>
      <w:r w:rsidRPr="00B93B7F">
        <w:rPr>
          <w:rFonts w:ascii="Calibri" w:eastAsia="Calibri" w:hAnsi="Calibri" w:cs="Calibri"/>
        </w:rPr>
        <w:t xml:space="preserve">. Available at: </w:t>
      </w:r>
      <w:hyperlink r:id="rId26">
        <w:r w:rsidRPr="00B93B7F">
          <w:rPr>
            <w:rStyle w:val="Hyperlink"/>
            <w:rFonts w:ascii="Calibri" w:eastAsia="Calibri" w:hAnsi="Calibri" w:cs="Calibri"/>
            <w:color w:val="auto"/>
            <w:u w:val="none"/>
          </w:rPr>
          <w:t>https://www.cipd.org/uk/knowledge/factsheets/strategic-total-factsheet/</w:t>
        </w:r>
      </w:hyperlink>
      <w:r w:rsidRPr="00B93B7F">
        <w:rPr>
          <w:rFonts w:ascii="Calibri" w:eastAsia="Calibri" w:hAnsi="Calibri" w:cs="Calibri"/>
        </w:rPr>
        <w:t xml:space="preserve"> (Accessed 28 June 2024)</w:t>
      </w:r>
    </w:p>
    <w:p w14:paraId="473389DD"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Cotton, C., Gifford, J. and Young, J. (2022) </w:t>
      </w:r>
      <w:r w:rsidRPr="00B93B7F">
        <w:rPr>
          <w:rFonts w:ascii="Calibri" w:eastAsia="Calibri" w:hAnsi="Calibri" w:cs="Calibri"/>
          <w:i/>
          <w:iCs/>
          <w:sz w:val="22"/>
          <w:szCs w:val="22"/>
          <w:lang w:val="en-GB"/>
        </w:rPr>
        <w:t xml:space="preserve">Incentives and recognition: an evidence review. Practice summary and recommendations. </w:t>
      </w:r>
      <w:r w:rsidRPr="00B93B7F">
        <w:rPr>
          <w:rFonts w:ascii="Calibri" w:eastAsia="Calibri" w:hAnsi="Calibri" w:cs="Calibri"/>
          <w:sz w:val="22"/>
          <w:szCs w:val="22"/>
          <w:lang w:val="en-GB"/>
        </w:rPr>
        <w:t xml:space="preserve">Available at: </w:t>
      </w:r>
      <w:hyperlink r:id="rId27">
        <w:r w:rsidRPr="00B93B7F">
          <w:rPr>
            <w:rStyle w:val="Hyperlink"/>
            <w:rFonts w:ascii="Calibri" w:eastAsia="Calibri" w:hAnsi="Calibri" w:cs="Calibri"/>
            <w:color w:val="auto"/>
            <w:sz w:val="22"/>
            <w:szCs w:val="22"/>
            <w:u w:val="none"/>
            <w:lang w:val="en-GB"/>
          </w:rPr>
          <w:t>https://www.cipd.org/globalassets/media/knowledge/knowledge-hub/evidence-reviews/incentives-recognition-practice-summary_tcm18-105466.pdf</w:t>
        </w:r>
      </w:hyperlink>
      <w:r w:rsidRPr="00B93B7F">
        <w:rPr>
          <w:rFonts w:ascii="Calibri" w:eastAsia="Calibri" w:hAnsi="Calibri" w:cs="Calibri"/>
          <w:sz w:val="22"/>
          <w:szCs w:val="22"/>
          <w:lang w:val="en-GB"/>
        </w:rPr>
        <w:t xml:space="preserve"> (Accessed 30 June 2024)</w:t>
      </w:r>
    </w:p>
    <w:p w14:paraId="1F3CC0B9" w14:textId="77777777" w:rsidR="00FB7000" w:rsidRPr="00B93B7F" w:rsidRDefault="00FB7000" w:rsidP="26EA7004">
      <w:pPr>
        <w:spacing w:line="259" w:lineRule="auto"/>
        <w:rPr>
          <w:rFonts w:ascii="Calibri" w:eastAsia="Calibri" w:hAnsi="Calibri" w:cs="Calibri"/>
          <w:sz w:val="22"/>
          <w:szCs w:val="22"/>
        </w:rPr>
      </w:pPr>
      <w:r w:rsidRPr="00B93B7F">
        <w:rPr>
          <w:rFonts w:ascii="Calibri" w:eastAsia="Calibri" w:hAnsi="Calibri" w:cs="Calibri"/>
          <w:sz w:val="22"/>
          <w:szCs w:val="22"/>
          <w:lang w:val="en-GB"/>
        </w:rPr>
        <w:t xml:space="preserve">Cotton, C., Gifford, J. and Young, J. (2022) </w:t>
      </w:r>
      <w:r w:rsidRPr="00B93B7F">
        <w:rPr>
          <w:rFonts w:ascii="Calibri" w:eastAsia="Calibri" w:hAnsi="Calibri" w:cs="Calibri"/>
          <w:i/>
          <w:iCs/>
          <w:sz w:val="22"/>
          <w:szCs w:val="22"/>
          <w:lang w:val="en-GB"/>
        </w:rPr>
        <w:t>Incentives and recognition: an evidence review. Practice summary and recommendations</w:t>
      </w:r>
      <w:r w:rsidRPr="00B93B7F">
        <w:rPr>
          <w:rFonts w:ascii="Calibri" w:eastAsia="Calibri" w:hAnsi="Calibri" w:cs="Calibri"/>
          <w:sz w:val="22"/>
          <w:szCs w:val="22"/>
          <w:lang w:val="en-GB"/>
        </w:rPr>
        <w:t xml:space="preserve">. Available at: </w:t>
      </w:r>
      <w:hyperlink r:id="rId28">
        <w:r w:rsidRPr="00B93B7F">
          <w:rPr>
            <w:rStyle w:val="Hyperlink"/>
            <w:rFonts w:ascii="Calibri" w:eastAsia="Calibri" w:hAnsi="Calibri" w:cs="Calibri"/>
            <w:color w:val="auto"/>
            <w:sz w:val="22"/>
            <w:szCs w:val="22"/>
            <w:u w:val="none"/>
            <w:lang w:val="en-GB"/>
          </w:rPr>
          <w:t>https://www.cipd.org/uk/knowledge/evidence-reviews/evidence-financial-incentives/</w:t>
        </w:r>
      </w:hyperlink>
      <w:r w:rsidRPr="00B93B7F">
        <w:rPr>
          <w:rFonts w:ascii="Calibri" w:eastAsia="Calibri" w:hAnsi="Calibri" w:cs="Calibri"/>
          <w:sz w:val="22"/>
          <w:szCs w:val="22"/>
          <w:lang w:val="en-GB"/>
        </w:rPr>
        <w:t xml:space="preserve"> (Accessed 12 July 2024)</w:t>
      </w:r>
    </w:p>
    <w:p w14:paraId="78BA4016" w14:textId="77777777" w:rsidR="00FB7000" w:rsidRDefault="00FB7000" w:rsidP="00FB7000">
      <w:pPr>
        <w:spacing w:line="259" w:lineRule="auto"/>
        <w:rPr>
          <w:rFonts w:ascii="Calibri" w:eastAsia="Calibri" w:hAnsi="Calibri" w:cs="Calibri"/>
          <w:sz w:val="22"/>
          <w:szCs w:val="22"/>
        </w:rPr>
      </w:pPr>
      <w:r w:rsidRPr="51189991">
        <w:rPr>
          <w:rFonts w:ascii="Calibri" w:eastAsia="Calibri" w:hAnsi="Calibri" w:cs="Calibri"/>
          <w:sz w:val="22"/>
          <w:szCs w:val="22"/>
          <w:lang w:val="en-GB"/>
        </w:rPr>
        <w:t xml:space="preserve">Cotton, C., Gifford, J. and Young, J. (2022) </w:t>
      </w:r>
      <w:r w:rsidRPr="51189991">
        <w:rPr>
          <w:rFonts w:ascii="Calibri" w:eastAsia="Calibri" w:hAnsi="Calibri" w:cs="Calibri"/>
          <w:i/>
          <w:iCs/>
          <w:sz w:val="22"/>
          <w:szCs w:val="22"/>
          <w:lang w:val="en-GB"/>
        </w:rPr>
        <w:t>Incentives and recognition: an evidence review. Practice summary and recommendations</w:t>
      </w:r>
      <w:r w:rsidRPr="51189991">
        <w:rPr>
          <w:rFonts w:ascii="Calibri" w:eastAsia="Calibri" w:hAnsi="Calibri" w:cs="Calibri"/>
          <w:sz w:val="22"/>
          <w:szCs w:val="22"/>
          <w:lang w:val="en-GB"/>
        </w:rPr>
        <w:t xml:space="preserve">. Available at: </w:t>
      </w:r>
      <w:hyperlink r:id="rId29">
        <w:r w:rsidRPr="51189991">
          <w:rPr>
            <w:rStyle w:val="Hyperlink"/>
            <w:rFonts w:ascii="Calibri" w:eastAsia="Calibri" w:hAnsi="Calibri" w:cs="Calibri"/>
            <w:color w:val="auto"/>
            <w:sz w:val="22"/>
            <w:szCs w:val="22"/>
            <w:u w:val="none"/>
            <w:lang w:val="en-GB"/>
          </w:rPr>
          <w:t>https://www.cipd.org/uk/knowledge/evidence-reviews/evidence-financial-incentives/</w:t>
        </w:r>
      </w:hyperlink>
      <w:r w:rsidRPr="51189991">
        <w:rPr>
          <w:rFonts w:ascii="Calibri" w:eastAsia="Calibri" w:hAnsi="Calibri" w:cs="Calibri"/>
          <w:sz w:val="22"/>
          <w:szCs w:val="22"/>
          <w:lang w:val="en-GB"/>
        </w:rPr>
        <w:t xml:space="preserve"> (Accessed 12 July 2024)</w:t>
      </w:r>
    </w:p>
    <w:p w14:paraId="1C3985C1"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rPr>
        <w:lastRenderedPageBreak/>
        <w:t>Daniels, K. (2022) Introduction to Employment Law. 6th Edition. London: Kogan Page.</w:t>
      </w:r>
    </w:p>
    <w:p w14:paraId="65CCF708" w14:textId="77777777" w:rsidR="00FB7000" w:rsidRPr="00B93B7F" w:rsidRDefault="00FB7000" w:rsidP="26EA7004">
      <w:pPr>
        <w:shd w:val="clear" w:color="auto" w:fill="FFFFFF" w:themeFill="background1"/>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Department for Transport (2019) </w:t>
      </w:r>
      <w:r w:rsidRPr="00B93B7F">
        <w:rPr>
          <w:rFonts w:ascii="Calibri" w:eastAsia="Calibri" w:hAnsi="Calibri" w:cs="Calibri"/>
          <w:i/>
          <w:iCs/>
          <w:sz w:val="22"/>
          <w:szCs w:val="22"/>
          <w:lang w:val="en-GB"/>
        </w:rPr>
        <w:t>Cycle to Work Scheme. Guidance for Employers.</w:t>
      </w:r>
      <w:r w:rsidRPr="00B93B7F">
        <w:rPr>
          <w:rFonts w:ascii="Calibri" w:eastAsia="Calibri" w:hAnsi="Calibri" w:cs="Calibri"/>
          <w:sz w:val="22"/>
          <w:szCs w:val="22"/>
          <w:lang w:val="en-GB"/>
        </w:rPr>
        <w:t xml:space="preserve"> Available at:  </w:t>
      </w:r>
      <w:hyperlink r:id="rId30">
        <w:r w:rsidRPr="00B93B7F">
          <w:rPr>
            <w:rStyle w:val="Hyperlink"/>
            <w:rFonts w:ascii="Calibri" w:eastAsia="Calibri" w:hAnsi="Calibri" w:cs="Calibri"/>
            <w:color w:val="auto"/>
            <w:sz w:val="22"/>
            <w:szCs w:val="22"/>
            <w:u w:val="none"/>
            <w:lang w:val="en-GB"/>
          </w:rPr>
          <w:t>https://assets.publishing.service.gov.uk/government/uploads/system/uploads/attachment_data/file/845725/cycle-to-work-guidance.pdf</w:t>
        </w:r>
      </w:hyperlink>
      <w:r w:rsidRPr="00B93B7F">
        <w:rPr>
          <w:rFonts w:ascii="Calibri" w:eastAsia="Calibri" w:hAnsi="Calibri" w:cs="Calibri"/>
          <w:sz w:val="22"/>
          <w:szCs w:val="22"/>
          <w:lang w:val="en-GB"/>
        </w:rPr>
        <w:t xml:space="preserve"> (Accessed 1 July 2024)</w:t>
      </w:r>
    </w:p>
    <w:p w14:paraId="032DD769" w14:textId="77777777" w:rsidR="00FB7000" w:rsidRPr="00B93B7F" w:rsidRDefault="00FB7000" w:rsidP="26EA7004">
      <w:pPr>
        <w:spacing w:line="257" w:lineRule="auto"/>
        <w:rPr>
          <w:rFonts w:ascii="Calibri" w:eastAsia="Calibri" w:hAnsi="Calibri" w:cs="Calibri"/>
          <w:color w:val="000000" w:themeColor="text1"/>
          <w:sz w:val="22"/>
          <w:szCs w:val="22"/>
        </w:rPr>
      </w:pPr>
      <w:r w:rsidRPr="00B93B7F">
        <w:rPr>
          <w:rFonts w:ascii="Calibri" w:eastAsia="Calibri" w:hAnsi="Calibri" w:cs="Calibri"/>
          <w:i/>
          <w:iCs/>
          <w:sz w:val="22"/>
          <w:szCs w:val="22"/>
          <w:lang w:val="en-GB"/>
        </w:rPr>
        <w:t>Equality Act 2010</w:t>
      </w:r>
      <w:r w:rsidRPr="00B93B7F">
        <w:rPr>
          <w:rFonts w:ascii="Calibri" w:eastAsia="Calibri" w:hAnsi="Calibri" w:cs="Calibri"/>
          <w:sz w:val="22"/>
          <w:szCs w:val="22"/>
          <w:lang w:val="en-GB"/>
        </w:rPr>
        <w:t xml:space="preserve"> Available at: </w:t>
      </w:r>
      <w:hyperlink r:id="rId31">
        <w:r w:rsidRPr="00B93B7F">
          <w:rPr>
            <w:rStyle w:val="Hyperlink"/>
            <w:rFonts w:ascii="Calibri" w:eastAsia="Calibri" w:hAnsi="Calibri" w:cs="Calibri"/>
            <w:color w:val="auto"/>
            <w:sz w:val="22"/>
            <w:szCs w:val="22"/>
            <w:u w:val="none"/>
            <w:lang w:val="en-GB"/>
          </w:rPr>
          <w:t>https://www.gov.uk/guidance/equality-act-2010-guidance</w:t>
        </w:r>
      </w:hyperlink>
      <w:r w:rsidRPr="00B93B7F">
        <w:rPr>
          <w:rFonts w:ascii="Calibri" w:eastAsia="Calibri" w:hAnsi="Calibri" w:cs="Calibri"/>
          <w:sz w:val="22"/>
          <w:szCs w:val="22"/>
          <w:lang w:val="en-GB"/>
        </w:rPr>
        <w:t xml:space="preserve"> (Accessed 30 June 2024)</w:t>
      </w:r>
    </w:p>
    <w:p w14:paraId="10AD8108" w14:textId="77777777" w:rsidR="00FB7000" w:rsidRPr="00B93B7F" w:rsidRDefault="00FB7000" w:rsidP="00FB7000">
      <w:pPr>
        <w:spacing w:line="259" w:lineRule="auto"/>
        <w:rPr>
          <w:rFonts w:ascii="Calibri" w:eastAsia="Calibri" w:hAnsi="Calibri" w:cs="Calibri"/>
          <w:color w:val="000000" w:themeColor="text1"/>
          <w:sz w:val="22"/>
          <w:szCs w:val="22"/>
        </w:rPr>
      </w:pPr>
      <w:r w:rsidRPr="51189991">
        <w:rPr>
          <w:rFonts w:ascii="Calibri" w:eastAsia="Calibri" w:hAnsi="Calibri" w:cs="Calibri"/>
          <w:color w:val="000000" w:themeColor="text1"/>
          <w:sz w:val="22"/>
          <w:szCs w:val="22"/>
          <w:lang w:val="en-GB"/>
        </w:rPr>
        <w:t xml:space="preserve">Gallup (2016) </w:t>
      </w:r>
      <w:r w:rsidRPr="51189991">
        <w:rPr>
          <w:rFonts w:ascii="Calibri" w:eastAsia="Calibri" w:hAnsi="Calibri" w:cs="Calibri"/>
          <w:i/>
          <w:iCs/>
          <w:color w:val="000000" w:themeColor="text1"/>
          <w:sz w:val="22"/>
          <w:szCs w:val="22"/>
          <w:lang w:val="en-GB"/>
        </w:rPr>
        <w:t>The Importance of Employee Recognition: Low Cost, High Impact</w:t>
      </w:r>
      <w:r w:rsidRPr="51189991">
        <w:rPr>
          <w:rFonts w:ascii="Calibri" w:eastAsia="Calibri" w:hAnsi="Calibri" w:cs="Calibri"/>
          <w:color w:val="000000" w:themeColor="text1"/>
          <w:sz w:val="22"/>
          <w:szCs w:val="22"/>
          <w:lang w:val="en-GB"/>
        </w:rPr>
        <w:t xml:space="preserve">. Available at: </w:t>
      </w:r>
      <w:hyperlink r:id="rId32" w:anchor=":~:text=Gallup%27s%20data%20reveal%20that%20the,or%20a%20thank%2Dyou%20card">
        <w:r w:rsidRPr="51189991">
          <w:rPr>
            <w:rStyle w:val="Hyperlink"/>
            <w:rFonts w:ascii="Calibri" w:eastAsia="Calibri" w:hAnsi="Calibri" w:cs="Calibri"/>
            <w:color w:val="000000" w:themeColor="text1"/>
            <w:sz w:val="22"/>
            <w:szCs w:val="22"/>
            <w:lang w:val="en-GB"/>
          </w:rPr>
          <w:t>https://www.gallup.com/workplace/236441/employee-recognition-low-cost-high-impact.aspx#:~:text=Gallup%27s%20data%20reveal%20that%20the,or%20a%20thank%2Dyou%20card</w:t>
        </w:r>
      </w:hyperlink>
      <w:r w:rsidRPr="51189991">
        <w:rPr>
          <w:rFonts w:ascii="Calibri" w:eastAsia="Calibri" w:hAnsi="Calibri" w:cs="Calibri"/>
          <w:color w:val="000000" w:themeColor="text1"/>
          <w:sz w:val="22"/>
          <w:szCs w:val="22"/>
          <w:lang w:val="en-GB"/>
        </w:rPr>
        <w:t>.</w:t>
      </w:r>
    </w:p>
    <w:p w14:paraId="6B3BD7FD" w14:textId="77777777" w:rsidR="00FB7000" w:rsidRPr="00B93B7F" w:rsidRDefault="00FB7000" w:rsidP="00FB7000">
      <w:pPr>
        <w:spacing w:line="259" w:lineRule="auto"/>
        <w:rPr>
          <w:rFonts w:ascii="Calibri" w:eastAsia="Calibri" w:hAnsi="Calibri" w:cs="Calibri"/>
          <w:color w:val="000000" w:themeColor="text1"/>
          <w:sz w:val="22"/>
          <w:szCs w:val="22"/>
        </w:rPr>
      </w:pPr>
      <w:r w:rsidRPr="51189991">
        <w:rPr>
          <w:rFonts w:ascii="Calibri" w:eastAsia="Calibri" w:hAnsi="Calibri" w:cs="Calibri"/>
          <w:color w:val="000000" w:themeColor="text1"/>
          <w:sz w:val="22"/>
          <w:szCs w:val="22"/>
          <w:lang w:val="en-GB"/>
        </w:rPr>
        <w:t xml:space="preserve">Gallup (2023) </w:t>
      </w:r>
      <w:r w:rsidRPr="51189991">
        <w:rPr>
          <w:rFonts w:ascii="Calibri" w:eastAsia="Calibri" w:hAnsi="Calibri" w:cs="Calibri"/>
          <w:i/>
          <w:iCs/>
          <w:color w:val="000000" w:themeColor="text1"/>
          <w:sz w:val="22"/>
          <w:szCs w:val="22"/>
          <w:lang w:val="en-GB"/>
        </w:rPr>
        <w:t>Empowering Workplace Culture Through Recognition</w:t>
      </w:r>
      <w:r w:rsidRPr="51189991">
        <w:rPr>
          <w:rFonts w:ascii="Calibri" w:eastAsia="Calibri" w:hAnsi="Calibri" w:cs="Calibri"/>
          <w:color w:val="000000" w:themeColor="text1"/>
          <w:sz w:val="22"/>
          <w:szCs w:val="22"/>
          <w:lang w:val="en-GB"/>
        </w:rPr>
        <w:t xml:space="preserve">. Available at: </w:t>
      </w:r>
      <w:hyperlink r:id="rId33">
        <w:r w:rsidRPr="51189991">
          <w:rPr>
            <w:rStyle w:val="Hyperlink"/>
            <w:rFonts w:ascii="Calibri" w:eastAsia="Calibri" w:hAnsi="Calibri" w:cs="Calibri"/>
            <w:color w:val="000000" w:themeColor="text1"/>
            <w:sz w:val="22"/>
            <w:szCs w:val="22"/>
            <w:u w:val="none"/>
            <w:lang w:val="en-GB"/>
          </w:rPr>
          <w:t>Gallup-Workhuman-Workplace-Culture-Report.pdf</w:t>
        </w:r>
      </w:hyperlink>
      <w:r w:rsidRPr="51189991">
        <w:rPr>
          <w:rFonts w:ascii="Calibri" w:eastAsia="Calibri" w:hAnsi="Calibri" w:cs="Calibri"/>
          <w:color w:val="000000" w:themeColor="text1"/>
          <w:sz w:val="22"/>
          <w:szCs w:val="22"/>
          <w:lang w:val="en-GB"/>
        </w:rPr>
        <w:t xml:space="preserve"> (Accessed 25 July 2024)</w:t>
      </w:r>
    </w:p>
    <w:p w14:paraId="71D9EBB6"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Gov.UK (Nd) Available at: National Minimum Wage and National Living Wage rates </w:t>
      </w:r>
      <w:hyperlink r:id="rId34">
        <w:r w:rsidRPr="00B93B7F">
          <w:rPr>
            <w:rStyle w:val="Hyperlink"/>
            <w:rFonts w:ascii="Calibri" w:eastAsia="Calibri" w:hAnsi="Calibri" w:cs="Calibri"/>
            <w:color w:val="auto"/>
            <w:sz w:val="22"/>
            <w:szCs w:val="22"/>
            <w:u w:val="none"/>
            <w:lang w:val="en-GB"/>
          </w:rPr>
          <w:t>https://www.gov.uk/national-minimum-wage-rates</w:t>
        </w:r>
      </w:hyperlink>
      <w:r w:rsidRPr="00B93B7F">
        <w:rPr>
          <w:rFonts w:ascii="Calibri" w:eastAsia="Calibri" w:hAnsi="Calibri" w:cs="Calibri"/>
          <w:sz w:val="22"/>
          <w:szCs w:val="22"/>
          <w:lang w:val="en-GB"/>
        </w:rPr>
        <w:t xml:space="preserve"> (Accessed 30 June 2024)</w:t>
      </w:r>
    </w:p>
    <w:p w14:paraId="5034870C"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HM Revenue &amp; Customs (2024) </w:t>
      </w:r>
      <w:r w:rsidRPr="00B93B7F">
        <w:rPr>
          <w:rFonts w:ascii="Calibri" w:eastAsia="Calibri" w:hAnsi="Calibri" w:cs="Calibri"/>
          <w:i/>
          <w:iCs/>
          <w:sz w:val="22"/>
          <w:szCs w:val="22"/>
          <w:lang w:val="en-GB"/>
        </w:rPr>
        <w:t>National Minimum Wage Manual</w:t>
      </w:r>
      <w:r w:rsidRPr="00B93B7F">
        <w:rPr>
          <w:rFonts w:ascii="Calibri" w:eastAsia="Calibri" w:hAnsi="Calibri" w:cs="Calibri"/>
          <w:sz w:val="22"/>
          <w:szCs w:val="22"/>
          <w:lang w:val="en-GB"/>
        </w:rPr>
        <w:t xml:space="preserve"> Available at: </w:t>
      </w:r>
      <w:hyperlink r:id="rId35">
        <w:r w:rsidRPr="00B93B7F">
          <w:rPr>
            <w:rStyle w:val="Hyperlink"/>
            <w:rFonts w:ascii="Calibri" w:eastAsia="Calibri" w:hAnsi="Calibri" w:cs="Calibri"/>
            <w:color w:val="auto"/>
            <w:sz w:val="22"/>
            <w:szCs w:val="22"/>
            <w:u w:val="none"/>
            <w:lang w:val="en-GB"/>
          </w:rPr>
          <w:t>https://www.gov.uk/hmrc-internal-manuals/national-minimum-wage-manual/nmwm09140</w:t>
        </w:r>
      </w:hyperlink>
      <w:r w:rsidRPr="00B93B7F">
        <w:rPr>
          <w:rFonts w:ascii="Calibri" w:eastAsia="Calibri" w:hAnsi="Calibri" w:cs="Calibri"/>
          <w:sz w:val="22"/>
          <w:szCs w:val="22"/>
          <w:lang w:val="en-GB"/>
        </w:rPr>
        <w:t xml:space="preserve"> (Accessed 2 July 2024)</w:t>
      </w:r>
    </w:p>
    <w:p w14:paraId="0A2DC0C9" w14:textId="77777777" w:rsidR="00FB7000" w:rsidRPr="00B93B7F" w:rsidRDefault="00FB7000" w:rsidP="26EA7004">
      <w:pPr>
        <w:pStyle w:val="Nornal"/>
        <w:spacing w:line="259" w:lineRule="auto"/>
        <w:rPr>
          <w:rFonts w:ascii="Calibri" w:eastAsia="Calibri" w:hAnsi="Calibri" w:cs="Calibri"/>
          <w:color w:val="000000" w:themeColor="text1"/>
        </w:rPr>
      </w:pPr>
      <w:bookmarkStart w:id="12" w:name="_Int_JiIINLPK"/>
      <w:r w:rsidRPr="51189991">
        <w:rPr>
          <w:rFonts w:ascii="Calibri" w:eastAsia="Calibri" w:hAnsi="Calibri" w:cs="Calibri"/>
        </w:rPr>
        <w:t>Jeffrey, R. (2019) </w:t>
      </w:r>
      <w:r w:rsidRPr="51189991">
        <w:rPr>
          <w:rFonts w:ascii="Calibri" w:eastAsia="Calibri" w:hAnsi="Calibri" w:cs="Calibri"/>
          <w:i/>
          <w:iCs/>
        </w:rPr>
        <w:t>How much should you really pay your people?</w:t>
      </w:r>
      <w:bookmarkEnd w:id="12"/>
      <w:r w:rsidRPr="51189991">
        <w:rPr>
          <w:rFonts w:ascii="Calibri" w:eastAsia="Calibri" w:hAnsi="Calibri" w:cs="Calibri"/>
        </w:rPr>
        <w:t> Available at:</w:t>
      </w:r>
      <w:r w:rsidRPr="51189991">
        <w:rPr>
          <w:rStyle w:val="Emphasis"/>
          <w:rFonts w:ascii="Calibri" w:eastAsia="Calibri" w:hAnsi="Calibri" w:cs="Calibri"/>
        </w:rPr>
        <w:t xml:space="preserve"> </w:t>
      </w:r>
      <w:hyperlink r:id="rId36">
        <w:r w:rsidRPr="51189991">
          <w:rPr>
            <w:rStyle w:val="Hyperlink"/>
            <w:rFonts w:ascii="Calibri" w:eastAsia="Calibri" w:hAnsi="Calibri" w:cs="Calibri"/>
            <w:color w:val="auto"/>
            <w:u w:val="none"/>
          </w:rPr>
          <w:t>https://www.peoplemanagement.co.uk/article/1744300/how-much-really-pay-people</w:t>
        </w:r>
      </w:hyperlink>
      <w:r w:rsidRPr="51189991">
        <w:rPr>
          <w:rFonts w:ascii="Calibri" w:eastAsia="Calibri" w:hAnsi="Calibri" w:cs="Calibri"/>
        </w:rPr>
        <w:t xml:space="preserve"> (Accessed 11 July 2024)</w:t>
      </w:r>
    </w:p>
    <w:p w14:paraId="1849A84D"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Marriott, L (2018) </w:t>
      </w:r>
      <w:r w:rsidRPr="00B93B7F">
        <w:rPr>
          <w:rFonts w:ascii="Calibri" w:eastAsia="Calibri" w:hAnsi="Calibri" w:cs="Calibri"/>
          <w:i/>
          <w:iCs/>
          <w:sz w:val="22"/>
          <w:szCs w:val="22"/>
          <w:lang w:val="en-GB"/>
        </w:rPr>
        <w:t>REWARD MANAGEMENT Focus on employee benefits.</w:t>
      </w:r>
      <w:r w:rsidRPr="00B93B7F">
        <w:rPr>
          <w:rFonts w:ascii="Calibri" w:eastAsia="Calibri" w:hAnsi="Calibri" w:cs="Calibri"/>
          <w:sz w:val="22"/>
          <w:szCs w:val="22"/>
          <w:lang w:val="en-GB"/>
        </w:rPr>
        <w:t xml:space="preserve"> Available at: </w:t>
      </w:r>
      <w:hyperlink r:id="rId37">
        <w:r w:rsidRPr="00B93B7F">
          <w:rPr>
            <w:rStyle w:val="Hyperlink"/>
            <w:rFonts w:ascii="Calibri" w:eastAsia="Calibri" w:hAnsi="Calibri" w:cs="Calibri"/>
            <w:color w:val="auto"/>
            <w:sz w:val="22"/>
            <w:szCs w:val="22"/>
            <w:u w:val="none"/>
            <w:lang w:val="en-GB"/>
          </w:rPr>
          <w:t>https://www.cipd.org/globalassets/media/knowledge/knowledge-hub/reports/2018-pdfs/reward-management-report-2018_tcm18-51630.pdf</w:t>
        </w:r>
      </w:hyperlink>
      <w:r w:rsidRPr="00B93B7F">
        <w:rPr>
          <w:rFonts w:ascii="Calibri" w:eastAsia="Calibri" w:hAnsi="Calibri" w:cs="Calibri"/>
          <w:sz w:val="22"/>
          <w:szCs w:val="22"/>
          <w:lang w:val="en-GB"/>
        </w:rPr>
        <w:t xml:space="preserve"> (Accessed 6 July 2024)</w:t>
      </w:r>
    </w:p>
    <w:p w14:paraId="5CCA5E2C"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Maslow, A (1954) </w:t>
      </w:r>
      <w:r w:rsidRPr="00B93B7F">
        <w:rPr>
          <w:rFonts w:ascii="Calibri" w:eastAsia="Calibri" w:hAnsi="Calibri" w:cs="Calibri"/>
          <w:i/>
          <w:iCs/>
          <w:sz w:val="22"/>
          <w:szCs w:val="22"/>
          <w:lang w:val="en-GB"/>
        </w:rPr>
        <w:t>Motivation and Personality</w:t>
      </w:r>
      <w:r w:rsidRPr="00B93B7F">
        <w:rPr>
          <w:rFonts w:ascii="Calibri" w:eastAsia="Calibri" w:hAnsi="Calibri" w:cs="Calibri"/>
          <w:sz w:val="22"/>
          <w:szCs w:val="22"/>
          <w:lang w:val="en-GB"/>
        </w:rPr>
        <w:t>, New York, Harper &amp; Row</w:t>
      </w:r>
    </w:p>
    <w:p w14:paraId="5A8BB3C5" w14:textId="77777777" w:rsidR="00FB7000" w:rsidRPr="00B93B7F" w:rsidRDefault="00FB7000" w:rsidP="26EA7004">
      <w:pPr>
        <w:pStyle w:val="Nornal"/>
        <w:spacing w:line="256" w:lineRule="auto"/>
        <w:rPr>
          <w:rFonts w:ascii="Calibri" w:eastAsia="Calibri" w:hAnsi="Calibri" w:cs="Calibri"/>
          <w:color w:val="000000" w:themeColor="text1"/>
        </w:rPr>
      </w:pPr>
      <w:r w:rsidRPr="00B93B7F">
        <w:rPr>
          <w:rFonts w:ascii="Calibri" w:eastAsia="Calibri" w:hAnsi="Calibri" w:cs="Calibri"/>
          <w:i/>
          <w:iCs/>
        </w:rPr>
        <w:t>National Minimum Wage Act 1998</w:t>
      </w:r>
      <w:r w:rsidRPr="00B93B7F">
        <w:rPr>
          <w:rFonts w:ascii="Calibri" w:eastAsia="Calibri" w:hAnsi="Calibri" w:cs="Calibri"/>
        </w:rPr>
        <w:t xml:space="preserve"> Available at: </w:t>
      </w:r>
      <w:hyperlink r:id="rId38">
        <w:r w:rsidRPr="00B93B7F">
          <w:rPr>
            <w:rStyle w:val="Hyperlink"/>
            <w:rFonts w:ascii="Calibri" w:eastAsia="Calibri" w:hAnsi="Calibri" w:cs="Calibri"/>
            <w:color w:val="auto"/>
            <w:u w:val="none"/>
          </w:rPr>
          <w:t>https://www.legislation.gov.uk/ukpga/1998/39/contents</w:t>
        </w:r>
      </w:hyperlink>
      <w:r w:rsidRPr="00B93B7F">
        <w:rPr>
          <w:rFonts w:ascii="Calibri" w:eastAsia="Calibri" w:hAnsi="Calibri" w:cs="Calibri"/>
        </w:rPr>
        <w:t xml:space="preserve"> (Accessed 4 July 2024)</w:t>
      </w:r>
    </w:p>
    <w:p w14:paraId="3C7C7B16"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Perkins, S.J. (ed) (2022) </w:t>
      </w:r>
      <w:r w:rsidRPr="00B93B7F">
        <w:rPr>
          <w:rFonts w:ascii="Calibri" w:eastAsia="Calibri" w:hAnsi="Calibri" w:cs="Calibri"/>
          <w:i/>
          <w:iCs/>
          <w:sz w:val="22"/>
          <w:szCs w:val="22"/>
          <w:lang w:val="en-GB"/>
        </w:rPr>
        <w:t>The Routledge companion to reward management</w:t>
      </w:r>
      <w:r w:rsidRPr="00B93B7F">
        <w:rPr>
          <w:rFonts w:ascii="Calibri" w:eastAsia="Calibri" w:hAnsi="Calibri" w:cs="Calibri"/>
          <w:sz w:val="22"/>
          <w:szCs w:val="22"/>
          <w:lang w:val="en-GB"/>
        </w:rPr>
        <w:t>. London and New York: Routledge</w:t>
      </w:r>
    </w:p>
    <w:p w14:paraId="0E8AD1C3"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Perkins, S.J. and Jones, S.E. (2024) </w:t>
      </w:r>
      <w:r w:rsidRPr="00B93B7F">
        <w:rPr>
          <w:rFonts w:ascii="Calibri" w:eastAsia="Calibri" w:hAnsi="Calibri" w:cs="Calibri"/>
          <w:i/>
          <w:iCs/>
          <w:sz w:val="22"/>
          <w:szCs w:val="22"/>
          <w:lang w:val="en-GB"/>
        </w:rPr>
        <w:t>Reward management: alternatives, consequences, and contexts</w:t>
      </w:r>
      <w:r w:rsidRPr="00B93B7F">
        <w:rPr>
          <w:rFonts w:ascii="Calibri" w:eastAsia="Calibri" w:hAnsi="Calibri" w:cs="Calibri"/>
          <w:sz w:val="22"/>
          <w:szCs w:val="22"/>
          <w:lang w:val="en-GB"/>
        </w:rPr>
        <w:t>. 5th ed. London: CIPD and Kogan Page.</w:t>
      </w:r>
    </w:p>
    <w:p w14:paraId="7E9DE65A" w14:textId="77777777" w:rsidR="00FB7000" w:rsidRPr="00B93B7F" w:rsidRDefault="00FB7000" w:rsidP="26EA7004">
      <w:pPr>
        <w:pStyle w:val="Nornal"/>
        <w:spacing w:line="259" w:lineRule="auto"/>
        <w:rPr>
          <w:rFonts w:ascii="Calibri" w:eastAsia="Calibri" w:hAnsi="Calibri" w:cs="Calibri"/>
          <w:color w:val="000000" w:themeColor="text1"/>
        </w:rPr>
      </w:pPr>
      <w:r w:rsidRPr="00B93B7F">
        <w:rPr>
          <w:rFonts w:ascii="Calibri" w:eastAsia="Calibri" w:hAnsi="Calibri" w:cs="Calibri"/>
        </w:rPr>
        <w:t>Perkins, S.J. and White, G. (2020) Reward management: alternatives, consequences, and contexts. 4th ed. London: Chartered Institute of Personnel and Development.</w:t>
      </w:r>
    </w:p>
    <w:p w14:paraId="0A9AF399" w14:textId="77777777" w:rsidR="00FB7000" w:rsidRPr="00B93B7F" w:rsidRDefault="00FB7000" w:rsidP="26EA7004">
      <w:pPr>
        <w:spacing w:line="256" w:lineRule="auto"/>
        <w:rPr>
          <w:rFonts w:ascii="Calibri" w:eastAsia="Calibri" w:hAnsi="Calibri" w:cs="Calibri"/>
          <w:color w:val="000000" w:themeColor="text1"/>
          <w:sz w:val="22"/>
          <w:szCs w:val="22"/>
        </w:rPr>
      </w:pPr>
      <w:bookmarkStart w:id="13" w:name="_Int_cy7gxHvi"/>
      <w:r w:rsidRPr="51189991">
        <w:rPr>
          <w:rFonts w:ascii="Calibri" w:eastAsia="Calibri" w:hAnsi="Calibri" w:cs="Calibri"/>
          <w:sz w:val="22"/>
          <w:szCs w:val="22"/>
          <w:lang w:val="en-GB"/>
        </w:rPr>
        <w:t xml:space="preserve">Prestwood, D (2021) </w:t>
      </w:r>
      <w:r w:rsidRPr="51189991">
        <w:rPr>
          <w:rFonts w:ascii="Calibri" w:eastAsia="Calibri" w:hAnsi="Calibri" w:cs="Calibri"/>
          <w:i/>
          <w:iCs/>
          <w:sz w:val="22"/>
          <w:szCs w:val="22"/>
          <w:lang w:val="en-GB"/>
        </w:rPr>
        <w:t>Public data for Public Good: Making sure official statistics are better joined-up.</w:t>
      </w:r>
      <w:bookmarkEnd w:id="13"/>
      <w:r w:rsidRPr="51189991">
        <w:rPr>
          <w:rFonts w:ascii="Calibri" w:eastAsia="Calibri" w:hAnsi="Calibri" w:cs="Calibri"/>
          <w:sz w:val="22"/>
          <w:szCs w:val="22"/>
          <w:lang w:val="en-GB"/>
        </w:rPr>
        <w:t xml:space="preserve"> Available at: </w:t>
      </w:r>
      <w:hyperlink r:id="rId39">
        <w:r w:rsidRPr="51189991">
          <w:rPr>
            <w:rStyle w:val="Hyperlink"/>
            <w:rFonts w:ascii="Calibri" w:eastAsia="Calibri" w:hAnsi="Calibri" w:cs="Calibri"/>
            <w:color w:val="auto"/>
            <w:sz w:val="22"/>
            <w:szCs w:val="22"/>
            <w:u w:val="none"/>
            <w:lang w:val="en-GB"/>
          </w:rPr>
          <w:t>https://blog.ons.gov.uk/2021/06/29/public-data-for-public-good-making-sure-official-statistics-are-better-joined-up/</w:t>
        </w:r>
      </w:hyperlink>
      <w:r w:rsidRPr="51189991">
        <w:rPr>
          <w:rFonts w:ascii="Calibri" w:eastAsia="Calibri" w:hAnsi="Calibri" w:cs="Calibri"/>
          <w:sz w:val="22"/>
          <w:szCs w:val="22"/>
          <w:lang w:val="en-GB"/>
        </w:rPr>
        <w:t xml:space="preserve"> (Accessed 3 July 2024)</w:t>
      </w:r>
    </w:p>
    <w:p w14:paraId="757FF372"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lastRenderedPageBreak/>
        <w:t xml:space="preserve">Rickard, C (2023) </w:t>
      </w:r>
      <w:r w:rsidRPr="00B93B7F">
        <w:rPr>
          <w:rFonts w:ascii="Calibri" w:eastAsia="Calibri" w:hAnsi="Calibri" w:cs="Calibri"/>
          <w:i/>
          <w:iCs/>
          <w:sz w:val="22"/>
          <w:szCs w:val="22"/>
          <w:lang w:val="en-GB"/>
        </w:rPr>
        <w:t xml:space="preserve">Employee financial wellbeing </w:t>
      </w:r>
      <w:r w:rsidRPr="00B93B7F">
        <w:rPr>
          <w:rFonts w:ascii="Calibri" w:eastAsia="Calibri" w:hAnsi="Calibri" w:cs="Calibri"/>
          <w:sz w:val="22"/>
          <w:szCs w:val="22"/>
          <w:lang w:val="en-GB"/>
        </w:rPr>
        <w:t xml:space="preserve">Available at: </w:t>
      </w:r>
      <w:hyperlink r:id="rId40">
        <w:r w:rsidRPr="00B93B7F">
          <w:rPr>
            <w:rStyle w:val="Hyperlink"/>
            <w:rFonts w:ascii="Calibri" w:eastAsia="Calibri" w:hAnsi="Calibri" w:cs="Calibri"/>
            <w:color w:val="auto"/>
            <w:sz w:val="22"/>
            <w:szCs w:val="22"/>
            <w:u w:val="none"/>
            <w:lang w:val="en-GB"/>
          </w:rPr>
          <w:t>https://www.cipd.org/uk/knowledge/guides/employee-financial-well-being/</w:t>
        </w:r>
      </w:hyperlink>
      <w:r w:rsidRPr="00B93B7F">
        <w:rPr>
          <w:rFonts w:ascii="Calibri" w:eastAsia="Calibri" w:hAnsi="Calibri" w:cs="Calibri"/>
          <w:sz w:val="22"/>
          <w:szCs w:val="22"/>
          <w:lang w:val="en-GB"/>
        </w:rPr>
        <w:t xml:space="preserve"> (Accessed 3 July 2024)</w:t>
      </w:r>
    </w:p>
    <w:p w14:paraId="48AB4577"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Rose, M. (2018) </w:t>
      </w:r>
      <w:r w:rsidRPr="00B93B7F">
        <w:rPr>
          <w:rFonts w:ascii="Calibri" w:eastAsia="Calibri" w:hAnsi="Calibri" w:cs="Calibri"/>
          <w:i/>
          <w:iCs/>
          <w:sz w:val="22"/>
          <w:szCs w:val="22"/>
          <w:lang w:val="en-GB"/>
        </w:rPr>
        <w:t>Reward management: a practical introduction</w:t>
      </w:r>
      <w:r w:rsidRPr="00B93B7F">
        <w:rPr>
          <w:rFonts w:ascii="Calibri" w:eastAsia="Calibri" w:hAnsi="Calibri" w:cs="Calibri"/>
          <w:sz w:val="22"/>
          <w:szCs w:val="22"/>
          <w:lang w:val="en-GB"/>
        </w:rPr>
        <w:t>. 2nd ed. HR Fundamentals. London: CIPD and Kogan Page.</w:t>
      </w:r>
    </w:p>
    <w:p w14:paraId="6D94B32E"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Rose, M. (2022) </w:t>
      </w:r>
      <w:r w:rsidRPr="00B93B7F">
        <w:rPr>
          <w:rFonts w:ascii="Calibri" w:eastAsia="Calibri" w:hAnsi="Calibri" w:cs="Calibri"/>
          <w:i/>
          <w:iCs/>
          <w:sz w:val="22"/>
          <w:szCs w:val="22"/>
          <w:lang w:val="en-GB"/>
        </w:rPr>
        <w:t>Reward management: a practical introduction</w:t>
      </w:r>
      <w:r w:rsidRPr="00B93B7F">
        <w:rPr>
          <w:rFonts w:ascii="Calibri" w:eastAsia="Calibri" w:hAnsi="Calibri" w:cs="Calibri"/>
          <w:sz w:val="22"/>
          <w:szCs w:val="22"/>
          <w:lang w:val="en-GB"/>
        </w:rPr>
        <w:t>. 3rd ed. HR Fundamentals. London: Kogan Page</w:t>
      </w:r>
    </w:p>
    <w:p w14:paraId="7CAADA74" w14:textId="77777777" w:rsidR="00FB7000" w:rsidRPr="00B93B7F" w:rsidRDefault="00FB7000" w:rsidP="26EA7004">
      <w:pPr>
        <w:pStyle w:val="Nornal"/>
        <w:spacing w:line="240" w:lineRule="auto"/>
        <w:rPr>
          <w:rFonts w:ascii="Calibri" w:eastAsia="Calibri" w:hAnsi="Calibri" w:cs="Calibri"/>
          <w:color w:val="000000" w:themeColor="text1"/>
        </w:rPr>
      </w:pPr>
      <w:r w:rsidRPr="00B93B7F">
        <w:rPr>
          <w:rFonts w:ascii="Calibri" w:eastAsia="Calibri" w:hAnsi="Calibri" w:cs="Calibri"/>
        </w:rPr>
        <w:t>Suff, R (2021)</w:t>
      </w:r>
      <w:r w:rsidRPr="00B93B7F">
        <w:rPr>
          <w:rFonts w:ascii="Calibri" w:eastAsia="Calibri" w:hAnsi="Calibri" w:cs="Calibri"/>
          <w:i/>
          <w:iCs/>
        </w:rPr>
        <w:t xml:space="preserve"> WHAT SHOULD AN EFFECTIVE SICK PAY SYSTEM LOOK LIKE? </w:t>
      </w:r>
      <w:r w:rsidRPr="00B93B7F">
        <w:rPr>
          <w:rFonts w:ascii="Calibri" w:eastAsia="Calibri" w:hAnsi="Calibri" w:cs="Calibri"/>
        </w:rPr>
        <w:t xml:space="preserve">Available at: </w:t>
      </w:r>
      <w:hyperlink r:id="rId41">
        <w:r w:rsidRPr="00B93B7F">
          <w:rPr>
            <w:rStyle w:val="Hyperlink"/>
            <w:rFonts w:ascii="Calibri" w:eastAsia="Calibri" w:hAnsi="Calibri" w:cs="Calibri"/>
            <w:color w:val="auto"/>
            <w:u w:val="none"/>
          </w:rPr>
          <w:t>https://www.cipd.org/globalassets/media/knowledge/knowledge-hub/guides/2023-pdfs/sick-pay-reform_tcm18-104511.pdf</w:t>
        </w:r>
      </w:hyperlink>
      <w:r w:rsidRPr="00B93B7F">
        <w:rPr>
          <w:rFonts w:ascii="Calibri" w:eastAsia="Calibri" w:hAnsi="Calibri" w:cs="Calibri"/>
        </w:rPr>
        <w:t xml:space="preserve"> (Accessed 1 July 2024)</w:t>
      </w:r>
    </w:p>
    <w:p w14:paraId="418B7FF6" w14:textId="77777777" w:rsidR="00FB7000" w:rsidRPr="00B93B7F" w:rsidRDefault="00FB7000" w:rsidP="26EA7004">
      <w:pPr>
        <w:spacing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Suff, R (2024) </w:t>
      </w:r>
      <w:r w:rsidRPr="00B93B7F">
        <w:rPr>
          <w:rFonts w:ascii="Calibri" w:eastAsia="Calibri" w:hAnsi="Calibri" w:cs="Calibri"/>
          <w:i/>
          <w:iCs/>
          <w:sz w:val="22"/>
          <w:szCs w:val="22"/>
          <w:lang w:val="en-GB"/>
        </w:rPr>
        <w:t>Wellbeing at work</w:t>
      </w:r>
      <w:r w:rsidRPr="00B93B7F">
        <w:rPr>
          <w:rFonts w:ascii="Calibri" w:eastAsia="Calibri" w:hAnsi="Calibri" w:cs="Calibri"/>
          <w:sz w:val="22"/>
          <w:szCs w:val="22"/>
          <w:lang w:val="en-GB"/>
        </w:rPr>
        <w:t xml:space="preserve"> Available at: </w:t>
      </w:r>
      <w:hyperlink r:id="rId42">
        <w:r w:rsidRPr="00B93B7F">
          <w:rPr>
            <w:rStyle w:val="Hyperlink"/>
            <w:rFonts w:ascii="Calibri" w:eastAsia="Calibri" w:hAnsi="Calibri" w:cs="Calibri"/>
            <w:color w:val="auto"/>
            <w:sz w:val="22"/>
            <w:szCs w:val="22"/>
            <w:u w:val="none"/>
            <w:lang w:val="en-GB"/>
          </w:rPr>
          <w:t>https://www.cipd.org/en/knowledge/factsheets/well-being-factsheet/</w:t>
        </w:r>
      </w:hyperlink>
      <w:r w:rsidRPr="00B93B7F">
        <w:rPr>
          <w:rFonts w:ascii="Calibri" w:eastAsia="Calibri" w:hAnsi="Calibri" w:cs="Calibri"/>
          <w:sz w:val="22"/>
          <w:szCs w:val="22"/>
          <w:lang w:val="en-GB"/>
        </w:rPr>
        <w:t xml:space="preserve"> (Accessed 3 July 2024)</w:t>
      </w:r>
    </w:p>
    <w:p w14:paraId="1FB8E8E5" w14:textId="77777777" w:rsidR="00FB7000" w:rsidRPr="00B93B7F" w:rsidRDefault="00FB7000" w:rsidP="26EA7004">
      <w:pPr>
        <w:shd w:val="clear" w:color="auto" w:fill="FFFFFF" w:themeFill="background1"/>
        <w:spacing w:before="270" w:after="270" w:line="256"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Taylor, S. and Woodhams, C. (2022) Human resource management: people and organisations. Third Edition. Edited by S. Taylor and C. Woodhams. London: Kogan Page.</w:t>
      </w:r>
    </w:p>
    <w:p w14:paraId="13CB5B95" w14:textId="77777777" w:rsidR="00FB7000" w:rsidRPr="00B93B7F" w:rsidRDefault="00FB7000" w:rsidP="26EA7004">
      <w:pPr>
        <w:spacing w:line="259" w:lineRule="auto"/>
        <w:rPr>
          <w:rFonts w:ascii="Calibri" w:eastAsia="Calibri" w:hAnsi="Calibri" w:cs="Calibri"/>
          <w:color w:val="000000" w:themeColor="text1"/>
          <w:sz w:val="22"/>
          <w:szCs w:val="22"/>
        </w:rPr>
      </w:pPr>
      <w:r w:rsidRPr="00B93B7F">
        <w:rPr>
          <w:rFonts w:ascii="Calibri" w:eastAsia="Calibri" w:hAnsi="Calibri" w:cs="Calibri"/>
          <w:sz w:val="22"/>
          <w:szCs w:val="22"/>
          <w:lang w:val="en-GB"/>
        </w:rPr>
        <w:t xml:space="preserve">Taylor, S. and Woodhams, C. (eds). (2022) </w:t>
      </w:r>
      <w:r w:rsidRPr="00B93B7F">
        <w:rPr>
          <w:rFonts w:ascii="Calibri" w:eastAsia="Calibri" w:hAnsi="Calibri" w:cs="Calibri"/>
          <w:i/>
          <w:iCs/>
          <w:sz w:val="22"/>
          <w:szCs w:val="22"/>
          <w:lang w:val="en-GB"/>
        </w:rPr>
        <w:t>Studying Human resource management.</w:t>
      </w:r>
      <w:r w:rsidRPr="00B93B7F">
        <w:rPr>
          <w:rFonts w:ascii="Calibri" w:eastAsia="Calibri" w:hAnsi="Calibri" w:cs="Calibri"/>
          <w:sz w:val="22"/>
          <w:szCs w:val="22"/>
          <w:lang w:val="en-GB"/>
        </w:rPr>
        <w:t xml:space="preserve"> 3rd ed. London: CIPD Kogan Page</w:t>
      </w:r>
    </w:p>
    <w:p w14:paraId="7B85140E" w14:textId="62891899" w:rsidR="00FB7000" w:rsidRDefault="00FB7000" w:rsidP="26EA7004">
      <w:pPr>
        <w:spacing w:after="0" w:line="240" w:lineRule="auto"/>
        <w:rPr>
          <w:rFonts w:ascii="Calibri" w:eastAsia="Calibri" w:hAnsi="Calibri" w:cs="Calibri"/>
          <w:sz w:val="22"/>
          <w:szCs w:val="22"/>
        </w:rPr>
      </w:pPr>
      <w:r w:rsidRPr="00B93B7F">
        <w:rPr>
          <w:rStyle w:val="Hyperlink"/>
          <w:rFonts w:ascii="Calibri" w:eastAsia="Calibri" w:hAnsi="Calibri" w:cs="Calibri"/>
          <w:i/>
          <w:iCs/>
          <w:color w:val="auto"/>
          <w:sz w:val="22"/>
          <w:szCs w:val="22"/>
          <w:u w:val="none"/>
        </w:rPr>
        <w:t>The Bribery Act 2010 Guidance.</w:t>
      </w:r>
      <w:r w:rsidRPr="00B93B7F">
        <w:rPr>
          <w:rStyle w:val="Hyperlink"/>
          <w:rFonts w:ascii="Calibri" w:eastAsia="Calibri" w:hAnsi="Calibri" w:cs="Calibri"/>
          <w:color w:val="auto"/>
          <w:sz w:val="22"/>
          <w:szCs w:val="22"/>
          <w:u w:val="none"/>
        </w:rPr>
        <w:t xml:space="preserve"> Available at: </w:t>
      </w:r>
      <w:hyperlink r:id="rId43">
        <w:r w:rsidRPr="00B93B7F">
          <w:rPr>
            <w:rStyle w:val="Hyperlink"/>
            <w:rFonts w:ascii="Calibri" w:eastAsia="Calibri" w:hAnsi="Calibri" w:cs="Calibri"/>
            <w:color w:val="auto"/>
            <w:sz w:val="22"/>
            <w:szCs w:val="22"/>
            <w:u w:val="none"/>
          </w:rPr>
          <w:t>https://assets.publishing.service.gov.uk/government/uploads/system/uploads/attachment_data/file/832011/bribery-act-2010-guidance.pdf</w:t>
        </w:r>
      </w:hyperlink>
      <w:r w:rsidRPr="00B93B7F">
        <w:rPr>
          <w:rFonts w:ascii="Calibri" w:eastAsia="Calibri" w:hAnsi="Calibri" w:cs="Calibri"/>
          <w:sz w:val="22"/>
          <w:szCs w:val="22"/>
        </w:rPr>
        <w:t xml:space="preserve"> (Accessed 2 July 2024)</w:t>
      </w:r>
    </w:p>
    <w:p w14:paraId="408182B8" w14:textId="77777777" w:rsidR="00FB7000" w:rsidRDefault="00FB7000" w:rsidP="26EA7004">
      <w:pPr>
        <w:spacing w:after="0" w:line="240" w:lineRule="auto"/>
        <w:rPr>
          <w:rFonts w:ascii="Calibri" w:eastAsia="Calibri" w:hAnsi="Calibri" w:cs="Calibri"/>
          <w:sz w:val="22"/>
          <w:szCs w:val="22"/>
        </w:rPr>
      </w:pPr>
    </w:p>
    <w:p w14:paraId="3B5F4E61" w14:textId="77777777" w:rsidR="00FB7000" w:rsidRPr="00B93B7F" w:rsidRDefault="00FB7000" w:rsidP="26EA7004">
      <w:pPr>
        <w:spacing w:line="257" w:lineRule="auto"/>
        <w:rPr>
          <w:rFonts w:ascii="Calibri" w:eastAsia="Calibri" w:hAnsi="Calibri" w:cs="Calibri"/>
          <w:color w:val="000000" w:themeColor="text1"/>
          <w:sz w:val="22"/>
          <w:szCs w:val="22"/>
        </w:rPr>
      </w:pPr>
      <w:r w:rsidRPr="00B93B7F">
        <w:rPr>
          <w:rFonts w:ascii="Calibri" w:eastAsia="Calibri" w:hAnsi="Calibri" w:cs="Calibri"/>
          <w:i/>
          <w:iCs/>
          <w:sz w:val="22"/>
          <w:szCs w:val="22"/>
          <w:lang w:val="en-GB"/>
        </w:rPr>
        <w:t xml:space="preserve">The Working Time Regulations 1998 </w:t>
      </w:r>
      <w:r w:rsidRPr="00B93B7F">
        <w:rPr>
          <w:rFonts w:ascii="Calibri" w:eastAsia="Calibri" w:hAnsi="Calibri" w:cs="Calibri"/>
          <w:sz w:val="22"/>
          <w:szCs w:val="22"/>
          <w:lang w:val="en-GB"/>
        </w:rPr>
        <w:t xml:space="preserve">Available at: </w:t>
      </w:r>
      <w:hyperlink r:id="rId44">
        <w:r w:rsidRPr="00B93B7F">
          <w:rPr>
            <w:rStyle w:val="Hyperlink"/>
            <w:rFonts w:ascii="Calibri" w:eastAsia="Calibri" w:hAnsi="Calibri" w:cs="Calibri"/>
            <w:color w:val="auto"/>
            <w:sz w:val="22"/>
            <w:szCs w:val="22"/>
            <w:u w:val="none"/>
            <w:lang w:val="en-GB"/>
          </w:rPr>
          <w:t>https://www.legislation.gov.uk/uksi/1998/1833/contents/made</w:t>
        </w:r>
      </w:hyperlink>
      <w:r w:rsidRPr="00B93B7F">
        <w:rPr>
          <w:rFonts w:ascii="Calibri" w:eastAsia="Calibri" w:hAnsi="Calibri" w:cs="Calibri"/>
          <w:sz w:val="22"/>
          <w:szCs w:val="22"/>
          <w:lang w:val="en-GB"/>
        </w:rPr>
        <w:t xml:space="preserve"> (Accessed 4 July 2024)</w:t>
      </w:r>
    </w:p>
    <w:p w14:paraId="524EAB4A" w14:textId="43809E37" w:rsidR="00FB7000" w:rsidRDefault="00FB7000" w:rsidP="51189991">
      <w:pPr>
        <w:spacing w:after="0" w:line="259" w:lineRule="auto"/>
        <w:rPr>
          <w:rFonts w:ascii="Calibri" w:eastAsia="Calibri" w:hAnsi="Calibri" w:cs="Calibri"/>
          <w:sz w:val="22"/>
          <w:szCs w:val="22"/>
          <w:lang w:val="en-GB"/>
        </w:rPr>
      </w:pPr>
      <w:r w:rsidRPr="51189991">
        <w:rPr>
          <w:rFonts w:ascii="Calibri" w:eastAsia="Calibri" w:hAnsi="Calibri" w:cs="Calibri"/>
          <w:sz w:val="22"/>
          <w:szCs w:val="22"/>
          <w:lang w:val="en-GB"/>
        </w:rPr>
        <w:t xml:space="preserve">Young, J (2023) </w:t>
      </w:r>
      <w:r w:rsidRPr="51189991">
        <w:rPr>
          <w:rFonts w:ascii="Calibri" w:eastAsia="Calibri" w:hAnsi="Calibri" w:cs="Calibri"/>
          <w:i/>
          <w:iCs/>
          <w:sz w:val="22"/>
          <w:szCs w:val="22"/>
          <w:lang w:val="en-GB"/>
        </w:rPr>
        <w:t>Employee engagement and motivation.</w:t>
      </w:r>
      <w:r w:rsidRPr="51189991">
        <w:rPr>
          <w:rFonts w:ascii="Calibri" w:eastAsia="Calibri" w:hAnsi="Calibri" w:cs="Calibri"/>
          <w:sz w:val="22"/>
          <w:szCs w:val="22"/>
          <w:lang w:val="en-GB"/>
        </w:rPr>
        <w:t xml:space="preserve"> Available at: </w:t>
      </w:r>
      <w:hyperlink r:id="rId45">
        <w:r w:rsidRPr="51189991">
          <w:rPr>
            <w:rStyle w:val="Hyperlink"/>
            <w:rFonts w:ascii="Calibri" w:eastAsia="Calibri" w:hAnsi="Calibri" w:cs="Calibri"/>
            <w:color w:val="auto"/>
            <w:sz w:val="22"/>
            <w:szCs w:val="22"/>
            <w:u w:val="none"/>
            <w:lang w:val="en-GB"/>
          </w:rPr>
          <w:t>https://www.cipd.org/uk/knowledge/factsheets/engagement-factsheet/</w:t>
        </w:r>
      </w:hyperlink>
      <w:r w:rsidRPr="51189991">
        <w:rPr>
          <w:rFonts w:ascii="Calibri" w:eastAsia="Calibri" w:hAnsi="Calibri" w:cs="Calibri"/>
          <w:sz w:val="22"/>
          <w:szCs w:val="22"/>
          <w:lang w:val="en-GB"/>
        </w:rPr>
        <w:t xml:space="preserve"> (Accessed 3 July 2024)</w:t>
      </w:r>
    </w:p>
    <w:p w14:paraId="384287DC" w14:textId="77777777" w:rsidR="00FB7000" w:rsidRDefault="00FB7000" w:rsidP="51189991">
      <w:pPr>
        <w:spacing w:after="0" w:line="259" w:lineRule="auto"/>
        <w:rPr>
          <w:rFonts w:ascii="Calibri" w:eastAsia="Calibri" w:hAnsi="Calibri" w:cs="Calibri"/>
          <w:sz w:val="22"/>
          <w:szCs w:val="22"/>
          <w:lang w:val="en-GB"/>
        </w:rPr>
      </w:pPr>
    </w:p>
    <w:p w14:paraId="2F0E1DBC" w14:textId="77777777" w:rsidR="00FB7000" w:rsidRPr="00B93B7F" w:rsidRDefault="00FB7000" w:rsidP="00FB7000">
      <w:pPr>
        <w:spacing w:after="0" w:line="240" w:lineRule="auto"/>
        <w:rPr>
          <w:rFonts w:ascii="Calibri" w:eastAsia="Calibri" w:hAnsi="Calibri" w:cs="Calibri"/>
          <w:sz w:val="22"/>
          <w:szCs w:val="22"/>
        </w:rPr>
      </w:pPr>
      <w:r w:rsidRPr="51189991">
        <w:rPr>
          <w:rFonts w:ascii="Calibri" w:eastAsia="Calibri" w:hAnsi="Calibri" w:cs="Calibri"/>
          <w:sz w:val="22"/>
          <w:szCs w:val="22"/>
        </w:rPr>
        <w:t xml:space="preserve">Young, J (2024) </w:t>
      </w:r>
      <w:r w:rsidRPr="51189991">
        <w:rPr>
          <w:rFonts w:ascii="Calibri" w:eastAsia="Calibri" w:hAnsi="Calibri" w:cs="Calibri"/>
          <w:i/>
          <w:iCs/>
          <w:sz w:val="22"/>
          <w:szCs w:val="22"/>
        </w:rPr>
        <w:t>Employee engagement and motivation</w:t>
      </w:r>
      <w:r w:rsidRPr="51189991">
        <w:rPr>
          <w:rFonts w:ascii="Calibri" w:eastAsia="Calibri" w:hAnsi="Calibri" w:cs="Calibri"/>
          <w:sz w:val="22"/>
          <w:szCs w:val="22"/>
        </w:rPr>
        <w:t xml:space="preserve"> Available at: </w:t>
      </w:r>
      <w:hyperlink r:id="rId46">
        <w:r w:rsidRPr="51189991">
          <w:rPr>
            <w:rStyle w:val="Hyperlink"/>
            <w:rFonts w:ascii="Calibri" w:eastAsia="Calibri" w:hAnsi="Calibri" w:cs="Calibri"/>
            <w:sz w:val="22"/>
            <w:szCs w:val="22"/>
          </w:rPr>
          <w:t>https://www.cipd.org/uk/knowledge/factsheets/engagement-factsheet/</w:t>
        </w:r>
      </w:hyperlink>
      <w:r w:rsidRPr="51189991">
        <w:rPr>
          <w:rFonts w:ascii="Calibri" w:eastAsia="Calibri" w:hAnsi="Calibri" w:cs="Calibri"/>
          <w:sz w:val="22"/>
          <w:szCs w:val="22"/>
        </w:rPr>
        <w:t xml:space="preserve"> (Accessed 25</w:t>
      </w:r>
      <w:bookmarkStart w:id="14" w:name="_Int_JVerVyOM"/>
      <w:r w:rsidRPr="51189991">
        <w:rPr>
          <w:rFonts w:ascii="Calibri" w:eastAsia="Calibri" w:hAnsi="Calibri" w:cs="Calibri"/>
          <w:sz w:val="22"/>
          <w:szCs w:val="22"/>
        </w:rPr>
        <w:t xml:space="preserve"> July 2024</w:t>
      </w:r>
      <w:bookmarkEnd w:id="14"/>
      <w:r w:rsidRPr="51189991">
        <w:rPr>
          <w:rFonts w:ascii="Calibri" w:eastAsia="Calibri" w:hAnsi="Calibri" w:cs="Calibri"/>
          <w:sz w:val="22"/>
          <w:szCs w:val="22"/>
        </w:rPr>
        <w:t>)</w:t>
      </w:r>
    </w:p>
    <w:p w14:paraId="2C078E63" w14:textId="04AAD76F" w:rsidR="00353432" w:rsidRPr="00B93B7F" w:rsidRDefault="00353432" w:rsidP="26EA7004">
      <w:pPr>
        <w:rPr>
          <w:rFonts w:ascii="Calibri" w:eastAsia="Calibri" w:hAnsi="Calibri" w:cs="Calibri"/>
          <w:sz w:val="22"/>
          <w:szCs w:val="22"/>
        </w:rPr>
      </w:pPr>
    </w:p>
    <w:sectPr w:rsidR="00353432" w:rsidRPr="00B93B7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altName w:val="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TLWrPDFYAsBBgc" int2:id="1mMuEZeL">
      <int2:state int2:value="Rejected" int2:type="AugLoop_Text_Critique"/>
    </int2:textHash>
    <int2:textHash int2:hashCode="zqhYDntAHb/qEo" int2:id="A1rEdVkC">
      <int2:state int2:value="Rejected" int2:type="AugLoop_Text_Critique"/>
    </int2:textHash>
    <int2:textHash int2:hashCode="lJWEIT2sQBJTks" int2:id="EDDTzseQ">
      <int2:state int2:value="Rejected" int2:type="AugLoop_Text_Critique"/>
    </int2:textHash>
    <int2:textHash int2:hashCode="XWw13Wl9jxRJHE" int2:id="ID2AAiwS">
      <int2:state int2:value="Rejected" int2:type="AugLoop_Text_Critique"/>
    </int2:textHash>
    <int2:textHash int2:hashCode="XSUiEPxXFZ9tOg" int2:id="QzOZoIap">
      <int2:state int2:value="Rejected" int2:type="AugLoop_Text_Critique"/>
    </int2:textHash>
    <int2:textHash int2:hashCode="K6+VKXgqkDlz+i" int2:id="n4Hxsma6">
      <int2:state int2:value="Rejected" int2:type="AugLoop_Text_Critique"/>
    </int2:textHash>
    <int2:bookmark int2:bookmarkName="_Int_jiwCMNO1" int2:invalidationBookmarkName="" int2:hashCode="MuPqkpc6Wki+cQ" int2:id="7AySx6tL">
      <int2:state int2:value="Rejected" int2:type="AugLoop_Text_Critique"/>
    </int2:bookmark>
    <int2:bookmark int2:bookmarkName="_Int_LXzonE3F" int2:invalidationBookmarkName="" int2:hashCode="giHz/B0nYo4gRr" int2:id="Hd5hVKJ7">
      <int2:state int2:value="Rejected" int2:type="AugLoop_Text_Critique"/>
    </int2:bookmark>
    <int2:bookmark int2:bookmarkName="_Int_kAwFNpFD" int2:invalidationBookmarkName="" int2:hashCode="MuPqkpc6Wki+cQ" int2:id="Bvh6jEug">
      <int2:state int2:value="Rejected" int2:type="AugLoop_Text_Critique"/>
    </int2:bookmark>
    <int2:bookmark int2:bookmarkName="_Int_JVerVyOM" int2:invalidationBookmarkName="" int2:hashCode="S+CoU/QtZ3aNSd" int2:id="fbE7fVcu">
      <int2:state int2:value="Rejected" int2:type="AugLoop_Text_Critique"/>
    </int2:bookmark>
    <int2:bookmark int2:bookmarkName="_Int_Qgu24Hc8" int2:invalidationBookmarkName="" int2:hashCode="Oaa9Q162MvgC2A" int2:id="vLEbPZtH">
      <int2:state int2:value="Rejected" int2:type="AugLoop_Text_Critique"/>
    </int2:bookmark>
    <int2:bookmark int2:bookmarkName="_Int_cy7gxHvi" int2:invalidationBookmarkName="" int2:hashCode="E44pjsy+njcbPf" int2:id="stKUus76">
      <int2:state int2:value="Rejected" int2:type="AugLoop_Similarity_SimilarityAnnotation"/>
      <int2:extLst>
        <oel:ext uri="426473B9-03D8-482F-96C9-C2C85392BACA">
          <int2:similarityCritique int2:version="1" int2:context="Prestwood, D (2021) Public data for Public Good: Making sure official statistics are better joined-up.">
            <int2:source int2:sourceType="Online" int2:sourceTitle="Public data for Public Good: Making sure official statistics are better ..." int2:sourceUrl="https://blog.ons.gov.uk/2021/06/29/public-data-for-public-good-making-sure-official-statistics-are-better-joined-up/" int2:sourceSnippet="National Statistical News and insight from the Office for National Statistics. Search for: Search. Home; Public data for Public Good: Making sure official statistics are better joined-up. Debra Prestwood; June 29, 2021; Categories: ONS.">
              <int2:suggestions int2:citationType="Inline">
                <int2:suggestion int2:citationStyle="Mla" int2:isIdentical="0">
                  <int2:citationText>(“Public data for Public Good: Making sure official statistics are better ...”)</int2:citationText>
                </int2:suggestion>
                <int2:suggestion int2:citationStyle="Apa" int2:isIdentical="0">
                  <int2:citationText>(“Public data for Public Good: Making sure official statistics are better ...”)</int2:citationText>
                </int2:suggestion>
                <int2:suggestion int2:citationStyle="Chicago" int2:isIdentical="0">
                  <int2:citationText>(“Public data for Public Good: Making sure official statistics are better ...”)</int2:citationText>
                </int2:suggestion>
              </int2:suggestions>
              <int2:suggestions int2:citationType="Full">
                <int2:suggestion int2:citationStyle="Mla" int2:isIdentical="0">
                  <int2:citationText>&lt;i&gt;Public data for Public Good: Making sure official statistics are better ...&lt;/i&gt;, https://blog.ons.gov.uk/2021/06/29/public-data-for-public-good-making-sure-official-statistics-are-better-joined-up/.</int2:citationText>
                </int2:suggestion>
                <int2:suggestion int2:citationStyle="Apa" int2:isIdentical="0">
                  <int2:citationText>&lt;i&gt;Public data for Public Good: Making sure official statistics are better ...&lt;/i&gt;. (n.d.). Retrieved from https://blog.ons.gov.uk/2021/06/29/public-data-for-public-good-making-sure-official-statistics-are-better-joined-up/</int2:citationText>
                </int2:suggestion>
                <int2:suggestion int2:citationStyle="Chicago" int2:isIdentical="0">
                  <int2:citationText>“Public data for Public Good: Making sure official statistics are better ...” n.d., https://blog.ons.gov.uk/2021/06/29/public-data-for-public-good-making-sure-official-statistics-are-better-joined-up/.</int2:citationText>
                </int2:suggestion>
              </int2:suggestions>
            </int2:source>
          </int2:similarityCritique>
        </oel:ext>
      </int2:extLst>
    </int2:bookmark>
    <int2:bookmark int2:bookmarkName="_Int_JiIINLPK" int2:invalidationBookmarkName="" int2:hashCode="WoxHthmaMRiAAl" int2:id="RxQFGD8P">
      <int2:state int2:value="Rejected" int2:type="AugLoop_Similarity_SimilarityAnnotation"/>
      <int2:extLst>
        <oel:ext uri="426473B9-03D8-482F-96C9-C2C85392BACA">
          <int2:similarityCritique int2:version="1" int2:context="Jeffrey, R. (2019) How much should you really pay your people?">
            <int2:source int2:sourceType="Online" int2:sourceTitle="Pay Structures and Pay Progression | Factsheets | CIPD" int2:sourceUrl="https://www.cipd.org/en/knowledge/factsheets/pay-structures-factsheet/" int2:sourceSnippet="Jeffrey, R. (2019) How much should you really pay your people? People Management (online). 11 July. CIPD members can use our online journals to find articles from over 300 journal titles relevant to HR. Members and People Management subscribers can see articles on the People Management website.">
              <int2:suggestions int2:citationType="Inline">
                <int2:suggestion int2:citationStyle="Mla" int2:isIdentical="1">
                  <int2:citationText>(“Pay Structures and Pay Progression | Factsheets | CIPD”)</int2:citationText>
                </int2:suggestion>
                <int2:suggestion int2:citationStyle="Apa" int2:isIdentical="1">
                  <int2:citationText>(“Pay Structures and Pay Progression | Factsheets | CIPD”)</int2:citationText>
                </int2:suggestion>
                <int2:suggestion int2:citationStyle="Chicago" int2:isIdentical="1">
                  <int2:citationText>(“Pay Structures and Pay Progression | Factsheets | CIPD”)</int2:citationText>
                </int2:suggestion>
              </int2:suggestions>
              <int2:suggestions int2:citationType="Full">
                <int2:suggestion int2:citationStyle="Mla" int2:isIdentical="1">
                  <int2:citationText>&lt;i&gt;Pay Structures and Pay Progression | Factsheets | CIPD&lt;/i&gt;, https://www.cipd.org/en/knowledge/factsheets/pay-structures-factsheet/.</int2:citationText>
                </int2:suggestion>
                <int2:suggestion int2:citationStyle="Apa" int2:isIdentical="1">
                  <int2:citationText>&lt;i&gt;Pay Structures and Pay Progression | Factsheets | CIPD&lt;/i&gt;. (n.d.). Retrieved from https://www.cipd.org/en/knowledge/factsheets/pay-structures-factsheet/</int2:citationText>
                </int2:suggestion>
                <int2:suggestion int2:citationStyle="Chicago" int2:isIdentical="1">
                  <int2:citationText>“Pay Structures and Pay Progression | Factsheets | CIPD” n.d., https://www.cipd.org/en/knowledge/factsheets/pay-structures-factsheet/.</int2:citationText>
                </int2:suggestion>
              </int2:suggestions>
            </int2:source>
          </int2:similarityCritique>
        </oel:ext>
      </int2:extLst>
    </int2:bookmark>
    <int2:bookmark int2:bookmarkName="_Int_s9YaGHkG" int2:invalidationBookmarkName="" int2:hashCode="EO5B/7EaNA4C2M" int2:id="Lw05XH4z">
      <int2:state int2:value="Rejected" int2:type="AugLoop_Similarity_SimilarityAnnotation"/>
      <int2:extLst>
        <oel:ext uri="426473B9-03D8-482F-96C9-C2C85392BACA">
          <int2:similarityCritique int2:version="1" int2:context="CIPD (2022) Surveys reveal opportunities for employers to make benefits packages work harder for those most in need.">
            <int2:source int2:sourceType="Online" int2:sourceTitle="Reward management survey | CIPD" int2:sourceUrl="https://www.cipd.org/en/knowledge/reports/reward-surveys/" int2:sourceSnippet="Surveys reveal opportunity for employers to make benefits packages work harder for those most in need The CIPD shares five top tips to help employers better communicate the benefits they offer, after Reward Management survey reveals mismatch in expectations. 13 April 2022 Katy Adalar, Communications Manager ...">
              <int2:suggestions int2:citationType="Inline">
                <int2:suggestion int2:citationStyle="Mla" int2:isIdentical="0">
                  <int2:citationText>(“Reward management survey | CIPD”)</int2:citationText>
                </int2:suggestion>
                <int2:suggestion int2:citationStyle="Apa" int2:isIdentical="0">
                  <int2:citationText>(“Reward management survey | CIPD”)</int2:citationText>
                </int2:suggestion>
                <int2:suggestion int2:citationStyle="Chicago" int2:isIdentical="0">
                  <int2:citationText>(“Reward management survey | CIPD”)</int2:citationText>
                </int2:suggestion>
              </int2:suggestions>
              <int2:suggestions int2:citationType="Full">
                <int2:suggestion int2:citationStyle="Mla" int2:isIdentical="0">
                  <int2:citationText>&lt;i&gt;Reward management survey | CIPD&lt;/i&gt;, https://www.cipd.org/en/knowledge/reports/reward-surveys/.</int2:citationText>
                </int2:suggestion>
                <int2:suggestion int2:citationStyle="Apa" int2:isIdentical="0">
                  <int2:citationText>&lt;i&gt;Reward management survey | CIPD&lt;/i&gt;. (n.d.). Retrieved from https://www.cipd.org/en/knowledge/reports/reward-surveys/</int2:citationText>
                </int2:suggestion>
                <int2:suggestion int2:citationStyle="Chicago" int2:isIdentical="0">
                  <int2:citationText>“Reward management survey | CIPD” n.d., https://www.cipd.org/en/knowledge/reports/reward-surveys/.</int2:citationText>
                </int2:suggestion>
              </int2:suggestions>
            </int2:source>
          </int2:similarityCritique>
        </oel:ext>
      </int2:extLst>
    </int2:bookmark>
    <int2:bookmark int2:bookmarkName="_Int_DC13rCEr" int2:invalidationBookmarkName="" int2:hashCode="h/01HDGrqi4rhi" int2:id="CSVgorsA">
      <int2:state int2:value="Rejected" int2:type="AugLoop_Similarity_SimilarityAnnotation"/>
      <int2:extLst>
        <oel:ext uri="426473B9-03D8-482F-96C9-C2C85392BACA">
          <int2:similarityCritique int2:version="1" int2:context="Evaluate the most appropriate ways in which benchmarking data can be gathered and measured to develop insight.">
            <int2:source int2:sourceType="Online" int2:sourceTitle="Solved AC 2.2 ﻿Evaluate the most appropriate ways in which - Chegg" int2:sourceUrl="https://www.chegg.com/homework-help/questions-and-answers/ac-22-evaluate-appropriate-ways-benchmarking-data-gathered-measured-develop-insight-q128998983" int2:sourceSnippet="Operations Management. Operations Management questions and answers. AC 2.2 ﻿Evaluate the most appropriate ways in which benchmarking data can be gathered and measured to develop insight. Your solution’s ready to go! Enhanced with AI, our expert help has broken down your problem into an easy-to-learn solution you can count on.">
              <int2:suggestions int2:citationType="Inline">
                <int2:suggestion int2:citationStyle="Mla" int2:isIdentical="1">
                  <int2:citationText>(“Solved AC 2.2 ﻿Evaluate the most appropriate ways in which - Chegg”)</int2:citationText>
                </int2:suggestion>
                <int2:suggestion int2:citationStyle="Apa" int2:isIdentical="1">
                  <int2:citationText>(“Solved AC 2.2 ﻿Evaluate the most appropriate ways in which - Chegg”)</int2:citationText>
                </int2:suggestion>
                <int2:suggestion int2:citationStyle="Chicago" int2:isIdentical="1">
                  <int2:citationText>(“Solved AC 2.2 ﻿Evaluate the most appropriate ways in which - Chegg”)</int2:citationText>
                </int2:suggestion>
              </int2:suggestions>
              <int2:suggestions int2:citationType="Full">
                <int2:suggestion int2:citationStyle="Mla" int2:isIdentical="1">
                  <int2:citationText>&lt;i&gt;Solved AC 2.2 ﻿Evaluate the most appropriate ways in which - Chegg&lt;/i&gt;, https://www.chegg.com/homework-help/questions-and-answers/ac-22-evaluate-appropriate-ways-benchmarking-data-gathered-measured-develop-insight-q128998983.</int2:citationText>
                </int2:suggestion>
                <int2:suggestion int2:citationStyle="Apa" int2:isIdentical="1">
                  <int2:citationText>&lt;i&gt;Solved AC 2.2 ﻿Evaluate the most appropriate ways in which - Chegg&lt;/i&gt;. (n.d.). Retrieved from https://www.chegg.com/homework-help/questions-and-answers/ac-22-evaluate-appropriate-ways-benchmarking-data-gathered-measured-develop-insight-q128998983</int2:citationText>
                </int2:suggestion>
                <int2:suggestion int2:citationStyle="Chicago" int2:isIdentical="1">
                  <int2:citationText>“Solved AC 2.2 ﻿Evaluate the most appropriate ways in which - Chegg” n.d., https://www.chegg.com/homework-help/questions-and-answers/ac-22-evaluate-appropriate-ways-benchmarking-data-gathered-measured-develop-insight-q128998983.</int2:citationText>
                </int2:suggestion>
              </int2:suggestions>
            </int2:source>
            <int2:source int2:sourceType="Online" int2:sourceTitle="5HR03 Reward for Performance and Contribution assignment: task one ..." int2:sourceUrl="https://cipdmoduleshelp.com/5hr03-reward-for-performance-and-contribution-assignment-task-one-guideline/" int2:sourceSnippet="AC 2.2 Evaluate the most appropriate ways in which benchmarking data can be gathered and measured to develop insight. Guideline. Benchmarking is the process of comparing organisation data with data from other competing firms. People professionals consider salary benchmarking as appropriate measure to develop insights for better decision-making ...">
              <int2:suggestions int2:citationType="Inline">
                <int2:suggestion int2:citationStyle="Mla" int2:isIdentical="1">
                  <int2:citationText>(“5HR03 Reward for Performance and Contribution assignment: task one ...”)</int2:citationText>
                </int2:suggestion>
                <int2:suggestion int2:citationStyle="Apa" int2:isIdentical="1">
                  <int2:citationText>(“5HR03 Reward for Performance and Contribution assignment: task one ...”)</int2:citationText>
                </int2:suggestion>
                <int2:suggestion int2:citationStyle="Chicago" int2:isIdentical="1">
                  <int2:citationText>(“5HR03 Reward for Performance and Contribution assignment: task one ...”)</int2:citationText>
                </int2:suggestion>
              </int2:suggestions>
              <int2:suggestions int2:citationType="Full">
                <int2:suggestion int2:citationStyle="Mla" int2:isIdentical="1">
                  <int2:citationText>&lt;i&gt;5HR03 Reward for Performance and Contribution assignment: task one ...&lt;/i&gt;, https://cipdmoduleshelp.com/5hr03-reward-for-performance-and-contribution-assignment-task-one-guideline/.</int2:citationText>
                </int2:suggestion>
                <int2:suggestion int2:citationStyle="Apa" int2:isIdentical="1">
                  <int2:citationText>&lt;i&gt;5HR03 Reward for Performance and Contribution assignment: task one ...&lt;/i&gt;. (n.d.). Retrieved from https://cipdmoduleshelp.com/5hr03-reward-for-performance-and-contribution-assignment-task-one-guideline/</int2:citationText>
                </int2:suggestion>
                <int2:suggestion int2:citationStyle="Chicago" int2:isIdentical="1">
                  <int2:citationText>“5HR03 Reward for Performance and Contribution assignment: task one ...” n.d., https://cipdmoduleshelp.com/5hr03-reward-for-performance-and-contribution-assignment-task-one-guideline/.</int2:citationText>
                </int2:suggestion>
              </int2:suggestions>
            </int2:source>
            <int2:source int2:sourceType="Online" int2:sourceTitle="5HR03 ASSIGNMENT EXAMPLE - CIPD Assignment Help" int2:sourceUrl="https://cipdassignment.help/5hr03-assignment-example/" int2:sourceSnippet="AC 2.2 Evaluate the most appropriate ways in which benchmarking data can be gathered and measured to develop insight. According to Fallon (2021), the benchmarking process entails using key metrics to evaluate the current state of a business and then determining where you want to be through the development of an action plan to achieve and ...">
              <int2:suggestions int2:citationType="Inline">
                <int2:suggestion int2:citationStyle="Mla" int2:isIdentical="1">
                  <int2:citationText>(“5HR03 ASSIGNMENT EXAMPLE - CIPD Assignment Help”)</int2:citationText>
                </int2:suggestion>
                <int2:suggestion int2:citationStyle="Apa" int2:isIdentical="1">
                  <int2:citationText>(“5HR03 ASSIGNMENT EXAMPLE - CIPD Assignment Help”)</int2:citationText>
                </int2:suggestion>
                <int2:suggestion int2:citationStyle="Chicago" int2:isIdentical="1">
                  <int2:citationText>(“5HR03 ASSIGNMENT EXAMPLE - CIPD Assignment Help”)</int2:citationText>
                </int2:suggestion>
              </int2:suggestions>
              <int2:suggestions int2:citationType="Full">
                <int2:suggestion int2:citationStyle="Mla" int2:isIdentical="1">
                  <int2:citationText>&lt;i&gt;5HR03 ASSIGNMENT EXAMPLE - CIPD Assignment Help&lt;/i&gt;, https://cipdassignment.help/5hr03-assignment-example/.</int2:citationText>
                </int2:suggestion>
                <int2:suggestion int2:citationStyle="Apa" int2:isIdentical="1">
                  <int2:citationText>&lt;i&gt;5HR03 ASSIGNMENT EXAMPLE - CIPD Assignment Help&lt;/i&gt;. (n.d.). Retrieved from https://cipdassignment.help/5hr03-assignment-example/</int2:citationText>
                </int2:suggestion>
                <int2:suggestion int2:citationStyle="Chicago" int2:isIdentical="1">
                  <int2:citationText>“5HR03 ASSIGNMENT EXAMPLE - CIPD Assignment Help” n.d., https://cipdassignment.help/5hr03-assignment-example/.</int2:citationText>
                </int2:suggestion>
              </int2:suggestions>
            </int2:source>
          </int2:similarityCritique>
        </oel:ext>
      </int2:extLst>
    </int2:bookmark>
    <int2:bookmark int2:bookmarkName="_Int_Y7xgfivH" int2:invalidationBookmarkName="" int2:hashCode="ie1hxj+lnXj5o9" int2:id="V3uFqtG9">
      <int2:state int2:value="Rejected" int2:type="AugLoop_Similarity_SimilarityAnnotation"/>
      <int2:extLst>
        <oel:ext uri="426473B9-03D8-482F-96C9-C2C85392BACA">
          <int2:similarityCritique int2:version="1" int2:context="Ending meetings with a thank you to all participants or sending messages thanking individuals for completing their tasks shows you appreciate their work. Adding positive comments or messages when collaborating or offering feedback also creates an atmosphere of uplifting and constructive feedback rather than criticism.">
            <int2:source int2:sourceType="Online" int2:sourceTitle="8 Types of Employee Recognition (And Why It's Important)" int2:sourceUrl="https://www.indeed.com/career-advice/career-development/types-of-employee-recognition" int2:sourceSnippet="Ending meetings with a thank you to all participants or sending messages thanking individuals for completing their tasks shows you appreciate their work. Adding positive comments or messages when collaborating or offering feedback also creates an atmosphere of uplifting and constructive feedback rather than criticism. Small and simple messages ...">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aoVx7mhS" int2:invalidationBookmarkName="" int2:hashCode="sFuJEkJUxf8DXZ" int2:id="LHjelss8">
      <int2:state int2:value="Rejected" int2:type="AugLoop_Similarity_SimilarityAnnotation"/>
      <int2:extLst>
        <oel:ext uri="426473B9-03D8-482F-96C9-C2C85392BACA">
          <int2:similarityCritique int2:version="1" int2:context="When a leader recognizes and praises the work of a team member, they create a positive environment and encourage their team to recognize each other's work and impact. Receiving praise and positive confirmations from a leader promotes an employee's desire to continue their work and to strive for even greater achievements. Team members often look to their leaders for encouragement and approval. Leaders who provide recognition establish a positive environment and relationship within their team.">
            <int2:source int2:sourceType="Online" int2:sourceTitle="8 Types of Employee Recognition (And Why It's Important)" int2:sourceUrl="https://www.indeed.com/career-advice/career-development/types-of-employee-recognition" int2:sourceSnippet="When a leader recognizes and praises the work of a team member, they create a positive environment and encourage their team to recognize each other's work and impact. Receiving praise and positive confirmations from a leader promotes an employee's desire to continue their work and to strive for even greater achievements. Team members often look ...">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QitNq0re" int2:invalidationBookmarkName="" int2:hashCode="E8Ar2YOh5ZMoyo" int2:id="X7mYFaE8">
      <int2:state int2:value="Rejected" int2:type="AugLoop_Similarity_SimilarityAnnotation"/>
      <int2:extLst>
        <oel:ext uri="426473B9-03D8-482F-96C9-C2C85392BACA">
          <int2:similarityCritique int2:version="1" int2:context="Peer-to-peer recognition encourages employees who wish to establish and maintain good relationships with their coworkers.">
            <int2:source int2:sourceType="Online" int2:sourceTitle="8 Types of Employee Recognition (And Why It's Important)" int2:sourceUrl="https://www.indeed.com/career-advice/career-development/types-of-employee-recognition" int2:sourceSnippet="A peer may publicly or privately praise a coworker for their work, help or general attitude. Knowing that your peers recognize your actions and attitudes motivates you to maintain and improve how you work with others. Peer-to-peer recognition encourages employees who wish to establish and maintain good relationships with their coworkers.">
              <int2:suggestions int2:citationType="Inline">
                <int2:suggestion int2:citationStyle="Mla" int2:isIdentical="1">
                  <int2:citationText>(“8 Types of Employee Recognition (And Why It's Important)”)</int2:citationText>
                </int2:suggestion>
                <int2:suggestion int2:citationStyle="Apa" int2:isIdentical="1">
                  <int2:citationText>(“8 Types of Employee Recognition (And Why It's Important)”)</int2:citationText>
                </int2:suggestion>
                <int2:suggestion int2:citationStyle="Chicago" int2:isIdentical="1">
                  <int2:citationText>(“8 Types of Employee Recognition (And Why It's Important)”)</int2:citationText>
                </int2:suggestion>
              </int2:suggestions>
              <int2:suggestions int2:citationType="Full">
                <int2:suggestion int2:citationStyle="Mla" int2:isIdentical="1">
                  <int2:citationText>&lt;i&gt;8 Types of Employee Recognition (And Why It's Important)&lt;/i&gt;, https://www.indeed.com/career-advice/career-development/types-of-employee-recognition.</int2:citationText>
                </int2:suggestion>
                <int2:suggestion int2:citationStyle="Apa" int2:isIdentical="1">
                  <int2:citationText>&lt;i&gt;8 Types of Employee Recognition (And Why It's Important)&lt;/i&gt;. (n.d.). Retrieved from https://www.indeed.com/career-advice/career-development/types-of-employee-recognition</int2:citationText>
                </int2:suggestion>
                <int2:suggestion int2:citationStyle="Chicago" int2:isIdentical="1">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ms7DZSEM" int2:invalidationBookmarkName="" int2:hashCode="FeK7n7z916cFJ7" int2:id="hXHjCRe2">
      <int2:state int2:value="Rejected" int2:type="AugLoop_Similarity_SimilarityAnnotation"/>
      <int2:extLst>
        <oel:ext uri="426473B9-03D8-482F-96C9-C2C85392BACA">
          <int2:similarityCritique int2:version="1" int2:context="Peer-to-peer recognition is when employees on the same level or in the same department offer praise to each other. A peer may publicly or privately praise a coworker for their work, help or general attitude.">
            <int2:source int2:sourceType="Online" int2:sourceTitle="8 Types of Employee Recognition (And Why It's Important)" int2:sourceUrl="https://www.indeed.com/career-advice/career-development/types-of-employee-recognition" int2:sourceSnippet="Small and informal displays of appreciation convey to employees that their work impacts the company and creates a constant sense of gratitude between the employee and the employer. 6. Peer-to-peer recognition. Peer-to-peer recognition is when employees on the same level or in the same department offer praise to each other.">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YGJrhC2r" int2:invalidationBookmarkName="" int2:hashCode="iUNkTZslcs/Pjl" int2:id="riJ1bNBW">
      <int2:state int2:value="Rejected" int2:type="AugLoop_Similarity_SimilarityAnnotation"/>
      <int2:extLst>
        <oel:ext uri="426473B9-03D8-482F-96C9-C2C85392BACA">
          <int2:similarityCritique int2:version="1" int2:context="Informal recognition can occur sporadically and provides constant reassurance of the value and efforts that an employee offers. Informal recognition includes small and unplanned notes, messages, declarations, or gifts for employees who exceed expectations or work on extra projects. Small and informal displays of appreciation convey to employees that their work impacts the company and creates a constant sense of gratitude between the employee and the employer.">
            <int2:source int2:sourceType="Online" int2:sourceTitle="8 Types of Employee Recognition (And Why It's Important)" int2:sourceUrl="https://www.indeed.com/career-advice/career-development/types-of-employee-recognition" int2:sourceSnippet="Informal recognition can occur sporadically and provides constant reassurance of the value and efforts that an employee offers. Informal recognition includes small and unplanned notes, messages, declarations or gifts for employees who exceed expectations or work on extra projects. Small and informal displays of appreciation convey to employees ...">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w5mDATji" int2:invalidationBookmarkName="" int2:hashCode="plzZPjQU9AkMJV" int2:id="zsdIKwH8">
      <int2:state int2:value="Rejected" int2:type="AugLoop_Similarity_SimilarityAnnotation"/>
      <int2:extLst>
        <oel:ext uri="426473B9-03D8-482F-96C9-C2C85392BACA">
          <int2:similarityCritique int2:version="1" int2:context="Formal recognition occurs in many forms and typically follows a schedule or set structure. Awards, such as an employee of the month, an employee of the year and work anniversaries, are formal forms of recognition. Knowing the structure and routine of these awards keeps employees interested in striving to earn these types of recognition. Formal recognition can benefit individuals who have competitive mindsets and motivation to earn awards.">
            <int2:source int2:sourceType="Online" int2:sourceTitle="8 Types of Employee Recognition (And Why It's Important)" int2:sourceUrl="https://www.indeed.com/career-advice/career-development/types-of-employee-recognition" int2:sourceSnippet="Formal recognition occurs in many forms and typically follows a schedule or set structure. Awards, such as an employee of the month, an employee of the year and work anniversaries, are formal forms of recognition. Knowing the structure and routine of these awards keeps employees interested in striving to earn these types of recognition.">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ClLQyh5Z" int2:invalidationBookmarkName="" int2:hashCode="raZ6h2Tr2YRx/W" int2:id="7vh3xuHI">
      <int2:state int2:value="Rejected" int2:type="AugLoop_Similarity_SimilarityAnnotation"/>
      <int2:extLst>
        <oel:ext uri="426473B9-03D8-482F-96C9-C2C85392BACA">
          <int2:similarityCritique int2:version="1" int2:context="Verbal praise is when an employee receives in-person praise for their work. Small recognitions, such as a thank you when submitting work or completing tasks, show employees that others see and appreciate their work. Verbal praise also includes a public or private declaration of appreciation, impact, or improvement. Peers, leaders, and supervisors may offer verbal praise of others in a group or one-on-one meeting. Verbal affirmation and recognition benefits individuals whose motivation comes from seeking approval and validation.">
            <int2:source int2:sourceType="Online" int2:sourceTitle="8 Types of Employee Recognition (And Why It's Important)" int2:sourceUrl="https://www.indeed.com/career-advice/career-development/types-of-employee-recognition" int2:sourceSnippet="Verbal praise is when an employee receives in-person praise for their work. Small recognitions, such as a thank you when submitting work or completing tasks, show employees that others see and appreciate their work. Verbal praise also includes a public or private declaration of appreciation, impact or improvement. ...">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U0ToXSmq" int2:invalidationBookmarkName="" int2:hashCode="Op0dNasqHvkocp" int2:id="Rlg4H5rq">
      <int2:state int2:value="Rejected" int2:type="AugLoop_Similarity_SimilarityAnnotation"/>
      <int2:extLst>
        <oel:ext uri="426473B9-03D8-482F-96C9-C2C85392BACA">
          <int2:similarityCritique int2:version="1" int2:context="Written praise encourages employees who value encouragement and benefit from a concrete and direct reassurance of their impact.">
            <int2:source int2:sourceType="Online" int2:sourceTitle="8 Types of Employee Recognition (And Why It's Important)" int2:sourceUrl="https://www.indeed.com/career-advice/career-development/types-of-employee-recognition" int2:sourceSnippet="Written praise encourages employees who value encouragement and benefit from a concrete and direct reassurance of their impact. 3. Verbal praise Verbal praise is when an employee receives in-person praise for their work. Small recognitions, such as a thank you when submitting work or completing tasks, show employees that others see and ...">
              <int2:suggestions int2:citationType="Inline">
                <int2:suggestion int2:citationStyle="Mla" int2:isIdentical="1">
                  <int2:citationText>(“8 Types of Employee Recognition (And Why It's Important)”)</int2:citationText>
                </int2:suggestion>
                <int2:suggestion int2:citationStyle="Apa" int2:isIdentical="1">
                  <int2:citationText>(“8 Types of Employee Recognition (And Why It's Important)”)</int2:citationText>
                </int2:suggestion>
                <int2:suggestion int2:citationStyle="Chicago" int2:isIdentical="1">
                  <int2:citationText>(“8 Types of Employee Recognition (And Why It's Important)”)</int2:citationText>
                </int2:suggestion>
              </int2:suggestions>
              <int2:suggestions int2:citationType="Full">
                <int2:suggestion int2:citationStyle="Mla" int2:isIdentical="1">
                  <int2:citationText>&lt;i&gt;8 Types of Employee Recognition (And Why It's Important)&lt;/i&gt;, https://www.indeed.com/career-advice/career-development/types-of-employee-recognition.</int2:citationText>
                </int2:suggestion>
                <int2:suggestion int2:citationStyle="Apa" int2:isIdentical="1">
                  <int2:citationText>&lt;i&gt;8 Types of Employee Recognition (And Why It's Important)&lt;/i&gt;. (n.d.). Retrieved from https://www.indeed.com/career-advice/career-development/types-of-employee-recognition</int2:citationText>
                </int2:suggestion>
                <int2:suggestion int2:citationStyle="Chicago" int2:isIdentical="1">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DFt3AoiH" int2:invalidationBookmarkName="" int2:hashCode="Pq7heMbx0PUrYv" int2:id="HQqrCIzv">
      <int2:state int2:value="Rejected" int2:type="AugLoop_Similarity_SimilarityAnnotation"/>
      <int2:extLst>
        <oel:ext uri="426473B9-03D8-482F-96C9-C2C85392BACA">
          <int2:similarityCritique int2:version="1" int2:context="Written praise such as a thank-you letter, or email message offers a tangible and personalized note of gratitude and recognition. This form of recognition is easy to produce and offers words of affirmation that assure employees of the impact of their contributions.">
            <int2:source int2:sourceType="Online" int2:sourceTitle="Get Employee Recognition Form - US Legal Forms" int2:sourceUrl="https://www.uslegalforms.com/form-library/144039-employee-recognition-form" int2:sourceSnippet="Written praise Written praise such as a thank-you letter or email message offers a tangible and personalized note of gratitude and recognition. This form of recognition is easy to produce and offers words of affirmation that assure employees of the impact of their contributions.">
              <int2:suggestions int2:citationType="Inline">
                <int2:suggestion int2:citationStyle="Mla" int2:isIdentical="0">
                  <int2:citationText>(“Get Employee Recognition Form - US Legal Forms”)</int2:citationText>
                </int2:suggestion>
                <int2:suggestion int2:citationStyle="Apa" int2:isIdentical="0">
                  <int2:citationText>(“Get Employee Recognition Form - US Legal Forms”)</int2:citationText>
                </int2:suggestion>
                <int2:suggestion int2:citationStyle="Chicago" int2:isIdentical="0">
                  <int2:citationText>(“Get Employee Recognition Form - US Legal Forms”)</int2:citationText>
                </int2:suggestion>
              </int2:suggestions>
              <int2:suggestions int2:citationType="Full">
                <int2:suggestion int2:citationStyle="Mla" int2:isIdentical="0">
                  <int2:citationText>&lt;i&gt;Get Employee Recognition Form - US Legal Forms&lt;/i&gt;, https://www.uslegalforms.com/form-library/144039-employee-recognition-form.</int2:citationText>
                </int2:suggestion>
                <int2:suggestion int2:citationStyle="Apa" int2:isIdentical="0">
                  <int2:citationText>&lt;i&gt;Get Employee Recognition Form - US Legal Forms&lt;/i&gt;. (n.d.). Retrieved from https://www.uslegalforms.com/form-library/144039-employee-recognition-form</int2:citationText>
                </int2:suggestion>
                <int2:suggestion int2:citationStyle="Chicago" int2:isIdentical="0">
                  <int2:citationText>“Get Employee Recognition Form - US Legal Forms” n.d., https://www.uslegalforms.com/form-library/144039-employee-recognition-form.</int2:citationText>
                </int2:suggestion>
              </int2:suggestions>
            </int2:source>
          </int2:similarityCritique>
        </oel:ext>
      </int2:extLst>
    </int2:bookmark>
    <int2:bookmark int2:bookmarkName="_Int_hSuhjXWt" int2:invalidationBookmarkName="" int2:hashCode="PtthMsa0Tu5LsI" int2:id="ZhinEMeM">
      <int2:state int2:value="Rejected" int2:type="AugLoop_Similarity_SimilarityAnnotation"/>
      <int2:extLst>
        <oel:ext uri="426473B9-03D8-482F-96C9-C2C85392BACA">
          <int2:similarityCritique int2:version="1" int2:context="Bonuses and monetary recognition show an employee the value placed on their work. Giving small bonuses when an employee achieves a goal or shows a high level of performance can help create an environment of spontaneous praise and motivation. Seasonal bonuses and monetary rewards, such as commissions, also show appreciation and the value of an employee's work.">
            <int2:source int2:sourceType="Online" int2:sourceTitle="8 Types of Employee Recognition (And Why It's Important)" int2:sourceUrl="https://www.indeed.com/career-advice/career-development/types-of-employee-recognition" int2:sourceSnippet="8 types of employee recognition. Here are eight types of employee recognition to motivate and uplift employees: 1. Bonuses. Bonuses and monetary recognition show an employee the value placed on their work. Giving small bonuses when an employee achieves a goal or shows a high level of performance can help create an environment of spontaneous ...">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Zj0WLgIs" int2:invalidationBookmarkName="" int2:hashCode="fdqtVGYvLM+Tl+" int2:id="6Fv73xtD">
      <int2:state int2:value="Rejected" int2:type="AugLoop_Similarity_SimilarityAnnotation"/>
      <int2:extLst>
        <oel:ext uri="426473B9-03D8-482F-96C9-C2C85392BACA">
          <int2:similarityCritique int2:version="1" int2:context="Employee recognition is important for motivating and maintaining employees. Individuals who feel that employers value their work gain intrinsic motivation to maintain and improve their performance. Recognizing and reinforcing achievements and efforts creates a positive work environment and promotes employee loyalty and satisfaction.">
            <int2:source int2:sourceType="Online" int2:sourceTitle="8 Types of Employee Recognition (And Why It's Important)" int2:sourceUrl="https://www.indeed.com/career-advice/career-development/types-of-employee-recognition" int2:sourceSnippet="Employee recognition is important for motivating and maintaining employees. Individuals who feel that employers value their work gain intrinsic motivation to maintain and improve their performance. Recognizing and reinforcing achievements and efforts creates a positive work environment and promotes employee loyalty and satisfaction.">
              <int2:suggestions int2:citationType="Inline">
                <int2:suggestion int2:citationStyle="Mla" int2:isIdentical="0">
                  <int2:citationText>(“8 Types of Employee Recognition (And Why It's Important)”)</int2:citationText>
                </int2:suggestion>
                <int2:suggestion int2:citationStyle="Apa" int2:isIdentical="0">
                  <int2:citationText>(“8 Types of Employee Recognition (And Why It's Important)”)</int2:citationText>
                </int2:suggestion>
                <int2:suggestion int2:citationStyle="Chicago" int2:isIdentical="0">
                  <int2:citationText>(“8 Types of Employee Recognition (And Why It's Important)”)</int2:citationText>
                </int2:suggestion>
              </int2:suggestions>
              <int2:suggestions int2:citationType="Full">
                <int2:suggestion int2:citationStyle="Mla" int2:isIdentical="0">
                  <int2:citationText>&lt;i&gt;8 Types of Employee Recognition (And Why It's Important)&lt;/i&gt;, https://www.indeed.com/career-advice/career-development/types-of-employee-recognition.</int2:citationText>
                </int2:suggestion>
                <int2:suggestion int2:citationStyle="Apa" int2:isIdentical="0">
                  <int2:citationText>&lt;i&gt;8 Types of Employee Recognition (And Why It's Important)&lt;/i&gt;. (n.d.). Retrieved from https://www.indeed.com/career-advice/career-development/types-of-employee-recognition</int2:citationText>
                </int2:suggestion>
                <int2:suggestion int2:citationStyle="Chicago" int2:isIdentical="0">
                  <int2:citationText>“8 Types of Employee Recognition (And Why It's Important)” n.d., https://www.indeed.com/career-advice/career-development/types-of-employee-recognition.</int2:citationText>
                </int2:suggestion>
              </int2:suggestions>
            </int2:source>
          </int2:similarityCritique>
        </oel:ext>
      </int2:extLst>
    </int2:bookmark>
    <int2:bookmark int2:bookmarkName="_Int_U445N8DH" int2:invalidationBookmarkName="" int2:hashCode="qqdVQ+eMu8Uce7" int2:id="OkHO7L4p">
      <int2:state int2:value="Rejected" int2:type="AugLoop_Similarity_SimilarityAnnotation"/>
      <int2:extLst>
        <oel:ext uri="426473B9-03D8-482F-96C9-C2C85392BACA">
          <int2:similarityCritique int2:version="1" int2:context="Explain the merits of different types of recognition schemes offered by organisations.">
            <int2:source int2:sourceType="Online" int2:sourceTitle="Solved explain the merits of different types of recognition - Chegg" int2:sourceUrl="https://www.chegg.com/homework-help/questions-and-answers/explain-merits-different-types-recognition-schemes-offered-organisations-q191524191" int2:sourceSnippet="explain the merits of different types of recognition schemes offered by organisations Your solution’s ready to go! Enhanced with AI, our expert help has broken down your problem into an easy-to-learn solution you can count on.">
              <int2:suggestions int2:citationType="Inline">
                <int2:suggestion int2:citationStyle="Mla" int2:isIdentical="0">
                  <int2:citationText>(“Solved explain the merits of different types of recognition - Chegg”)</int2:citationText>
                </int2:suggestion>
                <int2:suggestion int2:citationStyle="Apa" int2:isIdentical="0">
                  <int2:citationText>(“Solved explain the merits of different types of recognition - Chegg”)</int2:citationText>
                </int2:suggestion>
                <int2:suggestion int2:citationStyle="Chicago" int2:isIdentical="0">
                  <int2:citationText>(“Solved explain the merits of different types of recognition - Chegg”)</int2:citationText>
                </int2:suggestion>
              </int2:suggestions>
              <int2:suggestions int2:citationType="Full">
                <int2:suggestion int2:citationStyle="Mla" int2:isIdentical="0">
                  <int2:citationText>&lt;i&gt;Solved explain the merits of different types of recognition - Chegg&lt;/i&gt;, https://www.chegg.com/homework-help/questions-and-answers/explain-merits-different-types-recognition-schemes-offered-organisations-q191524191.</int2:citationText>
                </int2:suggestion>
                <int2:suggestion int2:citationStyle="Apa" int2:isIdentical="0">
                  <int2:citationText>&lt;i&gt;Solved explain the merits of different types of recognition - Chegg&lt;/i&gt;. (n.d.). Retrieved from https://www.chegg.com/homework-help/questions-and-answers/explain-merits-different-types-recognition-schemes-offered-organisations-q191524191</int2:citationText>
                </int2:suggestion>
                <int2:suggestion int2:citationStyle="Chicago" int2:isIdentical="0">
                  <int2:citationText>“Solved explain the merits of different types of recognition - Chegg” n.d., https://www.chegg.com/homework-help/questions-and-answers/explain-merits-different-types-recognition-schemes-offered-organisations-q191524191.</int2:citationText>
                </int2:suggestion>
              </int2:suggestions>
            </int2:source>
          </int2:similarityCritique>
        </oel:ext>
      </int2:extLst>
    </int2:bookmark>
    <int2:bookmark int2:bookmarkName="_Int_oGEnTxUZ" int2:invalidationBookmarkName="" int2:hashCode="WcCHrzFQ8GZRSd" int2:id="hCpF37zN">
      <int2:state int2:value="Rejected" int2:type="AugLoop_Similarity_SimilarityAnnotation"/>
      <int2:extLst>
        <oel:ext uri="426473B9-03D8-482F-96C9-C2C85392BACA">
          <int2:similarityCritique int2:version="1" int2:context="Explain the differences between types of grade and pay structures.">
            <int2:source int2:sourceType="Online" int2:sourceTitle="Solved Explain the differences between types of grade and - Chegg" int2:sourceUrl="https://www.chegg.com/homework-help/questions-and-answers/explain-differences-types-grade-pay-structures-ac-21-q190877091" int2:sourceSnippet="Question: Explain the differences between types of grade and pay structures. (AC 2.1)">
              <int2:suggestions int2:citationType="Inline">
                <int2:suggestion int2:citationStyle="Mla" int2:isIdentical="1">
                  <int2:citationText>(“Solved Explain the differences between types of grade and - Chegg”)</int2:citationText>
                </int2:suggestion>
                <int2:suggestion int2:citationStyle="Apa" int2:isIdentical="1">
                  <int2:citationText>(“Solved Explain the differences between types of grade and - Chegg”)</int2:citationText>
                </int2:suggestion>
                <int2:suggestion int2:citationStyle="Chicago" int2:isIdentical="1">
                  <int2:citationText>(“Solved Explain the differences between types of grade and - Chegg”)</int2:citationText>
                </int2:suggestion>
              </int2:suggestions>
              <int2:suggestions int2:citationType="Full">
                <int2:suggestion int2:citationStyle="Mla" int2:isIdentical="1">
                  <int2:citationText>&lt;i&gt;Solved Explain the differences between types of grade and - Chegg&lt;/i&gt;, https://www.chegg.com/homework-help/questions-and-answers/explain-differences-types-grade-pay-structures-ac-21-q190877091.</int2:citationText>
                </int2:suggestion>
                <int2:suggestion int2:citationStyle="Apa" int2:isIdentical="1">
                  <int2:citationText>&lt;i&gt;Solved Explain the differences between types of grade and - Chegg&lt;/i&gt;. (n.d.). Retrieved from https://www.chegg.com/homework-help/questions-and-answers/explain-differences-types-grade-pay-structures-ac-21-q190877091</int2:citationText>
                </int2:suggestion>
                <int2:suggestion int2:citationStyle="Chicago" int2:isIdentical="1">
                  <int2:citationText>“Solved Explain the differences between types of grade and - Chegg” n.d., https://www.chegg.com/homework-help/questions-and-answers/explain-differences-types-grade-pay-structures-ac-21-q190877091.</int2:citationText>
                </int2:suggestion>
              </int2:suggestions>
            </int2:source>
          </int2:similarityCritique>
        </oel:ext>
      </int2:extLst>
    </int2:bookmark>
    <int2:bookmark int2:bookmarkName="_Int_uTqqqOSC" int2:invalidationBookmarkName="" int2:hashCode="vNrdfWFzK4PxJI" int2:id="6eYNPVgT">
      <int2:state int2:value="Rejected" int2:type="AugLoop_Similarity_SimilarityAnnotation"/>
      <int2:extLst>
        <oel:ext uri="426473B9-03D8-482F-96C9-C2C85392BACA">
          <int2:similarityCritique int2:version="1" int2:context="Assess the contribution of extrinsic and intrinsic rewards to improving employee contribution and sustained organisational performance.">
            <int2:source int2:sourceType="Online" int2:sourceTitle="Evaluating the impact of extrinsic and intrinsic reward" int2:sourceUrl="http://andrewwaleslod.co.uk/learning-resources-evaluating-the-impact-of-extrinsic-and-intrinsic-reward/" int2:sourceSnippet="This learning relates to unit 5HR03 – Reward for performance and contribution. LO1 – Understand the impact of reward approaches and packages. AC 1.5 – Assess the contribution of extrinsic and intrinsic rewards to improving employee contribution and sustained organisational performance.">
              <int2:suggestions int2:citationType="Inline">
                <int2:suggestion int2:citationStyle="Mla" int2:isIdentical="1">
                  <int2:citationText>(“Evaluating the impact of extrinsic and intrinsic reward”)</int2:citationText>
                </int2:suggestion>
                <int2:suggestion int2:citationStyle="Apa" int2:isIdentical="1">
                  <int2:citationText>(“Evaluating the impact of extrinsic and intrinsic reward”)</int2:citationText>
                </int2:suggestion>
                <int2:suggestion int2:citationStyle="Chicago" int2:isIdentical="1">
                  <int2:citationText>(“Evaluating the impact of extrinsic and intrinsic reward”)</int2:citationText>
                </int2:suggestion>
              </int2:suggestions>
              <int2:suggestions int2:citationType="Full">
                <int2:suggestion int2:citationStyle="Mla" int2:isIdentical="1">
                  <int2:citationText>&lt;i&gt;Evaluating the impact of extrinsic and intrinsic reward&lt;/i&gt;, http://andrewwaleslod.co.uk/learning-resources-evaluating-the-impact-of-extrinsic-and-intrinsic-reward/.</int2:citationText>
                </int2:suggestion>
                <int2:suggestion int2:citationStyle="Apa" int2:isIdentical="1">
                  <int2:citationText>&lt;i&gt;Evaluating the impact of extrinsic and intrinsic reward&lt;/i&gt;. (n.d.). Retrieved from http://andrewwaleslod.co.uk/learning-resources-evaluating-the-impact-of-extrinsic-and-intrinsic-reward/</int2:citationText>
                </int2:suggestion>
                <int2:suggestion int2:citationStyle="Chicago" int2:isIdentical="1">
                  <int2:citationText>“Evaluating the impact of extrinsic and intrinsic reward” n.d., http://andrewwaleslod.co.uk/learning-resources-evaluating-the-impact-of-extrinsic-and-intrinsic-reward/.</int2:citationText>
                </int2:suggestion>
              </int2:suggestions>
            </int2:source>
            <int2:source int2:sourceType="Online" int2:sourceTitle="5HR03 Reward for performance and contribution" int2:sourceUrl="https://cipdmodules.co.uk/5hr03-reward-for-performance-and-contribution/" int2:sourceSnippet="AC 1.5 Assess the contribution of extrinsic and intrinsic rewards to improving employee contribution and sustained organisational performance. Guideline. Extrinsic rewards are concrete, often financial, incentives provided to employees by employers. These include elements like salaries, pay increases, bonuses, and various financial perks.">
              <int2:suggestions int2:citationType="Inline">
                <int2:suggestion int2:citationStyle="Mla" int2:isIdentical="1">
                  <int2:citationText>(“5HR03 Reward for performance and contribution”)</int2:citationText>
                </int2:suggestion>
                <int2:suggestion int2:citationStyle="Apa" int2:isIdentical="1">
                  <int2:citationText>(“5HR03 Reward for performance and contribution”)</int2:citationText>
                </int2:suggestion>
                <int2:suggestion int2:citationStyle="Chicago" int2:isIdentical="1">
                  <int2:citationText>(“5HR03 Reward for performance and contribution”)</int2:citationText>
                </int2:suggestion>
              </int2:suggestions>
              <int2:suggestions int2:citationType="Full">
                <int2:suggestion int2:citationStyle="Mla" int2:isIdentical="1">
                  <int2:citationText>&lt;i&gt;5HR03 Reward for performance and contribution&lt;/i&gt;, https://cipdmodules.co.uk/5hr03-reward-for-performance-and-contribution/.</int2:citationText>
                </int2:suggestion>
                <int2:suggestion int2:citationStyle="Apa" int2:isIdentical="1">
                  <int2:citationText>&lt;i&gt;5HR03 Reward for performance and contribution&lt;/i&gt;. (n.d.). Retrieved from https://cipdmodules.co.uk/5hr03-reward-for-performance-and-contribution/</int2:citationText>
                </int2:suggestion>
                <int2:suggestion int2:citationStyle="Chicago" int2:isIdentical="1">
                  <int2:citationText>“5HR03 Reward for performance and contribution” n.d., https://cipdmodules.co.uk/5hr03-reward-for-performance-and-contribution/.</int2:citationText>
                </int2:suggestion>
              </int2:suggestions>
            </int2:source>
            <int2:source int2:sourceType="Online" int2:sourceTitle="5HR03 Reward for Performance and Contribution assignment: task one ..." int2:sourceUrl="https://cipdmoduleshelp.com/5hr03-reward-for-performance-and-contribution-assignment-task-one-guideline/" int2:sourceSnippet="AC 1.5 Assess the contribution of extrinsic and intrinsic rewards to improving employee contribution and sustained organisational performance. Guideline. Extrinsic rewards are tangible rewards, which are in most cases financial. Examples include employee wages, pay rise, provision of bonuses and other financial benefits that employers provide ...">
              <int2:suggestions int2:citationType="Inline">
                <int2:suggestion int2:citationStyle="Mla" int2:isIdentical="1">
                  <int2:citationText>(“5HR03 Reward for Performance and Contribution assignment: task one ...”)</int2:citationText>
                </int2:suggestion>
                <int2:suggestion int2:citationStyle="Apa" int2:isIdentical="1">
                  <int2:citationText>(“5HR03 Reward for Performance and Contribution assignment: task one ...”)</int2:citationText>
                </int2:suggestion>
                <int2:suggestion int2:citationStyle="Chicago" int2:isIdentical="1">
                  <int2:citationText>(“5HR03 Reward for Performance and Contribution assignment: task one ...”)</int2:citationText>
                </int2:suggestion>
              </int2:suggestions>
              <int2:suggestions int2:citationType="Full">
                <int2:suggestion int2:citationStyle="Mla" int2:isIdentical="1">
                  <int2:citationText>&lt;i&gt;5HR03 Reward for Performance and Contribution assignment: task one ...&lt;/i&gt;, https://cipdmoduleshelp.com/5hr03-reward-for-performance-and-contribution-assignment-task-one-guideline/.</int2:citationText>
                </int2:suggestion>
                <int2:suggestion int2:citationStyle="Apa" int2:isIdentical="1">
                  <int2:citationText>&lt;i&gt;5HR03 Reward for Performance and Contribution assignment: task one ...&lt;/i&gt;. (n.d.). Retrieved from https://cipdmoduleshelp.com/5hr03-reward-for-performance-and-contribution-assignment-task-one-guideline/</int2:citationText>
                </int2:suggestion>
                <int2:suggestion int2:citationStyle="Chicago" int2:isIdentical="1">
                  <int2:citationText>“5HR03 Reward for Performance and Contribution assignment: task one ...” n.d., https://cipdmoduleshelp.com/5hr03-reward-for-performance-and-contribution-assignment-task-one-guideline/.</int2:citationText>
                </int2:suggestion>
              </int2:suggestions>
            </int2:source>
          </int2:similarityCritique>
        </oel:ext>
      </int2:extLst>
    </int2:bookmark>
    <int2:bookmark int2:bookmarkName="_Int_FmByQzEs" int2:invalidationBookmarkName="" int2:hashCode="waH4Rjwlr2owYL" int2:id="ABsb14RZ">
      <int2:state int2:value="Rejected" int2:type="AugLoop_Text_Critique"/>
    </int2:bookmark>
    <int2:bookmark int2:bookmarkName="_Int_GNqEfu6a" int2:invalidationBookmarkName="" int2:hashCode="yzlcffR8h38bBG" int2:id="EtnClwBH">
      <int2:state int2:value="Rejected" int2:type="AugLoop_Text_Critique"/>
    </int2:bookmark>
    <int2:bookmark int2:bookmarkName="_Int_yZr9qeFm" int2:invalidationBookmarkName="" int2:hashCode="XfnPlw4VbdG38c" int2:id="YbmbGXOX">
      <int2:state int2:value="Rejected" int2:type="AugLoop_Text_Critique"/>
    </int2:bookmark>
    <int2:bookmark int2:bookmarkName="_Int_RQmX5syg" int2:invalidationBookmarkName="" int2:hashCode="waH4Rjwlr2owYL" int2:id="NyNcM3t6">
      <int2:state int2:value="Rejected" int2:type="AugLoop_Text_Critique"/>
    </int2:bookmark>
    <int2:bookmark int2:bookmarkName="_Int_V89qI1qv" int2:invalidationBookmarkName="" int2:hashCode="yzlcffR8h38bBG" int2:id="z8VPEukU">
      <int2:state int2:value="Rejected" int2:type="AugLoop_Text_Critique"/>
    </int2:bookmark>
    <int2:bookmark int2:bookmarkName="_Int_r9SasSPu" int2:invalidationBookmarkName="" int2:hashCode="yzlcffR8h38bBG" int2:id="NjAKmIls">
      <int2:state int2:value="Rejected" int2:type="AugLoop_Text_Critique"/>
    </int2:bookmark>
    <int2:bookmark int2:bookmarkName="_Int_PSDkvOtU" int2:invalidationBookmarkName="" int2:hashCode="MAq7aZia0oq9pL" int2:id="jdI7sFak">
      <int2:state int2:value="Rejected" int2:type="AugLoop_Similarity_SimilarityAnnotation"/>
      <int2:extLst>
        <oel:ext uri="426473B9-03D8-482F-96C9-C2C85392BACA">
          <int2:similarityCritique int2:version="1" int2:context="Explain the principles of reward and its importance to organisational culture and performance management.">
            <int2:source int2:sourceType="Online" int2:sourceTitle="5HR03 Assignment Example" int2:sourceUrl="https://cipdmodules.co.uk/5hr03-assignment-example/" int2:sourceSnippet="1) Evaluate the principles of reward and its importance to organisational culture and performance management. (AC 1.1) 2) Explain how policy initiatives and practices are implemented. (AC 1.2) 3) Explain how people and organisational performance can impact on the approach to reward. (AC 1.3)">
              <int2:suggestions int2:citationType="Inline">
                <int2:suggestion int2:citationStyle="Mla" int2:isIdentical="0">
                  <int2:citationText>(“5HR03 Assignment Example”)</int2:citationText>
                </int2:suggestion>
                <int2:suggestion int2:citationStyle="Apa" int2:isIdentical="0">
                  <int2:citationText>(“5HR03 Assignment Example”)</int2:citationText>
                </int2:suggestion>
                <int2:suggestion int2:citationStyle="Chicago" int2:isIdentical="0">
                  <int2:citationText>(“5HR03 Assignment Example”)</int2:citationText>
                </int2:suggestion>
              </int2:suggestions>
              <int2:suggestions int2:citationType="Full">
                <int2:suggestion int2:citationStyle="Mla" int2:isIdentical="0">
                  <int2:citationText>&lt;i&gt;5HR03 Assignment Example&lt;/i&gt;, https://cipdmodules.co.uk/5hr03-assignment-example/.</int2:citationText>
                </int2:suggestion>
                <int2:suggestion int2:citationStyle="Apa" int2:isIdentical="0">
                  <int2:citationText>&lt;i&gt;5HR03 Assignment Example&lt;/i&gt;. (n.d.). Retrieved from https://cipdmodules.co.uk/5hr03-assignment-example/</int2:citationText>
                </int2:suggestion>
                <int2:suggestion int2:citationStyle="Chicago" int2:isIdentical="0">
                  <int2:citationText>“5HR03 Assignment Example” n.d., https://cipdmodules.co.uk/5hr03-assignment-example/.</int2:citationText>
                </int2:suggestion>
              </int2:suggestions>
            </int2:source>
          </int2:similarityCritique>
        </oel:ext>
      </int2:extLst>
    </int2:bookmark>
    <int2:entireDocument int2:id="x0rmxcOE">
      <int2:extLst>
        <oel:ext uri="E302BA01-7950-474C-9AD3-286E660C40A8">
          <int2:similaritySummary int2:version="1" int2:runId="1721903638784" int2:tilesCheckedInThisRun="5" int2:totalNumOfTiles="145" int2:similarityAnnotationCount="7" int2:numWords="5321" int2:numFlaggedWords="99"/>
        </oel:ext>
      </int2:extLst>
    </int2:entireDocument>
  </int2:observations>
  <int2:intelligenceSettings/>
  <int2:onDemandWorkflows>
    <int2:onDemandWorkflow int2:type="SimilarityCheck" int2:paragraphVersions="055A231F-51D097A4 2DA3D7D6-385C382F 14A9AF51-2DBF25CE 68C3F876-7CCFCCEB 6D604B6B-070AEAE2 760EED8A-5DC91E53 5B0BD7A2-57F8883C 48B8235F-1A7EA799 69BD1649-70F6930A 31BE2701-20849C3A 24BE7A9F-2A1E2203 0B30BC20-3CEC6FE9 2692B106-41AA5766 18EF43FB-4A12FDBF 0DB5A0A2-29EB7958 4733356B-67A8FC25 437D1FCA-7BBE0941 70F0D712-7FCD16FF 627EE7A3-6EA1F417 0FC4A8FB-1AD2689B 7DC908A0-0497021E 77C2FB0C-35DFE86F 457DD4F3-19BF28C0 5FB60697-70134BFA 25D7DFEF-27DF61CE 09CF0176-3C33C646 17146D49-15F6B143 79A93BFB-125A90A6 409F87B0-6047CECE 6646691F-6973F119 4989C481-0B6D8C20 74936EF4-6F415A9D 5BFDE7DB-46EDB850 04040E77-0CC202FE 574D5B70-0B268B4F 440EB1D0-2F7CB9A4 31475780-0CFF3B00 1F924CD2-163FA078 7FCE5895-53CCC575 5D035195-40443844 741DD64F-583A04E2 1C0788B7-1EAC86C7 32E2FEB9-3813E977 744BB95B-11D61D16 2758B27D-42039B37 669AABC9-5E9D311E 12E54BC4-126DC46F 51B4112C-761FBA0D 3EEF237A-3415E3DE 715D0449-181CBB89 0CB807F6-7BAE2CF6 74307A7B-3A92F382 2F3A7BCA-629D5329 35DBA10B-694885EF 4FEE012E-63ED2CF7 48EB981E-5BFAE98C 727E25FD-0463D56C 7B5E17CD-0D3ADBFA 112F0054-24F04CDA 1ACE40F2-3F3B8F49 1461DD7D-1734A9BA 0B364E98-33AA3BAF 7663B566-405D9230 3F10DEF6-46EC08E5 52C3BF21-48273C0C 45AC04EF-66D2ABF3 32C5817E-6992575A 20EC2F5D-38FCD6C2 6B325915-12CBD91E 15E81B88-24A59657 4D96F48E-70FEE059 1D04A39A-6DC11095 4C2FBC5A-7106C933 546D455E-21E7BB65 3F8FFA7D-6403A6B5 1F8F1450-4E293FFF 1E757792-388C2421 70EB6EB1-55055115 3A658823-061CCCC2 688C08B3-24EBBAB6 3340E228-68D2A407 502A8668-2CC74054 4BDE5F2D-067578A9 6EF033C9-50939F3A 73966867-0EFFFA01 45900D97-350BFE92 7BEA800C-2D6688D7 6B35AFA0-7A94E260 74C6064C-0E09E1CB 5AF015E8-75CDC196 6AB094CE-247A2520 6CE6ACA6-7995AC19 5E7B7410-5A604947 15640472-7D0E247E 3DA84689-480506E5 37E9070F-75C8B204 4E669775-37FBA4D2 55360165-4D213EB5 25B55970-68916230 3AC804B3-1B48447B 7B63FB10-05F165B1 7D7DA25F-1499C8EE 48BF0C14-2C065E14 6C4F7C2A-29D95738 520E98A7-1CD4A3E3 40B59A6A-1EE3F472 40E55C8F-482E11D9 6B13AC39-4B66B912 49FD6D75-7EF2EFEA 28553E82-5E4F0F52 4D16F84E-7A9765FB 163F85FB-6753B455 36768B94-63176429 49589153-21B4DA25 098FA06C-730E1515 4640116F-07CC8B19 2AD34D66-72A74D4C 2CBD6423-0185F6CC 47F11223-0FE1F11E 7887795F-2C4A0390 2DF936D3-4D2229BD 0A12C563-24FFD15F 07F19FD8-3DC001D3 668E79C6-43433C33 7F9BC45C-7DA77677 03C9EE57-15D8757A 43768260-20C82C6C 3F4E33D0-078DBDD8 0699CC8F-1CD5B7DA 56084BC7-4F311EF7 42211184-73181120 45B2C267-6184FCF7 575284E5-610490BE 0EA625AA-54A38C66 0200E19F-14F9879E 3D67DF7F-45AD8612 7A34E890-35A2F781 24690204-77E57978 5134B8D6-680EBFE1 1E36E531-47AFE170 416865BF-5D1424FB 38E92843-63B5C817 75E1ABC6-3A1A056E 372AFF06-5A17E9E4 56BCB6BA-230EBA14 27D4D59F-57B7933A 6107A877-5382C44A 5BBD4B49-4145C68E 27F0079B-5C2F18E4 0002D43A-5F156539 71695A06-6ABB559B 0B851133-358BDF91 20F11184-0BF4BAAC 6946A383-77777777 19C20663-1001E81B 09F4D46D-00B1AB9A 71F13FD8-75F0459D 02177124-5C8B6303 3D232800-124B8FAD 21DEDD3E-1663F02A 66CCAEA4-3A0B7B24 68C7E572-047C519B 0781C66E-38AEB2D9 43E04935-11EEB579 2606B922-39D13E02 15FF1AA0-54EE97D1 759E4304-6B40DCC5 2D198564-54D15986 7C2ECE27-233EE7CD 496E2781-18EF432B 23CF1F8B-50961F4F 3AFAACF4-77777777 47EF29EE-4AF7A4E8 0BDC3336-3B8FC4B6 7BF3C3AA-28F95FD6 5A183BAC-3185819B 34442D36-6952E410 4E76791A-4EE91F5B 024D5968-49CAC960 7A2178F3-3D3A0512 419CCECE-2D8D6D80 26E455CC-4EAEDED4 6708A451-2E9276CE 29FD6DA1-11AD05F1 3752421A-67DC8002 7CE33C9C-7245DB13 375FC706-61C0F895 4546CFDF-7979FADB 720BE54D-2A151AF1 24BB58BF-03BF213F 60398947-4F26772C 56C67018-6D56FEC5 5CC4F6A3-02BA1454 319FDB48-5D5D438C 2B6140DE-72D9B8A9 3F9A2C04-77777777 18977EE1-77777777 06EB4706-77777777 0B105706-77777777 0CE72A3E-77777777 1B4C54AF-77777777 5A596DFA-77777777 33DCF6B3-6E2B28ED 3EF0F390-77777777 3CBCC08B-77777777 73052064-77777777 3033572F-77777777 3CA472E0-77777777 0BD7DC30-77777777 7326C49F-77777777 315207E4-77777777 330580AF-77777777 624AC845-77777777 75267EA8-77777777 60D5DF00-77777777 07D8F977-77777777 29E70460-77777777 1E9FAEEB-77777777 6F063141-77777777 5B9C7A2E-77777777 1D082263-77777777 5C1BE41D-77777777 350B168F-77777777 056D469E-77777777 4C3AC6A2-77777777 05E30747-77777777 719ADAC6-77777777 5CC7CFAB-77777777 7876C921-77777777 000EFA6B-77777777 59A97F0F-77777777 567C5863-77777777 7B57B1B1-77777777 6E48CA6F-77777777 798AFD55-77777777 64258D34-77777777 0FA6F051-77777777 125E0089-77777777 3B474895-77777777 38B85A8A-77777777 137634E1-77777777 38D75FEC-77777777 3987C5D0-77777777 7F7709E2-77777777 28BC97AD-77777777 489B2B92-3CE905B2 0BEC78E9-764CECF0 2C078E63-5FE5B40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5EDEC"/>
    <w:multiLevelType w:val="hybridMultilevel"/>
    <w:tmpl w:val="5E926F4A"/>
    <w:lvl w:ilvl="0" w:tplc="EB3AB9B8">
      <w:start w:val="4"/>
      <w:numFmt w:val="decimal"/>
      <w:lvlText w:val="%1."/>
      <w:lvlJc w:val="left"/>
      <w:pPr>
        <w:ind w:left="720" w:hanging="360"/>
      </w:pPr>
      <w:rPr>
        <w:rFonts w:ascii="Calibri" w:hAnsi="Calibri" w:hint="default"/>
      </w:rPr>
    </w:lvl>
    <w:lvl w:ilvl="1" w:tplc="63CADA26">
      <w:start w:val="1"/>
      <w:numFmt w:val="lowerLetter"/>
      <w:lvlText w:val="%2."/>
      <w:lvlJc w:val="left"/>
      <w:pPr>
        <w:ind w:left="1440" w:hanging="360"/>
      </w:pPr>
    </w:lvl>
    <w:lvl w:ilvl="2" w:tplc="766A3D92">
      <w:start w:val="1"/>
      <w:numFmt w:val="lowerRoman"/>
      <w:lvlText w:val="%3."/>
      <w:lvlJc w:val="right"/>
      <w:pPr>
        <w:ind w:left="2160" w:hanging="180"/>
      </w:pPr>
    </w:lvl>
    <w:lvl w:ilvl="3" w:tplc="53CC4BAA">
      <w:start w:val="1"/>
      <w:numFmt w:val="decimal"/>
      <w:lvlText w:val="%4."/>
      <w:lvlJc w:val="left"/>
      <w:pPr>
        <w:ind w:left="2880" w:hanging="360"/>
      </w:pPr>
    </w:lvl>
    <w:lvl w:ilvl="4" w:tplc="2C8683EE">
      <w:start w:val="1"/>
      <w:numFmt w:val="lowerLetter"/>
      <w:lvlText w:val="%5."/>
      <w:lvlJc w:val="left"/>
      <w:pPr>
        <w:ind w:left="3600" w:hanging="360"/>
      </w:pPr>
    </w:lvl>
    <w:lvl w:ilvl="5" w:tplc="A426C832">
      <w:start w:val="1"/>
      <w:numFmt w:val="lowerRoman"/>
      <w:lvlText w:val="%6."/>
      <w:lvlJc w:val="right"/>
      <w:pPr>
        <w:ind w:left="4320" w:hanging="180"/>
      </w:pPr>
    </w:lvl>
    <w:lvl w:ilvl="6" w:tplc="AA3C43BC">
      <w:start w:val="1"/>
      <w:numFmt w:val="decimal"/>
      <w:lvlText w:val="%7."/>
      <w:lvlJc w:val="left"/>
      <w:pPr>
        <w:ind w:left="5040" w:hanging="360"/>
      </w:pPr>
    </w:lvl>
    <w:lvl w:ilvl="7" w:tplc="E3DC305C">
      <w:start w:val="1"/>
      <w:numFmt w:val="lowerLetter"/>
      <w:lvlText w:val="%8."/>
      <w:lvlJc w:val="left"/>
      <w:pPr>
        <w:ind w:left="5760" w:hanging="360"/>
      </w:pPr>
    </w:lvl>
    <w:lvl w:ilvl="8" w:tplc="9B28F716">
      <w:start w:val="1"/>
      <w:numFmt w:val="lowerRoman"/>
      <w:lvlText w:val="%9."/>
      <w:lvlJc w:val="right"/>
      <w:pPr>
        <w:ind w:left="6480" w:hanging="180"/>
      </w:pPr>
    </w:lvl>
  </w:abstractNum>
  <w:abstractNum w:abstractNumId="1" w15:restartNumberingAfterBreak="0">
    <w:nsid w:val="1BBCF4A0"/>
    <w:multiLevelType w:val="hybridMultilevel"/>
    <w:tmpl w:val="D88877CA"/>
    <w:lvl w:ilvl="0" w:tplc="2640E916">
      <w:start w:val="6"/>
      <w:numFmt w:val="decimal"/>
      <w:lvlText w:val="%1."/>
      <w:lvlJc w:val="left"/>
      <w:pPr>
        <w:ind w:left="720" w:hanging="360"/>
      </w:pPr>
      <w:rPr>
        <w:rFonts w:ascii="Calibri" w:hAnsi="Calibri" w:hint="default"/>
      </w:rPr>
    </w:lvl>
    <w:lvl w:ilvl="1" w:tplc="AF446E80">
      <w:start w:val="1"/>
      <w:numFmt w:val="lowerLetter"/>
      <w:lvlText w:val="%2."/>
      <w:lvlJc w:val="left"/>
      <w:pPr>
        <w:ind w:left="1440" w:hanging="360"/>
      </w:pPr>
    </w:lvl>
    <w:lvl w:ilvl="2" w:tplc="8BACA712">
      <w:start w:val="1"/>
      <w:numFmt w:val="lowerRoman"/>
      <w:lvlText w:val="%3."/>
      <w:lvlJc w:val="right"/>
      <w:pPr>
        <w:ind w:left="2160" w:hanging="180"/>
      </w:pPr>
    </w:lvl>
    <w:lvl w:ilvl="3" w:tplc="09401846">
      <w:start w:val="1"/>
      <w:numFmt w:val="decimal"/>
      <w:lvlText w:val="%4."/>
      <w:lvlJc w:val="left"/>
      <w:pPr>
        <w:ind w:left="2880" w:hanging="360"/>
      </w:pPr>
    </w:lvl>
    <w:lvl w:ilvl="4" w:tplc="B606A458">
      <w:start w:val="1"/>
      <w:numFmt w:val="lowerLetter"/>
      <w:lvlText w:val="%5."/>
      <w:lvlJc w:val="left"/>
      <w:pPr>
        <w:ind w:left="3600" w:hanging="360"/>
      </w:pPr>
    </w:lvl>
    <w:lvl w:ilvl="5" w:tplc="58EE1B0A">
      <w:start w:val="1"/>
      <w:numFmt w:val="lowerRoman"/>
      <w:lvlText w:val="%6."/>
      <w:lvlJc w:val="right"/>
      <w:pPr>
        <w:ind w:left="4320" w:hanging="180"/>
      </w:pPr>
    </w:lvl>
    <w:lvl w:ilvl="6" w:tplc="94A28E82">
      <w:start w:val="1"/>
      <w:numFmt w:val="decimal"/>
      <w:lvlText w:val="%7."/>
      <w:lvlJc w:val="left"/>
      <w:pPr>
        <w:ind w:left="5040" w:hanging="360"/>
      </w:pPr>
    </w:lvl>
    <w:lvl w:ilvl="7" w:tplc="AE54696E">
      <w:start w:val="1"/>
      <w:numFmt w:val="lowerLetter"/>
      <w:lvlText w:val="%8."/>
      <w:lvlJc w:val="left"/>
      <w:pPr>
        <w:ind w:left="5760" w:hanging="360"/>
      </w:pPr>
    </w:lvl>
    <w:lvl w:ilvl="8" w:tplc="42AC3750">
      <w:start w:val="1"/>
      <w:numFmt w:val="lowerRoman"/>
      <w:lvlText w:val="%9."/>
      <w:lvlJc w:val="right"/>
      <w:pPr>
        <w:ind w:left="6480" w:hanging="180"/>
      </w:pPr>
    </w:lvl>
  </w:abstractNum>
  <w:abstractNum w:abstractNumId="2" w15:restartNumberingAfterBreak="0">
    <w:nsid w:val="2C49A127"/>
    <w:multiLevelType w:val="hybridMultilevel"/>
    <w:tmpl w:val="6276BC2E"/>
    <w:lvl w:ilvl="0" w:tplc="E97A9680">
      <w:start w:val="5"/>
      <w:numFmt w:val="decimal"/>
      <w:lvlText w:val="%1."/>
      <w:lvlJc w:val="left"/>
      <w:pPr>
        <w:ind w:left="720" w:hanging="360"/>
      </w:pPr>
      <w:rPr>
        <w:rFonts w:ascii="Calibri" w:hAnsi="Calibri" w:hint="default"/>
      </w:rPr>
    </w:lvl>
    <w:lvl w:ilvl="1" w:tplc="4C445548">
      <w:start w:val="1"/>
      <w:numFmt w:val="lowerLetter"/>
      <w:lvlText w:val="%2."/>
      <w:lvlJc w:val="left"/>
      <w:pPr>
        <w:ind w:left="1440" w:hanging="360"/>
      </w:pPr>
    </w:lvl>
    <w:lvl w:ilvl="2" w:tplc="27E60418">
      <w:start w:val="1"/>
      <w:numFmt w:val="lowerRoman"/>
      <w:lvlText w:val="%3."/>
      <w:lvlJc w:val="right"/>
      <w:pPr>
        <w:ind w:left="2160" w:hanging="180"/>
      </w:pPr>
    </w:lvl>
    <w:lvl w:ilvl="3" w:tplc="5118592E">
      <w:start w:val="1"/>
      <w:numFmt w:val="decimal"/>
      <w:lvlText w:val="%4."/>
      <w:lvlJc w:val="left"/>
      <w:pPr>
        <w:ind w:left="2880" w:hanging="360"/>
      </w:pPr>
    </w:lvl>
    <w:lvl w:ilvl="4" w:tplc="D43813B6">
      <w:start w:val="1"/>
      <w:numFmt w:val="lowerLetter"/>
      <w:lvlText w:val="%5."/>
      <w:lvlJc w:val="left"/>
      <w:pPr>
        <w:ind w:left="3600" w:hanging="360"/>
      </w:pPr>
    </w:lvl>
    <w:lvl w:ilvl="5" w:tplc="91DE579A">
      <w:start w:val="1"/>
      <w:numFmt w:val="lowerRoman"/>
      <w:lvlText w:val="%6."/>
      <w:lvlJc w:val="right"/>
      <w:pPr>
        <w:ind w:left="4320" w:hanging="180"/>
      </w:pPr>
    </w:lvl>
    <w:lvl w:ilvl="6" w:tplc="0AE452BA">
      <w:start w:val="1"/>
      <w:numFmt w:val="decimal"/>
      <w:lvlText w:val="%7."/>
      <w:lvlJc w:val="left"/>
      <w:pPr>
        <w:ind w:left="5040" w:hanging="360"/>
      </w:pPr>
    </w:lvl>
    <w:lvl w:ilvl="7" w:tplc="1704680E">
      <w:start w:val="1"/>
      <w:numFmt w:val="lowerLetter"/>
      <w:lvlText w:val="%8."/>
      <w:lvlJc w:val="left"/>
      <w:pPr>
        <w:ind w:left="5760" w:hanging="360"/>
      </w:pPr>
    </w:lvl>
    <w:lvl w:ilvl="8" w:tplc="49524DC4">
      <w:start w:val="1"/>
      <w:numFmt w:val="lowerRoman"/>
      <w:lvlText w:val="%9."/>
      <w:lvlJc w:val="right"/>
      <w:pPr>
        <w:ind w:left="6480" w:hanging="180"/>
      </w:pPr>
    </w:lvl>
  </w:abstractNum>
  <w:abstractNum w:abstractNumId="3" w15:restartNumberingAfterBreak="0">
    <w:nsid w:val="2CFC6263"/>
    <w:multiLevelType w:val="hybridMultilevel"/>
    <w:tmpl w:val="0C9032EE"/>
    <w:lvl w:ilvl="0" w:tplc="6656612C">
      <w:start w:val="7"/>
      <w:numFmt w:val="decimal"/>
      <w:lvlText w:val="%1."/>
      <w:lvlJc w:val="left"/>
      <w:pPr>
        <w:ind w:left="720" w:hanging="360"/>
      </w:pPr>
      <w:rPr>
        <w:rFonts w:ascii="Calibri" w:hAnsi="Calibri" w:hint="default"/>
      </w:rPr>
    </w:lvl>
    <w:lvl w:ilvl="1" w:tplc="51A82CCE">
      <w:start w:val="1"/>
      <w:numFmt w:val="lowerLetter"/>
      <w:lvlText w:val="%2."/>
      <w:lvlJc w:val="left"/>
      <w:pPr>
        <w:ind w:left="1440" w:hanging="360"/>
      </w:pPr>
    </w:lvl>
    <w:lvl w:ilvl="2" w:tplc="2328FAB4">
      <w:start w:val="1"/>
      <w:numFmt w:val="lowerRoman"/>
      <w:lvlText w:val="%3."/>
      <w:lvlJc w:val="right"/>
      <w:pPr>
        <w:ind w:left="2160" w:hanging="180"/>
      </w:pPr>
    </w:lvl>
    <w:lvl w:ilvl="3" w:tplc="7E5C076A">
      <w:start w:val="1"/>
      <w:numFmt w:val="decimal"/>
      <w:lvlText w:val="%4."/>
      <w:lvlJc w:val="left"/>
      <w:pPr>
        <w:ind w:left="2880" w:hanging="360"/>
      </w:pPr>
    </w:lvl>
    <w:lvl w:ilvl="4" w:tplc="D73CBAD4">
      <w:start w:val="1"/>
      <w:numFmt w:val="lowerLetter"/>
      <w:lvlText w:val="%5."/>
      <w:lvlJc w:val="left"/>
      <w:pPr>
        <w:ind w:left="3600" w:hanging="360"/>
      </w:pPr>
    </w:lvl>
    <w:lvl w:ilvl="5" w:tplc="FB08F910">
      <w:start w:val="1"/>
      <w:numFmt w:val="lowerRoman"/>
      <w:lvlText w:val="%6."/>
      <w:lvlJc w:val="right"/>
      <w:pPr>
        <w:ind w:left="4320" w:hanging="180"/>
      </w:pPr>
    </w:lvl>
    <w:lvl w:ilvl="6" w:tplc="8F9A6AEE">
      <w:start w:val="1"/>
      <w:numFmt w:val="decimal"/>
      <w:lvlText w:val="%7."/>
      <w:lvlJc w:val="left"/>
      <w:pPr>
        <w:ind w:left="5040" w:hanging="360"/>
      </w:pPr>
    </w:lvl>
    <w:lvl w:ilvl="7" w:tplc="A3126402">
      <w:start w:val="1"/>
      <w:numFmt w:val="lowerLetter"/>
      <w:lvlText w:val="%8."/>
      <w:lvlJc w:val="left"/>
      <w:pPr>
        <w:ind w:left="5760" w:hanging="360"/>
      </w:pPr>
    </w:lvl>
    <w:lvl w:ilvl="8" w:tplc="0932230E">
      <w:start w:val="1"/>
      <w:numFmt w:val="lowerRoman"/>
      <w:lvlText w:val="%9."/>
      <w:lvlJc w:val="right"/>
      <w:pPr>
        <w:ind w:left="6480" w:hanging="180"/>
      </w:pPr>
    </w:lvl>
  </w:abstractNum>
  <w:abstractNum w:abstractNumId="4" w15:restartNumberingAfterBreak="0">
    <w:nsid w:val="31D5971A"/>
    <w:multiLevelType w:val="hybridMultilevel"/>
    <w:tmpl w:val="F656D474"/>
    <w:lvl w:ilvl="0" w:tplc="F84C2EC4">
      <w:start w:val="3"/>
      <w:numFmt w:val="decimal"/>
      <w:lvlText w:val="%1."/>
      <w:lvlJc w:val="left"/>
      <w:pPr>
        <w:ind w:left="720" w:hanging="360"/>
      </w:pPr>
      <w:rPr>
        <w:rFonts w:ascii="Calibri" w:hAnsi="Calibri" w:hint="default"/>
      </w:rPr>
    </w:lvl>
    <w:lvl w:ilvl="1" w:tplc="69C04AC6">
      <w:start w:val="1"/>
      <w:numFmt w:val="lowerLetter"/>
      <w:lvlText w:val="%2."/>
      <w:lvlJc w:val="left"/>
      <w:pPr>
        <w:ind w:left="1440" w:hanging="360"/>
      </w:pPr>
    </w:lvl>
    <w:lvl w:ilvl="2" w:tplc="0E24CE50">
      <w:start w:val="1"/>
      <w:numFmt w:val="lowerRoman"/>
      <w:lvlText w:val="%3."/>
      <w:lvlJc w:val="right"/>
      <w:pPr>
        <w:ind w:left="2160" w:hanging="180"/>
      </w:pPr>
    </w:lvl>
    <w:lvl w:ilvl="3" w:tplc="75C8EDBA">
      <w:start w:val="1"/>
      <w:numFmt w:val="decimal"/>
      <w:lvlText w:val="%4."/>
      <w:lvlJc w:val="left"/>
      <w:pPr>
        <w:ind w:left="2880" w:hanging="360"/>
      </w:pPr>
    </w:lvl>
    <w:lvl w:ilvl="4" w:tplc="B18A66DC">
      <w:start w:val="1"/>
      <w:numFmt w:val="lowerLetter"/>
      <w:lvlText w:val="%5."/>
      <w:lvlJc w:val="left"/>
      <w:pPr>
        <w:ind w:left="3600" w:hanging="360"/>
      </w:pPr>
    </w:lvl>
    <w:lvl w:ilvl="5" w:tplc="897254BE">
      <w:start w:val="1"/>
      <w:numFmt w:val="lowerRoman"/>
      <w:lvlText w:val="%6."/>
      <w:lvlJc w:val="right"/>
      <w:pPr>
        <w:ind w:left="4320" w:hanging="180"/>
      </w:pPr>
    </w:lvl>
    <w:lvl w:ilvl="6" w:tplc="4D2AC02A">
      <w:start w:val="1"/>
      <w:numFmt w:val="decimal"/>
      <w:lvlText w:val="%7."/>
      <w:lvlJc w:val="left"/>
      <w:pPr>
        <w:ind w:left="5040" w:hanging="360"/>
      </w:pPr>
    </w:lvl>
    <w:lvl w:ilvl="7" w:tplc="88548130">
      <w:start w:val="1"/>
      <w:numFmt w:val="lowerLetter"/>
      <w:lvlText w:val="%8."/>
      <w:lvlJc w:val="left"/>
      <w:pPr>
        <w:ind w:left="5760" w:hanging="360"/>
      </w:pPr>
    </w:lvl>
    <w:lvl w:ilvl="8" w:tplc="AA18F83E">
      <w:start w:val="1"/>
      <w:numFmt w:val="lowerRoman"/>
      <w:lvlText w:val="%9."/>
      <w:lvlJc w:val="right"/>
      <w:pPr>
        <w:ind w:left="6480" w:hanging="180"/>
      </w:pPr>
    </w:lvl>
  </w:abstractNum>
  <w:abstractNum w:abstractNumId="5" w15:restartNumberingAfterBreak="0">
    <w:nsid w:val="33C3F7E5"/>
    <w:multiLevelType w:val="hybridMultilevel"/>
    <w:tmpl w:val="86EC90CA"/>
    <w:lvl w:ilvl="0" w:tplc="2222C598">
      <w:start w:val="1"/>
      <w:numFmt w:val="decimal"/>
      <w:lvlText w:val="%1."/>
      <w:lvlJc w:val="left"/>
      <w:pPr>
        <w:ind w:left="720" w:hanging="360"/>
      </w:pPr>
      <w:rPr>
        <w:rFonts w:ascii="Calibri" w:hAnsi="Calibri" w:hint="default"/>
      </w:rPr>
    </w:lvl>
    <w:lvl w:ilvl="1" w:tplc="1038725C">
      <w:start w:val="1"/>
      <w:numFmt w:val="lowerLetter"/>
      <w:lvlText w:val="%2."/>
      <w:lvlJc w:val="left"/>
      <w:pPr>
        <w:ind w:left="1440" w:hanging="360"/>
      </w:pPr>
    </w:lvl>
    <w:lvl w:ilvl="2" w:tplc="A7B66CB0">
      <w:start w:val="1"/>
      <w:numFmt w:val="lowerRoman"/>
      <w:lvlText w:val="%3."/>
      <w:lvlJc w:val="right"/>
      <w:pPr>
        <w:ind w:left="2160" w:hanging="180"/>
      </w:pPr>
    </w:lvl>
    <w:lvl w:ilvl="3" w:tplc="3BB4C97C">
      <w:start w:val="1"/>
      <w:numFmt w:val="decimal"/>
      <w:lvlText w:val="%4."/>
      <w:lvlJc w:val="left"/>
      <w:pPr>
        <w:ind w:left="2880" w:hanging="360"/>
      </w:pPr>
    </w:lvl>
    <w:lvl w:ilvl="4" w:tplc="47C0E528">
      <w:start w:val="1"/>
      <w:numFmt w:val="lowerLetter"/>
      <w:lvlText w:val="%5."/>
      <w:lvlJc w:val="left"/>
      <w:pPr>
        <w:ind w:left="3600" w:hanging="360"/>
      </w:pPr>
    </w:lvl>
    <w:lvl w:ilvl="5" w:tplc="D278E75E">
      <w:start w:val="1"/>
      <w:numFmt w:val="lowerRoman"/>
      <w:lvlText w:val="%6."/>
      <w:lvlJc w:val="right"/>
      <w:pPr>
        <w:ind w:left="4320" w:hanging="180"/>
      </w:pPr>
    </w:lvl>
    <w:lvl w:ilvl="6" w:tplc="C52E3242">
      <w:start w:val="1"/>
      <w:numFmt w:val="decimal"/>
      <w:lvlText w:val="%7."/>
      <w:lvlJc w:val="left"/>
      <w:pPr>
        <w:ind w:left="5040" w:hanging="360"/>
      </w:pPr>
    </w:lvl>
    <w:lvl w:ilvl="7" w:tplc="952C1FD0">
      <w:start w:val="1"/>
      <w:numFmt w:val="lowerLetter"/>
      <w:lvlText w:val="%8."/>
      <w:lvlJc w:val="left"/>
      <w:pPr>
        <w:ind w:left="5760" w:hanging="360"/>
      </w:pPr>
    </w:lvl>
    <w:lvl w:ilvl="8" w:tplc="E2D2363A">
      <w:start w:val="1"/>
      <w:numFmt w:val="lowerRoman"/>
      <w:lvlText w:val="%9."/>
      <w:lvlJc w:val="right"/>
      <w:pPr>
        <w:ind w:left="6480" w:hanging="180"/>
      </w:pPr>
    </w:lvl>
  </w:abstractNum>
  <w:abstractNum w:abstractNumId="6" w15:restartNumberingAfterBreak="0">
    <w:nsid w:val="35A59BA2"/>
    <w:multiLevelType w:val="hybridMultilevel"/>
    <w:tmpl w:val="99EEAF90"/>
    <w:lvl w:ilvl="0" w:tplc="B7782D06">
      <w:start w:val="8"/>
      <w:numFmt w:val="decimal"/>
      <w:lvlText w:val="%1."/>
      <w:lvlJc w:val="left"/>
      <w:pPr>
        <w:ind w:left="720" w:hanging="360"/>
      </w:pPr>
      <w:rPr>
        <w:rFonts w:ascii="Calibri" w:hAnsi="Calibri" w:hint="default"/>
      </w:rPr>
    </w:lvl>
    <w:lvl w:ilvl="1" w:tplc="82F09F68">
      <w:start w:val="1"/>
      <w:numFmt w:val="lowerLetter"/>
      <w:lvlText w:val="%2."/>
      <w:lvlJc w:val="left"/>
      <w:pPr>
        <w:ind w:left="1440" w:hanging="360"/>
      </w:pPr>
    </w:lvl>
    <w:lvl w:ilvl="2" w:tplc="E03E46E8">
      <w:start w:val="1"/>
      <w:numFmt w:val="lowerRoman"/>
      <w:lvlText w:val="%3."/>
      <w:lvlJc w:val="right"/>
      <w:pPr>
        <w:ind w:left="2160" w:hanging="180"/>
      </w:pPr>
    </w:lvl>
    <w:lvl w:ilvl="3" w:tplc="7F2430EE">
      <w:start w:val="1"/>
      <w:numFmt w:val="decimal"/>
      <w:lvlText w:val="%4."/>
      <w:lvlJc w:val="left"/>
      <w:pPr>
        <w:ind w:left="2880" w:hanging="360"/>
      </w:pPr>
    </w:lvl>
    <w:lvl w:ilvl="4" w:tplc="60749B9E">
      <w:start w:val="1"/>
      <w:numFmt w:val="lowerLetter"/>
      <w:lvlText w:val="%5."/>
      <w:lvlJc w:val="left"/>
      <w:pPr>
        <w:ind w:left="3600" w:hanging="360"/>
      </w:pPr>
    </w:lvl>
    <w:lvl w:ilvl="5" w:tplc="76F895B4">
      <w:start w:val="1"/>
      <w:numFmt w:val="lowerRoman"/>
      <w:lvlText w:val="%6."/>
      <w:lvlJc w:val="right"/>
      <w:pPr>
        <w:ind w:left="4320" w:hanging="180"/>
      </w:pPr>
    </w:lvl>
    <w:lvl w:ilvl="6" w:tplc="C532A450">
      <w:start w:val="1"/>
      <w:numFmt w:val="decimal"/>
      <w:lvlText w:val="%7."/>
      <w:lvlJc w:val="left"/>
      <w:pPr>
        <w:ind w:left="5040" w:hanging="360"/>
      </w:pPr>
    </w:lvl>
    <w:lvl w:ilvl="7" w:tplc="050C044E">
      <w:start w:val="1"/>
      <w:numFmt w:val="lowerLetter"/>
      <w:lvlText w:val="%8."/>
      <w:lvlJc w:val="left"/>
      <w:pPr>
        <w:ind w:left="5760" w:hanging="360"/>
      </w:pPr>
    </w:lvl>
    <w:lvl w:ilvl="8" w:tplc="9FE0C43E">
      <w:start w:val="1"/>
      <w:numFmt w:val="lowerRoman"/>
      <w:lvlText w:val="%9."/>
      <w:lvlJc w:val="right"/>
      <w:pPr>
        <w:ind w:left="6480" w:hanging="180"/>
      </w:pPr>
    </w:lvl>
  </w:abstractNum>
  <w:abstractNum w:abstractNumId="7" w15:restartNumberingAfterBreak="0">
    <w:nsid w:val="3E24FF41"/>
    <w:multiLevelType w:val="hybridMultilevel"/>
    <w:tmpl w:val="63B0CECA"/>
    <w:lvl w:ilvl="0" w:tplc="D2106BB0">
      <w:start w:val="2"/>
      <w:numFmt w:val="decimal"/>
      <w:lvlText w:val="%1."/>
      <w:lvlJc w:val="left"/>
      <w:pPr>
        <w:ind w:left="720" w:hanging="360"/>
      </w:pPr>
      <w:rPr>
        <w:rFonts w:ascii="Calibri" w:hAnsi="Calibri" w:hint="default"/>
      </w:rPr>
    </w:lvl>
    <w:lvl w:ilvl="1" w:tplc="B23ACC20">
      <w:start w:val="1"/>
      <w:numFmt w:val="lowerLetter"/>
      <w:lvlText w:val="%2."/>
      <w:lvlJc w:val="left"/>
      <w:pPr>
        <w:ind w:left="1440" w:hanging="360"/>
      </w:pPr>
    </w:lvl>
    <w:lvl w:ilvl="2" w:tplc="9D8EC9EE">
      <w:start w:val="1"/>
      <w:numFmt w:val="lowerRoman"/>
      <w:lvlText w:val="%3."/>
      <w:lvlJc w:val="right"/>
      <w:pPr>
        <w:ind w:left="2160" w:hanging="180"/>
      </w:pPr>
    </w:lvl>
    <w:lvl w:ilvl="3" w:tplc="57DAAE2C">
      <w:start w:val="1"/>
      <w:numFmt w:val="decimal"/>
      <w:lvlText w:val="%4."/>
      <w:lvlJc w:val="left"/>
      <w:pPr>
        <w:ind w:left="2880" w:hanging="360"/>
      </w:pPr>
    </w:lvl>
    <w:lvl w:ilvl="4" w:tplc="3FF4D104">
      <w:start w:val="1"/>
      <w:numFmt w:val="lowerLetter"/>
      <w:lvlText w:val="%5."/>
      <w:lvlJc w:val="left"/>
      <w:pPr>
        <w:ind w:left="3600" w:hanging="360"/>
      </w:pPr>
    </w:lvl>
    <w:lvl w:ilvl="5" w:tplc="0D46B6D4">
      <w:start w:val="1"/>
      <w:numFmt w:val="lowerRoman"/>
      <w:lvlText w:val="%6."/>
      <w:lvlJc w:val="right"/>
      <w:pPr>
        <w:ind w:left="4320" w:hanging="180"/>
      </w:pPr>
    </w:lvl>
    <w:lvl w:ilvl="6" w:tplc="7F5E9D10">
      <w:start w:val="1"/>
      <w:numFmt w:val="decimal"/>
      <w:lvlText w:val="%7."/>
      <w:lvlJc w:val="left"/>
      <w:pPr>
        <w:ind w:left="5040" w:hanging="360"/>
      </w:pPr>
    </w:lvl>
    <w:lvl w:ilvl="7" w:tplc="E87681E0">
      <w:start w:val="1"/>
      <w:numFmt w:val="lowerLetter"/>
      <w:lvlText w:val="%8."/>
      <w:lvlJc w:val="left"/>
      <w:pPr>
        <w:ind w:left="5760" w:hanging="360"/>
      </w:pPr>
    </w:lvl>
    <w:lvl w:ilvl="8" w:tplc="D436BED2">
      <w:start w:val="1"/>
      <w:numFmt w:val="lowerRoman"/>
      <w:lvlText w:val="%9."/>
      <w:lvlJc w:val="right"/>
      <w:pPr>
        <w:ind w:left="6480" w:hanging="180"/>
      </w:pPr>
    </w:lvl>
  </w:abstractNum>
  <w:num w:numId="1" w16cid:durableId="624386270">
    <w:abstractNumId w:val="6"/>
  </w:num>
  <w:num w:numId="2" w16cid:durableId="460460190">
    <w:abstractNumId w:val="3"/>
  </w:num>
  <w:num w:numId="3" w16cid:durableId="819543686">
    <w:abstractNumId w:val="1"/>
  </w:num>
  <w:num w:numId="4" w16cid:durableId="1827893577">
    <w:abstractNumId w:val="2"/>
  </w:num>
  <w:num w:numId="5" w16cid:durableId="541136212">
    <w:abstractNumId w:val="0"/>
  </w:num>
  <w:num w:numId="6" w16cid:durableId="283538359">
    <w:abstractNumId w:val="4"/>
  </w:num>
  <w:num w:numId="7" w16cid:durableId="2041515256">
    <w:abstractNumId w:val="7"/>
  </w:num>
  <w:num w:numId="8" w16cid:durableId="16337485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58AC83"/>
    <w:rsid w:val="00047231"/>
    <w:rsid w:val="00050122"/>
    <w:rsid w:val="000650A0"/>
    <w:rsid w:val="00229CB9"/>
    <w:rsid w:val="00353432"/>
    <w:rsid w:val="003730DD"/>
    <w:rsid w:val="003D2F09"/>
    <w:rsid w:val="004E054B"/>
    <w:rsid w:val="005B60DC"/>
    <w:rsid w:val="0079388C"/>
    <w:rsid w:val="008A2402"/>
    <w:rsid w:val="009F78C7"/>
    <w:rsid w:val="00B93B7F"/>
    <w:rsid w:val="00C20378"/>
    <w:rsid w:val="00C43F66"/>
    <w:rsid w:val="00C82853"/>
    <w:rsid w:val="00CD032C"/>
    <w:rsid w:val="00CF2854"/>
    <w:rsid w:val="00D15065"/>
    <w:rsid w:val="00F9D118"/>
    <w:rsid w:val="00FB7000"/>
    <w:rsid w:val="00FB7F84"/>
    <w:rsid w:val="019AC1C2"/>
    <w:rsid w:val="02BF1AE4"/>
    <w:rsid w:val="02D3D779"/>
    <w:rsid w:val="0328FCCE"/>
    <w:rsid w:val="037A1E6A"/>
    <w:rsid w:val="039A9259"/>
    <w:rsid w:val="0549C79D"/>
    <w:rsid w:val="08047775"/>
    <w:rsid w:val="09FC644D"/>
    <w:rsid w:val="0C348A0D"/>
    <w:rsid w:val="0CEAEF00"/>
    <w:rsid w:val="105C622B"/>
    <w:rsid w:val="106A29C2"/>
    <w:rsid w:val="149AC556"/>
    <w:rsid w:val="1594B6FC"/>
    <w:rsid w:val="175E128C"/>
    <w:rsid w:val="18A95F2A"/>
    <w:rsid w:val="19F98BAB"/>
    <w:rsid w:val="1A1CEDB1"/>
    <w:rsid w:val="1CBDADC1"/>
    <w:rsid w:val="1DBE44AA"/>
    <w:rsid w:val="1E711380"/>
    <w:rsid w:val="1E764DDE"/>
    <w:rsid w:val="213AE0D6"/>
    <w:rsid w:val="214E190D"/>
    <w:rsid w:val="21E88B58"/>
    <w:rsid w:val="233FF67F"/>
    <w:rsid w:val="26C481CF"/>
    <w:rsid w:val="26EA7004"/>
    <w:rsid w:val="29A7A545"/>
    <w:rsid w:val="29D1A49A"/>
    <w:rsid w:val="29DD2004"/>
    <w:rsid w:val="2B00338F"/>
    <w:rsid w:val="2C3851A7"/>
    <w:rsid w:val="2F4A1C69"/>
    <w:rsid w:val="2F8907E5"/>
    <w:rsid w:val="313BEDCA"/>
    <w:rsid w:val="3149406B"/>
    <w:rsid w:val="318EF199"/>
    <w:rsid w:val="31F76F3E"/>
    <w:rsid w:val="33947CE4"/>
    <w:rsid w:val="359A22C2"/>
    <w:rsid w:val="364A7351"/>
    <w:rsid w:val="3968E8BE"/>
    <w:rsid w:val="3B17E69B"/>
    <w:rsid w:val="3B250754"/>
    <w:rsid w:val="3B302D76"/>
    <w:rsid w:val="3B3A1EF9"/>
    <w:rsid w:val="3BF97AE7"/>
    <w:rsid w:val="3D819DF6"/>
    <w:rsid w:val="3E84F023"/>
    <w:rsid w:val="3F5F3A97"/>
    <w:rsid w:val="42E92985"/>
    <w:rsid w:val="451AF572"/>
    <w:rsid w:val="4689C5EF"/>
    <w:rsid w:val="48863668"/>
    <w:rsid w:val="48EF081E"/>
    <w:rsid w:val="490D4B22"/>
    <w:rsid w:val="492B5056"/>
    <w:rsid w:val="497B5CD7"/>
    <w:rsid w:val="49855040"/>
    <w:rsid w:val="5068D870"/>
    <w:rsid w:val="51189991"/>
    <w:rsid w:val="551920CA"/>
    <w:rsid w:val="55C7C657"/>
    <w:rsid w:val="5915C845"/>
    <w:rsid w:val="59389FC2"/>
    <w:rsid w:val="59881053"/>
    <w:rsid w:val="5C935779"/>
    <w:rsid w:val="5D277A9E"/>
    <w:rsid w:val="5D40F246"/>
    <w:rsid w:val="5D4AEB3C"/>
    <w:rsid w:val="5D806E52"/>
    <w:rsid w:val="5E98F493"/>
    <w:rsid w:val="5EC8C295"/>
    <w:rsid w:val="6145D3A5"/>
    <w:rsid w:val="62120CB7"/>
    <w:rsid w:val="63C2D3DD"/>
    <w:rsid w:val="64281797"/>
    <w:rsid w:val="645A66A7"/>
    <w:rsid w:val="64A3869B"/>
    <w:rsid w:val="64DF6D92"/>
    <w:rsid w:val="6588D40A"/>
    <w:rsid w:val="66A7BAF6"/>
    <w:rsid w:val="680AEC36"/>
    <w:rsid w:val="6858AC83"/>
    <w:rsid w:val="6B163767"/>
    <w:rsid w:val="6B6BBE40"/>
    <w:rsid w:val="6B76E206"/>
    <w:rsid w:val="6B83CDF0"/>
    <w:rsid w:val="6EEF1CDA"/>
    <w:rsid w:val="7053AF01"/>
    <w:rsid w:val="70C0AFFA"/>
    <w:rsid w:val="71DA56BD"/>
    <w:rsid w:val="7DB17862"/>
    <w:rsid w:val="7DEF5741"/>
    <w:rsid w:val="7E4E5EC2"/>
    <w:rsid w:val="7E549679"/>
    <w:rsid w:val="7E7C4E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8AC83"/>
  <w15:chartTrackingRefBased/>
  <w15:docId w15:val="{12BF46CD-1BD5-4DD2-86FA-FBB5FF7BD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Nornal">
    <w:name w:val="Nornal"/>
    <w:basedOn w:val="Normal"/>
    <w:link w:val="NornalChar"/>
    <w:uiPriority w:val="1"/>
    <w:qFormat/>
    <w:rsid w:val="364A7351"/>
    <w:pPr>
      <w:spacing w:line="264" w:lineRule="auto"/>
    </w:pPr>
    <w:rPr>
      <w:sz w:val="22"/>
      <w:szCs w:val="22"/>
      <w:lang w:eastAsia="en-US"/>
    </w:rPr>
  </w:style>
  <w:style w:type="character" w:customStyle="1" w:styleId="NornalChar">
    <w:name w:val="Nornal Char"/>
    <w:basedOn w:val="DefaultParagraphFont"/>
    <w:link w:val="Nornal"/>
    <w:uiPriority w:val="1"/>
    <w:rsid w:val="364A7351"/>
    <w:rPr>
      <w:rFonts w:asciiTheme="minorHAnsi" w:eastAsiaTheme="minorEastAsia" w:hAnsiTheme="minorHAnsi" w:cstheme="minorBidi"/>
      <w:sz w:val="22"/>
      <w:szCs w:val="22"/>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Emphasis">
    <w:name w:val="Emphasis"/>
    <w:basedOn w:val="DefaultParagraphFont"/>
    <w:uiPriority w:val="20"/>
    <w:qFormat/>
    <w:rPr>
      <w:i/>
      <w:iCs/>
    </w:rPr>
  </w:style>
  <w:style w:type="character" w:styleId="UnresolvedMention">
    <w:name w:val="Unresolved Mention"/>
    <w:basedOn w:val="DefaultParagraphFont"/>
    <w:uiPriority w:val="99"/>
    <w:semiHidden/>
    <w:unhideWhenUsed/>
    <w:rsid w:val="00FB7F84"/>
    <w:rPr>
      <w:color w:val="605E5C"/>
      <w:shd w:val="clear" w:color="auto" w:fill="E1DFDD"/>
    </w:rPr>
  </w:style>
  <w:style w:type="character" w:styleId="FollowedHyperlink">
    <w:name w:val="FollowedHyperlink"/>
    <w:basedOn w:val="DefaultParagraphFont"/>
    <w:uiPriority w:val="99"/>
    <w:semiHidden/>
    <w:unhideWhenUsed/>
    <w:rsid w:val="008A2402"/>
    <w:rPr>
      <w:color w:val="96607D" w:themeColor="followedHyperlink"/>
      <w:u w:val="single"/>
    </w:rPr>
  </w:style>
  <w:style w:type="paragraph" w:customStyle="1" w:styleId="paragraph">
    <w:name w:val="paragraph"/>
    <w:basedOn w:val="Normal"/>
    <w:rsid w:val="00FB7000"/>
    <w:pPr>
      <w:spacing w:before="100" w:beforeAutospacing="1" w:after="100" w:afterAutospacing="1" w:line="240" w:lineRule="auto"/>
    </w:pPr>
    <w:rPr>
      <w:rFonts w:ascii="Times New Roman" w:eastAsia="Times New Roman" w:hAnsi="Times New Roman" w:cs="Times New Roman"/>
      <w:lang w:val="en-GB" w:eastAsia="en-GB"/>
    </w:rPr>
  </w:style>
  <w:style w:type="character" w:customStyle="1" w:styleId="normaltextrun">
    <w:name w:val="normaltextrun"/>
    <w:basedOn w:val="DefaultParagraphFont"/>
    <w:rsid w:val="00FB7000"/>
  </w:style>
  <w:style w:type="character" w:customStyle="1" w:styleId="eop">
    <w:name w:val="eop"/>
    <w:basedOn w:val="DefaultParagraphFont"/>
    <w:rsid w:val="00FB70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646844">
      <w:bodyDiv w:val="1"/>
      <w:marLeft w:val="0"/>
      <w:marRight w:val="0"/>
      <w:marTop w:val="0"/>
      <w:marBottom w:val="0"/>
      <w:divBdr>
        <w:top w:val="none" w:sz="0" w:space="0" w:color="auto"/>
        <w:left w:val="none" w:sz="0" w:space="0" w:color="auto"/>
        <w:bottom w:val="none" w:sz="0" w:space="0" w:color="auto"/>
        <w:right w:val="none" w:sz="0" w:space="0" w:color="auto"/>
      </w:divBdr>
    </w:div>
    <w:div w:id="713046604">
      <w:bodyDiv w:val="1"/>
      <w:marLeft w:val="0"/>
      <w:marRight w:val="0"/>
      <w:marTop w:val="0"/>
      <w:marBottom w:val="0"/>
      <w:divBdr>
        <w:top w:val="none" w:sz="0" w:space="0" w:color="auto"/>
        <w:left w:val="none" w:sz="0" w:space="0" w:color="auto"/>
        <w:bottom w:val="none" w:sz="0" w:space="0" w:color="auto"/>
        <w:right w:val="none" w:sz="0" w:space="0" w:color="auto"/>
      </w:divBdr>
      <w:divsChild>
        <w:div w:id="667753136">
          <w:marLeft w:val="0"/>
          <w:marRight w:val="0"/>
          <w:marTop w:val="0"/>
          <w:marBottom w:val="0"/>
          <w:divBdr>
            <w:top w:val="none" w:sz="0" w:space="0" w:color="auto"/>
            <w:left w:val="none" w:sz="0" w:space="0" w:color="auto"/>
            <w:bottom w:val="none" w:sz="0" w:space="0" w:color="auto"/>
            <w:right w:val="none" w:sz="0" w:space="0" w:color="auto"/>
          </w:divBdr>
        </w:div>
        <w:div w:id="1910068943">
          <w:marLeft w:val="0"/>
          <w:marRight w:val="0"/>
          <w:marTop w:val="0"/>
          <w:marBottom w:val="0"/>
          <w:divBdr>
            <w:top w:val="none" w:sz="0" w:space="0" w:color="auto"/>
            <w:left w:val="none" w:sz="0" w:space="0" w:color="auto"/>
            <w:bottom w:val="none" w:sz="0" w:space="0" w:color="auto"/>
            <w:right w:val="none" w:sz="0" w:space="0" w:color="auto"/>
          </w:divBdr>
        </w:div>
        <w:div w:id="1477189390">
          <w:marLeft w:val="0"/>
          <w:marRight w:val="0"/>
          <w:marTop w:val="0"/>
          <w:marBottom w:val="0"/>
          <w:divBdr>
            <w:top w:val="none" w:sz="0" w:space="0" w:color="auto"/>
            <w:left w:val="none" w:sz="0" w:space="0" w:color="auto"/>
            <w:bottom w:val="none" w:sz="0" w:space="0" w:color="auto"/>
            <w:right w:val="none" w:sz="0" w:space="0" w:color="auto"/>
          </w:divBdr>
        </w:div>
        <w:div w:id="1760636920">
          <w:marLeft w:val="0"/>
          <w:marRight w:val="0"/>
          <w:marTop w:val="0"/>
          <w:marBottom w:val="0"/>
          <w:divBdr>
            <w:top w:val="none" w:sz="0" w:space="0" w:color="auto"/>
            <w:left w:val="none" w:sz="0" w:space="0" w:color="auto"/>
            <w:bottom w:val="none" w:sz="0" w:space="0" w:color="auto"/>
            <w:right w:val="none" w:sz="0" w:space="0" w:color="auto"/>
          </w:divBdr>
        </w:div>
        <w:div w:id="11561920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reward-management-survey-news-benefits-packages/" TargetMode="External"/><Relationship Id="rId18" Type="http://schemas.openxmlformats.org/officeDocument/2006/relationships/hyperlink" Target="https://www.cipd.org/uk/knowledge/employment-law/working-time/" TargetMode="External"/><Relationship Id="rId26" Type="http://schemas.openxmlformats.org/officeDocument/2006/relationships/hyperlink" Target="https://www.cipd.org/uk/knowledge/factsheets/strategic-total-factsheet/" TargetMode="External"/><Relationship Id="rId39" Type="http://schemas.openxmlformats.org/officeDocument/2006/relationships/hyperlink" Target="https://blog.ons.gov.uk/2021/06/29/public-data-for-public-good-making-sure-official-statistics-are-better-joined-up/" TargetMode="External"/><Relationship Id="rId21" Type="http://schemas.openxmlformats.org/officeDocument/2006/relationships/hyperlink" Target="https://www.cipd.org/uk/knowledge/factsheets/pay-performance-factsheet/" TargetMode="External"/><Relationship Id="rId34" Type="http://schemas.openxmlformats.org/officeDocument/2006/relationships/hyperlink" Target="https://www.gov.uk/national-minimum-wage-rates" TargetMode="External"/><Relationship Id="rId42" Type="http://schemas.openxmlformats.org/officeDocument/2006/relationships/hyperlink" Target="https://www.cipd.org/en/knowledge/factsheets/well-being-factsheet/" TargetMode="External"/><Relationship Id="rId47" Type="http://schemas.openxmlformats.org/officeDocument/2006/relationships/fontTable" Target="fontTable.xml"/><Relationship Id="rId7" Type="http://schemas.openxmlformats.org/officeDocument/2006/relationships/hyperlink" Target="https://www.cipd.org/uk/knowledge/factsheets/pestle-analysis-factsheet/" TargetMode="External"/><Relationship Id="rId2" Type="http://schemas.openxmlformats.org/officeDocument/2006/relationships/styles" Target="styles.xml"/><Relationship Id="rId16" Type="http://schemas.openxmlformats.org/officeDocument/2006/relationships/hyperlink" Target="https://www.cipd.org/uk/knowledge/employment-law/equal-pay/" TargetMode="External"/><Relationship Id="rId29" Type="http://schemas.openxmlformats.org/officeDocument/2006/relationships/hyperlink" Target="https://www.cipd.org/uk/knowledge/evidence-reviews/evidence-financial-incentives/" TargetMode="External"/><Relationship Id="rId11" Type="http://schemas.openxmlformats.org/officeDocument/2006/relationships/hyperlink" Target="https://www.cipd.org/globalassets/media/knowledge/knowledge-hub/reports/2021-pdfs/reward-management-fairness_tcm18-91389.pdf" TargetMode="External"/><Relationship Id="rId24" Type="http://schemas.openxmlformats.org/officeDocument/2006/relationships/hyperlink" Target="https://www.cipd.org/uk/knowledge/factsheets/pay-structures-factsheet/" TargetMode="External"/><Relationship Id="rId32" Type="http://schemas.openxmlformats.org/officeDocument/2006/relationships/hyperlink" Target="https://www.gallup.com/workplace/236441/employee-recognition-low-cost-high-impact.aspx" TargetMode="External"/><Relationship Id="rId37" Type="http://schemas.openxmlformats.org/officeDocument/2006/relationships/hyperlink" Target="https://www.cipd.org/globalassets/media/knowledge/knowledge-hub/reports/2018-pdfs/reward-management-report-2018_tcm18-51630.pdf" TargetMode="External"/><Relationship Id="rId40" Type="http://schemas.openxmlformats.org/officeDocument/2006/relationships/hyperlink" Target="https://www.cipd.org/uk/knowledge/guides/employee-financial-well-being/" TargetMode="External"/><Relationship Id="rId45" Type="http://schemas.openxmlformats.org/officeDocument/2006/relationships/hyperlink" Target="https://www.cipd.org/uk/knowledge/factsheets/engagement-factsheet/" TargetMode="External"/><Relationship Id="rId5" Type="http://schemas.openxmlformats.org/officeDocument/2006/relationships/hyperlink" Target="https://www.acas.org.uk/sites/defoault/files/2021-03/job-evaluation-considerations-and-risks-advisory-booklet.pdf" TargetMode="External"/><Relationship Id="rId15" Type="http://schemas.openxmlformats.org/officeDocument/2006/relationships/hyperlink" Target="https://www.peoplemanagement.co.uk/article/1816014/why-recognition-reward-2023" TargetMode="External"/><Relationship Id="rId23" Type="http://schemas.openxmlformats.org/officeDocument/2006/relationships/hyperlink" Target="https://www.cipd.org/uk/knowledge/factsheets/market-pricing-factsheet/" TargetMode="External"/><Relationship Id="rId28" Type="http://schemas.openxmlformats.org/officeDocument/2006/relationships/hyperlink" Target="https://www.cipd.org/uk/knowledge/evidence-reviews/evidence-financial-incentives/" TargetMode="External"/><Relationship Id="rId36" Type="http://schemas.openxmlformats.org/officeDocument/2006/relationships/hyperlink" Target="https://www.peoplemanagement.co.uk/article/1744300/how-much-really-pay-people" TargetMode="External"/><Relationship Id="rId49" Type="http://schemas.microsoft.com/office/2020/10/relationships/intelligence" Target="intelligence2.xml"/><Relationship Id="rId10" Type="http://schemas.openxmlformats.org/officeDocument/2006/relationships/hyperlink" Target="https://www.peoplemanagement.co.uk/article/1747145/more-than-half-of-reward-strategies-not-fit-for-remote-workforces" TargetMode="External"/><Relationship Id="rId19" Type="http://schemas.openxmlformats.org/officeDocument/2006/relationships/hyperlink" Target="https://www.cipd.org/uk/knowledge/factsheets/bonuses-factsheet/" TargetMode="External"/><Relationship Id="rId31" Type="http://schemas.openxmlformats.org/officeDocument/2006/relationships/hyperlink" Target="https://www.gov.uk/guidance/equality-act-2010-guidance" TargetMode="External"/><Relationship Id="rId44" Type="http://schemas.openxmlformats.org/officeDocument/2006/relationships/hyperlink" Target="https://www.legislation.gov.uk/uksi/1998/1833/contents/made" TargetMode="External"/><Relationship Id="rId4" Type="http://schemas.openxmlformats.org/officeDocument/2006/relationships/webSettings" Target="webSettings.xml"/><Relationship Id="rId9" Type="http://schemas.openxmlformats.org/officeDocument/2006/relationships/hyperlink" Target="https://www.cipd.org/uk/views-and-insights/thought-leadership/insight/compensation-revolution/" TargetMode="External"/><Relationship Id="rId14" Type="http://schemas.openxmlformats.org/officeDocument/2006/relationships/hyperlink" Target="https://www.cipd.org/uk/knowledge/factsheets/recruitment-factsheet/" TargetMode="External"/><Relationship Id="rId22" Type="http://schemas.openxmlformats.org/officeDocument/2006/relationships/hyperlink" Target="https://www.cipd.org/uk/knowledge/factsheets/benefits-factsheet/" TargetMode="External"/><Relationship Id="rId27" Type="http://schemas.openxmlformats.org/officeDocument/2006/relationships/hyperlink" Target="https://www.cipd.org/globalassets/media/knowledge/knowledge-hub/evidence-reviews/incentives-recognition-practice-summary_tcm18-105466.pdf" TargetMode="External"/><Relationship Id="rId30" Type="http://schemas.openxmlformats.org/officeDocument/2006/relationships/hyperlink" Target="https://assets.publishing.service.gov.uk/government/uploads/system/uploads/attachment_data/file/845725/cycle-to-work-guidance.pdf" TargetMode="External"/><Relationship Id="rId35" Type="http://schemas.openxmlformats.org/officeDocument/2006/relationships/hyperlink" Target="https://www.gov.uk/hmrc-internal-manuals/national-minimum-wage-manual/nmwm09140" TargetMode="External"/><Relationship Id="rId43" Type="http://schemas.openxmlformats.org/officeDocument/2006/relationships/hyperlink" Target="https://assets.publishing.service.gov.uk/government/uploads/system/uploads/attachment_data/file/832011/bribery-act-2010-guidance.pdf" TargetMode="External"/><Relationship Id="rId48" Type="http://schemas.openxmlformats.org/officeDocument/2006/relationships/theme" Target="theme/theme1.xml"/><Relationship Id="rId8" Type="http://schemas.openxmlformats.org/officeDocument/2006/relationships/hyperlink" Target="https://www.legislation.gov.uk/ukpga/2010/23/contents" TargetMode="External"/><Relationship Id="rId3" Type="http://schemas.openxmlformats.org/officeDocument/2006/relationships/settings" Target="settings.xml"/><Relationship Id="rId12" Type="http://schemas.openxmlformats.org/officeDocument/2006/relationships/hyperlink" Target="https://prod.cipd.org/globalassets/media/knowledge/knowledge-hub/reports/2021-pdfs/reward-management-employee-benefits_tcm18-91393.pdf" TargetMode="External"/><Relationship Id="rId17" Type="http://schemas.openxmlformats.org/officeDocument/2006/relationships/hyperlink" Target="https://www.cipd.org/uk/knowledge/reports/pay-performance-transparency/" TargetMode="External"/><Relationship Id="rId25" Type="http://schemas.openxmlformats.org/officeDocument/2006/relationships/hyperlink" Target="https://www.cipd.org/uk/knowledge/factsheets/reward-factsheet/" TargetMode="External"/><Relationship Id="rId33" Type="http://schemas.openxmlformats.org/officeDocument/2006/relationships/hyperlink" Target="file:///C:/Users/Alison.Thomas.NW/Downloads/Gallup-Workhuman-Workplace-Culture-Report.pdf" TargetMode="External"/><Relationship Id="rId38" Type="http://schemas.openxmlformats.org/officeDocument/2006/relationships/hyperlink" Target="https://www.legislation.gov.uk/ukpga/1998/39/contents" TargetMode="External"/><Relationship Id="rId46" Type="http://schemas.openxmlformats.org/officeDocument/2006/relationships/hyperlink" Target="https://www.cipd.org/uk/knowledge/factsheets/engagement-factsheet/" TargetMode="External"/><Relationship Id="rId20" Type="http://schemas.openxmlformats.org/officeDocument/2006/relationships/hyperlink" Target="https://www.cipd.org/uk/views-and-insights/thought-leadership/cipd-voice/cost-of-living-workplace/" TargetMode="External"/><Relationship Id="rId41" Type="http://schemas.openxmlformats.org/officeDocument/2006/relationships/hyperlink" Target="https://www.cipd.org/globalassets/media/knowledge/knowledge-hub/guides/2023-pdfs/sick-pay-reform_tcm18-104511.pdf" TargetMode="External"/><Relationship Id="rId1" Type="http://schemas.openxmlformats.org/officeDocument/2006/relationships/numbering" Target="numbering.xml"/><Relationship Id="rId6" Type="http://schemas.openxmlformats.org/officeDocument/2006/relationships/hyperlink" Target="https://www.acas.org.uk/national-minimum-wage-entitl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f0033efe-d82e-4c5f-a712-3a3948bb453e}" enabled="0" method="" siteId="{f0033efe-d82e-4c5f-a712-3a3948bb453e}" removed="1"/>
</clbl:labelList>
</file>

<file path=docProps/app.xml><?xml version="1.0" encoding="utf-8"?>
<Properties xmlns="http://schemas.openxmlformats.org/officeDocument/2006/extended-properties" xmlns:vt="http://schemas.openxmlformats.org/officeDocument/2006/docPropsVTypes">
  <Template>Normal</Template>
  <TotalTime>7</TotalTime>
  <Pages>15</Pages>
  <Words>6754</Words>
  <Characters>38504</Characters>
  <Application>Microsoft Office Word</Application>
  <DocSecurity>0</DocSecurity>
  <Lines>320</Lines>
  <Paragraphs>90</Paragraphs>
  <ScaleCrop>false</ScaleCrop>
  <Company/>
  <LinksUpToDate>false</LinksUpToDate>
  <CharactersWithSpaces>45168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Thomas</dc:creator>
  <cp:keywords/>
  <dc:description/>
  <cp:lastModifiedBy>Alison Thomas</cp:lastModifiedBy>
  <cp:revision>20</cp:revision>
  <dcterms:created xsi:type="dcterms:W3CDTF">2024-07-12T09:46:00Z</dcterms:created>
  <dcterms:modified xsi:type="dcterms:W3CDTF">2024-07-25T11:11:00Z</dcterms:modified>
</cp:coreProperties>
</file>