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CFDAD1" w14:textId="00E93CB0" w:rsidR="009F0C90" w:rsidRPr="009F0C90" w:rsidRDefault="009F0C90" w:rsidP="009F0C90">
      <w:pPr>
        <w:pStyle w:val="Heading1"/>
      </w:pPr>
      <w:r w:rsidRPr="009F0C90">
        <w:rPr>
          <w:noProof/>
        </w:rPr>
        <w:drawing>
          <wp:inline distT="0" distB="0" distL="0" distR="0" wp14:anchorId="72860DE4" wp14:editId="213ECA72">
            <wp:extent cx="1905000" cy="632460"/>
            <wp:effectExtent l="19050" t="19050" r="19050" b="152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100A487D" w14:textId="77777777" w:rsidR="009F0C90" w:rsidRPr="009F0C90" w:rsidRDefault="009F0C90" w:rsidP="009F0C90">
      <w:pPr>
        <w:pStyle w:val="Heading1"/>
      </w:pPr>
    </w:p>
    <w:p w14:paraId="758B9E9A" w14:textId="77777777" w:rsidR="009F0C90" w:rsidRPr="009F0C90" w:rsidRDefault="009F0C90" w:rsidP="009F0C90">
      <w:pPr>
        <w:pStyle w:val="Heading1"/>
      </w:pPr>
    </w:p>
    <w:p w14:paraId="085066D2" w14:textId="77777777" w:rsidR="009F0C90" w:rsidRPr="009F0C90" w:rsidRDefault="009F0C90" w:rsidP="009F0C90">
      <w:pPr>
        <w:pStyle w:val="Heading1"/>
        <w:rPr>
          <w:b/>
          <w:lang w:val="cy-GB"/>
        </w:rPr>
      </w:pPr>
      <w:r w:rsidRPr="009F0C90">
        <w:rPr>
          <w:b/>
          <w:lang w:val="cy-GB"/>
        </w:rPr>
        <w:t xml:space="preserve">Postgraduate/Distance Learning </w:t>
      </w:r>
    </w:p>
    <w:p w14:paraId="0F8536EC" w14:textId="77777777" w:rsidR="009F0C90" w:rsidRPr="009F0C90" w:rsidRDefault="009F0C90" w:rsidP="009F0C90">
      <w:pPr>
        <w:pStyle w:val="Heading1"/>
        <w:rPr>
          <w:b/>
        </w:rPr>
      </w:pPr>
      <w:r w:rsidRPr="009F0C90">
        <w:rPr>
          <w:b/>
          <w:lang w:val="cy-GB"/>
        </w:rPr>
        <w:t>Assignment coversheet &amp; feedback form</w:t>
      </w:r>
    </w:p>
    <w:p w14:paraId="0498AACB" w14:textId="77777777" w:rsidR="009F0C90" w:rsidRPr="009F0C90" w:rsidRDefault="009F0C90" w:rsidP="009F0C90">
      <w:pPr>
        <w:pStyle w:val="Heading1"/>
        <w:rPr>
          <w:lang w:val="cy-GB"/>
        </w:rPr>
      </w:pPr>
    </w:p>
    <w:p w14:paraId="6FDCE3EB" w14:textId="77777777" w:rsidR="009F0C90" w:rsidRPr="009F0C90" w:rsidRDefault="009F0C90" w:rsidP="009F0C90">
      <w:pPr>
        <w:pStyle w:val="Heading1"/>
        <w:rPr>
          <w:b/>
          <w:bCs/>
          <w:lang w:val="cy-GB"/>
        </w:rPr>
      </w:pPr>
      <w:r w:rsidRPr="009F0C90">
        <w:rPr>
          <w:b/>
          <w:bCs/>
          <w:lang w:val="cy-GB"/>
        </w:rPr>
        <w:t>THIS SHEET MUST BE THE FIRST PAGE OF THE ASSIGNMENT YOU ARE SUBMITTING  (DO NOT SEND AS A SEPARATE FILE)</w:t>
      </w:r>
    </w:p>
    <w:p w14:paraId="082094BA" w14:textId="77777777" w:rsidR="009F0C90" w:rsidRPr="009F0C90" w:rsidRDefault="009F0C90" w:rsidP="009F0C90">
      <w:pPr>
        <w:pStyle w:val="Heading1"/>
        <w:rPr>
          <w:b/>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F0C90" w:rsidRPr="009F0C90" w14:paraId="5A2E30C1" w14:textId="77777777" w:rsidTr="009F0C90">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64F65BD7" w14:textId="77777777" w:rsidR="009F0C90" w:rsidRPr="009F0C90" w:rsidRDefault="009F0C90" w:rsidP="009F0C90">
            <w:pPr>
              <w:pStyle w:val="Heading1"/>
            </w:pPr>
            <w:r w:rsidRPr="009F0C90">
              <w:rPr>
                <w:b/>
              </w:rPr>
              <w:lastRenderedPageBreak/>
              <w:t>For completion by the student</w:t>
            </w:r>
            <w:r w:rsidRPr="009F0C90">
              <w:t>:</w:t>
            </w:r>
          </w:p>
        </w:tc>
      </w:tr>
      <w:tr w:rsidR="009F0C90" w:rsidRPr="009F0C90" w14:paraId="0D101521" w14:textId="77777777" w:rsidTr="009F0C90">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39113A4D" w14:textId="5EDE19E5" w:rsidR="009F0C90" w:rsidRPr="009F0C90" w:rsidRDefault="009F0C90" w:rsidP="009F0C90">
            <w:pPr>
              <w:pStyle w:val="Heading1"/>
            </w:pPr>
            <w:r w:rsidRPr="009F0C90">
              <w:t>Student Name:</w:t>
            </w:r>
            <w:r>
              <w:t xml:space="preserve"> Iza Steiner</w:t>
            </w:r>
          </w:p>
          <w:p w14:paraId="64F65BCF" w14:textId="77777777" w:rsidR="009F0C90" w:rsidRPr="009F0C90" w:rsidRDefault="009F0C90" w:rsidP="009F0C90">
            <w:pPr>
              <w:pStyle w:val="Heading1"/>
            </w:pPr>
          </w:p>
          <w:p w14:paraId="5A2D0B1C" w14:textId="7943C48C" w:rsidR="009F0C90" w:rsidRPr="009F0C90" w:rsidRDefault="009F0C90" w:rsidP="009F0C90">
            <w:pPr>
              <w:pStyle w:val="Heading1"/>
            </w:pPr>
            <w:r w:rsidRPr="009F0C90">
              <w:t xml:space="preserve">Student </w:t>
            </w:r>
            <w:r w:rsidRPr="009F0C90">
              <w:rPr>
                <w:b/>
                <w:bCs/>
                <w:u w:val="single"/>
              </w:rPr>
              <w:t>University</w:t>
            </w:r>
            <w:r w:rsidRPr="009F0C90">
              <w:rPr>
                <w:u w:val="single"/>
              </w:rPr>
              <w:t xml:space="preserve"> </w:t>
            </w:r>
            <w:r w:rsidRPr="009F0C90">
              <w:t xml:space="preserve">Email: </w:t>
            </w:r>
            <w:r>
              <w:t>1811470@student.uwtsd.ac.uk</w:t>
            </w:r>
          </w:p>
        </w:tc>
      </w:tr>
      <w:tr w:rsidR="009F0C90" w:rsidRPr="009F0C90" w14:paraId="64CA3144" w14:textId="77777777" w:rsidTr="009F0C90">
        <w:trPr>
          <w:trHeight w:val="849"/>
        </w:trPr>
        <w:tc>
          <w:tcPr>
            <w:tcW w:w="4788" w:type="dxa"/>
            <w:tcBorders>
              <w:top w:val="single" w:sz="4" w:space="0" w:color="000000"/>
              <w:left w:val="single" w:sz="4" w:space="0" w:color="000000"/>
              <w:bottom w:val="single" w:sz="4" w:space="0" w:color="000000"/>
              <w:right w:val="single" w:sz="4" w:space="0" w:color="000000"/>
            </w:tcBorders>
          </w:tcPr>
          <w:p w14:paraId="3D07524E" w14:textId="4D2C6316" w:rsidR="009F0C90" w:rsidRPr="009F0C90" w:rsidRDefault="009F0C90" w:rsidP="009F0C90">
            <w:pPr>
              <w:pStyle w:val="Heading1"/>
            </w:pPr>
            <w:r w:rsidRPr="009F0C90">
              <w:t>Module code:</w:t>
            </w:r>
            <w:r>
              <w:t xml:space="preserve"> HPCA70</w:t>
            </w:r>
            <w:r w:rsidR="00837AE7">
              <w:t>21</w:t>
            </w:r>
          </w:p>
          <w:p w14:paraId="5CED4078" w14:textId="77777777" w:rsidR="009F0C90" w:rsidRPr="009F0C90" w:rsidRDefault="009F0C90" w:rsidP="009F0C90">
            <w:pPr>
              <w:pStyle w:val="Heading1"/>
            </w:pPr>
          </w:p>
          <w:p w14:paraId="14CF1609" w14:textId="1FE930EE" w:rsidR="009F0C90" w:rsidRPr="009F0C90" w:rsidRDefault="009F0C90" w:rsidP="009F0C90">
            <w:pPr>
              <w:pStyle w:val="Heading1"/>
            </w:pPr>
            <w:r w:rsidRPr="009F0C90">
              <w:t>Module title:</w:t>
            </w:r>
            <w:r>
              <w:t xml:space="preserve"> Sacred Geography</w:t>
            </w:r>
          </w:p>
          <w:p w14:paraId="678D13F6" w14:textId="16259439" w:rsidR="009F0C90" w:rsidRPr="009F0C90" w:rsidRDefault="00837AE7" w:rsidP="009F0C90">
            <w:pPr>
              <w:pStyle w:val="Heading1"/>
            </w:pPr>
            <w:r>
              <w:t>Indep Study 20 credits</w:t>
            </w:r>
          </w:p>
          <w:p w14:paraId="2A43A327" w14:textId="77777777" w:rsidR="009F0C90" w:rsidRPr="009F0C90" w:rsidRDefault="009F0C90" w:rsidP="009F0C90">
            <w:pPr>
              <w:pStyle w:val="Heading1"/>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31E04D4C" w14:textId="77777777" w:rsidR="009F0C90" w:rsidRDefault="009F0C90" w:rsidP="009F0C90">
            <w:pPr>
              <w:pStyle w:val="Heading1"/>
            </w:pPr>
            <w:r w:rsidRPr="009F0C90">
              <w:t>Student ID number:</w:t>
            </w:r>
          </w:p>
          <w:p w14:paraId="7FD6E063" w14:textId="4A378237" w:rsidR="009F0C90" w:rsidRPr="009F0C90" w:rsidRDefault="009F0C90" w:rsidP="009F0C90">
            <w:r>
              <w:t>1811470</w:t>
            </w:r>
          </w:p>
        </w:tc>
        <w:tc>
          <w:tcPr>
            <w:tcW w:w="1802" w:type="dxa"/>
            <w:tcBorders>
              <w:top w:val="single" w:sz="4" w:space="0" w:color="000000"/>
              <w:left w:val="single" w:sz="4" w:space="0" w:color="000000"/>
              <w:bottom w:val="single" w:sz="4" w:space="0" w:color="000000"/>
              <w:right w:val="single" w:sz="4" w:space="0" w:color="000000"/>
            </w:tcBorders>
            <w:hideMark/>
          </w:tcPr>
          <w:p w14:paraId="716B3245" w14:textId="77777777" w:rsidR="009F0C90" w:rsidRPr="009F0C90" w:rsidRDefault="009F0C90" w:rsidP="009F0C90">
            <w:pPr>
              <w:pStyle w:val="Heading1"/>
            </w:pPr>
            <w:r w:rsidRPr="009F0C90">
              <w:t>Educational support needs:</w:t>
            </w:r>
          </w:p>
          <w:p w14:paraId="38746818" w14:textId="5B1571B7" w:rsidR="009F0C90" w:rsidRPr="009F0C90" w:rsidRDefault="009F0C90" w:rsidP="009F0C90">
            <w:pPr>
              <w:pStyle w:val="Heading1"/>
            </w:pPr>
            <w:r w:rsidRPr="009F0C90">
              <w:t>No</w:t>
            </w:r>
          </w:p>
        </w:tc>
      </w:tr>
      <w:tr w:rsidR="009F0C90" w:rsidRPr="009F0C90" w14:paraId="3A3EC6FE" w14:textId="77777777" w:rsidTr="009F0C90">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3BD0E1A8" w14:textId="1A35FF0C" w:rsidR="009F0C90" w:rsidRPr="009F0C90" w:rsidRDefault="009F0C90" w:rsidP="009F0C90">
            <w:pPr>
              <w:pStyle w:val="Heading1"/>
            </w:pPr>
            <w:r w:rsidRPr="009F0C90">
              <w:t>Assignment title:</w:t>
            </w:r>
            <w:r>
              <w:t xml:space="preserve"> Comparison and Contrast of Emile Durkheim and Mircea Eliade Views on Sacred Space</w:t>
            </w:r>
          </w:p>
          <w:p w14:paraId="576DCFB5" w14:textId="77777777" w:rsidR="009F0C90" w:rsidRPr="009F0C90" w:rsidRDefault="009F0C90" w:rsidP="009F0C90">
            <w:pPr>
              <w:pStyle w:val="Heading1"/>
            </w:pPr>
          </w:p>
          <w:p w14:paraId="2AC63F40" w14:textId="77777777" w:rsidR="009F0C90" w:rsidRPr="009F0C90" w:rsidRDefault="009F0C90" w:rsidP="009F0C90">
            <w:pPr>
              <w:pStyle w:val="Heading1"/>
            </w:pPr>
          </w:p>
          <w:p w14:paraId="127554B1" w14:textId="0BB67ACD" w:rsidR="009F0C90" w:rsidRPr="009F0C90" w:rsidRDefault="009F0C90" w:rsidP="009F0C90">
            <w:pPr>
              <w:pStyle w:val="Heading1"/>
            </w:pPr>
            <w:r w:rsidRPr="009F0C90">
              <w:t>Assignment due date:</w:t>
            </w:r>
            <w:r>
              <w:t xml:space="preserve"> Nov. 11, 2020</w:t>
            </w:r>
          </w:p>
        </w:tc>
      </w:tr>
      <w:tr w:rsidR="009F0C90" w:rsidRPr="009F0C90" w14:paraId="598159AC" w14:textId="77777777" w:rsidTr="009F0C90">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1564DD10" w14:textId="7D8E3AD0" w:rsidR="009F0C90" w:rsidRPr="009F0C90" w:rsidRDefault="009F0C90" w:rsidP="009F0C90">
            <w:pPr>
              <w:pStyle w:val="Heading1"/>
            </w:pPr>
            <w:r w:rsidRPr="009F0C90">
              <w:t>This assignment is for the       1</w:t>
            </w:r>
            <w:r w:rsidRPr="009F0C90">
              <w:rPr>
                <w:vertAlign w:val="superscript"/>
              </w:rPr>
              <w:t xml:space="preserve">st </w:t>
            </w:r>
            <w:r w:rsidRPr="009F0C90">
              <w:fldChar w:fldCharType="begin">
                <w:ffData>
                  <w:name w:val="Check13"/>
                  <w:enabled/>
                  <w:calcOnExit w:val="0"/>
                  <w:checkBox>
                    <w:sizeAuto/>
                    <w:default w:val="0"/>
                  </w:checkBox>
                </w:ffData>
              </w:fldChar>
            </w:r>
            <w:bookmarkStart w:id="0" w:name="Check13"/>
            <w:r w:rsidRPr="009F0C90">
              <w:instrText xml:space="preserve"> FORMCHECKBOX </w:instrText>
            </w:r>
            <w:r w:rsidR="00832B3C">
              <w:fldChar w:fldCharType="separate"/>
            </w:r>
            <w:r w:rsidRPr="009F0C90">
              <w:rPr>
                <w:lang w:val="en-US"/>
              </w:rPr>
              <w:fldChar w:fldCharType="end"/>
            </w:r>
            <w:bookmarkEnd w:id="0"/>
            <w:r w:rsidRPr="009F0C90">
              <w:t xml:space="preserve">    2</w:t>
            </w:r>
            <w:r w:rsidRPr="009F0C90">
              <w:rPr>
                <w:vertAlign w:val="superscript"/>
              </w:rPr>
              <w:t>nd</w:t>
            </w:r>
            <w:r w:rsidRPr="009F0C90">
              <w:t xml:space="preserve">  </w:t>
            </w:r>
            <w:r w:rsidRPr="009F0C90">
              <w:fldChar w:fldCharType="begin">
                <w:ffData>
                  <w:name w:val="Check14"/>
                  <w:enabled/>
                  <w:calcOnExit w:val="0"/>
                  <w:checkBox>
                    <w:sizeAuto/>
                    <w:default w:val="0"/>
                  </w:checkBox>
                </w:ffData>
              </w:fldChar>
            </w:r>
            <w:bookmarkStart w:id="1" w:name="Check14"/>
            <w:r w:rsidRPr="009F0C90">
              <w:instrText xml:space="preserve"> FORMCHECKBOX </w:instrText>
            </w:r>
            <w:r w:rsidR="00832B3C">
              <w:fldChar w:fldCharType="separate"/>
            </w:r>
            <w:r w:rsidRPr="009F0C90">
              <w:rPr>
                <w:lang w:val="en-US"/>
              </w:rPr>
              <w:fldChar w:fldCharType="end"/>
            </w:r>
            <w:bookmarkEnd w:id="1"/>
            <w:r w:rsidRPr="009F0C90">
              <w:t xml:space="preserve">     3</w:t>
            </w:r>
            <w:r w:rsidRPr="009F0C90">
              <w:rPr>
                <w:vertAlign w:val="superscript"/>
              </w:rPr>
              <w:t>rd</w:t>
            </w:r>
            <w:r w:rsidRPr="009F0C90">
              <w:t xml:space="preserve">  </w:t>
            </w:r>
            <w:r w:rsidRPr="009F0C90">
              <w:fldChar w:fldCharType="begin">
                <w:ffData>
                  <w:name w:val="Check15"/>
                  <w:enabled/>
                  <w:calcOnExit w:val="0"/>
                  <w:checkBox>
                    <w:sizeAuto/>
                    <w:default w:val="0"/>
                  </w:checkBox>
                </w:ffData>
              </w:fldChar>
            </w:r>
            <w:bookmarkStart w:id="2" w:name="Check15"/>
            <w:r w:rsidRPr="009F0C90">
              <w:instrText xml:space="preserve"> FORMCHECKBOX </w:instrText>
            </w:r>
            <w:r w:rsidR="00832B3C">
              <w:fldChar w:fldCharType="separate"/>
            </w:r>
            <w:r w:rsidRPr="009F0C90">
              <w:rPr>
                <w:lang w:val="en-US"/>
              </w:rPr>
              <w:fldChar w:fldCharType="end"/>
            </w:r>
            <w:bookmarkEnd w:id="2"/>
            <w:r w:rsidRPr="009F0C90">
              <w:t xml:space="preserve">      4</w:t>
            </w:r>
            <w:r w:rsidRPr="009F0C90">
              <w:rPr>
                <w:vertAlign w:val="superscript"/>
              </w:rPr>
              <w:t>th</w:t>
            </w:r>
            <w:r w:rsidRPr="009F0C90">
              <w:t xml:space="preserve"> </w:t>
            </w:r>
            <w:r w:rsidRPr="009F0C90">
              <w:fldChar w:fldCharType="begin">
                <w:ffData>
                  <w:name w:val="Check16"/>
                  <w:enabled/>
                  <w:calcOnExit w:val="0"/>
                  <w:checkBox>
                    <w:sizeAuto/>
                    <w:default w:val="0"/>
                  </w:checkBox>
                </w:ffData>
              </w:fldChar>
            </w:r>
            <w:bookmarkStart w:id="3" w:name="Check16"/>
            <w:r w:rsidRPr="009F0C90">
              <w:instrText xml:space="preserve"> FORMCHECKBOX </w:instrText>
            </w:r>
            <w:r w:rsidR="00832B3C">
              <w:fldChar w:fldCharType="separate"/>
            </w:r>
            <w:r w:rsidRPr="009F0C90">
              <w:rPr>
                <w:lang w:val="en-US"/>
              </w:rPr>
              <w:fldChar w:fldCharType="end"/>
            </w:r>
            <w:bookmarkEnd w:id="3"/>
            <w:r w:rsidRPr="009F0C90">
              <w:t xml:space="preserve">      5</w:t>
            </w:r>
            <w:r w:rsidRPr="009F0C90">
              <w:rPr>
                <w:vertAlign w:val="superscript"/>
              </w:rPr>
              <w:t>th</w:t>
            </w:r>
            <w:r w:rsidRPr="009F0C90">
              <w:t xml:space="preserve"> </w:t>
            </w:r>
            <w:r w:rsidRPr="009F0C90">
              <w:fldChar w:fldCharType="begin">
                <w:ffData>
                  <w:name w:val="Check17"/>
                  <w:enabled/>
                  <w:calcOnExit w:val="0"/>
                  <w:checkBox>
                    <w:sizeAuto/>
                    <w:default w:val="0"/>
                  </w:checkBox>
                </w:ffData>
              </w:fldChar>
            </w:r>
            <w:bookmarkStart w:id="4" w:name="Check17"/>
            <w:r w:rsidRPr="009F0C90">
              <w:instrText xml:space="preserve"> FORMCHECKBOX </w:instrText>
            </w:r>
            <w:r w:rsidR="00832B3C">
              <w:fldChar w:fldCharType="separate"/>
            </w:r>
            <w:r w:rsidRPr="009F0C90">
              <w:rPr>
                <w:lang w:val="en-US"/>
              </w:rPr>
              <w:fldChar w:fldCharType="end"/>
            </w:r>
            <w:bookmarkEnd w:id="4"/>
            <w:r w:rsidRPr="009F0C90">
              <w:t xml:space="preserve">      6</w:t>
            </w:r>
            <w:r w:rsidRPr="009F0C90">
              <w:rPr>
                <w:vertAlign w:val="superscript"/>
              </w:rPr>
              <w:t>th</w:t>
            </w:r>
            <w:r w:rsidRPr="009F0C90">
              <w:t xml:space="preserve"> </w:t>
            </w:r>
            <w:r>
              <w:t>X</w:t>
            </w:r>
            <w:r w:rsidRPr="009F0C90">
              <w:rPr>
                <w:b/>
              </w:rPr>
              <w:t xml:space="preserve">  </w:t>
            </w:r>
            <w:r w:rsidRPr="009F0C90">
              <w:t>module of th</w:t>
            </w:r>
            <w:r>
              <w:t>e</w:t>
            </w:r>
            <w:r w:rsidRPr="009F0C90">
              <w:t xml:space="preserve"> degree</w:t>
            </w:r>
          </w:p>
        </w:tc>
      </w:tr>
      <w:tr w:rsidR="009F0C90" w:rsidRPr="009F0C90" w14:paraId="50AE3D45" w14:textId="77777777" w:rsidTr="009F0C90">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5259F16D" w14:textId="77777777" w:rsidR="009F0C90" w:rsidRPr="009F0C90" w:rsidRDefault="009F0C90" w:rsidP="009F0C90">
            <w:pPr>
              <w:pStyle w:val="Heading1"/>
            </w:pPr>
            <w:r w:rsidRPr="009F0C90">
              <w:lastRenderedPageBreak/>
              <w:t>I confirm that this is my original work and that I have adhered to the University policy on plagiarism.</w:t>
            </w:r>
          </w:p>
          <w:p w14:paraId="5F8FC98C" w14:textId="77777777" w:rsidR="009F0C90" w:rsidRPr="009F0C90" w:rsidRDefault="009F0C90" w:rsidP="009F0C90">
            <w:pPr>
              <w:pStyle w:val="Heading1"/>
            </w:pPr>
            <w:r w:rsidRPr="009F0C90">
              <w:t>Signed ……………………………………………………………</w:t>
            </w:r>
          </w:p>
          <w:p w14:paraId="2A33EFBB" w14:textId="5C1FA5B9" w:rsidR="009F0C90" w:rsidRPr="009F0C90" w:rsidRDefault="009F0C90" w:rsidP="009F0C90">
            <w:pPr>
              <w:pStyle w:val="Heading1"/>
              <w:rPr>
                <w:b/>
              </w:rPr>
            </w:pPr>
            <w:r w:rsidRPr="009F0C90">
              <w:rPr>
                <w:b/>
              </w:rPr>
              <w:t xml:space="preserve">Email submission:if you are submitting this form via email, please tick this box </w:t>
            </w:r>
            <w:r>
              <w:rPr>
                <w:b/>
              </w:rPr>
              <w:t>x</w:t>
            </w:r>
          </w:p>
          <w:p w14:paraId="258093AE" w14:textId="77777777" w:rsidR="009F0C90" w:rsidRPr="009F0C90" w:rsidRDefault="009F0C90" w:rsidP="009F0C90">
            <w:pPr>
              <w:pStyle w:val="Heading1"/>
            </w:pPr>
            <w:r w:rsidRPr="009F0C90">
              <w:rPr>
                <w:b/>
              </w:rPr>
              <w:t>(as a substitute for your signature) to confirm that you agree to the above declaration.</w:t>
            </w:r>
          </w:p>
        </w:tc>
      </w:tr>
      <w:tr w:rsidR="009F0C90" w:rsidRPr="009F0C90" w14:paraId="3A904D39" w14:textId="77777777" w:rsidTr="009F0C90">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47716FB6" w14:textId="77777777" w:rsidR="009F0C90" w:rsidRPr="009F0C90" w:rsidRDefault="009F0C90" w:rsidP="009F0C90">
            <w:pPr>
              <w:pStyle w:val="Heading1"/>
              <w:rPr>
                <w:b/>
              </w:rPr>
            </w:pPr>
          </w:p>
          <w:p w14:paraId="65D76551" w14:textId="77777777" w:rsidR="009F0C90" w:rsidRPr="009F0C90" w:rsidRDefault="009F0C90" w:rsidP="009F0C90">
            <w:pPr>
              <w:pStyle w:val="Heading1"/>
            </w:pPr>
            <w:r w:rsidRPr="009F0C90">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F0C90" w:rsidRPr="009F0C90" w14:paraId="0F409E90" w14:textId="77777777">
              <w:tc>
                <w:tcPr>
                  <w:tcW w:w="6970" w:type="dxa"/>
                  <w:tcBorders>
                    <w:top w:val="single" w:sz="4" w:space="0" w:color="auto"/>
                    <w:left w:val="single" w:sz="4" w:space="0" w:color="auto"/>
                    <w:bottom w:val="single" w:sz="4" w:space="0" w:color="auto"/>
                    <w:right w:val="single" w:sz="4" w:space="0" w:color="auto"/>
                  </w:tcBorders>
                </w:tcPr>
                <w:p w14:paraId="1356CA37" w14:textId="77777777" w:rsidR="009F0C90" w:rsidRPr="009F0C90" w:rsidRDefault="009F0C90" w:rsidP="009F0C90">
                  <w:pPr>
                    <w:pStyle w:val="Heading1"/>
                  </w:pPr>
                </w:p>
                <w:p w14:paraId="03986824" w14:textId="77777777" w:rsidR="009F0C90" w:rsidRPr="009F0C90" w:rsidRDefault="009F0C90" w:rsidP="009F0C90">
                  <w:pPr>
                    <w:pStyle w:val="Heading1"/>
                  </w:pPr>
                  <w:r w:rsidRPr="009F0C90">
                    <w:t>1</w:t>
                  </w:r>
                  <w:r w:rsidRPr="009F0C90">
                    <w:rPr>
                      <w:vertAlign w:val="superscript"/>
                    </w:rPr>
                    <w:t>st</w:t>
                  </w:r>
                  <w:r w:rsidRPr="009F0C90">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08DFDD7C" w14:textId="77777777" w:rsidR="009F0C90" w:rsidRPr="009F0C90" w:rsidRDefault="009F0C90" w:rsidP="009F0C90">
                  <w:pPr>
                    <w:pStyle w:val="Heading1"/>
                  </w:pPr>
                </w:p>
              </w:tc>
            </w:tr>
            <w:tr w:rsidR="009F0C90" w:rsidRPr="009F0C90" w14:paraId="13AA694E" w14:textId="77777777">
              <w:tc>
                <w:tcPr>
                  <w:tcW w:w="6970" w:type="dxa"/>
                  <w:tcBorders>
                    <w:top w:val="single" w:sz="4" w:space="0" w:color="auto"/>
                    <w:left w:val="single" w:sz="4" w:space="0" w:color="auto"/>
                    <w:bottom w:val="single" w:sz="4" w:space="0" w:color="auto"/>
                    <w:right w:val="single" w:sz="4" w:space="0" w:color="auto"/>
                  </w:tcBorders>
                </w:tcPr>
                <w:p w14:paraId="3D0FBCD9" w14:textId="77777777" w:rsidR="009F0C90" w:rsidRPr="009F0C90" w:rsidRDefault="009F0C90" w:rsidP="009F0C90">
                  <w:pPr>
                    <w:pStyle w:val="Heading1"/>
                  </w:pPr>
                </w:p>
                <w:p w14:paraId="1FCCB610" w14:textId="77777777" w:rsidR="009F0C90" w:rsidRPr="009F0C90" w:rsidRDefault="009F0C90" w:rsidP="009F0C90">
                  <w:pPr>
                    <w:pStyle w:val="Heading1"/>
                  </w:pPr>
                  <w:r w:rsidRPr="009F0C90">
                    <w:t>2</w:t>
                  </w:r>
                  <w:r w:rsidRPr="009F0C90">
                    <w:rPr>
                      <w:vertAlign w:val="superscript"/>
                    </w:rPr>
                    <w:t>nd</w:t>
                  </w:r>
                  <w:r w:rsidRPr="009F0C90">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0B714681" w14:textId="77777777" w:rsidR="009F0C90" w:rsidRPr="009F0C90" w:rsidRDefault="009F0C90" w:rsidP="009F0C90">
                  <w:pPr>
                    <w:pStyle w:val="Heading1"/>
                  </w:pPr>
                </w:p>
              </w:tc>
            </w:tr>
            <w:tr w:rsidR="009F0C90" w:rsidRPr="009F0C90" w14:paraId="61298A85" w14:textId="77777777">
              <w:tc>
                <w:tcPr>
                  <w:tcW w:w="6970" w:type="dxa"/>
                  <w:tcBorders>
                    <w:top w:val="single" w:sz="4" w:space="0" w:color="auto"/>
                    <w:left w:val="single" w:sz="4" w:space="0" w:color="auto"/>
                    <w:bottom w:val="single" w:sz="4" w:space="0" w:color="auto"/>
                    <w:right w:val="single" w:sz="4" w:space="0" w:color="auto"/>
                  </w:tcBorders>
                </w:tcPr>
                <w:p w14:paraId="0B968FC9" w14:textId="77777777" w:rsidR="009F0C90" w:rsidRPr="009F0C90" w:rsidRDefault="009F0C90" w:rsidP="009F0C90">
                  <w:pPr>
                    <w:pStyle w:val="Heading1"/>
                  </w:pPr>
                </w:p>
                <w:p w14:paraId="2A16B935" w14:textId="77777777" w:rsidR="009F0C90" w:rsidRPr="009F0C90" w:rsidRDefault="009F0C90" w:rsidP="009F0C90">
                  <w:pPr>
                    <w:pStyle w:val="Heading1"/>
                  </w:pPr>
                  <w:r w:rsidRPr="009F0C90">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44CC0005" w14:textId="77777777" w:rsidR="009F0C90" w:rsidRPr="009F0C90" w:rsidRDefault="009F0C90" w:rsidP="009F0C90">
                  <w:pPr>
                    <w:pStyle w:val="Heading1"/>
                  </w:pPr>
                </w:p>
              </w:tc>
            </w:tr>
            <w:tr w:rsidR="009F0C90" w:rsidRPr="009F0C90" w14:paraId="5535CA6F" w14:textId="77777777">
              <w:tc>
                <w:tcPr>
                  <w:tcW w:w="6970" w:type="dxa"/>
                  <w:tcBorders>
                    <w:top w:val="single" w:sz="4" w:space="0" w:color="auto"/>
                    <w:left w:val="single" w:sz="4" w:space="0" w:color="auto"/>
                    <w:bottom w:val="single" w:sz="4" w:space="0" w:color="auto"/>
                    <w:right w:val="single" w:sz="4" w:space="0" w:color="auto"/>
                  </w:tcBorders>
                </w:tcPr>
                <w:p w14:paraId="11B3EDD4" w14:textId="77777777" w:rsidR="009F0C90" w:rsidRPr="009F0C90" w:rsidRDefault="009F0C90" w:rsidP="009F0C90">
                  <w:pPr>
                    <w:pStyle w:val="Heading1"/>
                  </w:pPr>
                </w:p>
                <w:p w14:paraId="3EB7ABDE" w14:textId="77777777" w:rsidR="009F0C90" w:rsidRPr="009F0C90" w:rsidRDefault="009F0C90" w:rsidP="009F0C90">
                  <w:pPr>
                    <w:pStyle w:val="Heading1"/>
                    <w:rPr>
                      <w:b/>
                    </w:rPr>
                  </w:pPr>
                  <w:r w:rsidRPr="009F0C90">
                    <w:rPr>
                      <w:b/>
                    </w:rPr>
                    <w:t>Final Mark</w:t>
                  </w:r>
                </w:p>
                <w:p w14:paraId="274932ED" w14:textId="77777777" w:rsidR="009F0C90" w:rsidRPr="009F0C90" w:rsidRDefault="009F0C90" w:rsidP="009F0C90">
                  <w:pPr>
                    <w:pStyle w:val="Heading1"/>
                  </w:pPr>
                </w:p>
              </w:tc>
              <w:tc>
                <w:tcPr>
                  <w:tcW w:w="1660" w:type="dxa"/>
                  <w:tcBorders>
                    <w:top w:val="single" w:sz="4" w:space="0" w:color="auto"/>
                    <w:left w:val="single" w:sz="4" w:space="0" w:color="auto"/>
                    <w:bottom w:val="single" w:sz="4" w:space="0" w:color="auto"/>
                    <w:right w:val="single" w:sz="4" w:space="0" w:color="auto"/>
                  </w:tcBorders>
                </w:tcPr>
                <w:p w14:paraId="3E336851" w14:textId="77777777" w:rsidR="009F0C90" w:rsidRPr="009F0C90" w:rsidRDefault="009F0C90" w:rsidP="009F0C90">
                  <w:pPr>
                    <w:pStyle w:val="Heading1"/>
                  </w:pPr>
                </w:p>
              </w:tc>
            </w:tr>
          </w:tbl>
          <w:p w14:paraId="0BA3EA74" w14:textId="77777777" w:rsidR="009F0C90" w:rsidRPr="009F0C90" w:rsidRDefault="009F0C90" w:rsidP="009F0C90">
            <w:pPr>
              <w:pStyle w:val="Heading1"/>
              <w:rPr>
                <w:b/>
              </w:rPr>
            </w:pPr>
          </w:p>
          <w:p w14:paraId="2A662DB9" w14:textId="77777777" w:rsidR="009F0C90" w:rsidRPr="009F0C90" w:rsidRDefault="009F0C90" w:rsidP="009F0C90">
            <w:pPr>
              <w:pStyle w:val="Heading1"/>
            </w:pPr>
            <w:r w:rsidRPr="009F0C90">
              <w:rPr>
                <w:b/>
              </w:rPr>
              <w:t>NB.</w:t>
            </w:r>
            <w:r w:rsidRPr="009F0C90">
              <w:t xml:space="preserve">  All marks are provisional until confirmed by the Final Examination Board.</w:t>
            </w:r>
          </w:p>
          <w:p w14:paraId="2CF4D3EC" w14:textId="77777777" w:rsidR="009F0C90" w:rsidRPr="009F0C90" w:rsidRDefault="009F0C90" w:rsidP="009F0C90">
            <w:pPr>
              <w:pStyle w:val="Heading1"/>
              <w:rPr>
                <w:b/>
              </w:rPr>
            </w:pPr>
          </w:p>
          <w:p w14:paraId="4772C3AD" w14:textId="77777777" w:rsidR="009F0C90" w:rsidRPr="009F0C90" w:rsidRDefault="009F0C90" w:rsidP="009F0C90">
            <w:pPr>
              <w:pStyle w:val="Heading1"/>
              <w:rPr>
                <w:b/>
              </w:rPr>
            </w:pPr>
          </w:p>
          <w:p w14:paraId="18C98D81" w14:textId="77777777" w:rsidR="009F0C90" w:rsidRPr="009F0C90" w:rsidRDefault="009F0C90" w:rsidP="009F0C90">
            <w:pPr>
              <w:pStyle w:val="Heading1"/>
              <w:rPr>
                <w:b/>
              </w:rPr>
            </w:pPr>
          </w:p>
          <w:p w14:paraId="0746568C" w14:textId="77777777" w:rsidR="009F0C90" w:rsidRPr="009F0C90" w:rsidRDefault="009F0C90" w:rsidP="009F0C90">
            <w:pPr>
              <w:pStyle w:val="Heading1"/>
              <w:rPr>
                <w:b/>
              </w:rPr>
            </w:pPr>
          </w:p>
          <w:p w14:paraId="3072F3AE" w14:textId="77777777" w:rsidR="009F0C90" w:rsidRPr="009F0C90" w:rsidRDefault="009F0C90" w:rsidP="009F0C90">
            <w:pPr>
              <w:pStyle w:val="Heading1"/>
              <w:rPr>
                <w:b/>
              </w:rPr>
            </w:pPr>
          </w:p>
          <w:p w14:paraId="44FB243D" w14:textId="77777777" w:rsidR="009F0C90" w:rsidRPr="009F0C90" w:rsidRDefault="009F0C90" w:rsidP="009F0C90">
            <w:pPr>
              <w:pStyle w:val="Heading1"/>
              <w:rPr>
                <w:b/>
              </w:rPr>
            </w:pPr>
            <w:r w:rsidRPr="009F0C90">
              <w:rPr>
                <w:b/>
              </w:rPr>
              <w:t>For completion by Marker 1 :</w:t>
            </w:r>
          </w:p>
          <w:p w14:paraId="71AA23AE" w14:textId="77777777" w:rsidR="009F0C90" w:rsidRPr="009F0C90" w:rsidRDefault="009F0C90" w:rsidP="009F0C90">
            <w:pPr>
              <w:pStyle w:val="Heading1"/>
            </w:pPr>
            <w:r w:rsidRPr="009F0C90">
              <w:t>Comments:</w:t>
            </w:r>
          </w:p>
          <w:p w14:paraId="2727BD27" w14:textId="77777777" w:rsidR="009F0C90" w:rsidRPr="009F0C90" w:rsidRDefault="009F0C90" w:rsidP="009F0C90">
            <w:pPr>
              <w:pStyle w:val="Heading1"/>
            </w:pPr>
          </w:p>
        </w:tc>
      </w:tr>
      <w:tr w:rsidR="009F0C90" w:rsidRPr="009F0C90" w14:paraId="7DE4ED54" w14:textId="77777777" w:rsidTr="009F0C90">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4CEF4532" w14:textId="77777777" w:rsidR="009F0C90" w:rsidRPr="009F0C90" w:rsidRDefault="009F0C90" w:rsidP="009F0C90">
            <w:pPr>
              <w:pStyle w:val="Heading1"/>
            </w:pPr>
            <w:r w:rsidRPr="009F0C90">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123E5F91" w14:textId="77777777" w:rsidR="009F0C90" w:rsidRPr="009F0C90" w:rsidRDefault="009F0C90" w:rsidP="009F0C90">
            <w:pPr>
              <w:pStyle w:val="Heading1"/>
            </w:pPr>
            <w:r w:rsidRPr="009F0C90">
              <w:t>Date:</w:t>
            </w:r>
          </w:p>
        </w:tc>
      </w:tr>
      <w:tr w:rsidR="009F0C90" w:rsidRPr="009F0C90" w14:paraId="65FB0DE9" w14:textId="77777777" w:rsidTr="009F0C90">
        <w:tc>
          <w:tcPr>
            <w:tcW w:w="8856" w:type="dxa"/>
            <w:gridSpan w:val="5"/>
            <w:tcBorders>
              <w:top w:val="single" w:sz="4" w:space="0" w:color="000000"/>
              <w:left w:val="single" w:sz="4" w:space="0" w:color="000000"/>
              <w:bottom w:val="single" w:sz="4" w:space="0" w:color="000000"/>
              <w:right w:val="single" w:sz="4" w:space="0" w:color="000000"/>
            </w:tcBorders>
          </w:tcPr>
          <w:p w14:paraId="52719D6F" w14:textId="77777777" w:rsidR="009F0C90" w:rsidRPr="009F0C90" w:rsidRDefault="009F0C90" w:rsidP="009F0C90">
            <w:pPr>
              <w:pStyle w:val="Heading1"/>
              <w:rPr>
                <w:bCs/>
                <w:i/>
              </w:rPr>
            </w:pPr>
          </w:p>
          <w:p w14:paraId="6BB19725" w14:textId="77777777" w:rsidR="009F0C90" w:rsidRPr="009F0C90" w:rsidRDefault="009F0C90" w:rsidP="009F0C90">
            <w:pPr>
              <w:pStyle w:val="Heading1"/>
              <w:rPr>
                <w:b/>
                <w:bCs/>
              </w:rPr>
            </w:pPr>
            <w:r w:rsidRPr="009F0C90">
              <w:rPr>
                <w:b/>
                <w:bCs/>
              </w:rPr>
              <w:t>For completion by Marker 2/Moderator:</w:t>
            </w:r>
          </w:p>
          <w:p w14:paraId="17004EE5" w14:textId="77777777" w:rsidR="009F0C90" w:rsidRPr="009F0C90" w:rsidRDefault="009F0C90" w:rsidP="009F0C90">
            <w:pPr>
              <w:pStyle w:val="Heading1"/>
              <w:rPr>
                <w:b/>
                <w:bCs/>
              </w:rPr>
            </w:pPr>
          </w:p>
          <w:p w14:paraId="01DF62C3" w14:textId="77777777" w:rsidR="009F0C90" w:rsidRPr="009F0C90" w:rsidRDefault="009F0C90" w:rsidP="009F0C90">
            <w:pPr>
              <w:pStyle w:val="Heading1"/>
              <w:rPr>
                <w:bCs/>
              </w:rPr>
            </w:pPr>
            <w:r w:rsidRPr="009F0C90">
              <w:rPr>
                <w:bCs/>
              </w:rPr>
              <w:t>Comments:</w:t>
            </w:r>
          </w:p>
          <w:p w14:paraId="71DC95D3" w14:textId="77777777" w:rsidR="009F0C90" w:rsidRPr="009F0C90" w:rsidRDefault="009F0C90" w:rsidP="009F0C90">
            <w:pPr>
              <w:pStyle w:val="Heading1"/>
              <w:rPr>
                <w:bCs/>
              </w:rPr>
            </w:pPr>
          </w:p>
          <w:p w14:paraId="366CA855" w14:textId="77777777" w:rsidR="009F0C90" w:rsidRPr="009F0C90" w:rsidRDefault="009F0C90" w:rsidP="009F0C90">
            <w:pPr>
              <w:pStyle w:val="Heading1"/>
              <w:rPr>
                <w:bCs/>
              </w:rPr>
            </w:pPr>
          </w:p>
          <w:p w14:paraId="018285D9" w14:textId="77777777" w:rsidR="009F0C90" w:rsidRPr="009F0C90" w:rsidRDefault="009F0C90" w:rsidP="009F0C90">
            <w:pPr>
              <w:pStyle w:val="Heading1"/>
              <w:rPr>
                <w:bCs/>
              </w:rPr>
            </w:pPr>
          </w:p>
          <w:p w14:paraId="07557575" w14:textId="77777777" w:rsidR="009F0C90" w:rsidRPr="009F0C90" w:rsidRDefault="009F0C90" w:rsidP="009F0C90">
            <w:pPr>
              <w:pStyle w:val="Heading1"/>
              <w:rPr>
                <w:bCs/>
              </w:rPr>
            </w:pPr>
          </w:p>
          <w:p w14:paraId="7487AFA4" w14:textId="77777777" w:rsidR="009F0C90" w:rsidRPr="009F0C90" w:rsidRDefault="009F0C90" w:rsidP="009F0C90">
            <w:pPr>
              <w:pStyle w:val="Heading1"/>
              <w:rPr>
                <w:bCs/>
              </w:rPr>
            </w:pPr>
          </w:p>
          <w:p w14:paraId="146A1D61" w14:textId="77777777" w:rsidR="009F0C90" w:rsidRPr="009F0C90" w:rsidRDefault="009F0C90" w:rsidP="009F0C90">
            <w:pPr>
              <w:pStyle w:val="Heading1"/>
              <w:rPr>
                <w:bCs/>
              </w:rPr>
            </w:pPr>
          </w:p>
          <w:p w14:paraId="45F5D899" w14:textId="77777777" w:rsidR="009F0C90" w:rsidRPr="009F0C90" w:rsidRDefault="009F0C90" w:rsidP="009F0C90">
            <w:pPr>
              <w:pStyle w:val="Heading1"/>
              <w:rPr>
                <w:bCs/>
              </w:rPr>
            </w:pPr>
          </w:p>
          <w:p w14:paraId="03832E91" w14:textId="77777777" w:rsidR="009F0C90" w:rsidRPr="009F0C90" w:rsidRDefault="009F0C90" w:rsidP="009F0C90">
            <w:pPr>
              <w:pStyle w:val="Heading1"/>
              <w:rPr>
                <w:bCs/>
              </w:rPr>
            </w:pPr>
          </w:p>
          <w:p w14:paraId="5A9E2101" w14:textId="77777777" w:rsidR="009F0C90" w:rsidRPr="009F0C90" w:rsidRDefault="009F0C90" w:rsidP="009F0C90">
            <w:pPr>
              <w:pStyle w:val="Heading1"/>
              <w:rPr>
                <w:bCs/>
              </w:rPr>
            </w:pPr>
          </w:p>
          <w:p w14:paraId="7F650345" w14:textId="77777777" w:rsidR="009F0C90" w:rsidRPr="009F0C90" w:rsidRDefault="009F0C90" w:rsidP="009F0C90">
            <w:pPr>
              <w:pStyle w:val="Heading1"/>
              <w:rPr>
                <w:bCs/>
              </w:rPr>
            </w:pPr>
          </w:p>
          <w:p w14:paraId="613B5B16" w14:textId="77777777" w:rsidR="009F0C90" w:rsidRPr="009F0C90" w:rsidRDefault="009F0C90" w:rsidP="009F0C90">
            <w:pPr>
              <w:pStyle w:val="Heading1"/>
              <w:rPr>
                <w:bCs/>
              </w:rPr>
            </w:pPr>
          </w:p>
          <w:p w14:paraId="3D223FEC" w14:textId="77777777" w:rsidR="009F0C90" w:rsidRPr="009F0C90" w:rsidRDefault="009F0C90" w:rsidP="009F0C90">
            <w:pPr>
              <w:pStyle w:val="Heading1"/>
              <w:rPr>
                <w:bCs/>
              </w:rPr>
            </w:pPr>
          </w:p>
        </w:tc>
      </w:tr>
      <w:tr w:rsidR="009F0C90" w:rsidRPr="009F0C90" w14:paraId="1E9FA635" w14:textId="77777777" w:rsidTr="009F0C90">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B5180EE" w14:textId="77777777" w:rsidR="009F0C90" w:rsidRPr="009F0C90" w:rsidRDefault="009F0C90" w:rsidP="009F0C90">
            <w:pPr>
              <w:pStyle w:val="Heading1"/>
              <w:rPr>
                <w:bCs/>
              </w:rPr>
            </w:pPr>
            <w:r w:rsidRPr="009F0C90">
              <w:rPr>
                <w:bCs/>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30CC09C5" w14:textId="77777777" w:rsidR="009F0C90" w:rsidRPr="009F0C90" w:rsidRDefault="009F0C90" w:rsidP="009F0C90">
            <w:pPr>
              <w:pStyle w:val="Heading1"/>
              <w:rPr>
                <w:bCs/>
              </w:rPr>
            </w:pPr>
            <w:r w:rsidRPr="009F0C90">
              <w:rPr>
                <w:bCs/>
              </w:rPr>
              <w:t>Date:</w:t>
            </w:r>
          </w:p>
        </w:tc>
      </w:tr>
      <w:tr w:rsidR="009F0C90" w:rsidRPr="009F0C90" w14:paraId="28950044" w14:textId="77777777" w:rsidTr="009F0C90">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6DB7F859" w14:textId="77777777" w:rsidR="009F0C90" w:rsidRPr="009F0C90" w:rsidRDefault="009F0C90" w:rsidP="009F0C90">
            <w:pPr>
              <w:pStyle w:val="Heading1"/>
              <w:rPr>
                <w:b/>
              </w:rPr>
            </w:pPr>
            <w:r w:rsidRPr="009F0C90">
              <w:rPr>
                <w:b/>
              </w:rPr>
              <w:lastRenderedPageBreak/>
              <w:t>External Examiner’s comments (if relevant)</w:t>
            </w:r>
          </w:p>
          <w:p w14:paraId="45BF57E8" w14:textId="77777777" w:rsidR="009F0C90" w:rsidRPr="009F0C90" w:rsidRDefault="009F0C90" w:rsidP="009F0C90">
            <w:pPr>
              <w:pStyle w:val="Heading1"/>
              <w:rPr>
                <w:bCs/>
              </w:rPr>
            </w:pPr>
          </w:p>
          <w:p w14:paraId="589C3692" w14:textId="77777777" w:rsidR="009F0C90" w:rsidRPr="009F0C90" w:rsidRDefault="009F0C90" w:rsidP="009F0C90">
            <w:pPr>
              <w:pStyle w:val="Heading1"/>
              <w:rPr>
                <w:bCs/>
              </w:rPr>
            </w:pPr>
          </w:p>
          <w:p w14:paraId="7BE67054" w14:textId="77777777" w:rsidR="009F0C90" w:rsidRPr="009F0C90" w:rsidRDefault="009F0C90" w:rsidP="009F0C90">
            <w:pPr>
              <w:pStyle w:val="Heading1"/>
              <w:rPr>
                <w:bCs/>
              </w:rPr>
            </w:pPr>
          </w:p>
          <w:p w14:paraId="527038EE" w14:textId="77777777" w:rsidR="009F0C90" w:rsidRPr="009F0C90" w:rsidRDefault="009F0C90" w:rsidP="009F0C90">
            <w:pPr>
              <w:pStyle w:val="Heading1"/>
              <w:rPr>
                <w:bCs/>
              </w:rPr>
            </w:pPr>
          </w:p>
          <w:p w14:paraId="3644EA63" w14:textId="77777777" w:rsidR="009F0C90" w:rsidRPr="009F0C90" w:rsidRDefault="009F0C90" w:rsidP="009F0C90">
            <w:pPr>
              <w:pStyle w:val="Heading1"/>
              <w:rPr>
                <w:bCs/>
              </w:rPr>
            </w:pPr>
          </w:p>
          <w:p w14:paraId="0CE0AF56" w14:textId="77777777" w:rsidR="009F0C90" w:rsidRPr="009F0C90" w:rsidRDefault="009F0C90" w:rsidP="009F0C90">
            <w:pPr>
              <w:pStyle w:val="Heading1"/>
              <w:rPr>
                <w:bCs/>
              </w:rPr>
            </w:pPr>
          </w:p>
          <w:p w14:paraId="22B321C7" w14:textId="77777777" w:rsidR="009F0C90" w:rsidRPr="009F0C90" w:rsidRDefault="009F0C90" w:rsidP="009F0C90">
            <w:pPr>
              <w:pStyle w:val="Heading1"/>
              <w:rPr>
                <w:bCs/>
              </w:rPr>
            </w:pPr>
          </w:p>
          <w:p w14:paraId="4D239739" w14:textId="77777777" w:rsidR="009F0C90" w:rsidRPr="009F0C90" w:rsidRDefault="009F0C90" w:rsidP="009F0C90">
            <w:pPr>
              <w:pStyle w:val="Heading1"/>
              <w:rPr>
                <w:bCs/>
              </w:rPr>
            </w:pPr>
          </w:p>
          <w:p w14:paraId="696D4DEE" w14:textId="77777777" w:rsidR="009F0C90" w:rsidRPr="009F0C90" w:rsidRDefault="009F0C90" w:rsidP="009F0C90">
            <w:pPr>
              <w:pStyle w:val="Heading1"/>
              <w:rPr>
                <w:bCs/>
              </w:rPr>
            </w:pPr>
          </w:p>
          <w:p w14:paraId="215396B4" w14:textId="77777777" w:rsidR="009F0C90" w:rsidRPr="009F0C90" w:rsidRDefault="009F0C90" w:rsidP="009F0C90">
            <w:pPr>
              <w:pStyle w:val="Heading1"/>
              <w:rPr>
                <w:bCs/>
              </w:rPr>
            </w:pPr>
          </w:p>
          <w:p w14:paraId="1EC938CE" w14:textId="77777777" w:rsidR="009F0C90" w:rsidRPr="009F0C90" w:rsidRDefault="009F0C90" w:rsidP="009F0C90">
            <w:pPr>
              <w:pStyle w:val="Heading1"/>
              <w:rPr>
                <w:bCs/>
              </w:rPr>
            </w:pPr>
          </w:p>
        </w:tc>
      </w:tr>
      <w:tr w:rsidR="009F0C90" w:rsidRPr="009F0C90" w14:paraId="1E6C1ABA" w14:textId="77777777" w:rsidTr="009F0C90">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7380AD7" w14:textId="77777777" w:rsidR="009F0C90" w:rsidRPr="009F0C90" w:rsidRDefault="009F0C90" w:rsidP="009F0C90">
            <w:pPr>
              <w:pStyle w:val="Heading1"/>
            </w:pPr>
            <w:r w:rsidRPr="009F0C90">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3C04C7A7" w14:textId="77777777" w:rsidR="009F0C90" w:rsidRPr="009F0C90" w:rsidRDefault="009F0C90" w:rsidP="009F0C90">
            <w:pPr>
              <w:pStyle w:val="Heading1"/>
            </w:pPr>
            <w:r w:rsidRPr="009F0C90">
              <w:t>Date:</w:t>
            </w:r>
          </w:p>
        </w:tc>
      </w:tr>
    </w:tbl>
    <w:p w14:paraId="344A08DE" w14:textId="77777777" w:rsidR="009F0C90" w:rsidRPr="009F0C90" w:rsidRDefault="009F0C90" w:rsidP="009F0C90">
      <w:pPr>
        <w:pStyle w:val="Heading1"/>
        <w:rPr>
          <w:bCs/>
        </w:rPr>
      </w:pPr>
    </w:p>
    <w:p w14:paraId="1B64530B" w14:textId="77777777" w:rsidR="009F0C90" w:rsidRDefault="009F0C90">
      <w:pPr>
        <w:rPr>
          <w:rFonts w:asciiTheme="majorHAnsi" w:eastAsiaTheme="majorEastAsia" w:hAnsiTheme="majorHAnsi" w:cstheme="majorBidi"/>
          <w:color w:val="2F5496" w:themeColor="accent1" w:themeShade="BF"/>
          <w:sz w:val="32"/>
          <w:szCs w:val="32"/>
        </w:rPr>
      </w:pPr>
      <w:r>
        <w:br w:type="page"/>
      </w:r>
    </w:p>
    <w:p w14:paraId="2273D06E" w14:textId="7DC22076" w:rsidR="00C65161" w:rsidRDefault="00675646" w:rsidP="00675646">
      <w:pPr>
        <w:pStyle w:val="Heading1"/>
        <w:rPr>
          <w:lang w:val="en-US"/>
        </w:rPr>
      </w:pPr>
      <w:r>
        <w:rPr>
          <w:lang w:val="en-US"/>
        </w:rPr>
        <w:lastRenderedPageBreak/>
        <w:t xml:space="preserve">Comparison and Contrast of Emile Durkheim’s </w:t>
      </w:r>
      <w:r w:rsidR="002B5614">
        <w:rPr>
          <w:lang w:val="en-US"/>
        </w:rPr>
        <w:t xml:space="preserve">and Mircea Eliade’s </w:t>
      </w:r>
      <w:r>
        <w:rPr>
          <w:lang w:val="en-US"/>
        </w:rPr>
        <w:t>Views of Sacred Space.</w:t>
      </w:r>
    </w:p>
    <w:p w14:paraId="47F777ED" w14:textId="3B5099A5" w:rsidR="00675646" w:rsidRDefault="00675646" w:rsidP="00675646">
      <w:pPr>
        <w:rPr>
          <w:lang w:val="en-US"/>
        </w:rPr>
      </w:pPr>
    </w:p>
    <w:p w14:paraId="68BF99D1" w14:textId="65CA3C57" w:rsidR="00F54717" w:rsidRDefault="00DC681C" w:rsidP="00675646">
      <w:pPr>
        <w:rPr>
          <w:lang w:val="en-US"/>
        </w:rPr>
      </w:pPr>
      <w:r>
        <w:rPr>
          <w:lang w:val="en-US"/>
        </w:rPr>
        <w:t xml:space="preserve">The aim of this paper is to compare and contrast </w:t>
      </w:r>
      <w:r w:rsidR="00CE13FF">
        <w:rPr>
          <w:lang w:val="en-US"/>
        </w:rPr>
        <w:t xml:space="preserve">how </w:t>
      </w:r>
      <w:r>
        <w:rPr>
          <w:lang w:val="en-US"/>
        </w:rPr>
        <w:t xml:space="preserve">the </w:t>
      </w:r>
      <w:r w:rsidR="00CE13FF">
        <w:rPr>
          <w:lang w:val="en-US"/>
        </w:rPr>
        <w:t>theories of religion</w:t>
      </w:r>
      <w:r>
        <w:rPr>
          <w:lang w:val="en-US"/>
        </w:rPr>
        <w:t xml:space="preserve"> defined by </w:t>
      </w:r>
      <w:r w:rsidR="00675646">
        <w:rPr>
          <w:lang w:val="en-US"/>
        </w:rPr>
        <w:t>Emile Durkheim</w:t>
      </w:r>
      <w:r>
        <w:rPr>
          <w:lang w:val="en-US"/>
        </w:rPr>
        <w:t xml:space="preserve"> (1858 – 1917), a French sociologist, who published </w:t>
      </w:r>
      <w:r>
        <w:rPr>
          <w:i/>
          <w:iCs/>
          <w:lang w:val="en-US"/>
        </w:rPr>
        <w:t>The Elementary Forms of Religious Life</w:t>
      </w:r>
      <w:r>
        <w:rPr>
          <w:lang w:val="en-US"/>
        </w:rPr>
        <w:t xml:space="preserve"> in 1912 and Mircea Eliade</w:t>
      </w:r>
      <w:r w:rsidR="00675646">
        <w:rPr>
          <w:lang w:val="en-US"/>
        </w:rPr>
        <w:t xml:space="preserve"> </w:t>
      </w:r>
      <w:r>
        <w:rPr>
          <w:lang w:val="en-US"/>
        </w:rPr>
        <w:t xml:space="preserve">(1907-1986), a Romanian historian of religion, who published </w:t>
      </w:r>
      <w:r>
        <w:rPr>
          <w:i/>
          <w:iCs/>
          <w:lang w:val="en-US"/>
        </w:rPr>
        <w:t>The Sacred and the Profane</w:t>
      </w:r>
      <w:r>
        <w:rPr>
          <w:lang w:val="en-US"/>
        </w:rPr>
        <w:t xml:space="preserve"> in 19</w:t>
      </w:r>
      <w:r w:rsidR="00D94D58">
        <w:rPr>
          <w:lang w:val="en-US"/>
        </w:rPr>
        <w:t>57</w:t>
      </w:r>
      <w:r w:rsidR="00212F72">
        <w:rPr>
          <w:lang w:val="en-US"/>
        </w:rPr>
        <w:t xml:space="preserve"> apply to concepts of sacred space</w:t>
      </w:r>
      <w:r>
        <w:rPr>
          <w:lang w:val="en-US"/>
        </w:rPr>
        <w:t>.</w:t>
      </w:r>
      <w:r w:rsidR="00E42513">
        <w:rPr>
          <w:rStyle w:val="FootnoteReference"/>
          <w:lang w:val="en-US"/>
        </w:rPr>
        <w:footnoteReference w:id="1"/>
      </w:r>
      <w:r>
        <w:rPr>
          <w:lang w:val="en-US"/>
        </w:rPr>
        <w:t xml:space="preserve">  </w:t>
      </w:r>
      <w:r w:rsidR="00F54717">
        <w:rPr>
          <w:lang w:val="en-US"/>
        </w:rPr>
        <w:t xml:space="preserve">Eliade followed in the intellectual path of Durkheim by adopting the dichotomy of the sacred versus the profane </w:t>
      </w:r>
      <w:r w:rsidR="00675646">
        <w:rPr>
          <w:lang w:val="en-US"/>
        </w:rPr>
        <w:t>as the primary focus of religion</w:t>
      </w:r>
      <w:r w:rsidR="00161F49">
        <w:rPr>
          <w:lang w:val="en-US"/>
        </w:rPr>
        <w:t xml:space="preserve">, according to </w:t>
      </w:r>
      <w:r w:rsidR="00161F49" w:rsidRPr="00161F49">
        <w:t>Åke Hultkrantz</w:t>
      </w:r>
      <w:r w:rsidR="00675646">
        <w:rPr>
          <w:lang w:val="en-US"/>
        </w:rPr>
        <w:t>.</w:t>
      </w:r>
      <w:r w:rsidR="00161F49">
        <w:rPr>
          <w:rStyle w:val="FootnoteReference"/>
          <w:lang w:val="en-US"/>
        </w:rPr>
        <w:footnoteReference w:id="2"/>
      </w:r>
      <w:r w:rsidR="00675646">
        <w:rPr>
          <w:lang w:val="en-US"/>
        </w:rPr>
        <w:t xml:space="preserve"> </w:t>
      </w:r>
      <w:r w:rsidR="00F54717">
        <w:rPr>
          <w:lang w:val="en-US"/>
        </w:rPr>
        <w:t xml:space="preserve">Eliade and Durkheim however understood these terms differently, which reflected profoundly different </w:t>
      </w:r>
      <w:r w:rsidR="00F54717">
        <w:rPr>
          <w:i/>
          <w:iCs/>
          <w:lang w:val="en-US"/>
        </w:rPr>
        <w:t>Weltanschauungen.</w:t>
      </w:r>
      <w:r w:rsidR="00F54717">
        <w:rPr>
          <w:lang w:val="en-US"/>
        </w:rPr>
        <w:t xml:space="preserve"> This paper examines Durkheim’s development and definition of sacred and profane, followed by the Eliade’s counterpoint and concludes with analysis of how their principles </w:t>
      </w:r>
      <w:r w:rsidR="00D94D58">
        <w:rPr>
          <w:lang w:val="en-US"/>
        </w:rPr>
        <w:t>are applied</w:t>
      </w:r>
      <w:r w:rsidR="0072190F">
        <w:rPr>
          <w:lang w:val="en-US"/>
        </w:rPr>
        <w:t xml:space="preserve"> in research </w:t>
      </w:r>
      <w:r w:rsidR="00D94D58">
        <w:rPr>
          <w:lang w:val="en-US"/>
        </w:rPr>
        <w:t xml:space="preserve">of </w:t>
      </w:r>
      <w:r w:rsidR="00F54717">
        <w:rPr>
          <w:lang w:val="en-US"/>
        </w:rPr>
        <w:t>sacred space.</w:t>
      </w:r>
    </w:p>
    <w:p w14:paraId="553CEE24" w14:textId="0A182AA9" w:rsidR="00574916" w:rsidRDefault="00574916" w:rsidP="00574916">
      <w:pPr>
        <w:pStyle w:val="Heading3"/>
        <w:rPr>
          <w:lang w:val="en-US"/>
        </w:rPr>
      </w:pPr>
      <w:r>
        <w:rPr>
          <w:lang w:val="en-US"/>
        </w:rPr>
        <w:t xml:space="preserve">Durkheim’s </w:t>
      </w:r>
      <w:r w:rsidR="00636C7E">
        <w:rPr>
          <w:lang w:val="en-US"/>
        </w:rPr>
        <w:t>Sacred and Profane</w:t>
      </w:r>
    </w:p>
    <w:p w14:paraId="6A77465A" w14:textId="08F8C88A" w:rsidR="002B5614" w:rsidRDefault="00792F5E" w:rsidP="002B5614">
      <w:r>
        <w:rPr>
          <w:lang w:val="en-US"/>
        </w:rPr>
        <w:t xml:space="preserve">As a sociologist, </w:t>
      </w:r>
      <w:r w:rsidR="00EF06F1">
        <w:rPr>
          <w:lang w:val="en-US"/>
        </w:rPr>
        <w:t xml:space="preserve">Durkheim sought a </w:t>
      </w:r>
      <w:r w:rsidR="00FC5AC9">
        <w:rPr>
          <w:lang w:val="en-US"/>
        </w:rPr>
        <w:t>definition of religion</w:t>
      </w:r>
      <w:r w:rsidR="00EF06F1">
        <w:rPr>
          <w:lang w:val="en-US"/>
        </w:rPr>
        <w:t>, based on universality and simplicity.</w:t>
      </w:r>
      <w:r w:rsidR="00C4684A">
        <w:rPr>
          <w:rStyle w:val="FootnoteReference"/>
          <w:lang w:val="en-US"/>
        </w:rPr>
        <w:footnoteReference w:id="3"/>
      </w:r>
      <w:r w:rsidR="00EF06F1">
        <w:rPr>
          <w:lang w:val="en-US"/>
        </w:rPr>
        <w:t xml:space="preserve"> Durkheim </w:t>
      </w:r>
      <w:r w:rsidR="00AB3D57" w:rsidRPr="00F34B5F">
        <w:rPr>
          <w:lang w:val="en-US"/>
        </w:rPr>
        <w:t>stated</w:t>
      </w:r>
      <w:r w:rsidR="00EF06F1" w:rsidRPr="00F34B5F">
        <w:rPr>
          <w:lang w:val="en-US"/>
        </w:rPr>
        <w:t>, ‘</w:t>
      </w:r>
      <w:r w:rsidR="00EF06F1" w:rsidRPr="00F34B5F">
        <w:t xml:space="preserve">There is no religion that is not a cosmology at the same time that it is a speculation upon divine things,’ </w:t>
      </w:r>
      <w:r w:rsidR="002B5614">
        <w:t xml:space="preserve">yet </w:t>
      </w:r>
      <w:r w:rsidR="00EF06F1" w:rsidRPr="00F34B5F">
        <w:t>he</w:t>
      </w:r>
      <w:r w:rsidR="00EF06F1">
        <w:t xml:space="preserve"> </w:t>
      </w:r>
      <w:r w:rsidR="002B5614">
        <w:t>defined</w:t>
      </w:r>
      <w:r w:rsidR="00514908">
        <w:t>:</w:t>
      </w:r>
    </w:p>
    <w:p w14:paraId="1702C394" w14:textId="01566542" w:rsidR="002B5614" w:rsidRDefault="002B5614" w:rsidP="002B5614">
      <w:pPr>
        <w:ind w:left="720"/>
      </w:pPr>
      <w:r>
        <w:t xml:space="preserve"> A religion is a unified system of beliefs and practices relative to sacred things, that is to say, things set apart and forbidden – beliefs and practices which unite into one single moral community called a Church, all those who adhere to them.</w:t>
      </w:r>
      <w:r>
        <w:rPr>
          <w:rStyle w:val="FootnoteReference"/>
        </w:rPr>
        <w:footnoteReference w:id="4"/>
      </w:r>
      <w:r w:rsidRPr="009B534B">
        <w:t xml:space="preserve"> </w:t>
      </w:r>
    </w:p>
    <w:p w14:paraId="24823A8C" w14:textId="27371B35" w:rsidR="00AB3D57" w:rsidRDefault="002B5614" w:rsidP="00AB3D57">
      <w:r>
        <w:t>According to Durkheim</w:t>
      </w:r>
      <w:r w:rsidR="00ED6951">
        <w:t>,</w:t>
      </w:r>
      <w:r>
        <w:t xml:space="preserve"> </w:t>
      </w:r>
      <w:r w:rsidR="00AB3D57">
        <w:t>religions</w:t>
      </w:r>
      <w:r>
        <w:t xml:space="preserve"> are systems of classification </w:t>
      </w:r>
      <w:r w:rsidR="00EF06F1">
        <w:t xml:space="preserve">between the </w:t>
      </w:r>
      <w:r w:rsidR="00792F5E">
        <w:t>‘</w:t>
      </w:r>
      <w:r w:rsidR="00EF06F1">
        <w:t>sacred</w:t>
      </w:r>
      <w:r w:rsidR="00792F5E">
        <w:t>’</w:t>
      </w:r>
      <w:r w:rsidR="00EF06F1">
        <w:t xml:space="preserve"> and the </w:t>
      </w:r>
      <w:r w:rsidR="00792F5E">
        <w:t>‘</w:t>
      </w:r>
      <w:r w:rsidR="00EF06F1">
        <w:t>profane</w:t>
      </w:r>
      <w:r w:rsidR="00792F5E">
        <w:t>’</w:t>
      </w:r>
      <w:r w:rsidR="007A5B30">
        <w:t>.</w:t>
      </w:r>
      <w:r w:rsidR="00F94B91">
        <w:rPr>
          <w:rStyle w:val="FootnoteReference"/>
        </w:rPr>
        <w:footnoteReference w:id="5"/>
      </w:r>
      <w:r w:rsidR="00EF06F1">
        <w:t xml:space="preserve"> </w:t>
      </w:r>
      <w:r w:rsidR="00D61B80">
        <w:t xml:space="preserve">According to Christine Barth, </w:t>
      </w:r>
      <w:r w:rsidR="00AB3D57">
        <w:t xml:space="preserve">Durkheim distinguished himself from </w:t>
      </w:r>
      <w:r w:rsidR="004C0F4B" w:rsidRPr="006835B6">
        <w:t xml:space="preserve">Rudolph Otto's (1896-1937) </w:t>
      </w:r>
      <w:r w:rsidR="00AB3D57">
        <w:t>earlier work o</w:t>
      </w:r>
      <w:r w:rsidR="004C0F4B">
        <w:t>n</w:t>
      </w:r>
      <w:r w:rsidR="00AB3D57">
        <w:t xml:space="preserve"> ‘</w:t>
      </w:r>
      <w:r w:rsidR="00AB3D57" w:rsidRPr="006835B6">
        <w:t>holy as the "the wholly other</w:t>
      </w:r>
      <w:r w:rsidR="00AB3D57">
        <w:t>”</w:t>
      </w:r>
      <w:r w:rsidR="00AB3D57" w:rsidRPr="006835B6">
        <w:t xml:space="preserve"> (ganz andere)</w:t>
      </w:r>
      <w:r w:rsidR="004C0F4B">
        <w:t>,</w:t>
      </w:r>
      <w:r w:rsidR="00AB3D57">
        <w:t xml:space="preserve">’ </w:t>
      </w:r>
      <w:r w:rsidR="004C0F4B">
        <w:t xml:space="preserve">by choosing a positivist approach, which </w:t>
      </w:r>
      <w:r w:rsidR="00AB17A0">
        <w:t>applied</w:t>
      </w:r>
      <w:r w:rsidR="004C0F4B">
        <w:t xml:space="preserve"> the scientific method to the observable phenomena of shared customs</w:t>
      </w:r>
      <w:r w:rsidR="00AB3D57">
        <w:t>.</w:t>
      </w:r>
      <w:r w:rsidR="00AB3D57">
        <w:rPr>
          <w:rStyle w:val="FootnoteReference"/>
        </w:rPr>
        <w:footnoteReference w:id="6"/>
      </w:r>
      <w:r w:rsidR="00AB3D57">
        <w:t xml:space="preserve"> In Durkheim’s words, ‘</w:t>
      </w:r>
      <w:r w:rsidR="00AB3D57" w:rsidRPr="00792F5E">
        <w:t>It leaves the reason</w:t>
      </w:r>
      <w:r w:rsidR="00AB3D57">
        <w:t xml:space="preserve"> [for beliefs]</w:t>
      </w:r>
      <w:r w:rsidR="00AB3D57" w:rsidRPr="00792F5E">
        <w:t xml:space="preserve"> its specific</w:t>
      </w:r>
      <w:r w:rsidR="00AB3D57">
        <w:t xml:space="preserve"> </w:t>
      </w:r>
      <w:r w:rsidR="00AB3D57" w:rsidRPr="00792F5E">
        <w:t>power, but it accounts for it and does so without leaving the world of</w:t>
      </w:r>
      <w:r w:rsidR="00AB3D57">
        <w:t xml:space="preserve"> </w:t>
      </w:r>
      <w:r w:rsidR="00AB3D57" w:rsidRPr="00792F5E">
        <w:t>observable phenomena.</w:t>
      </w:r>
      <w:r w:rsidR="00AB3D57">
        <w:t>’</w:t>
      </w:r>
      <w:r w:rsidR="00AB3D57">
        <w:rPr>
          <w:rStyle w:val="FootnoteReference"/>
        </w:rPr>
        <w:footnoteReference w:id="7"/>
      </w:r>
      <w:r w:rsidR="00AB3D57">
        <w:t xml:space="preserve"> </w:t>
      </w:r>
    </w:p>
    <w:p w14:paraId="285F8245" w14:textId="5211447C" w:rsidR="009B534B" w:rsidRDefault="00AB1290" w:rsidP="00792F5E">
      <w:r>
        <w:t>For Durkheim the sacred/profane dichotomy</w:t>
      </w:r>
      <w:r w:rsidR="007A5B30">
        <w:t xml:space="preserve"> </w:t>
      </w:r>
      <w:r w:rsidR="00AB3D57">
        <w:t xml:space="preserve">served </w:t>
      </w:r>
      <w:r w:rsidR="00AB3D57" w:rsidRPr="00AB3D57">
        <w:t>the</w:t>
      </w:r>
      <w:r w:rsidR="00EF06F1" w:rsidRPr="00AB3D57">
        <w:t xml:space="preserve"> same functions </w:t>
      </w:r>
      <w:r w:rsidR="00AB3D57" w:rsidRPr="00AB3D57">
        <w:t>in different societies</w:t>
      </w:r>
      <w:r w:rsidR="00EF06F1" w:rsidRPr="00AB3D57">
        <w:t>.</w:t>
      </w:r>
      <w:r w:rsidR="00EF06F1" w:rsidRPr="00AB3D57">
        <w:rPr>
          <w:rStyle w:val="FootnoteReference"/>
        </w:rPr>
        <w:footnoteReference w:id="8"/>
      </w:r>
      <w:r w:rsidR="00831B73">
        <w:t xml:space="preserve"> </w:t>
      </w:r>
      <w:r w:rsidR="007A5B30">
        <w:t xml:space="preserve">Durkheim acknowledged </w:t>
      </w:r>
      <w:r w:rsidR="008B7FC3">
        <w:t xml:space="preserve">individual experiences of the divine, </w:t>
      </w:r>
      <w:r w:rsidR="007A5B30">
        <w:t xml:space="preserve">but focussed on </w:t>
      </w:r>
      <w:r w:rsidR="008B7FC3">
        <w:t xml:space="preserve">the </w:t>
      </w:r>
      <w:r w:rsidR="007A5B30">
        <w:t xml:space="preserve">shared </w:t>
      </w:r>
      <w:r w:rsidR="008B7FC3">
        <w:t>social doctrines and customs</w:t>
      </w:r>
      <w:r w:rsidR="00F34B5F">
        <w:t xml:space="preserve"> and</w:t>
      </w:r>
      <w:r w:rsidR="007A5B30">
        <w:t xml:space="preserve"> conclude</w:t>
      </w:r>
      <w:r w:rsidR="00F34B5F">
        <w:t>d</w:t>
      </w:r>
      <w:r w:rsidR="007A5B30">
        <w:t xml:space="preserve"> that religion is a human construct</w:t>
      </w:r>
      <w:r w:rsidR="00F34B5F">
        <w:t>.</w:t>
      </w:r>
      <w:r w:rsidR="00AB3D57">
        <w:rPr>
          <w:rStyle w:val="FootnoteReference"/>
        </w:rPr>
        <w:footnoteReference w:id="9"/>
      </w:r>
      <w:r w:rsidR="008B7FC3">
        <w:t xml:space="preserve"> </w:t>
      </w:r>
      <w:r w:rsidR="00E10EBF">
        <w:t xml:space="preserve">According to </w:t>
      </w:r>
      <w:r w:rsidR="00B41E11">
        <w:t xml:space="preserve">Lionel </w:t>
      </w:r>
      <w:r w:rsidR="00E10EBF">
        <w:lastRenderedPageBreak/>
        <w:t xml:space="preserve">Obadia, Durkheim </w:t>
      </w:r>
      <w:r w:rsidR="00AB3D57">
        <w:t xml:space="preserve">maintained that religion was a representation of </w:t>
      </w:r>
      <w:r w:rsidR="00E10EBF" w:rsidRPr="00E10EBF">
        <w:t>society</w:t>
      </w:r>
      <w:r w:rsidR="00AB3D57">
        <w:t>, which was</w:t>
      </w:r>
      <w:r w:rsidR="00E10EBF" w:rsidRPr="00E10EBF">
        <w:t xml:space="preserve"> a </w:t>
      </w:r>
      <w:r w:rsidR="00AB3D57">
        <w:t>‘</w:t>
      </w:r>
      <w:r w:rsidR="00E10EBF" w:rsidRPr="00E10EBF">
        <w:t>machine producing</w:t>
      </w:r>
      <w:r w:rsidR="00E10EBF">
        <w:t xml:space="preserve"> </w:t>
      </w:r>
      <w:r w:rsidR="00E10EBF" w:rsidRPr="00E10EBF">
        <w:t>gods</w:t>
      </w:r>
      <w:r w:rsidR="00AB3D57">
        <w:t>.’</w:t>
      </w:r>
      <w:r w:rsidR="00E10EBF">
        <w:rPr>
          <w:rStyle w:val="FootnoteReference"/>
        </w:rPr>
        <w:footnoteReference w:id="10"/>
      </w:r>
      <w:r w:rsidR="00F34B5F">
        <w:t xml:space="preserve"> </w:t>
      </w:r>
    </w:p>
    <w:p w14:paraId="252A7763" w14:textId="4F23278C" w:rsidR="00950154" w:rsidRDefault="009B534B" w:rsidP="009B534B">
      <w:r w:rsidRPr="004C0F4B">
        <w:t>Durkheim’s</w:t>
      </w:r>
      <w:r w:rsidR="00AA22FD" w:rsidRPr="004C0F4B">
        <w:t xml:space="preserve"> understanding of sacred space were places set aside through ritual, architecture</w:t>
      </w:r>
      <w:r w:rsidRPr="004C0F4B">
        <w:t>,</w:t>
      </w:r>
      <w:r w:rsidR="00AA22FD" w:rsidRPr="004C0F4B">
        <w:t xml:space="preserve"> or beliefs as ‘sacred’, meaning only </w:t>
      </w:r>
      <w:r w:rsidR="00FB2CD7">
        <w:t>‘consecrated personages’</w:t>
      </w:r>
      <w:r w:rsidRPr="004C0F4B">
        <w:t xml:space="preserve"> </w:t>
      </w:r>
      <w:r w:rsidR="00AA22FD" w:rsidRPr="004C0F4B">
        <w:t>were allowed to enter</w:t>
      </w:r>
      <w:r w:rsidRPr="004C0F4B">
        <w:t>.</w:t>
      </w:r>
      <w:r w:rsidR="0090776F" w:rsidRPr="004C0F4B">
        <w:rPr>
          <w:rStyle w:val="FootnoteReference"/>
        </w:rPr>
        <w:footnoteReference w:id="11"/>
      </w:r>
      <w:r w:rsidRPr="004C0F4B">
        <w:t xml:space="preserve"> </w:t>
      </w:r>
      <w:r w:rsidRPr="000936C2">
        <w:t>Durkheim recognized the changeability of religious beliefs, attitudes</w:t>
      </w:r>
      <w:r w:rsidR="00F94B91">
        <w:t>,</w:t>
      </w:r>
      <w:r w:rsidRPr="000936C2">
        <w:t xml:space="preserve"> and practices and concluded that the sacredness of a place disappeared when it was no longer socially venerated.</w:t>
      </w:r>
      <w:r w:rsidR="00B847F9" w:rsidRPr="000936C2">
        <w:rPr>
          <w:rStyle w:val="FootnoteReference"/>
        </w:rPr>
        <w:footnoteReference w:id="12"/>
      </w:r>
      <w:r w:rsidRPr="000936C2">
        <w:t xml:space="preserve"> </w:t>
      </w:r>
    </w:p>
    <w:p w14:paraId="28C39967" w14:textId="40E6E60F" w:rsidR="00AA22FD" w:rsidRDefault="00790472" w:rsidP="009B534B">
      <w:r>
        <w:t xml:space="preserve">In summary, Durkheim chose a positivist approach to define religion as the classification of the world into the sacred and profane in socially agreed upon ways and the rituals and beliefs that supported those distinctions and served roles of identification and cohesion. </w:t>
      </w:r>
      <w:r w:rsidR="009B534B" w:rsidRPr="000936C2">
        <w:t xml:space="preserve">Both places and objects in the Durkheimian </w:t>
      </w:r>
      <w:r>
        <w:t xml:space="preserve">understanding of </w:t>
      </w:r>
      <w:r w:rsidR="009B534B" w:rsidRPr="000936C2">
        <w:t xml:space="preserve">religions are made sacred by the human </w:t>
      </w:r>
      <w:r w:rsidR="00F94B91">
        <w:t>behavior</w:t>
      </w:r>
      <w:r w:rsidR="009B534B" w:rsidRPr="000936C2">
        <w:t>.</w:t>
      </w:r>
      <w:r w:rsidR="000936C2" w:rsidRPr="000936C2">
        <w:rPr>
          <w:rStyle w:val="FootnoteReference"/>
        </w:rPr>
        <w:footnoteReference w:id="13"/>
      </w:r>
      <w:r>
        <w:t xml:space="preserve"> Religion was an institution that essentially had no verifiable external reality, leading Durkheim to the conclusion, that, ‘The gods also need man; without offerings and sacrifices, they would die.’</w:t>
      </w:r>
      <w:r>
        <w:rPr>
          <w:rStyle w:val="FootnoteReference"/>
        </w:rPr>
        <w:footnoteReference w:id="14"/>
      </w:r>
    </w:p>
    <w:p w14:paraId="73FEC90B" w14:textId="433D91A1" w:rsidR="00636C7E" w:rsidRPr="00EF06F1" w:rsidRDefault="00636C7E" w:rsidP="00636C7E">
      <w:pPr>
        <w:pStyle w:val="Heading3"/>
      </w:pPr>
      <w:r>
        <w:t>Eliade’s Sacred and Profane</w:t>
      </w:r>
    </w:p>
    <w:p w14:paraId="1337C566" w14:textId="71E888CF" w:rsidR="00AE01B7" w:rsidRDefault="0031492E" w:rsidP="00AE01B7">
      <w:r>
        <w:rPr>
          <w:lang w:val="en-US"/>
        </w:rPr>
        <w:t xml:space="preserve">Mircea Eliade’s </w:t>
      </w:r>
      <w:r w:rsidR="002C42C0">
        <w:rPr>
          <w:lang w:val="en-US"/>
        </w:rPr>
        <w:t xml:space="preserve">adopted the primary categories of the sacred and the profane as defining religion, but regarded the origin of </w:t>
      </w:r>
      <w:r w:rsidR="002C42C0" w:rsidRPr="000936C2">
        <w:rPr>
          <w:lang w:val="en-US"/>
        </w:rPr>
        <w:t>sacredness as something outside of the human imagination.</w:t>
      </w:r>
      <w:r w:rsidR="002C42C0" w:rsidRPr="000936C2">
        <w:rPr>
          <w:rStyle w:val="FootnoteReference"/>
          <w:lang w:val="en-US"/>
        </w:rPr>
        <w:footnoteReference w:id="15"/>
      </w:r>
      <w:r w:rsidR="002C42C0" w:rsidRPr="000936C2">
        <w:rPr>
          <w:lang w:val="en-US"/>
        </w:rPr>
        <w:t xml:space="preserve"> According</w:t>
      </w:r>
      <w:r w:rsidR="002C42C0">
        <w:rPr>
          <w:lang w:val="en-US"/>
        </w:rPr>
        <w:t xml:space="preserve"> to Randall Studstill, Eliade saw the sacred as ‘</w:t>
      </w:r>
      <w:r w:rsidR="002C42C0" w:rsidRPr="004A3836">
        <w:rPr>
          <w:lang w:val="en-US"/>
        </w:rPr>
        <w:t>a really existing divine reality</w:t>
      </w:r>
      <w:r w:rsidR="002C42C0">
        <w:rPr>
          <w:lang w:val="en-US"/>
        </w:rPr>
        <w:t>’,</w:t>
      </w:r>
      <w:r w:rsidR="002C42C0" w:rsidRPr="004A3836">
        <w:rPr>
          <w:lang w:val="en-US"/>
        </w:rPr>
        <w:t xml:space="preserve"> </w:t>
      </w:r>
      <w:r w:rsidR="002C42C0">
        <w:rPr>
          <w:lang w:val="en-US"/>
        </w:rPr>
        <w:t>that ‘irrupted’, or appeared, through the homogeneity of the profane, or ordinary world.</w:t>
      </w:r>
      <w:r w:rsidR="002C42C0">
        <w:rPr>
          <w:rStyle w:val="FootnoteReference"/>
          <w:lang w:val="en-US"/>
        </w:rPr>
        <w:footnoteReference w:id="16"/>
      </w:r>
      <w:r w:rsidR="002C42C0">
        <w:rPr>
          <w:lang w:val="en-US"/>
        </w:rPr>
        <w:t xml:space="preserve"> </w:t>
      </w:r>
      <w:r w:rsidR="006E2E03">
        <w:rPr>
          <w:lang w:val="en-US"/>
        </w:rPr>
        <w:t xml:space="preserve">Eliade </w:t>
      </w:r>
      <w:r>
        <w:rPr>
          <w:lang w:val="en-US"/>
        </w:rPr>
        <w:t>explained</w:t>
      </w:r>
      <w:r w:rsidR="006E2E03">
        <w:rPr>
          <w:lang w:val="en-US"/>
        </w:rPr>
        <w:t xml:space="preserve"> </w:t>
      </w:r>
      <w:r w:rsidRPr="0031492E">
        <w:t xml:space="preserve">‘the most elementary hierophany-e.g., </w:t>
      </w:r>
      <w:r w:rsidR="00AB1290">
        <w:t xml:space="preserve">[was a] </w:t>
      </w:r>
      <w:r w:rsidRPr="0031492E">
        <w:t>manifestation of the</w:t>
      </w:r>
      <w:r>
        <w:t xml:space="preserve"> </w:t>
      </w:r>
      <w:r w:rsidRPr="0031492E">
        <w:t>sacred in some ordinary object, a stone or a tree</w:t>
      </w:r>
      <w:r w:rsidR="00E9702D">
        <w:t>.</w:t>
      </w:r>
      <w:r w:rsidRPr="0031492E">
        <w:t>’</w:t>
      </w:r>
      <w:r w:rsidR="00E9702D">
        <w:rPr>
          <w:rStyle w:val="FootnoteReference"/>
        </w:rPr>
        <w:footnoteReference w:id="17"/>
      </w:r>
      <w:r w:rsidR="00072BCA">
        <w:t xml:space="preserve"> </w:t>
      </w:r>
      <w:r w:rsidR="00AE01B7">
        <w:t>Eliade elaborated on the process:</w:t>
      </w:r>
    </w:p>
    <w:p w14:paraId="27A142E7" w14:textId="4BD382E2" w:rsidR="00AE01B7" w:rsidRPr="00AE01B7" w:rsidRDefault="00AE01B7" w:rsidP="00AE01B7">
      <w:pPr>
        <w:ind w:left="720"/>
      </w:pPr>
      <w:r>
        <w:t>…</w:t>
      </w:r>
      <w:r w:rsidRPr="003E7721">
        <w:t>the irruption of the sacred does</w:t>
      </w:r>
      <w:r>
        <w:t xml:space="preserve"> </w:t>
      </w:r>
      <w:r w:rsidRPr="00AE01B7">
        <w:t>not only project a fixed point into the formless fluidity</w:t>
      </w:r>
      <w:r>
        <w:t xml:space="preserve"> </w:t>
      </w:r>
      <w:r w:rsidRPr="00AE01B7">
        <w:t>of profane space, a center into chaos; it also effects a</w:t>
      </w:r>
      <w:r>
        <w:t xml:space="preserve"> </w:t>
      </w:r>
      <w:r w:rsidRPr="00AE01B7">
        <w:t>break in plane, that is, it opens communication between</w:t>
      </w:r>
      <w:r>
        <w:t xml:space="preserve"> </w:t>
      </w:r>
      <w:r w:rsidRPr="00AE01B7">
        <w:t>the cosmic planes (between earth and heaven) and</w:t>
      </w:r>
      <w:r>
        <w:t xml:space="preserve"> </w:t>
      </w:r>
      <w:r w:rsidRPr="00AE01B7">
        <w:t>makes possible ontological passage from one mode of</w:t>
      </w:r>
      <w:r>
        <w:t xml:space="preserve"> </w:t>
      </w:r>
      <w:r w:rsidRPr="00AE01B7">
        <w:t>being to another.</w:t>
      </w:r>
      <w:r>
        <w:rPr>
          <w:rStyle w:val="FootnoteReference"/>
        </w:rPr>
        <w:footnoteReference w:id="18"/>
      </w:r>
      <w:r w:rsidRPr="00AE01B7">
        <w:t xml:space="preserve"> </w:t>
      </w:r>
    </w:p>
    <w:p w14:paraId="3CDB0361" w14:textId="64AD409F" w:rsidR="0023123F" w:rsidRDefault="0023123F" w:rsidP="00B47EDD">
      <w:pPr>
        <w:rPr>
          <w:lang w:val="en-US"/>
        </w:rPr>
      </w:pPr>
      <w:r>
        <w:rPr>
          <w:lang w:val="en-US"/>
        </w:rPr>
        <w:t xml:space="preserve">Eliade’s </w:t>
      </w:r>
      <w:r w:rsidR="002C42C0">
        <w:rPr>
          <w:lang w:val="en-US"/>
        </w:rPr>
        <w:t xml:space="preserve">definition of </w:t>
      </w:r>
      <w:r w:rsidR="002C42C0" w:rsidRPr="004A3836">
        <w:rPr>
          <w:lang w:val="en-US"/>
        </w:rPr>
        <w:t>religion</w:t>
      </w:r>
      <w:r w:rsidR="002C42C0">
        <w:rPr>
          <w:lang w:val="en-US"/>
        </w:rPr>
        <w:t xml:space="preserve"> is</w:t>
      </w:r>
      <w:r w:rsidR="002C42C0" w:rsidRPr="004A3836">
        <w:rPr>
          <w:lang w:val="en-US"/>
        </w:rPr>
        <w:t xml:space="preserve"> 'Man's response to the</w:t>
      </w:r>
      <w:r w:rsidR="002C42C0">
        <w:rPr>
          <w:lang w:val="en-US"/>
        </w:rPr>
        <w:t xml:space="preserve"> sacred,’ according to Studstill.</w:t>
      </w:r>
      <w:r w:rsidR="002C42C0">
        <w:rPr>
          <w:rStyle w:val="FootnoteReference"/>
          <w:lang w:val="en-US"/>
        </w:rPr>
        <w:footnoteReference w:id="19"/>
      </w:r>
      <w:r w:rsidR="002C42C0">
        <w:rPr>
          <w:lang w:val="en-US"/>
        </w:rPr>
        <w:t xml:space="preserve"> </w:t>
      </w:r>
      <w:r>
        <w:rPr>
          <w:lang w:val="en-US"/>
        </w:rPr>
        <w:t>The sites of hierophanies were sacred places and the history of hierophanies</w:t>
      </w:r>
      <w:r w:rsidR="00BE049A">
        <w:rPr>
          <w:lang w:val="en-US"/>
        </w:rPr>
        <w:t xml:space="preserve"> became the religion that was transmitted through myth and indoctrination in Eliade’s theory</w:t>
      </w:r>
      <w:r w:rsidR="00A16D2B">
        <w:rPr>
          <w:lang w:val="en-US"/>
        </w:rPr>
        <w:t>, according to Barth</w:t>
      </w:r>
      <w:r w:rsidR="00BE049A">
        <w:rPr>
          <w:lang w:val="en-US"/>
        </w:rPr>
        <w:t>.</w:t>
      </w:r>
      <w:r w:rsidR="00432E02">
        <w:rPr>
          <w:rStyle w:val="FootnoteReference"/>
          <w:lang w:val="en-US"/>
        </w:rPr>
        <w:footnoteReference w:id="20"/>
      </w:r>
      <w:r w:rsidR="00BE049A">
        <w:rPr>
          <w:lang w:val="en-US"/>
        </w:rPr>
        <w:t xml:space="preserve"> </w:t>
      </w:r>
      <w:r w:rsidR="00A16D2B">
        <w:rPr>
          <w:lang w:val="en-US"/>
        </w:rPr>
        <w:t>Eliade perceived the</w:t>
      </w:r>
      <w:r w:rsidR="00772488">
        <w:rPr>
          <w:lang w:val="en-US"/>
        </w:rPr>
        <w:t xml:space="preserve"> hierophany as link between upper and lower worlds, </w:t>
      </w:r>
      <w:r w:rsidR="00A16D2B">
        <w:rPr>
          <w:lang w:val="en-US"/>
        </w:rPr>
        <w:t xml:space="preserve">where </w:t>
      </w:r>
      <w:r w:rsidR="00772488">
        <w:rPr>
          <w:lang w:val="en-US"/>
        </w:rPr>
        <w:t>the sites of hierophanies became the ‘</w:t>
      </w:r>
      <w:r w:rsidR="00772488" w:rsidRPr="00AE01B7">
        <w:rPr>
          <w:lang w:val="en-US"/>
        </w:rPr>
        <w:t>center of the world</w:t>
      </w:r>
      <w:r w:rsidR="00772488">
        <w:rPr>
          <w:lang w:val="en-US"/>
        </w:rPr>
        <w:t xml:space="preserve">,’ or </w:t>
      </w:r>
      <w:r w:rsidR="00772488">
        <w:rPr>
          <w:i/>
          <w:iCs/>
          <w:lang w:val="en-US"/>
        </w:rPr>
        <w:t xml:space="preserve">axis mundi, </w:t>
      </w:r>
      <w:r w:rsidR="00A16D2B">
        <w:rPr>
          <w:lang w:val="en-US"/>
        </w:rPr>
        <w:t>which</w:t>
      </w:r>
      <w:r w:rsidR="00772488">
        <w:rPr>
          <w:lang w:val="en-US"/>
        </w:rPr>
        <w:t xml:space="preserve"> believers </w:t>
      </w:r>
      <w:r w:rsidR="00A16D2B">
        <w:rPr>
          <w:lang w:val="en-US"/>
        </w:rPr>
        <w:t xml:space="preserve">adopted as </w:t>
      </w:r>
      <w:r w:rsidR="00772488">
        <w:rPr>
          <w:lang w:val="en-US"/>
        </w:rPr>
        <w:t>the</w:t>
      </w:r>
      <w:r w:rsidR="00F710CD">
        <w:rPr>
          <w:lang w:val="en-US"/>
        </w:rPr>
        <w:t>ir</w:t>
      </w:r>
      <w:r w:rsidR="00772488">
        <w:rPr>
          <w:lang w:val="en-US"/>
        </w:rPr>
        <w:t xml:space="preserve"> region</w:t>
      </w:r>
      <w:r w:rsidR="00F710CD">
        <w:rPr>
          <w:lang w:val="en-US"/>
        </w:rPr>
        <w:t>s</w:t>
      </w:r>
      <w:r w:rsidR="00772488">
        <w:rPr>
          <w:lang w:val="en-US"/>
        </w:rPr>
        <w:t xml:space="preserve"> </w:t>
      </w:r>
      <w:r w:rsidR="00F710CD">
        <w:rPr>
          <w:lang w:val="en-US"/>
        </w:rPr>
        <w:t xml:space="preserve">of </w:t>
      </w:r>
      <w:r w:rsidR="00772488">
        <w:rPr>
          <w:lang w:val="en-US"/>
        </w:rPr>
        <w:t>abode.</w:t>
      </w:r>
      <w:r w:rsidR="00772488">
        <w:rPr>
          <w:rStyle w:val="FootnoteReference"/>
          <w:lang w:val="en-US"/>
        </w:rPr>
        <w:footnoteReference w:id="21"/>
      </w:r>
      <w:r w:rsidR="00A07FFC">
        <w:rPr>
          <w:lang w:val="en-US"/>
        </w:rPr>
        <w:t xml:space="preserve"> </w:t>
      </w:r>
      <w:r w:rsidR="00BE049A">
        <w:rPr>
          <w:lang w:val="en-US"/>
        </w:rPr>
        <w:t xml:space="preserve">One of the consequences of Eliade’s </w:t>
      </w:r>
      <w:r w:rsidR="00772488">
        <w:rPr>
          <w:lang w:val="en-US"/>
        </w:rPr>
        <w:t xml:space="preserve">vision of hierophanies as </w:t>
      </w:r>
      <w:r w:rsidR="00772488" w:rsidRPr="000E5749">
        <w:rPr>
          <w:lang w:val="en-US"/>
        </w:rPr>
        <w:t>something external, which is perceived by receptive humans</w:t>
      </w:r>
      <w:r w:rsidR="00772488">
        <w:rPr>
          <w:lang w:val="en-US"/>
        </w:rPr>
        <w:t xml:space="preserve"> versus Durkheim’s projections of collective representations is that religious </w:t>
      </w:r>
      <w:r w:rsidR="00772488">
        <w:rPr>
          <w:lang w:val="en-US"/>
        </w:rPr>
        <w:lastRenderedPageBreak/>
        <w:t>experiences can be experienced by individuals and outside of Durkheim’s ‘Church’ settings</w:t>
      </w:r>
      <w:r w:rsidR="00A07FFC">
        <w:rPr>
          <w:lang w:val="en-US"/>
        </w:rPr>
        <w:t>, which host social rituals</w:t>
      </w:r>
      <w:r w:rsidR="00772488">
        <w:rPr>
          <w:lang w:val="en-US"/>
        </w:rPr>
        <w:t>.</w:t>
      </w:r>
      <w:r w:rsidR="00A16D2B">
        <w:rPr>
          <w:rStyle w:val="FootnoteReference"/>
          <w:lang w:val="en-US"/>
        </w:rPr>
        <w:footnoteReference w:id="22"/>
      </w:r>
    </w:p>
    <w:p w14:paraId="2A2F493D" w14:textId="148ABD58" w:rsidR="00A07FFC" w:rsidRDefault="002C42C0" w:rsidP="00B47EDD">
      <w:pPr>
        <w:rPr>
          <w:lang w:val="en-US"/>
        </w:rPr>
      </w:pPr>
      <w:r>
        <w:rPr>
          <w:lang w:val="en-US"/>
        </w:rPr>
        <w:t>W</w:t>
      </w:r>
      <w:r w:rsidR="00AE01B7">
        <w:rPr>
          <w:lang w:val="en-US"/>
        </w:rPr>
        <w:t xml:space="preserve">hile Durkheim saw space and time as </w:t>
      </w:r>
      <w:r w:rsidR="00B60C1B">
        <w:rPr>
          <w:lang w:val="en-US"/>
        </w:rPr>
        <w:t xml:space="preserve">major subcategories which framed all thought within the overarching pattern of sacred versus profane, Eliade saw them as the fabric of two coexisting worlds, which occasionally </w:t>
      </w:r>
      <w:r w:rsidR="00E10EBF">
        <w:rPr>
          <w:lang w:val="en-US"/>
        </w:rPr>
        <w:t>intermeshed.</w:t>
      </w:r>
      <w:r w:rsidR="00CB06B0">
        <w:rPr>
          <w:rStyle w:val="FootnoteReference"/>
          <w:lang w:val="en-US"/>
        </w:rPr>
        <w:footnoteReference w:id="23"/>
      </w:r>
      <w:r w:rsidR="006E2E03">
        <w:rPr>
          <w:lang w:val="en-US"/>
        </w:rPr>
        <w:t xml:space="preserve"> </w:t>
      </w:r>
      <w:r w:rsidR="003C3EE1">
        <w:rPr>
          <w:lang w:val="en-US"/>
        </w:rPr>
        <w:t xml:space="preserve">For </w:t>
      </w:r>
      <w:r w:rsidR="001A188A">
        <w:rPr>
          <w:lang w:val="en-US"/>
        </w:rPr>
        <w:t xml:space="preserve">Durkheim </w:t>
      </w:r>
      <w:r w:rsidR="003C3EE1">
        <w:rPr>
          <w:lang w:val="en-US"/>
        </w:rPr>
        <w:t>the sanctity of any location was not immanent but had to be maintained through collective belief and rituals</w:t>
      </w:r>
      <w:r w:rsidR="00584B1E">
        <w:rPr>
          <w:lang w:val="en-US"/>
        </w:rPr>
        <w:t>, which achieved a demarcation between sacred spaces and times versus the profane or ordinary spaces and times.</w:t>
      </w:r>
      <w:r w:rsidR="000936C2">
        <w:rPr>
          <w:rStyle w:val="FootnoteReference"/>
          <w:lang w:val="en-US"/>
        </w:rPr>
        <w:footnoteReference w:id="24"/>
      </w:r>
      <w:r w:rsidR="00584B1E">
        <w:rPr>
          <w:lang w:val="en-US"/>
        </w:rPr>
        <w:t xml:space="preserve"> For Eliade, sacred spaces maintained their sanctity and could be entered when one was in the appropriate frame of mind and became orienting features of believer’s world.</w:t>
      </w:r>
      <w:r w:rsidR="000936C2">
        <w:rPr>
          <w:rStyle w:val="FootnoteReference"/>
          <w:lang w:val="en-US"/>
        </w:rPr>
        <w:footnoteReference w:id="25"/>
      </w:r>
      <w:r w:rsidR="00584B1E">
        <w:rPr>
          <w:lang w:val="en-US"/>
        </w:rPr>
        <w:t xml:space="preserve"> </w:t>
      </w:r>
    </w:p>
    <w:p w14:paraId="7C965EE1" w14:textId="6064093C" w:rsidR="000051DE" w:rsidRDefault="00584B1E" w:rsidP="00B47EDD">
      <w:r>
        <w:rPr>
          <w:lang w:val="en-US"/>
        </w:rPr>
        <w:t>It may be an oversimplification to see</w:t>
      </w:r>
      <w:r w:rsidR="00B47EDD">
        <w:rPr>
          <w:lang w:val="en-US"/>
        </w:rPr>
        <w:t xml:space="preserve"> Eliade’s </w:t>
      </w:r>
      <w:r>
        <w:rPr>
          <w:lang w:val="en-US"/>
        </w:rPr>
        <w:t>theory as</w:t>
      </w:r>
      <w:r w:rsidR="00B47EDD">
        <w:rPr>
          <w:lang w:val="en-US"/>
        </w:rPr>
        <w:t xml:space="preserve"> validat</w:t>
      </w:r>
      <w:r>
        <w:rPr>
          <w:lang w:val="en-US"/>
        </w:rPr>
        <w:t>ing</w:t>
      </w:r>
      <w:r w:rsidR="00B47EDD">
        <w:rPr>
          <w:lang w:val="en-US"/>
        </w:rPr>
        <w:t xml:space="preserve"> </w:t>
      </w:r>
      <w:r>
        <w:rPr>
          <w:lang w:val="en-US"/>
        </w:rPr>
        <w:t xml:space="preserve">external </w:t>
      </w:r>
      <w:r w:rsidR="00B47EDD">
        <w:rPr>
          <w:lang w:val="en-US"/>
        </w:rPr>
        <w:t xml:space="preserve">supernatural </w:t>
      </w:r>
      <w:r>
        <w:rPr>
          <w:lang w:val="en-US"/>
        </w:rPr>
        <w:t xml:space="preserve">forces </w:t>
      </w:r>
      <w:r w:rsidR="00B47EDD">
        <w:rPr>
          <w:lang w:val="en-US"/>
        </w:rPr>
        <w:t>appearing within the profane world</w:t>
      </w:r>
      <w:r>
        <w:rPr>
          <w:lang w:val="en-US"/>
        </w:rPr>
        <w:t xml:space="preserve">. </w:t>
      </w:r>
      <w:r w:rsidR="00B47EDD">
        <w:rPr>
          <w:lang w:val="en-US"/>
        </w:rPr>
        <w:t>S</w:t>
      </w:r>
      <w:r w:rsidR="00C37D3E">
        <w:rPr>
          <w:lang w:val="en-US"/>
        </w:rPr>
        <w:t>tu</w:t>
      </w:r>
      <w:r w:rsidR="00B47EDD">
        <w:rPr>
          <w:lang w:val="en-US"/>
        </w:rPr>
        <w:t>dstill argue</w:t>
      </w:r>
      <w:r w:rsidR="00F710CD">
        <w:rPr>
          <w:lang w:val="en-US"/>
        </w:rPr>
        <w:t>d</w:t>
      </w:r>
      <w:r w:rsidR="00B47EDD">
        <w:rPr>
          <w:lang w:val="en-US"/>
        </w:rPr>
        <w:t xml:space="preserve"> </w:t>
      </w:r>
      <w:r w:rsidR="00B47EDD" w:rsidRPr="00B47EDD">
        <w:t>‘When Eliade describes the sacred as 'the real' he is merely indicating</w:t>
      </w:r>
      <w:r w:rsidR="00B47EDD">
        <w:t xml:space="preserve"> </w:t>
      </w:r>
      <w:r w:rsidR="00B47EDD" w:rsidRPr="00B47EDD">
        <w:t>how the object is constituted in the mind of the believer.’</w:t>
      </w:r>
      <w:r w:rsidR="00B47EDD">
        <w:rPr>
          <w:rStyle w:val="FootnoteReference"/>
        </w:rPr>
        <w:footnoteReference w:id="26"/>
      </w:r>
      <w:r w:rsidR="0023123F">
        <w:rPr>
          <w:lang w:val="en-US"/>
        </w:rPr>
        <w:t xml:space="preserve"> </w:t>
      </w:r>
      <w:r w:rsidR="00B47EDD">
        <w:t>On the other hand, Durkheim’s positivist and sociological definition of religion</w:t>
      </w:r>
      <w:r>
        <w:t>, which allowed the study of observable religious phenomena</w:t>
      </w:r>
      <w:r w:rsidR="000916A6">
        <w:t>, stopped short of denying individual experiences of supernatural</w:t>
      </w:r>
      <w:r w:rsidR="00360E27">
        <w:t xml:space="preserve">, according to </w:t>
      </w:r>
      <w:r w:rsidR="00360E27" w:rsidRPr="00360E27">
        <w:t>Ronjon Datta and Tara Milbrandt</w:t>
      </w:r>
      <w:r w:rsidR="000051DE">
        <w:t>.</w:t>
      </w:r>
      <w:r w:rsidR="000B0453">
        <w:rPr>
          <w:rStyle w:val="FootnoteReference"/>
        </w:rPr>
        <w:footnoteReference w:id="27"/>
      </w:r>
      <w:r w:rsidR="000916A6">
        <w:t xml:space="preserve"> </w:t>
      </w:r>
      <w:r w:rsidR="000051DE">
        <w:t>Eliade and Durkheim’s theories allow for internal versus external origins of religious phenomena respectively but both theories recognize that such phenomena arise as an interface of man and the environment.</w:t>
      </w:r>
    </w:p>
    <w:p w14:paraId="78C322B4" w14:textId="17901A02" w:rsidR="00F710CD" w:rsidRPr="00F710CD" w:rsidRDefault="00F710CD" w:rsidP="00B47EDD">
      <w:r>
        <w:t>In summary, Eliade saw sacredness as something that ‘irrupted’ through the chaos of the profane world, lending significance, orientation, and nexus for the communication between upper, middle and lower worlds through the experience of hierophanies. While Eliade support</w:t>
      </w:r>
      <w:r w:rsidR="00F94B91">
        <w:t>ed a</w:t>
      </w:r>
      <w:r>
        <w:t xml:space="preserve"> </w:t>
      </w:r>
      <w:r>
        <w:rPr>
          <w:i/>
          <w:iCs/>
        </w:rPr>
        <w:t xml:space="preserve">Weltanschauung </w:t>
      </w:r>
      <w:r>
        <w:t>including an external sacred reality, both scholars appeared to have considered the possibility of more complex relationships between humans and the sacred than a binary choice of internally or externally generated phenomena.</w:t>
      </w:r>
    </w:p>
    <w:p w14:paraId="1ADBFAC4" w14:textId="6FA36D56" w:rsidR="000916A6" w:rsidRDefault="000916A6" w:rsidP="005E60F8">
      <w:pPr>
        <w:pStyle w:val="Heading3"/>
        <w:rPr>
          <w:lang w:val="en-US"/>
        </w:rPr>
      </w:pPr>
      <w:r>
        <w:rPr>
          <w:lang w:val="en-US"/>
        </w:rPr>
        <w:t>Sacred Space</w:t>
      </w:r>
      <w:r w:rsidR="005E60F8">
        <w:rPr>
          <w:lang w:val="en-US"/>
        </w:rPr>
        <w:t xml:space="preserve"> in Durkheim and Eliade’s Worlds</w:t>
      </w:r>
      <w:r>
        <w:rPr>
          <w:lang w:val="en-US"/>
        </w:rPr>
        <w:t xml:space="preserve"> </w:t>
      </w:r>
    </w:p>
    <w:p w14:paraId="47430D1C" w14:textId="5F5E3202" w:rsidR="00476469" w:rsidRDefault="00673D78" w:rsidP="00574916">
      <w:pPr>
        <w:rPr>
          <w:lang w:val="en-US"/>
        </w:rPr>
      </w:pPr>
      <w:r>
        <w:rPr>
          <w:lang w:val="en-US"/>
        </w:rPr>
        <w:t>The contrast between</w:t>
      </w:r>
      <w:r w:rsidR="004B0F97">
        <w:rPr>
          <w:lang w:val="en-US"/>
        </w:rPr>
        <w:t xml:space="preserve"> Durkheim</w:t>
      </w:r>
      <w:r>
        <w:rPr>
          <w:lang w:val="en-US"/>
        </w:rPr>
        <w:t>’s concept of socially constructed religion</w:t>
      </w:r>
      <w:r w:rsidR="004B0F97">
        <w:rPr>
          <w:lang w:val="en-US"/>
        </w:rPr>
        <w:t xml:space="preserve"> and Eliade</w:t>
      </w:r>
      <w:r>
        <w:rPr>
          <w:lang w:val="en-US"/>
        </w:rPr>
        <w:t>’s ‘irruption’ of the sacred into a homogenous, profane world ha</w:t>
      </w:r>
      <w:r w:rsidR="00997D02">
        <w:rPr>
          <w:lang w:val="en-US"/>
        </w:rPr>
        <w:t>s</w:t>
      </w:r>
      <w:r>
        <w:rPr>
          <w:lang w:val="en-US"/>
        </w:rPr>
        <w:t xml:space="preserve"> resulted in different approaches to research. </w:t>
      </w:r>
      <w:r w:rsidR="00900B57">
        <w:rPr>
          <w:lang w:val="en-US"/>
        </w:rPr>
        <w:t xml:space="preserve">Durkheim’s theories are </w:t>
      </w:r>
      <w:r w:rsidR="00ED6951">
        <w:rPr>
          <w:lang w:val="en-US"/>
        </w:rPr>
        <w:t>applied</w:t>
      </w:r>
      <w:r w:rsidR="00900B57">
        <w:rPr>
          <w:lang w:val="en-US"/>
        </w:rPr>
        <w:t xml:space="preserve"> to research on religious activities of a</w:t>
      </w:r>
      <w:r>
        <w:rPr>
          <w:lang w:val="en-US"/>
        </w:rPr>
        <w:t xml:space="preserve"> social collective, </w:t>
      </w:r>
      <w:r w:rsidR="00900B57">
        <w:rPr>
          <w:lang w:val="en-US"/>
        </w:rPr>
        <w:t xml:space="preserve">while the definition of religious experience as a hierophany </w:t>
      </w:r>
      <w:r w:rsidR="00ED6951">
        <w:rPr>
          <w:lang w:val="en-US"/>
        </w:rPr>
        <w:t>lends itself to research on individual experiences.</w:t>
      </w:r>
      <w:r w:rsidR="00360E27" w:rsidRPr="00360E27">
        <w:rPr>
          <w:lang w:val="en-US"/>
        </w:rPr>
        <w:t xml:space="preserve"> </w:t>
      </w:r>
      <w:r w:rsidR="00360E27">
        <w:rPr>
          <w:lang w:val="en-US"/>
        </w:rPr>
        <w:t xml:space="preserve">To illustrate the difference, modern research by </w:t>
      </w:r>
      <w:r w:rsidR="005E3402">
        <w:rPr>
          <w:lang w:val="en-US"/>
        </w:rPr>
        <w:t>Yvonne Niekrenz who modelled her research on Durkheimian principles is</w:t>
      </w:r>
      <w:r w:rsidR="00360E27">
        <w:rPr>
          <w:lang w:val="en-US"/>
        </w:rPr>
        <w:t xml:space="preserve"> compared</w:t>
      </w:r>
      <w:r w:rsidR="005E3402">
        <w:rPr>
          <w:lang w:val="en-US"/>
        </w:rPr>
        <w:t xml:space="preserve"> with</w:t>
      </w:r>
      <w:r w:rsidR="00360E27">
        <w:rPr>
          <w:lang w:val="en-US"/>
        </w:rPr>
        <w:t xml:space="preserve"> </w:t>
      </w:r>
      <w:r w:rsidR="00360E27" w:rsidRPr="00360E27">
        <w:t>John P. Bartkowski and W. Scott Swearingen</w:t>
      </w:r>
      <w:r w:rsidR="005E3402">
        <w:t>’s</w:t>
      </w:r>
      <w:r w:rsidR="00360E27">
        <w:t xml:space="preserve"> research </w:t>
      </w:r>
      <w:r w:rsidR="005E3402">
        <w:t xml:space="preserve">based </w:t>
      </w:r>
      <w:r w:rsidR="00360E27">
        <w:t>Eliade’s concepts of sacred space.</w:t>
      </w:r>
      <w:r w:rsidR="00E83367">
        <w:rPr>
          <w:rStyle w:val="FootnoteReference"/>
        </w:rPr>
        <w:footnoteReference w:id="28"/>
      </w:r>
    </w:p>
    <w:p w14:paraId="28F21275" w14:textId="601B4025" w:rsidR="00476469" w:rsidRDefault="00E9660C" w:rsidP="00574916">
      <w:pPr>
        <w:rPr>
          <w:lang w:val="en-US"/>
        </w:rPr>
      </w:pPr>
      <w:r>
        <w:rPr>
          <w:lang w:val="en-US"/>
        </w:rPr>
        <w:lastRenderedPageBreak/>
        <w:t>Niekrenz</w:t>
      </w:r>
      <w:r w:rsidR="00DB412D">
        <w:rPr>
          <w:lang w:val="en-US"/>
        </w:rPr>
        <w:t xml:space="preserve"> </w:t>
      </w:r>
      <w:r>
        <w:rPr>
          <w:lang w:val="en-US"/>
        </w:rPr>
        <w:t xml:space="preserve">studied the demarcation of </w:t>
      </w:r>
      <w:r w:rsidR="000051DE">
        <w:rPr>
          <w:lang w:val="en-US"/>
        </w:rPr>
        <w:t xml:space="preserve">time and space during </w:t>
      </w:r>
      <w:r>
        <w:rPr>
          <w:lang w:val="en-US"/>
        </w:rPr>
        <w:t>Carneval in Rhineland, Germany, to show how it brings cohesion and identity to participants.</w:t>
      </w:r>
      <w:r w:rsidR="00C37D3E">
        <w:rPr>
          <w:rStyle w:val="FootnoteReference"/>
          <w:lang w:val="en-US"/>
        </w:rPr>
        <w:footnoteReference w:id="29"/>
      </w:r>
      <w:r>
        <w:rPr>
          <w:lang w:val="en-US"/>
        </w:rPr>
        <w:t xml:space="preserve"> </w:t>
      </w:r>
      <w:r w:rsidR="000051DE">
        <w:rPr>
          <w:lang w:val="en-US"/>
        </w:rPr>
        <w:t>The old tradition of Carneval</w:t>
      </w:r>
      <w:r>
        <w:rPr>
          <w:lang w:val="en-US"/>
        </w:rPr>
        <w:t xml:space="preserve"> is a classic example of socially sanctioned and defined ritual as part of the dominant religion’s sacred calendar.</w:t>
      </w:r>
      <w:r w:rsidR="005E3402">
        <w:rPr>
          <w:rStyle w:val="FootnoteReference"/>
          <w:lang w:val="en-US"/>
        </w:rPr>
        <w:footnoteReference w:id="30"/>
      </w:r>
      <w:r>
        <w:rPr>
          <w:lang w:val="en-US"/>
        </w:rPr>
        <w:t xml:space="preserve"> Carneval takes place in city centers</w:t>
      </w:r>
      <w:r w:rsidR="000051DE">
        <w:rPr>
          <w:lang w:val="en-US"/>
        </w:rPr>
        <w:t xml:space="preserve"> for six days prior to Lent</w:t>
      </w:r>
      <w:r w:rsidR="00997D02">
        <w:rPr>
          <w:lang w:val="en-US"/>
        </w:rPr>
        <w:t>.</w:t>
      </w:r>
      <w:r w:rsidR="005E3402">
        <w:rPr>
          <w:rStyle w:val="FootnoteReference"/>
          <w:lang w:val="en-US"/>
        </w:rPr>
        <w:footnoteReference w:id="31"/>
      </w:r>
      <w:r w:rsidR="00997D02">
        <w:rPr>
          <w:lang w:val="en-US"/>
        </w:rPr>
        <w:t xml:space="preserve"> T</w:t>
      </w:r>
      <w:r>
        <w:rPr>
          <w:lang w:val="en-US"/>
        </w:rPr>
        <w:t xml:space="preserve">hese festivities are </w:t>
      </w:r>
      <w:r w:rsidR="00997D02">
        <w:rPr>
          <w:lang w:val="en-US"/>
        </w:rPr>
        <w:t xml:space="preserve">sanctified by </w:t>
      </w:r>
      <w:r>
        <w:rPr>
          <w:lang w:val="en-US"/>
        </w:rPr>
        <w:t xml:space="preserve">demarcating </w:t>
      </w:r>
      <w:r w:rsidR="00476469">
        <w:rPr>
          <w:lang w:val="en-US"/>
        </w:rPr>
        <w:t xml:space="preserve">sacred time and </w:t>
      </w:r>
      <w:r w:rsidR="00360E27">
        <w:rPr>
          <w:lang w:val="en-US"/>
        </w:rPr>
        <w:t>sp</w:t>
      </w:r>
      <w:r w:rsidR="00476469">
        <w:rPr>
          <w:lang w:val="en-US"/>
        </w:rPr>
        <w:t>ace</w:t>
      </w:r>
      <w:r w:rsidR="000051DE">
        <w:rPr>
          <w:lang w:val="en-US"/>
        </w:rPr>
        <w:t xml:space="preserve"> </w:t>
      </w:r>
      <w:r w:rsidR="00997D02">
        <w:rPr>
          <w:lang w:val="en-US"/>
        </w:rPr>
        <w:t xml:space="preserve">through ritual in </w:t>
      </w:r>
      <w:r w:rsidR="005E3402">
        <w:rPr>
          <w:lang w:val="en-US"/>
        </w:rPr>
        <w:t>the marketplace,</w:t>
      </w:r>
      <w:r w:rsidR="00997D02">
        <w:rPr>
          <w:lang w:val="en-US"/>
        </w:rPr>
        <w:t xml:space="preserve"> </w:t>
      </w:r>
      <w:r w:rsidR="005E3402">
        <w:rPr>
          <w:lang w:val="en-US"/>
        </w:rPr>
        <w:t xml:space="preserve">which </w:t>
      </w:r>
      <w:r w:rsidR="00997D02">
        <w:rPr>
          <w:lang w:val="en-US"/>
        </w:rPr>
        <w:t xml:space="preserve">is normally the site of </w:t>
      </w:r>
      <w:r w:rsidR="000051DE">
        <w:rPr>
          <w:lang w:val="en-US"/>
        </w:rPr>
        <w:t>the profane activities of daily life</w:t>
      </w:r>
      <w:r w:rsidR="00DB412D">
        <w:rPr>
          <w:lang w:val="en-US"/>
        </w:rPr>
        <w:t>, according to Niekrenz</w:t>
      </w:r>
      <w:r w:rsidR="000051DE">
        <w:rPr>
          <w:lang w:val="en-US"/>
        </w:rPr>
        <w:t>.</w:t>
      </w:r>
      <w:r w:rsidR="005E3402">
        <w:rPr>
          <w:rStyle w:val="FootnoteReference"/>
          <w:lang w:val="en-US"/>
        </w:rPr>
        <w:footnoteReference w:id="32"/>
      </w:r>
      <w:r w:rsidR="00476469">
        <w:rPr>
          <w:lang w:val="en-US"/>
        </w:rPr>
        <w:t xml:space="preserve"> </w:t>
      </w:r>
      <w:r w:rsidR="001D4C07">
        <w:rPr>
          <w:lang w:val="en-US"/>
        </w:rPr>
        <w:t>Niekrenz concluded that t</w:t>
      </w:r>
      <w:r w:rsidR="00C57E18">
        <w:rPr>
          <w:lang w:val="en-US"/>
        </w:rPr>
        <w:t>he reversal of social norms, costumes, and drinking result in heightened social bonding among participants during the ritualized time.</w:t>
      </w:r>
      <w:r w:rsidR="005E3402">
        <w:rPr>
          <w:rStyle w:val="FootnoteReference"/>
          <w:lang w:val="en-US"/>
        </w:rPr>
        <w:footnoteReference w:id="33"/>
      </w:r>
    </w:p>
    <w:p w14:paraId="46502C4C" w14:textId="3552F5AB" w:rsidR="00476469" w:rsidRDefault="00476469" w:rsidP="001C3E47">
      <w:pPr>
        <w:rPr>
          <w:lang w:val="en-US"/>
        </w:rPr>
      </w:pPr>
      <w:r>
        <w:rPr>
          <w:lang w:val="en-US"/>
        </w:rPr>
        <w:t>In contrast</w:t>
      </w:r>
      <w:r w:rsidR="00DB412D">
        <w:rPr>
          <w:lang w:val="en-US"/>
        </w:rPr>
        <w:t>,</w:t>
      </w:r>
      <w:r>
        <w:rPr>
          <w:lang w:val="en-US"/>
        </w:rPr>
        <w:t xml:space="preserve"> Eliade’s understanding of the inherent sacredness of a place was used effectively by </w:t>
      </w:r>
      <w:r w:rsidR="004B7212" w:rsidRPr="004B7212">
        <w:t>John P. Bartkowski and W. Scott Swearingen</w:t>
      </w:r>
      <w:r w:rsidR="004B7212" w:rsidRPr="004B7212">
        <w:rPr>
          <w:lang w:val="en-US"/>
        </w:rPr>
        <w:t xml:space="preserve"> </w:t>
      </w:r>
      <w:r>
        <w:rPr>
          <w:lang w:val="en-US"/>
        </w:rPr>
        <w:t xml:space="preserve">in </w:t>
      </w:r>
      <w:r w:rsidR="004B7212">
        <w:rPr>
          <w:lang w:val="en-US"/>
        </w:rPr>
        <w:t>their</w:t>
      </w:r>
      <w:r>
        <w:rPr>
          <w:lang w:val="en-US"/>
        </w:rPr>
        <w:t xml:space="preserve"> study of locals</w:t>
      </w:r>
      <w:r w:rsidR="007B4D2A">
        <w:rPr>
          <w:lang w:val="en-US"/>
        </w:rPr>
        <w:t>’</w:t>
      </w:r>
      <w:r>
        <w:rPr>
          <w:lang w:val="en-US"/>
        </w:rPr>
        <w:t xml:space="preserve"> attitudes toward a natural spring in Austin, Texas.</w:t>
      </w:r>
      <w:r w:rsidR="004B7212">
        <w:rPr>
          <w:rStyle w:val="FootnoteReference"/>
          <w:lang w:val="en-US"/>
        </w:rPr>
        <w:footnoteReference w:id="34"/>
      </w:r>
      <w:r>
        <w:rPr>
          <w:lang w:val="en-US"/>
        </w:rPr>
        <w:t xml:space="preserve"> </w:t>
      </w:r>
      <w:r w:rsidR="007B4D2A" w:rsidRPr="007B4D2A">
        <w:rPr>
          <w:lang w:val="en-US"/>
        </w:rPr>
        <w:t>Bartkowski</w:t>
      </w:r>
      <w:r w:rsidR="004B7212">
        <w:rPr>
          <w:lang w:val="en-US"/>
        </w:rPr>
        <w:t xml:space="preserve"> and Swearingen</w:t>
      </w:r>
      <w:r w:rsidR="007B4D2A">
        <w:rPr>
          <w:lang w:val="en-US"/>
        </w:rPr>
        <w:t xml:space="preserve"> </w:t>
      </w:r>
      <w:r w:rsidR="001C3E47">
        <w:rPr>
          <w:lang w:val="en-US"/>
        </w:rPr>
        <w:t xml:space="preserve">analyzed interview data according to Eliade’s definition of sacred space, as (1) </w:t>
      </w:r>
      <w:r w:rsidR="00DB412D">
        <w:rPr>
          <w:lang w:val="en-US"/>
        </w:rPr>
        <w:t>‘</w:t>
      </w:r>
      <w:r w:rsidR="001C3E47" w:rsidRPr="00BC483E">
        <w:rPr>
          <w:i/>
          <w:iCs/>
          <w:lang w:val="en-US"/>
        </w:rPr>
        <w:t>nodal space</w:t>
      </w:r>
      <w:r w:rsidR="00DB412D">
        <w:rPr>
          <w:i/>
          <w:iCs/>
          <w:lang w:val="en-US"/>
        </w:rPr>
        <w:t>’</w:t>
      </w:r>
      <w:r w:rsidR="001C3E47">
        <w:rPr>
          <w:lang w:val="en-US"/>
        </w:rPr>
        <w:t>, which intersects with transcendent reality, (2)</w:t>
      </w:r>
      <w:r w:rsidR="00DB412D">
        <w:rPr>
          <w:lang w:val="en-US"/>
        </w:rPr>
        <w:t xml:space="preserve"> ‘</w:t>
      </w:r>
      <w:r w:rsidR="001C3E47" w:rsidRPr="00BC483E">
        <w:rPr>
          <w:i/>
          <w:iCs/>
          <w:lang w:val="en-US"/>
        </w:rPr>
        <w:t>integrative space</w:t>
      </w:r>
      <w:r w:rsidR="00DB412D">
        <w:rPr>
          <w:i/>
          <w:iCs/>
          <w:lang w:val="en-US"/>
        </w:rPr>
        <w:t>’</w:t>
      </w:r>
      <w:r w:rsidR="001C3E47">
        <w:rPr>
          <w:lang w:val="en-US"/>
        </w:rPr>
        <w:t xml:space="preserve"> that bonds individuals with others in the community and (3) </w:t>
      </w:r>
      <w:r w:rsidR="00DB412D">
        <w:rPr>
          <w:lang w:val="en-US"/>
        </w:rPr>
        <w:t>‘</w:t>
      </w:r>
      <w:r w:rsidR="001C3E47" w:rsidRPr="00BC483E">
        <w:rPr>
          <w:i/>
          <w:iCs/>
          <w:lang w:val="en-US"/>
        </w:rPr>
        <w:t>demarcative space</w:t>
      </w:r>
      <w:r w:rsidR="00DB412D">
        <w:rPr>
          <w:i/>
          <w:iCs/>
          <w:lang w:val="en-US"/>
        </w:rPr>
        <w:t>’</w:t>
      </w:r>
      <w:r w:rsidR="00BC483E">
        <w:rPr>
          <w:lang w:val="en-US"/>
        </w:rPr>
        <w:t>,</w:t>
      </w:r>
      <w:r w:rsidR="001C3E47">
        <w:rPr>
          <w:lang w:val="en-US"/>
        </w:rPr>
        <w:t xml:space="preserve"> which lends a sense of identity who experience the specialness of the place.</w:t>
      </w:r>
      <w:r w:rsidR="001C3E47">
        <w:rPr>
          <w:rStyle w:val="FootnoteReference"/>
          <w:lang w:val="en-US"/>
        </w:rPr>
        <w:footnoteReference w:id="35"/>
      </w:r>
      <w:r w:rsidR="001C3E47">
        <w:rPr>
          <w:lang w:val="en-US"/>
        </w:rPr>
        <w:t xml:space="preserve"> </w:t>
      </w:r>
      <w:r w:rsidR="007B4D2A">
        <w:rPr>
          <w:lang w:val="en-US"/>
        </w:rPr>
        <w:t xml:space="preserve">In </w:t>
      </w:r>
      <w:r w:rsidR="001C3E47">
        <w:rPr>
          <w:lang w:val="en-US"/>
        </w:rPr>
        <w:t>Austin</w:t>
      </w:r>
      <w:r w:rsidR="007B4D2A">
        <w:rPr>
          <w:lang w:val="en-US"/>
        </w:rPr>
        <w:t>, the individuals’ experience of the sacredness of the spring preceded the designation as a special place</w:t>
      </w:r>
      <w:r w:rsidR="000051DE">
        <w:rPr>
          <w:lang w:val="en-US"/>
        </w:rPr>
        <w:t>,</w:t>
      </w:r>
      <w:r w:rsidR="004B7212">
        <w:rPr>
          <w:lang w:val="en-US"/>
        </w:rPr>
        <w:t xml:space="preserve"> according to Barkowski and Swearingen’s research</w:t>
      </w:r>
      <w:r w:rsidR="007B4D2A">
        <w:rPr>
          <w:lang w:val="en-US"/>
        </w:rPr>
        <w:t>.</w:t>
      </w:r>
      <w:r w:rsidR="001D4C07">
        <w:rPr>
          <w:rStyle w:val="FootnoteReference"/>
          <w:lang w:val="en-US"/>
        </w:rPr>
        <w:footnoteReference w:id="36"/>
      </w:r>
      <w:r w:rsidR="00F8645C">
        <w:rPr>
          <w:lang w:val="en-US"/>
        </w:rPr>
        <w:t xml:space="preserve"> </w:t>
      </w:r>
      <w:r w:rsidR="004556CC">
        <w:rPr>
          <w:lang w:val="en-US"/>
        </w:rPr>
        <w:t xml:space="preserve">Bartkowski and Swearingen showed that </w:t>
      </w:r>
      <w:r w:rsidR="00BC483E">
        <w:rPr>
          <w:lang w:val="en-US"/>
        </w:rPr>
        <w:t>Eliade’s theory can be used to argue for the immanent specialness of certain places, which therefore warrant environmental protection</w:t>
      </w:r>
      <w:r w:rsidR="004556CC">
        <w:rPr>
          <w:lang w:val="en-US"/>
        </w:rPr>
        <w:t xml:space="preserve">, </w:t>
      </w:r>
      <w:r w:rsidR="00DB412D">
        <w:rPr>
          <w:lang w:val="en-US"/>
        </w:rPr>
        <w:t>in contrast to</w:t>
      </w:r>
      <w:r w:rsidR="004556CC">
        <w:rPr>
          <w:lang w:val="en-US"/>
        </w:rPr>
        <w:t xml:space="preserve"> Durkheim’s approach</w:t>
      </w:r>
      <w:r w:rsidR="00DB412D">
        <w:rPr>
          <w:lang w:val="en-US"/>
        </w:rPr>
        <w:t>, which</w:t>
      </w:r>
      <w:r w:rsidR="004556CC">
        <w:rPr>
          <w:lang w:val="en-US"/>
        </w:rPr>
        <w:t xml:space="preserve"> render</w:t>
      </w:r>
      <w:r w:rsidR="00DB412D">
        <w:rPr>
          <w:lang w:val="en-US"/>
        </w:rPr>
        <w:t>ed</w:t>
      </w:r>
      <w:r w:rsidR="004556CC">
        <w:rPr>
          <w:lang w:val="en-US"/>
        </w:rPr>
        <w:t xml:space="preserve"> every place generically profane until its sacredness is established through human ritual and designation.</w:t>
      </w:r>
      <w:r w:rsidR="004556CC">
        <w:rPr>
          <w:rStyle w:val="FootnoteReference"/>
          <w:lang w:val="en-US"/>
        </w:rPr>
        <w:footnoteReference w:id="37"/>
      </w:r>
    </w:p>
    <w:p w14:paraId="00A916F2" w14:textId="153BAACC" w:rsidR="00F710CD" w:rsidRDefault="00F710CD" w:rsidP="001C3E47">
      <w:pPr>
        <w:rPr>
          <w:lang w:val="en-US"/>
        </w:rPr>
      </w:pPr>
      <w:r>
        <w:rPr>
          <w:lang w:val="en-US"/>
        </w:rPr>
        <w:t xml:space="preserve">In short, </w:t>
      </w:r>
      <w:r w:rsidR="00CB15D5">
        <w:rPr>
          <w:lang w:val="en-US"/>
        </w:rPr>
        <w:t xml:space="preserve">Niekrenz </w:t>
      </w:r>
      <w:r w:rsidR="00CB15D5">
        <w:rPr>
          <w:lang w:val="en-US"/>
        </w:rPr>
        <w:t>applied</w:t>
      </w:r>
      <w:r>
        <w:rPr>
          <w:lang w:val="en-US"/>
        </w:rPr>
        <w:t xml:space="preserve"> Durkheim’s principle</w:t>
      </w:r>
      <w:r w:rsidR="00CB15D5">
        <w:rPr>
          <w:lang w:val="en-US"/>
        </w:rPr>
        <w:t>s</w:t>
      </w:r>
      <w:r>
        <w:rPr>
          <w:lang w:val="en-US"/>
        </w:rPr>
        <w:t xml:space="preserve"> to the sacralization of time and space within Christian cities during Carneval, while </w:t>
      </w:r>
      <w:r w:rsidR="00CB15D5">
        <w:rPr>
          <w:lang w:val="en-US"/>
        </w:rPr>
        <w:t>Bartkowski and Swearingen</w:t>
      </w:r>
      <w:r w:rsidR="00CB15D5">
        <w:rPr>
          <w:lang w:val="en-US"/>
        </w:rPr>
        <w:t xml:space="preserve"> </w:t>
      </w:r>
      <w:r w:rsidR="00CB15D5">
        <w:rPr>
          <w:lang w:val="en-US"/>
        </w:rPr>
        <w:t>effectively researched</w:t>
      </w:r>
      <w:r>
        <w:rPr>
          <w:lang w:val="en-US"/>
        </w:rPr>
        <w:t xml:space="preserve"> individual experience</w:t>
      </w:r>
      <w:r w:rsidR="00CB15D5">
        <w:rPr>
          <w:lang w:val="en-US"/>
        </w:rPr>
        <w:t>s</w:t>
      </w:r>
      <w:r>
        <w:rPr>
          <w:lang w:val="en-US"/>
        </w:rPr>
        <w:t xml:space="preserve"> of the sacredness of a natural spring </w:t>
      </w:r>
      <w:r w:rsidR="00CB15D5">
        <w:rPr>
          <w:lang w:val="en-US"/>
        </w:rPr>
        <w:t>using</w:t>
      </w:r>
      <w:r>
        <w:rPr>
          <w:lang w:val="en-US"/>
        </w:rPr>
        <w:t xml:space="preserve"> Eliade’s framework</w:t>
      </w:r>
      <w:r w:rsidR="00CB15D5">
        <w:rPr>
          <w:lang w:val="en-US"/>
        </w:rPr>
        <w:t>.</w:t>
      </w:r>
      <w:r>
        <w:rPr>
          <w:lang w:val="en-US"/>
        </w:rPr>
        <w:t xml:space="preserve"> </w:t>
      </w:r>
    </w:p>
    <w:p w14:paraId="4A0AD96F" w14:textId="16673DC4" w:rsidR="00F32280" w:rsidRDefault="00F32280" w:rsidP="00E42901">
      <w:pPr>
        <w:pStyle w:val="Heading3"/>
        <w:rPr>
          <w:lang w:val="en-US"/>
        </w:rPr>
      </w:pPr>
      <w:r>
        <w:rPr>
          <w:lang w:val="en-US"/>
        </w:rPr>
        <w:t>Conclusion</w:t>
      </w:r>
    </w:p>
    <w:p w14:paraId="11B94BF1" w14:textId="2C0BF033" w:rsidR="00F32280" w:rsidRDefault="00F32280" w:rsidP="001C3E47">
      <w:pPr>
        <w:rPr>
          <w:lang w:val="en-US"/>
        </w:rPr>
      </w:pPr>
      <w:r>
        <w:rPr>
          <w:lang w:val="en-US"/>
        </w:rPr>
        <w:t xml:space="preserve">The aim of this paper was to compare and contrast the use </w:t>
      </w:r>
      <w:r w:rsidR="00CB15D5">
        <w:rPr>
          <w:lang w:val="en-US"/>
        </w:rPr>
        <w:t xml:space="preserve">of </w:t>
      </w:r>
      <w:r>
        <w:rPr>
          <w:lang w:val="en-US"/>
        </w:rPr>
        <w:t>Durkheim</w:t>
      </w:r>
      <w:r w:rsidR="00CB15D5">
        <w:rPr>
          <w:lang w:val="en-US"/>
        </w:rPr>
        <w:t>’s</w:t>
      </w:r>
      <w:r>
        <w:rPr>
          <w:lang w:val="en-US"/>
        </w:rPr>
        <w:t xml:space="preserve"> versus Eliade’s </w:t>
      </w:r>
      <w:r w:rsidR="00CB15D5">
        <w:rPr>
          <w:lang w:val="en-US"/>
        </w:rPr>
        <w:t>views</w:t>
      </w:r>
      <w:r>
        <w:rPr>
          <w:lang w:val="en-US"/>
        </w:rPr>
        <w:t xml:space="preserve"> of sacred space. Durkheim’s definition of religion as a classification system between sacred and profane, allowed for the scientific study of </w:t>
      </w:r>
      <w:r w:rsidR="006351AE">
        <w:rPr>
          <w:lang w:val="en-US"/>
        </w:rPr>
        <w:t>religious</w:t>
      </w:r>
      <w:r>
        <w:rPr>
          <w:lang w:val="en-US"/>
        </w:rPr>
        <w:t xml:space="preserve"> institutions </w:t>
      </w:r>
      <w:r w:rsidR="006351AE">
        <w:rPr>
          <w:lang w:val="en-US"/>
        </w:rPr>
        <w:t>as human constructs</w:t>
      </w:r>
      <w:r w:rsidR="00CB15D5">
        <w:rPr>
          <w:lang w:val="en-US"/>
        </w:rPr>
        <w:t xml:space="preserve">, even though Durkheim acknowledged potential for </w:t>
      </w:r>
      <w:r w:rsidR="00CB1790">
        <w:rPr>
          <w:lang w:val="en-US"/>
        </w:rPr>
        <w:t>‘divine things’</w:t>
      </w:r>
      <w:r w:rsidR="006351AE">
        <w:rPr>
          <w:lang w:val="en-US"/>
        </w:rPr>
        <w:t xml:space="preserve">. </w:t>
      </w:r>
      <w:r>
        <w:rPr>
          <w:lang w:val="en-US"/>
        </w:rPr>
        <w:t xml:space="preserve">Eliade saw the sacred as an external reality perceived by receptive individuals. For Eliade the experience of the sacred, </w:t>
      </w:r>
      <w:r w:rsidR="006351AE">
        <w:rPr>
          <w:lang w:val="en-US"/>
        </w:rPr>
        <w:t xml:space="preserve">was an ‘irruption’ of another reality into the homogeneity of the profane, </w:t>
      </w:r>
      <w:r w:rsidR="00CB1790">
        <w:rPr>
          <w:lang w:val="en-US"/>
        </w:rPr>
        <w:t>serving</w:t>
      </w:r>
      <w:r w:rsidR="006351AE">
        <w:rPr>
          <w:lang w:val="en-US"/>
        </w:rPr>
        <w:t xml:space="preserve"> as an orienting and mythic foundation for believers.</w:t>
      </w:r>
      <w:r w:rsidR="00CB1790">
        <w:rPr>
          <w:lang w:val="en-US"/>
        </w:rPr>
        <w:t xml:space="preserve"> Eliade may have recognized that the hierophany also manifested in the mind of the believer. </w:t>
      </w:r>
      <w:r w:rsidR="006351AE">
        <w:rPr>
          <w:lang w:val="en-US"/>
        </w:rPr>
        <w:t xml:space="preserve"> In research, Durkheim’s principle of setting aside sacred space was confirmed during Carneval, while the individual perceptions of the sacredness of natural spring was well expressed in Eliade’s terms.</w:t>
      </w:r>
    </w:p>
    <w:p w14:paraId="7F2ACAF7" w14:textId="27B96D34" w:rsidR="00E42901" w:rsidRDefault="00E42901">
      <w:pPr>
        <w:rPr>
          <w:lang w:val="en-US"/>
        </w:rPr>
      </w:pPr>
      <w:r>
        <w:rPr>
          <w:lang w:val="en-US"/>
        </w:rPr>
        <w:br w:type="page"/>
      </w:r>
    </w:p>
    <w:p w14:paraId="0F9F26F4" w14:textId="34B1C223" w:rsidR="00E42901" w:rsidRDefault="00E42901" w:rsidP="00E42901">
      <w:pPr>
        <w:pStyle w:val="Heading2"/>
      </w:pPr>
      <w:r>
        <w:lastRenderedPageBreak/>
        <w:t>Bibliography</w:t>
      </w:r>
    </w:p>
    <w:p w14:paraId="2271879E" w14:textId="1586B7C8" w:rsidR="00E42901" w:rsidRDefault="00E42901" w:rsidP="00E42901">
      <w:pPr>
        <w:pStyle w:val="Heading3"/>
      </w:pPr>
      <w:r>
        <w:t>Primary Sources</w:t>
      </w:r>
    </w:p>
    <w:p w14:paraId="7E1E0306" w14:textId="7FF1686D" w:rsidR="00E42901" w:rsidRPr="00E42901" w:rsidRDefault="00E42901" w:rsidP="00E42901">
      <w:r w:rsidRPr="00E42901">
        <w:t>Durkheim</w:t>
      </w:r>
      <w:r>
        <w:t>,</w:t>
      </w:r>
      <w:r w:rsidRPr="00E42901">
        <w:t xml:space="preserve"> Emile, </w:t>
      </w:r>
      <w:r w:rsidRPr="00E42901">
        <w:rPr>
          <w:i/>
          <w:iCs/>
        </w:rPr>
        <w:t>The Elementary Forms of Religious Life,</w:t>
      </w:r>
      <w:r w:rsidRPr="00E42901">
        <w:t xml:space="preserve"> translated and introduced by Karen E. Fields, (New York, London, Toronto, Sydney, Tokyo, Singapore: The Free Press, Simon and Schuster, Inc. [1912] 1995)</w:t>
      </w:r>
      <w:r w:rsidR="00CB15D5">
        <w:t>.</w:t>
      </w:r>
      <w:r w:rsidRPr="00E42901">
        <w:t xml:space="preserve"> </w:t>
      </w:r>
    </w:p>
    <w:p w14:paraId="6066E93A" w14:textId="7E50E1BF" w:rsidR="00E42901" w:rsidRDefault="00E42901" w:rsidP="00E42901">
      <w:pPr>
        <w:rPr>
          <w:lang w:val="en-US"/>
        </w:rPr>
      </w:pPr>
      <w:r w:rsidRPr="00E42901">
        <w:rPr>
          <w:lang w:val="en-US"/>
        </w:rPr>
        <w:t>Eliade</w:t>
      </w:r>
      <w:r>
        <w:rPr>
          <w:lang w:val="en-US"/>
        </w:rPr>
        <w:t>,</w:t>
      </w:r>
      <w:r w:rsidRPr="00E42901">
        <w:t xml:space="preserve"> Mircea</w:t>
      </w:r>
      <w:r w:rsidRPr="00E42901">
        <w:rPr>
          <w:lang w:val="en-US"/>
        </w:rPr>
        <w:t xml:space="preserve">, </w:t>
      </w:r>
      <w:r w:rsidRPr="00E42901">
        <w:rPr>
          <w:i/>
          <w:iCs/>
          <w:lang w:val="en-US"/>
        </w:rPr>
        <w:t>The Sacred and the Profane: The Nature of Religion</w:t>
      </w:r>
      <w:r w:rsidRPr="00E42901">
        <w:rPr>
          <w:lang w:val="en-US"/>
        </w:rPr>
        <w:t>, translated from the French by William Trask, (New York: A Harvest Book, Harcourt, Brace and World, Inc., 1957)</w:t>
      </w:r>
      <w:r w:rsidR="00CB15D5">
        <w:rPr>
          <w:lang w:val="en-US"/>
        </w:rPr>
        <w:t>.</w:t>
      </w:r>
    </w:p>
    <w:p w14:paraId="25ADAEBE" w14:textId="78CBBA2D" w:rsidR="00E42901" w:rsidRPr="00E42901" w:rsidRDefault="00E42901" w:rsidP="00E42901">
      <w:pPr>
        <w:pStyle w:val="Heading3"/>
        <w:rPr>
          <w:lang w:val="en-US"/>
        </w:rPr>
      </w:pPr>
      <w:r>
        <w:rPr>
          <w:lang w:val="en-US"/>
        </w:rPr>
        <w:t>Secondary Sources</w:t>
      </w:r>
    </w:p>
    <w:p w14:paraId="6131EBDA" w14:textId="2DB76E4B" w:rsidR="00E42901" w:rsidRDefault="00E42901" w:rsidP="00E42901">
      <w:r w:rsidRPr="00E42901">
        <w:t>Barth</w:t>
      </w:r>
      <w:r>
        <w:t>,</w:t>
      </w:r>
      <w:r w:rsidRPr="00E42901">
        <w:t xml:space="preserve"> Christiane, ‘”</w:t>
      </w:r>
      <w:r w:rsidRPr="00CB15D5">
        <w:rPr>
          <w:i/>
          <w:iCs/>
        </w:rPr>
        <w:t>In illo tempore</w:t>
      </w:r>
      <w:r w:rsidRPr="00E42901">
        <w:t xml:space="preserve">, at the Center of the World": Mircea Eliade and Religious Studies' Concepts of Sacred Time and Space’, </w:t>
      </w:r>
      <w:r w:rsidRPr="00E42901">
        <w:rPr>
          <w:i/>
          <w:iCs/>
        </w:rPr>
        <w:t>Historical Social Research / Historische Sozialforschung</w:t>
      </w:r>
      <w:r w:rsidRPr="00E42901">
        <w:t>, 2013, Vol. 38, No. 3 (145), Space/Time Practices and the Production of Space and Time (2013), pp. 59-75</w:t>
      </w:r>
      <w:r w:rsidR="00E83367">
        <w:t>.</w:t>
      </w:r>
    </w:p>
    <w:p w14:paraId="710EF5EE" w14:textId="598C782E" w:rsidR="00E83367" w:rsidRDefault="00E83367" w:rsidP="00E42901">
      <w:r w:rsidRPr="00E83367">
        <w:t>Bartkowski</w:t>
      </w:r>
      <w:r>
        <w:t>,</w:t>
      </w:r>
      <w:r w:rsidRPr="00E83367">
        <w:t xml:space="preserve"> John P. and W. Scott Swearingen, ‘God Meets Gaia in Austin, Texas: A Case Study of Environmentalism as Implicit Religion’, </w:t>
      </w:r>
      <w:r w:rsidRPr="00E83367">
        <w:rPr>
          <w:i/>
          <w:iCs/>
        </w:rPr>
        <w:t>Review of Religious Research</w:t>
      </w:r>
      <w:r w:rsidRPr="00E83367">
        <w:t>, June, 1997, Vol. 38, No. 4 (Jun., 1997), pp. 308- 324.</w:t>
      </w:r>
    </w:p>
    <w:p w14:paraId="7CEB69E1" w14:textId="2EE09D3D" w:rsidR="00E83367" w:rsidRPr="00E42901" w:rsidRDefault="00E83367" w:rsidP="00E42901">
      <w:r w:rsidRPr="00E83367">
        <w:t>Datta</w:t>
      </w:r>
      <w:r>
        <w:t>,</w:t>
      </w:r>
      <w:r w:rsidRPr="00E83367">
        <w:t xml:space="preserve"> Ronjon Paul and Tara Hope Milbrandt, ‘The Elementary Forms of Religious Life: Discursive Monument, Symbolic Feast’, </w:t>
      </w:r>
      <w:r w:rsidRPr="00E83367">
        <w:rPr>
          <w:i/>
          <w:iCs/>
        </w:rPr>
        <w:t>The Canadian Journal of Sociology / Cahiers canadiens de sociologie,</w:t>
      </w:r>
      <w:r w:rsidRPr="00E83367">
        <w:t xml:space="preserve"> Vol. 39, No. 4, Durkheim's Elementary Forms of Religious Life: Contemporary Engagements (2014), pp. 473-522.</w:t>
      </w:r>
    </w:p>
    <w:p w14:paraId="1994CDCD" w14:textId="40B10044" w:rsidR="00E42901" w:rsidRPr="00E42901" w:rsidRDefault="00E42901" w:rsidP="00E42901">
      <w:pPr>
        <w:rPr>
          <w:lang w:val="en-US"/>
        </w:rPr>
      </w:pPr>
      <w:r w:rsidRPr="00E42901">
        <w:t>Hultkrantz</w:t>
      </w:r>
      <w:r>
        <w:t>,</w:t>
      </w:r>
      <w:r w:rsidRPr="00E42901">
        <w:t xml:space="preserve"> Åke, ‘The Concept of the Supernatural in Primal Religion’, </w:t>
      </w:r>
      <w:r w:rsidRPr="00E42901">
        <w:rPr>
          <w:i/>
          <w:iCs/>
        </w:rPr>
        <w:t>History of Religions</w:t>
      </w:r>
      <w:r w:rsidRPr="00E42901">
        <w:t>, Feb., 1983, Vol. 22, No. 3 (Feb., 1983), pp. 231-253</w:t>
      </w:r>
      <w:r w:rsidR="00E83367">
        <w:t>.</w:t>
      </w:r>
      <w:r w:rsidRPr="00E42901">
        <w:t xml:space="preserve"> </w:t>
      </w:r>
    </w:p>
    <w:p w14:paraId="42A3145F" w14:textId="2F61579E" w:rsidR="00E83367" w:rsidRPr="00E83367" w:rsidRDefault="00E83367" w:rsidP="00E83367">
      <w:pPr>
        <w:rPr>
          <w:lang w:val="en-US"/>
        </w:rPr>
      </w:pPr>
      <w:r w:rsidRPr="00E83367">
        <w:t>Niekrenz</w:t>
      </w:r>
      <w:r>
        <w:t>,</w:t>
      </w:r>
      <w:r w:rsidRPr="00E83367">
        <w:t xml:space="preserve"> Yvonne, ‘The Elementary Forms of Carnival: Collective Effervescence in Germany's Rhineland’, </w:t>
      </w:r>
      <w:r w:rsidRPr="00E83367">
        <w:rPr>
          <w:i/>
          <w:iCs/>
        </w:rPr>
        <w:t>The Canadian Journal of Sociology / Cahiers canadiens de sociologie</w:t>
      </w:r>
      <w:r w:rsidRPr="00E83367">
        <w:t xml:space="preserve"> , Vol. 39, No. 4, Durkheim's Elementary Forms of Religious Life: Contemporary Engagements (2014), pp. 643-666</w:t>
      </w:r>
      <w:r>
        <w:t>.</w:t>
      </w:r>
    </w:p>
    <w:p w14:paraId="6C453F68" w14:textId="70EC2C03" w:rsidR="00E42901" w:rsidRDefault="00E83367" w:rsidP="00E42901">
      <w:r>
        <w:t>O</w:t>
      </w:r>
      <w:r w:rsidR="00E42901" w:rsidRPr="00E42901">
        <w:t>badia</w:t>
      </w:r>
      <w:r w:rsidR="00E42901">
        <w:t>,</w:t>
      </w:r>
      <w:r w:rsidR="00E42901" w:rsidRPr="00E42901">
        <w:t xml:space="preserve"> Lionel, ‘Is Durkheim's “Sociologism” Outdated? Debating “Individualism” in Contemporary French Sociology of Religion’, </w:t>
      </w:r>
      <w:r w:rsidR="00E42901" w:rsidRPr="00E42901">
        <w:rPr>
          <w:i/>
          <w:iCs/>
        </w:rPr>
        <w:t>The Canadian Journal of Sociology / Cahiers canadiens de sociologie</w:t>
      </w:r>
      <w:r w:rsidR="00E42901" w:rsidRPr="00E42901">
        <w:t xml:space="preserve"> , Vol. 39, No. 4, Durkheim's Elementary Forms of Religious Life: Contemporary Engagements (2014), pp. 547-566</w:t>
      </w:r>
      <w:r>
        <w:t>.</w:t>
      </w:r>
    </w:p>
    <w:p w14:paraId="195C794E" w14:textId="63EB70A7" w:rsidR="00E42901" w:rsidRPr="001C3E47" w:rsidRDefault="00E42901" w:rsidP="00E42901">
      <w:r w:rsidRPr="00E42901">
        <w:t>Studstill</w:t>
      </w:r>
      <w:r w:rsidR="00E83367">
        <w:t>,</w:t>
      </w:r>
      <w:r w:rsidR="00E83367" w:rsidRPr="00E83367">
        <w:t xml:space="preserve"> </w:t>
      </w:r>
      <w:r w:rsidR="00E83367" w:rsidRPr="00E42901">
        <w:t>Randall</w:t>
      </w:r>
      <w:r w:rsidRPr="00E42901">
        <w:t xml:space="preserve">, ‘Eliade, Phenomenology, and the Sacred Source’, </w:t>
      </w:r>
      <w:r w:rsidRPr="00E42901">
        <w:rPr>
          <w:i/>
          <w:iCs/>
        </w:rPr>
        <w:t>Religious Studies</w:t>
      </w:r>
      <w:r w:rsidRPr="00E42901">
        <w:t>, June 2000, Vol. 36, No. 2, p</w:t>
      </w:r>
      <w:r w:rsidR="00E83367">
        <w:t>p. 177-194.</w:t>
      </w:r>
    </w:p>
    <w:sectPr w:rsidR="00E42901" w:rsidRPr="001C3E4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902724" w14:textId="77777777" w:rsidR="00832B3C" w:rsidRDefault="00832B3C" w:rsidP="00EF06F1">
      <w:pPr>
        <w:spacing w:after="0" w:line="240" w:lineRule="auto"/>
      </w:pPr>
      <w:r>
        <w:separator/>
      </w:r>
    </w:p>
  </w:endnote>
  <w:endnote w:type="continuationSeparator" w:id="0">
    <w:p w14:paraId="6EF30594" w14:textId="77777777" w:rsidR="00832B3C" w:rsidRDefault="00832B3C" w:rsidP="00EF06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76B42F" w14:textId="77777777" w:rsidR="00832B3C" w:rsidRDefault="00832B3C" w:rsidP="00EF06F1">
      <w:pPr>
        <w:spacing w:after="0" w:line="240" w:lineRule="auto"/>
      </w:pPr>
      <w:r>
        <w:separator/>
      </w:r>
    </w:p>
  </w:footnote>
  <w:footnote w:type="continuationSeparator" w:id="0">
    <w:p w14:paraId="0167958C" w14:textId="77777777" w:rsidR="00832B3C" w:rsidRDefault="00832B3C" w:rsidP="00EF06F1">
      <w:pPr>
        <w:spacing w:after="0" w:line="240" w:lineRule="auto"/>
      </w:pPr>
      <w:r>
        <w:continuationSeparator/>
      </w:r>
    </w:p>
  </w:footnote>
  <w:footnote w:id="1">
    <w:p w14:paraId="7ED975EF" w14:textId="4A33B212" w:rsidR="000E5749" w:rsidRPr="00E42513" w:rsidRDefault="000E5749" w:rsidP="00D94D58">
      <w:pPr>
        <w:pStyle w:val="FootnoteText"/>
        <w:rPr>
          <w:lang w:val="en-US"/>
        </w:rPr>
      </w:pPr>
      <w:r>
        <w:rPr>
          <w:rStyle w:val="FootnoteReference"/>
        </w:rPr>
        <w:footnoteRef/>
      </w:r>
      <w:r>
        <w:t xml:space="preserve"> </w:t>
      </w:r>
      <w:bookmarkStart w:id="5" w:name="_Hlk55417386"/>
      <w:r w:rsidRPr="00267558">
        <w:t xml:space="preserve">Emile Durkheim, </w:t>
      </w:r>
      <w:r w:rsidRPr="00267558">
        <w:rPr>
          <w:i/>
          <w:iCs/>
        </w:rPr>
        <w:t>The Elementary Forms of Religious Life,</w:t>
      </w:r>
      <w:r w:rsidRPr="00267558">
        <w:t xml:space="preserve"> translated and introduced by Karen E. Fields, (New York, London, Toronto, Sydney, Tokyo, Singapore: The Free Press, Simon and Schuster, Inc. [1912] 1995</w:t>
      </w:r>
      <w:bookmarkEnd w:id="5"/>
      <w:r w:rsidRPr="00267558">
        <w:t>)</w:t>
      </w:r>
      <w:r w:rsidR="00514908">
        <w:t>;</w:t>
      </w:r>
      <w:bookmarkStart w:id="6" w:name="_Hlk55421592"/>
      <w:r w:rsidR="00CB15D5">
        <w:t xml:space="preserve"> </w:t>
      </w:r>
      <w:r w:rsidRPr="00267558">
        <w:t xml:space="preserve">Mircea </w:t>
      </w:r>
      <w:r w:rsidRPr="00267558">
        <w:rPr>
          <w:lang w:val="en-US"/>
        </w:rPr>
        <w:t xml:space="preserve">Eliade, </w:t>
      </w:r>
      <w:r w:rsidRPr="00267558">
        <w:rPr>
          <w:i/>
          <w:iCs/>
          <w:lang w:val="en-US"/>
        </w:rPr>
        <w:t>The Sacred and the Profane: The Nature of Religion</w:t>
      </w:r>
      <w:r w:rsidRPr="00267558">
        <w:rPr>
          <w:lang w:val="en-US"/>
        </w:rPr>
        <w:t>, translated from the French by William Trask, (New York: A Harvest Book, Harcourt, Brace and World, Inc., 1957)</w:t>
      </w:r>
      <w:bookmarkEnd w:id="6"/>
    </w:p>
  </w:footnote>
  <w:footnote w:id="2">
    <w:p w14:paraId="3E46A8CF" w14:textId="7CA7FC66" w:rsidR="000E5749" w:rsidRPr="00161F49" w:rsidRDefault="000E5749">
      <w:pPr>
        <w:pStyle w:val="FootnoteText"/>
        <w:rPr>
          <w:lang w:val="en-US"/>
        </w:rPr>
      </w:pPr>
      <w:r>
        <w:rPr>
          <w:rStyle w:val="FootnoteReference"/>
        </w:rPr>
        <w:footnoteRef/>
      </w:r>
      <w:r>
        <w:t xml:space="preserve"> </w:t>
      </w:r>
      <w:r w:rsidRPr="00161F49">
        <w:t>Åke Hultkrantz</w:t>
      </w:r>
      <w:r>
        <w:t>,</w:t>
      </w:r>
      <w:r w:rsidRPr="00161F49">
        <w:t xml:space="preserve"> </w:t>
      </w:r>
      <w:r>
        <w:t>‘</w:t>
      </w:r>
      <w:r w:rsidRPr="00161F49">
        <w:t>The Concept of the Supernatural in Primal Religion</w:t>
      </w:r>
      <w:r>
        <w:t>’,</w:t>
      </w:r>
      <w:r w:rsidRPr="00161F49">
        <w:t xml:space="preserve"> </w:t>
      </w:r>
      <w:r w:rsidRPr="00161F49">
        <w:rPr>
          <w:i/>
          <w:iCs/>
        </w:rPr>
        <w:t>History of Religions</w:t>
      </w:r>
      <w:r w:rsidRPr="00161F49">
        <w:t xml:space="preserve">, Feb., 1983, Vol. 22, No. 3 (Feb., 1983), </w:t>
      </w:r>
      <w:r>
        <w:t>p. 242</w:t>
      </w:r>
      <w:r w:rsidR="000936C2">
        <w:t>.</w:t>
      </w:r>
    </w:p>
  </w:footnote>
  <w:footnote w:id="3">
    <w:p w14:paraId="4461B8C2" w14:textId="70AC51A6" w:rsidR="000E5749" w:rsidRPr="00514908" w:rsidRDefault="000E5749">
      <w:pPr>
        <w:pStyle w:val="FootnoteText"/>
        <w:rPr>
          <w:lang w:val="de-DE"/>
        </w:rPr>
      </w:pPr>
      <w:r>
        <w:rPr>
          <w:rStyle w:val="FootnoteReference"/>
        </w:rPr>
        <w:footnoteRef/>
      </w:r>
      <w:r w:rsidRPr="00514908">
        <w:rPr>
          <w:lang w:val="de-DE"/>
        </w:rPr>
        <w:t xml:space="preserve"> Durkheim, pp. 21-44</w:t>
      </w:r>
      <w:r w:rsidR="000936C2" w:rsidRPr="00514908">
        <w:rPr>
          <w:lang w:val="de-DE"/>
        </w:rPr>
        <w:t>.</w:t>
      </w:r>
    </w:p>
  </w:footnote>
  <w:footnote w:id="4">
    <w:p w14:paraId="3E15DF81" w14:textId="1914E7E7" w:rsidR="002B5614" w:rsidRPr="00514908" w:rsidRDefault="002B5614" w:rsidP="002B5614">
      <w:pPr>
        <w:pStyle w:val="FootnoteText"/>
        <w:rPr>
          <w:lang w:val="de-DE"/>
        </w:rPr>
      </w:pPr>
      <w:r>
        <w:rPr>
          <w:rStyle w:val="FootnoteReference"/>
        </w:rPr>
        <w:footnoteRef/>
      </w:r>
      <w:r w:rsidRPr="00514908">
        <w:rPr>
          <w:lang w:val="de-DE"/>
        </w:rPr>
        <w:t xml:space="preserve"> Durkheim, pp. 8, 44.</w:t>
      </w:r>
    </w:p>
  </w:footnote>
  <w:footnote w:id="5">
    <w:p w14:paraId="031E957C" w14:textId="4E835A11" w:rsidR="00F94B91" w:rsidRPr="00514908" w:rsidRDefault="00F94B91">
      <w:pPr>
        <w:pStyle w:val="FootnoteText"/>
        <w:rPr>
          <w:lang w:val="de-DE"/>
        </w:rPr>
      </w:pPr>
      <w:r>
        <w:rPr>
          <w:rStyle w:val="FootnoteReference"/>
        </w:rPr>
        <w:footnoteRef/>
      </w:r>
      <w:r w:rsidRPr="00514908">
        <w:rPr>
          <w:lang w:val="de-DE"/>
        </w:rPr>
        <w:t xml:space="preserve"> Durkheim, p. 34</w:t>
      </w:r>
    </w:p>
  </w:footnote>
  <w:footnote w:id="6">
    <w:p w14:paraId="64E5370C" w14:textId="2EFBD7AA" w:rsidR="000E5749" w:rsidRPr="00CB15D5" w:rsidRDefault="000E5749" w:rsidP="00AB3D57">
      <w:pPr>
        <w:pStyle w:val="FootnoteText"/>
      </w:pPr>
      <w:r>
        <w:rPr>
          <w:rStyle w:val="FootnoteReference"/>
        </w:rPr>
        <w:footnoteRef/>
      </w:r>
      <w:r w:rsidRPr="00B41E11">
        <w:t xml:space="preserve"> Christiane Barth</w:t>
      </w:r>
      <w:r>
        <w:t>,</w:t>
      </w:r>
      <w:r w:rsidRPr="00B41E11">
        <w:t xml:space="preserve"> </w:t>
      </w:r>
      <w:r>
        <w:t>‘”</w:t>
      </w:r>
      <w:r w:rsidRPr="00CB15D5">
        <w:rPr>
          <w:i/>
          <w:iCs/>
        </w:rPr>
        <w:t>In illo tempore</w:t>
      </w:r>
      <w:r w:rsidRPr="00B41E11">
        <w:t>, at the Center of the World": Mircea Eliade and Religious Studies' Concepts of Sacred Time and Space</w:t>
      </w:r>
      <w:r>
        <w:t xml:space="preserve">’, </w:t>
      </w:r>
      <w:r w:rsidRPr="00D94D58">
        <w:rPr>
          <w:i/>
          <w:iCs/>
        </w:rPr>
        <w:t>Historical Social Research / Historische Sozialforschung</w:t>
      </w:r>
      <w:r w:rsidRPr="00B41E11">
        <w:t>, 2013, Vol. 38, No. 3 (145), Space/Time Practices and the Production of Space and Time (2013), p. 61</w:t>
      </w:r>
      <w:r w:rsidR="000936C2">
        <w:t>.</w:t>
      </w:r>
      <w:r w:rsidR="00CB15D5">
        <w:t xml:space="preserve">; </w:t>
      </w:r>
      <w:r w:rsidRPr="00CB15D5">
        <w:t>Durkheim, p. 45</w:t>
      </w:r>
      <w:r w:rsidR="000936C2" w:rsidRPr="00CB15D5">
        <w:t>.</w:t>
      </w:r>
    </w:p>
  </w:footnote>
  <w:footnote w:id="7">
    <w:p w14:paraId="487DBB20" w14:textId="77777777" w:rsidR="000E5749" w:rsidRPr="00CE13FF" w:rsidRDefault="000E5749" w:rsidP="00AB3D57">
      <w:pPr>
        <w:pStyle w:val="FootnoteText"/>
        <w:rPr>
          <w:lang w:val="de-DE"/>
        </w:rPr>
      </w:pPr>
      <w:r>
        <w:rPr>
          <w:rStyle w:val="FootnoteReference"/>
        </w:rPr>
        <w:footnoteRef/>
      </w:r>
      <w:r w:rsidRPr="00245657">
        <w:rPr>
          <w:lang w:val="de-DE"/>
        </w:rPr>
        <w:t xml:space="preserve"> Durkheim, p. </w:t>
      </w:r>
      <w:r>
        <w:rPr>
          <w:lang w:val="de-DE"/>
        </w:rPr>
        <w:t>18</w:t>
      </w:r>
      <w:r w:rsidRPr="00245657">
        <w:rPr>
          <w:lang w:val="de-DE"/>
        </w:rPr>
        <w:t xml:space="preserve">. </w:t>
      </w:r>
    </w:p>
  </w:footnote>
  <w:footnote w:id="8">
    <w:p w14:paraId="52319898" w14:textId="51C6E0A7" w:rsidR="000E5749" w:rsidRPr="002B5614" w:rsidRDefault="000E5749">
      <w:pPr>
        <w:pStyle w:val="FootnoteText"/>
        <w:rPr>
          <w:lang w:val="de-DE"/>
        </w:rPr>
      </w:pPr>
      <w:r>
        <w:rPr>
          <w:rStyle w:val="FootnoteReference"/>
        </w:rPr>
        <w:footnoteRef/>
      </w:r>
      <w:r w:rsidRPr="002B5614">
        <w:rPr>
          <w:lang w:val="de-DE"/>
        </w:rPr>
        <w:t xml:space="preserve"> Durkheim, p. 4.</w:t>
      </w:r>
    </w:p>
  </w:footnote>
  <w:footnote w:id="9">
    <w:p w14:paraId="7EA1A371" w14:textId="3C729E1B" w:rsidR="000E5749" w:rsidRPr="00AB3D57" w:rsidRDefault="000E5749">
      <w:pPr>
        <w:pStyle w:val="FootnoteText"/>
      </w:pPr>
      <w:r>
        <w:rPr>
          <w:rStyle w:val="FootnoteReference"/>
        </w:rPr>
        <w:footnoteRef/>
      </w:r>
      <w:r>
        <w:t xml:space="preserve"> Durkheim, p.</w:t>
      </w:r>
      <w:r w:rsidR="000936C2">
        <w:t xml:space="preserve"> 11.</w:t>
      </w:r>
    </w:p>
  </w:footnote>
  <w:footnote w:id="10">
    <w:p w14:paraId="157C7BBC" w14:textId="7514B1C6" w:rsidR="000E5749" w:rsidRPr="00B41E11" w:rsidRDefault="000E5749">
      <w:pPr>
        <w:pStyle w:val="FootnoteText"/>
      </w:pPr>
      <w:r>
        <w:rPr>
          <w:rStyle w:val="FootnoteReference"/>
        </w:rPr>
        <w:footnoteRef/>
      </w:r>
      <w:r w:rsidRPr="00B41E11">
        <w:t xml:space="preserve"> Lionel Obadia</w:t>
      </w:r>
      <w:r>
        <w:t>,</w:t>
      </w:r>
      <w:r w:rsidRPr="00B41E11">
        <w:t xml:space="preserve"> </w:t>
      </w:r>
      <w:r>
        <w:t>‘</w:t>
      </w:r>
      <w:r w:rsidRPr="00B41E11">
        <w:t>Is Durkheim's “Sociologism” Outdated? Debating “Individualism” in Contemporary French Sociology of Religion</w:t>
      </w:r>
      <w:r>
        <w:t xml:space="preserve">’, </w:t>
      </w:r>
      <w:r w:rsidRPr="00D94D58">
        <w:rPr>
          <w:i/>
          <w:iCs/>
        </w:rPr>
        <w:t>The Canadian Journal of Sociology / Cahiers canadiens de sociologie</w:t>
      </w:r>
      <w:r w:rsidRPr="00B41E11">
        <w:t xml:space="preserve"> , Vol. 39, No. 4, Durkheim's Elementary Forms of Religious Life: Contemporary Engagements (2014), p. 556</w:t>
      </w:r>
      <w:r w:rsidR="00F94B91">
        <w:t>.</w:t>
      </w:r>
    </w:p>
  </w:footnote>
  <w:footnote w:id="11">
    <w:p w14:paraId="6D81E80F" w14:textId="2EB2A730" w:rsidR="000E5749" w:rsidRPr="002B5614" w:rsidRDefault="000E5749">
      <w:pPr>
        <w:pStyle w:val="FootnoteText"/>
        <w:rPr>
          <w:lang w:val="de-DE"/>
        </w:rPr>
      </w:pPr>
      <w:r>
        <w:rPr>
          <w:rStyle w:val="FootnoteReference"/>
        </w:rPr>
        <w:footnoteRef/>
      </w:r>
      <w:r w:rsidRPr="002B5614">
        <w:rPr>
          <w:lang w:val="de-DE"/>
        </w:rPr>
        <w:t xml:space="preserve"> Durkheim, p. 35, 38.</w:t>
      </w:r>
    </w:p>
  </w:footnote>
  <w:footnote w:id="12">
    <w:p w14:paraId="0F2DA609" w14:textId="5AD9A662" w:rsidR="000E5749" w:rsidRPr="000936C2" w:rsidRDefault="000E5749">
      <w:pPr>
        <w:pStyle w:val="FootnoteText"/>
        <w:rPr>
          <w:lang w:val="de-DE"/>
        </w:rPr>
      </w:pPr>
      <w:r>
        <w:rPr>
          <w:rStyle w:val="FootnoteReference"/>
        </w:rPr>
        <w:footnoteRef/>
      </w:r>
      <w:r w:rsidRPr="000936C2">
        <w:rPr>
          <w:lang w:val="de-DE"/>
        </w:rPr>
        <w:t xml:space="preserve"> </w:t>
      </w:r>
      <w:r w:rsidR="000936C2" w:rsidRPr="000936C2">
        <w:rPr>
          <w:lang w:val="de-DE"/>
        </w:rPr>
        <w:t>Durkheim, p. 36</w:t>
      </w:r>
      <w:r w:rsidR="000936C2">
        <w:rPr>
          <w:lang w:val="de-DE"/>
        </w:rPr>
        <w:t>.</w:t>
      </w:r>
    </w:p>
  </w:footnote>
  <w:footnote w:id="13">
    <w:p w14:paraId="5CF50F7E" w14:textId="6AD0D74A" w:rsidR="000936C2" w:rsidRPr="000936C2" w:rsidRDefault="000936C2">
      <w:pPr>
        <w:pStyle w:val="FootnoteText"/>
        <w:rPr>
          <w:lang w:val="de-DE"/>
        </w:rPr>
      </w:pPr>
      <w:r>
        <w:rPr>
          <w:rStyle w:val="FootnoteReference"/>
        </w:rPr>
        <w:footnoteRef/>
      </w:r>
      <w:r w:rsidRPr="000936C2">
        <w:rPr>
          <w:lang w:val="de-DE"/>
        </w:rPr>
        <w:t xml:space="preserve"> Durkheim, p. 36</w:t>
      </w:r>
      <w:r>
        <w:rPr>
          <w:lang w:val="de-DE"/>
        </w:rPr>
        <w:t>.</w:t>
      </w:r>
    </w:p>
  </w:footnote>
  <w:footnote w:id="14">
    <w:p w14:paraId="635E5329" w14:textId="3B84880A" w:rsidR="00790472" w:rsidRPr="00514908" w:rsidRDefault="00790472">
      <w:pPr>
        <w:pStyle w:val="FootnoteText"/>
      </w:pPr>
      <w:r>
        <w:rPr>
          <w:rStyle w:val="FootnoteReference"/>
        </w:rPr>
        <w:footnoteRef/>
      </w:r>
      <w:r w:rsidRPr="00514908">
        <w:t xml:space="preserve"> Durkheim, p. </w:t>
      </w:r>
      <w:r w:rsidR="00E42901" w:rsidRPr="00514908">
        <w:t>36</w:t>
      </w:r>
    </w:p>
  </w:footnote>
  <w:footnote w:id="15">
    <w:p w14:paraId="4CFBE13C" w14:textId="68E01BFB" w:rsidR="000E5749" w:rsidRPr="00514908" w:rsidRDefault="000E5749" w:rsidP="002C42C0">
      <w:pPr>
        <w:pStyle w:val="FootnoteText"/>
      </w:pPr>
      <w:r>
        <w:rPr>
          <w:rStyle w:val="FootnoteReference"/>
        </w:rPr>
        <w:footnoteRef/>
      </w:r>
      <w:r w:rsidRPr="00514908">
        <w:t xml:space="preserve"> Eliade, </w:t>
      </w:r>
      <w:r w:rsidR="000936C2" w:rsidRPr="00514908">
        <w:t>p. 11-12.</w:t>
      </w:r>
    </w:p>
  </w:footnote>
  <w:footnote w:id="16">
    <w:p w14:paraId="34CF1D66" w14:textId="789E4DD0" w:rsidR="000E5749" w:rsidRPr="004A3836" w:rsidRDefault="000E5749" w:rsidP="002C42C0">
      <w:pPr>
        <w:pStyle w:val="FootnoteText"/>
        <w:rPr>
          <w:lang w:val="en-US"/>
        </w:rPr>
      </w:pPr>
      <w:r>
        <w:rPr>
          <w:rStyle w:val="FootnoteReference"/>
        </w:rPr>
        <w:footnoteRef/>
      </w:r>
      <w:r>
        <w:t xml:space="preserve"> </w:t>
      </w:r>
      <w:r w:rsidRPr="00A16D2B">
        <w:t xml:space="preserve">Randall Studstill, ‘Eliade, Phenomenology, and the Sacred Source’, </w:t>
      </w:r>
      <w:r w:rsidRPr="00A16D2B">
        <w:rPr>
          <w:i/>
          <w:iCs/>
        </w:rPr>
        <w:t>Religious Studies</w:t>
      </w:r>
      <w:r w:rsidRPr="00A16D2B">
        <w:t>, June 2000, Vol. 36, No. 2</w:t>
      </w:r>
      <w:r>
        <w:t>, p.</w:t>
      </w:r>
      <w:r>
        <w:rPr>
          <w:lang w:val="en-US"/>
        </w:rPr>
        <w:t xml:space="preserve"> 181</w:t>
      </w:r>
      <w:r w:rsidR="000936C2">
        <w:rPr>
          <w:lang w:val="en-US"/>
        </w:rPr>
        <w:t>.</w:t>
      </w:r>
    </w:p>
  </w:footnote>
  <w:footnote w:id="17">
    <w:p w14:paraId="05C648AC" w14:textId="6C1C1866" w:rsidR="000E5749" w:rsidRPr="00E9702D" w:rsidRDefault="000E5749">
      <w:pPr>
        <w:pStyle w:val="FootnoteText"/>
        <w:rPr>
          <w:lang w:val="en-US"/>
        </w:rPr>
      </w:pPr>
      <w:r>
        <w:rPr>
          <w:rStyle w:val="FootnoteReference"/>
        </w:rPr>
        <w:footnoteRef/>
      </w:r>
      <w:r>
        <w:t xml:space="preserve"> </w:t>
      </w:r>
      <w:r>
        <w:rPr>
          <w:lang w:val="en-US"/>
        </w:rPr>
        <w:t>Eliade, p. 11</w:t>
      </w:r>
      <w:r w:rsidR="000936C2">
        <w:rPr>
          <w:lang w:val="en-US"/>
        </w:rPr>
        <w:t>.</w:t>
      </w:r>
      <w:r>
        <w:rPr>
          <w:lang w:val="en-US"/>
        </w:rPr>
        <w:t xml:space="preserve"> </w:t>
      </w:r>
    </w:p>
  </w:footnote>
  <w:footnote w:id="18">
    <w:p w14:paraId="13308174" w14:textId="3FCD6920" w:rsidR="000E5749" w:rsidRPr="00AE01B7" w:rsidRDefault="000E5749">
      <w:pPr>
        <w:pStyle w:val="FootnoteText"/>
        <w:rPr>
          <w:lang w:val="en-US"/>
        </w:rPr>
      </w:pPr>
      <w:r>
        <w:rPr>
          <w:rStyle w:val="FootnoteReference"/>
        </w:rPr>
        <w:footnoteRef/>
      </w:r>
      <w:r>
        <w:t xml:space="preserve"> </w:t>
      </w:r>
      <w:r>
        <w:rPr>
          <w:lang w:val="en-US"/>
        </w:rPr>
        <w:t>Eliade, p. 63</w:t>
      </w:r>
      <w:r w:rsidR="000936C2">
        <w:rPr>
          <w:lang w:val="en-US"/>
        </w:rPr>
        <w:t>.</w:t>
      </w:r>
    </w:p>
  </w:footnote>
  <w:footnote w:id="19">
    <w:p w14:paraId="091DCDF3" w14:textId="4646CDD6" w:rsidR="000E5749" w:rsidRPr="004A3836" w:rsidRDefault="000E5749" w:rsidP="002C42C0">
      <w:pPr>
        <w:pStyle w:val="FootnoteText"/>
        <w:rPr>
          <w:lang w:val="en-US"/>
        </w:rPr>
      </w:pPr>
      <w:r>
        <w:rPr>
          <w:rStyle w:val="FootnoteReference"/>
        </w:rPr>
        <w:footnoteRef/>
      </w:r>
      <w:r>
        <w:t xml:space="preserve"> Studstill, </w:t>
      </w:r>
      <w:r>
        <w:rPr>
          <w:lang w:val="en-US"/>
        </w:rPr>
        <w:t>p.182</w:t>
      </w:r>
      <w:r w:rsidR="000936C2">
        <w:rPr>
          <w:lang w:val="en-US"/>
        </w:rPr>
        <w:t>.</w:t>
      </w:r>
    </w:p>
  </w:footnote>
  <w:footnote w:id="20">
    <w:p w14:paraId="6903F5ED" w14:textId="25536316" w:rsidR="000E5749" w:rsidRPr="00432E02" w:rsidRDefault="000E5749">
      <w:pPr>
        <w:pStyle w:val="FootnoteText"/>
        <w:rPr>
          <w:lang w:val="en-US"/>
        </w:rPr>
      </w:pPr>
      <w:r>
        <w:rPr>
          <w:rStyle w:val="FootnoteReference"/>
        </w:rPr>
        <w:footnoteRef/>
      </w:r>
      <w:r>
        <w:t xml:space="preserve"> </w:t>
      </w:r>
      <w:r>
        <w:rPr>
          <w:lang w:val="en-US"/>
        </w:rPr>
        <w:t>Barth, p. 65</w:t>
      </w:r>
      <w:r w:rsidR="000936C2">
        <w:rPr>
          <w:lang w:val="en-US"/>
        </w:rPr>
        <w:t>.</w:t>
      </w:r>
    </w:p>
  </w:footnote>
  <w:footnote w:id="21">
    <w:p w14:paraId="62836477" w14:textId="288C268B" w:rsidR="000E5749" w:rsidRPr="000936C2" w:rsidRDefault="000E5749" w:rsidP="00772488">
      <w:pPr>
        <w:pStyle w:val="FootnoteText"/>
      </w:pPr>
      <w:r>
        <w:rPr>
          <w:rStyle w:val="FootnoteReference"/>
        </w:rPr>
        <w:footnoteRef/>
      </w:r>
      <w:r w:rsidRPr="000936C2">
        <w:t xml:space="preserve"> Eliade</w:t>
      </w:r>
      <w:r w:rsidR="00E42901">
        <w:t>,</w:t>
      </w:r>
      <w:r w:rsidRPr="000936C2">
        <w:t xml:space="preserve"> p. 21-22</w:t>
      </w:r>
      <w:r w:rsidR="000936C2" w:rsidRPr="000936C2">
        <w:t>.</w:t>
      </w:r>
      <w:r w:rsidRPr="000936C2">
        <w:t xml:space="preserve"> </w:t>
      </w:r>
    </w:p>
  </w:footnote>
  <w:footnote w:id="22">
    <w:p w14:paraId="704F6385" w14:textId="7A42A60B" w:rsidR="000E5749" w:rsidRPr="002B5614" w:rsidRDefault="000E5749" w:rsidP="00CB15D5">
      <w:pPr>
        <w:pStyle w:val="FootnoteText"/>
        <w:rPr>
          <w:lang w:val="de-DE"/>
        </w:rPr>
      </w:pPr>
      <w:r>
        <w:rPr>
          <w:rStyle w:val="FootnoteReference"/>
        </w:rPr>
        <w:footnoteRef/>
      </w:r>
      <w:r w:rsidRPr="000936C2">
        <w:t xml:space="preserve"> Eliade, p 11-12</w:t>
      </w:r>
      <w:r w:rsidR="00CB15D5">
        <w:t>;</w:t>
      </w:r>
      <w:r w:rsidRPr="000936C2">
        <w:t xml:space="preserve"> </w:t>
      </w:r>
      <w:r w:rsidR="003F031A" w:rsidRPr="002B5614">
        <w:rPr>
          <w:lang w:val="de-DE"/>
        </w:rPr>
        <w:t>Durkheim, p. 41</w:t>
      </w:r>
      <w:r w:rsidR="000936C2" w:rsidRPr="002B5614">
        <w:rPr>
          <w:lang w:val="de-DE"/>
        </w:rPr>
        <w:t>.</w:t>
      </w:r>
    </w:p>
  </w:footnote>
  <w:footnote w:id="23">
    <w:p w14:paraId="6B08F207" w14:textId="311C555D" w:rsidR="000E5749" w:rsidRPr="00B95530" w:rsidRDefault="000E5749">
      <w:pPr>
        <w:pStyle w:val="FootnoteText"/>
        <w:rPr>
          <w:lang w:val="de-DE"/>
        </w:rPr>
      </w:pPr>
      <w:r>
        <w:rPr>
          <w:rStyle w:val="FootnoteReference"/>
        </w:rPr>
        <w:footnoteRef/>
      </w:r>
      <w:r w:rsidRPr="00B95530">
        <w:rPr>
          <w:lang w:val="de-DE"/>
        </w:rPr>
        <w:t xml:space="preserve"> Du</w:t>
      </w:r>
      <w:r>
        <w:rPr>
          <w:lang w:val="de-DE"/>
        </w:rPr>
        <w:t>rkheim, pp. 8-9.; Eliade, p. 11</w:t>
      </w:r>
      <w:r w:rsidR="000936C2">
        <w:rPr>
          <w:lang w:val="de-DE"/>
        </w:rPr>
        <w:t>.</w:t>
      </w:r>
    </w:p>
  </w:footnote>
  <w:footnote w:id="24">
    <w:p w14:paraId="4E6BB1A4" w14:textId="3C944B78" w:rsidR="000936C2" w:rsidRPr="000936C2" w:rsidRDefault="000936C2">
      <w:pPr>
        <w:pStyle w:val="FootnoteText"/>
        <w:rPr>
          <w:lang w:val="de-DE"/>
        </w:rPr>
      </w:pPr>
      <w:r>
        <w:rPr>
          <w:rStyle w:val="FootnoteReference"/>
        </w:rPr>
        <w:footnoteRef/>
      </w:r>
      <w:r w:rsidRPr="000936C2">
        <w:rPr>
          <w:lang w:val="de-DE"/>
        </w:rPr>
        <w:t xml:space="preserve"> </w:t>
      </w:r>
      <w:r>
        <w:rPr>
          <w:lang w:val="de-DE"/>
        </w:rPr>
        <w:t>Durkheim, pp. 36, 34.</w:t>
      </w:r>
    </w:p>
  </w:footnote>
  <w:footnote w:id="25">
    <w:p w14:paraId="298E92F7" w14:textId="558CA8EF" w:rsidR="000936C2" w:rsidRPr="002B5614" w:rsidRDefault="000936C2">
      <w:pPr>
        <w:pStyle w:val="FootnoteText"/>
        <w:rPr>
          <w:lang w:val="de-DE"/>
        </w:rPr>
      </w:pPr>
      <w:r>
        <w:rPr>
          <w:rStyle w:val="FootnoteReference"/>
        </w:rPr>
        <w:footnoteRef/>
      </w:r>
      <w:r w:rsidRPr="002B5614">
        <w:rPr>
          <w:lang w:val="de-DE"/>
        </w:rPr>
        <w:t xml:space="preserve"> Eliade, pp. 11-13.</w:t>
      </w:r>
    </w:p>
  </w:footnote>
  <w:footnote w:id="26">
    <w:p w14:paraId="2024ECF5" w14:textId="583B5674" w:rsidR="000E5749" w:rsidRPr="002B5614" w:rsidRDefault="000E5749">
      <w:pPr>
        <w:pStyle w:val="FootnoteText"/>
        <w:rPr>
          <w:lang w:val="de-DE"/>
        </w:rPr>
      </w:pPr>
      <w:r>
        <w:rPr>
          <w:rStyle w:val="FootnoteReference"/>
        </w:rPr>
        <w:footnoteRef/>
      </w:r>
      <w:r w:rsidRPr="002B5614">
        <w:rPr>
          <w:lang w:val="de-DE"/>
        </w:rPr>
        <w:t xml:space="preserve"> Studstill, p. 183</w:t>
      </w:r>
      <w:r w:rsidR="000936C2" w:rsidRPr="002B5614">
        <w:rPr>
          <w:lang w:val="de-DE"/>
        </w:rPr>
        <w:t>.</w:t>
      </w:r>
    </w:p>
  </w:footnote>
  <w:footnote w:id="27">
    <w:p w14:paraId="2E6EF8CD" w14:textId="66924472" w:rsidR="000E5749" w:rsidRPr="00360E27" w:rsidRDefault="000E5749">
      <w:pPr>
        <w:pStyle w:val="FootnoteText"/>
      </w:pPr>
      <w:r>
        <w:rPr>
          <w:rStyle w:val="FootnoteReference"/>
        </w:rPr>
        <w:footnoteRef/>
      </w:r>
      <w:r w:rsidRPr="00360E27">
        <w:t xml:space="preserve"> </w:t>
      </w:r>
      <w:r w:rsidR="00360E27" w:rsidRPr="00360E27">
        <w:t>Ronjon Paul Datta and Tara Hope Milbrandt</w:t>
      </w:r>
      <w:r w:rsidR="00360E27">
        <w:t>, ‘</w:t>
      </w:r>
      <w:r w:rsidR="00360E27" w:rsidRPr="00360E27">
        <w:t>The Elementary Forms of Religious Life: Discursive Monument, Symbolic Feast</w:t>
      </w:r>
      <w:r w:rsidR="00360E27">
        <w:t>’,</w:t>
      </w:r>
      <w:r w:rsidR="00360E27" w:rsidRPr="00360E27">
        <w:t xml:space="preserve"> </w:t>
      </w:r>
      <w:r w:rsidR="00360E27" w:rsidRPr="00360E27">
        <w:rPr>
          <w:i/>
          <w:iCs/>
        </w:rPr>
        <w:t>The Canadian Journal of Sociology / Cahiers canadiens de sociologie,</w:t>
      </w:r>
      <w:r w:rsidR="00360E27" w:rsidRPr="00360E27">
        <w:t xml:space="preserve"> Vol. 39, No. 4, Durkheim's Elementary Forms of Religious Life: Contemporary Engagements (2014), pp. 473-522</w:t>
      </w:r>
      <w:r w:rsidRPr="00360E27">
        <w:t>, p. 481</w:t>
      </w:r>
      <w:r w:rsidR="000936C2" w:rsidRPr="00360E27">
        <w:t>.</w:t>
      </w:r>
    </w:p>
  </w:footnote>
  <w:footnote w:id="28">
    <w:p w14:paraId="0E8344F1" w14:textId="517A9370" w:rsidR="00E83367" w:rsidRPr="00E83367" w:rsidRDefault="00E83367">
      <w:pPr>
        <w:pStyle w:val="FootnoteText"/>
      </w:pPr>
      <w:r>
        <w:rPr>
          <w:rStyle w:val="FootnoteReference"/>
        </w:rPr>
        <w:footnoteRef/>
      </w:r>
      <w:r>
        <w:t xml:space="preserve"> </w:t>
      </w:r>
      <w:r w:rsidRPr="00C37D3E">
        <w:t>Yvonne Niekrenz</w:t>
      </w:r>
      <w:r>
        <w:t>,</w:t>
      </w:r>
      <w:r w:rsidRPr="00C37D3E">
        <w:t xml:space="preserve"> </w:t>
      </w:r>
      <w:r>
        <w:t>‘</w:t>
      </w:r>
      <w:r w:rsidRPr="00C37D3E">
        <w:t>The Elementary Forms of Carnival: Collective Effervescence in Germany's Rhineland</w:t>
      </w:r>
      <w:r>
        <w:t xml:space="preserve">’, </w:t>
      </w:r>
      <w:r w:rsidRPr="004B7212">
        <w:rPr>
          <w:i/>
          <w:iCs/>
        </w:rPr>
        <w:t>The Canadian Journal of Sociology / Cahiers canadiens de sociologie</w:t>
      </w:r>
      <w:r w:rsidRPr="00C37D3E">
        <w:t xml:space="preserve"> , Vol. 39, No. 4, Durkheim's Elementary Forms of Religious Life: Contemporary Engagements (2014), pp. 643-666</w:t>
      </w:r>
      <w:r w:rsidR="00CB15D5">
        <w:t xml:space="preserve">; </w:t>
      </w:r>
      <w:r w:rsidRPr="00E83367">
        <w:t xml:space="preserve">John P. Bartkowski and W. Scott Swearingen, ‘God Meets Gaia in Austin, Texas: A Case Study of Environmentalism as Implicit Religion’, </w:t>
      </w:r>
      <w:r w:rsidRPr="00E83367">
        <w:rPr>
          <w:i/>
          <w:iCs/>
        </w:rPr>
        <w:t>Review of Religious Research</w:t>
      </w:r>
      <w:r w:rsidRPr="00E83367">
        <w:t>, June, 1997, Vol. 38, No. 4 (Jun., 1997), pp. 308- 324.</w:t>
      </w:r>
    </w:p>
  </w:footnote>
  <w:footnote w:id="29">
    <w:p w14:paraId="6C4E0D91" w14:textId="6677003C" w:rsidR="000E5749" w:rsidRPr="002B5614" w:rsidRDefault="000E5749">
      <w:pPr>
        <w:pStyle w:val="FootnoteText"/>
        <w:rPr>
          <w:lang w:val="de-DE"/>
        </w:rPr>
      </w:pPr>
      <w:r>
        <w:rPr>
          <w:rStyle w:val="FootnoteReference"/>
        </w:rPr>
        <w:footnoteRef/>
      </w:r>
      <w:r w:rsidRPr="002B5614">
        <w:rPr>
          <w:lang w:val="de-DE"/>
        </w:rPr>
        <w:t xml:space="preserve"> </w:t>
      </w:r>
      <w:r w:rsidR="00E83367" w:rsidRPr="002B5614">
        <w:rPr>
          <w:lang w:val="de-DE"/>
        </w:rPr>
        <w:t>Niekrenz, p. 643</w:t>
      </w:r>
      <w:r w:rsidR="00CB15D5">
        <w:rPr>
          <w:lang w:val="de-DE"/>
        </w:rPr>
        <w:t>.</w:t>
      </w:r>
    </w:p>
  </w:footnote>
  <w:footnote w:id="30">
    <w:p w14:paraId="4D88CAC5" w14:textId="695A6FCC" w:rsidR="005E3402" w:rsidRPr="002B5614" w:rsidRDefault="005E3402">
      <w:pPr>
        <w:pStyle w:val="FootnoteText"/>
        <w:rPr>
          <w:lang w:val="de-DE"/>
        </w:rPr>
      </w:pPr>
      <w:r>
        <w:rPr>
          <w:rStyle w:val="FootnoteReference"/>
        </w:rPr>
        <w:footnoteRef/>
      </w:r>
      <w:r w:rsidRPr="002B5614">
        <w:rPr>
          <w:lang w:val="de-DE"/>
        </w:rPr>
        <w:t xml:space="preserve"> Niekrenz, pp. 649-650.</w:t>
      </w:r>
    </w:p>
  </w:footnote>
  <w:footnote w:id="31">
    <w:p w14:paraId="3CBE348E" w14:textId="3454EDCD" w:rsidR="005E3402" w:rsidRPr="002B5614" w:rsidRDefault="005E3402">
      <w:pPr>
        <w:pStyle w:val="FootnoteText"/>
        <w:rPr>
          <w:lang w:val="de-DE"/>
        </w:rPr>
      </w:pPr>
      <w:r>
        <w:rPr>
          <w:rStyle w:val="FootnoteReference"/>
        </w:rPr>
        <w:footnoteRef/>
      </w:r>
      <w:r w:rsidRPr="002B5614">
        <w:rPr>
          <w:lang w:val="de-DE"/>
        </w:rPr>
        <w:t xml:space="preserve"> Niekrenz, pp. 651-652.</w:t>
      </w:r>
    </w:p>
  </w:footnote>
  <w:footnote w:id="32">
    <w:p w14:paraId="13C21D76" w14:textId="4A2439BA" w:rsidR="005E3402" w:rsidRPr="002B5614" w:rsidRDefault="005E3402">
      <w:pPr>
        <w:pStyle w:val="FootnoteText"/>
        <w:rPr>
          <w:lang w:val="de-DE"/>
        </w:rPr>
      </w:pPr>
      <w:r>
        <w:rPr>
          <w:rStyle w:val="FootnoteReference"/>
        </w:rPr>
        <w:footnoteRef/>
      </w:r>
      <w:r w:rsidRPr="002B5614">
        <w:rPr>
          <w:lang w:val="de-DE"/>
        </w:rPr>
        <w:t xml:space="preserve"> Niekrenz, p. 652.</w:t>
      </w:r>
    </w:p>
  </w:footnote>
  <w:footnote w:id="33">
    <w:p w14:paraId="0313DF18" w14:textId="002FA9BD" w:rsidR="005E3402" w:rsidRPr="002B5614" w:rsidRDefault="005E3402">
      <w:pPr>
        <w:pStyle w:val="FootnoteText"/>
        <w:rPr>
          <w:lang w:val="de-DE"/>
        </w:rPr>
      </w:pPr>
      <w:r>
        <w:rPr>
          <w:rStyle w:val="FootnoteReference"/>
        </w:rPr>
        <w:footnoteRef/>
      </w:r>
      <w:r w:rsidRPr="002B5614">
        <w:rPr>
          <w:lang w:val="de-DE"/>
        </w:rPr>
        <w:t xml:space="preserve"> Niekrenz</w:t>
      </w:r>
      <w:r w:rsidR="001D4C07" w:rsidRPr="002B5614">
        <w:rPr>
          <w:lang w:val="de-DE"/>
        </w:rPr>
        <w:t>, pp. 661-662.</w:t>
      </w:r>
    </w:p>
  </w:footnote>
  <w:footnote w:id="34">
    <w:p w14:paraId="10F0B75A" w14:textId="40E8D6ED" w:rsidR="000E5749" w:rsidRPr="002B5614" w:rsidRDefault="000E5749">
      <w:pPr>
        <w:pStyle w:val="FootnoteText"/>
        <w:rPr>
          <w:lang w:val="de-DE"/>
        </w:rPr>
      </w:pPr>
      <w:r>
        <w:rPr>
          <w:rStyle w:val="FootnoteReference"/>
        </w:rPr>
        <w:footnoteRef/>
      </w:r>
      <w:r w:rsidRPr="002B5614">
        <w:rPr>
          <w:lang w:val="de-DE"/>
        </w:rPr>
        <w:t xml:space="preserve"> </w:t>
      </w:r>
      <w:r w:rsidR="00E83367" w:rsidRPr="002B5614">
        <w:rPr>
          <w:lang w:val="de-DE"/>
        </w:rPr>
        <w:t xml:space="preserve">Bartkowski and Swearingen, </w:t>
      </w:r>
      <w:r w:rsidRPr="002B5614">
        <w:rPr>
          <w:lang w:val="de-DE"/>
        </w:rPr>
        <w:t>pp. 308- 324.</w:t>
      </w:r>
    </w:p>
  </w:footnote>
  <w:footnote w:id="35">
    <w:p w14:paraId="3E8F6ED4" w14:textId="355ED2B1" w:rsidR="000E5749" w:rsidRPr="001C3E47" w:rsidRDefault="000E5749">
      <w:pPr>
        <w:pStyle w:val="FootnoteText"/>
        <w:rPr>
          <w:lang w:val="en-US"/>
        </w:rPr>
      </w:pPr>
      <w:r>
        <w:rPr>
          <w:rStyle w:val="FootnoteReference"/>
        </w:rPr>
        <w:footnoteRef/>
      </w:r>
      <w:r>
        <w:t xml:space="preserve"> </w:t>
      </w:r>
      <w:r>
        <w:rPr>
          <w:lang w:val="en-US"/>
        </w:rPr>
        <w:t>Bartkowski and Swearingen, p. 313.</w:t>
      </w:r>
    </w:p>
  </w:footnote>
  <w:footnote w:id="36">
    <w:p w14:paraId="009F03F3" w14:textId="77BFD0FA" w:rsidR="001D4C07" w:rsidRPr="001D4C07" w:rsidRDefault="001D4C07">
      <w:pPr>
        <w:pStyle w:val="FootnoteText"/>
      </w:pPr>
      <w:r>
        <w:rPr>
          <w:rStyle w:val="FootnoteReference"/>
        </w:rPr>
        <w:footnoteRef/>
      </w:r>
      <w:r>
        <w:t xml:space="preserve"> </w:t>
      </w:r>
      <w:r w:rsidRPr="001D4C07">
        <w:rPr>
          <w:lang w:val="en-US"/>
        </w:rPr>
        <w:t>Bartkowski and Swearingen, p</w:t>
      </w:r>
      <w:r>
        <w:rPr>
          <w:lang w:val="en-US"/>
        </w:rPr>
        <w:t>p. 313-319.</w:t>
      </w:r>
    </w:p>
  </w:footnote>
  <w:footnote w:id="37">
    <w:p w14:paraId="3F25DEE7" w14:textId="358B2031" w:rsidR="000E5749" w:rsidRPr="004556CC" w:rsidRDefault="000E5749">
      <w:pPr>
        <w:pStyle w:val="FootnoteText"/>
        <w:rPr>
          <w:lang w:val="en-US"/>
        </w:rPr>
      </w:pPr>
      <w:r>
        <w:rPr>
          <w:rStyle w:val="FootnoteReference"/>
        </w:rPr>
        <w:footnoteRef/>
      </w:r>
      <w:r>
        <w:t xml:space="preserve"> </w:t>
      </w:r>
      <w:r w:rsidRPr="004556CC">
        <w:rPr>
          <w:lang w:val="en-US"/>
        </w:rPr>
        <w:t>Bartkowski and Swearingen, p</w:t>
      </w:r>
      <w:r>
        <w:rPr>
          <w:lang w:val="en-US"/>
        </w:rPr>
        <w:t>p. 312, 321.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646"/>
    <w:rsid w:val="000051DE"/>
    <w:rsid w:val="00072BCA"/>
    <w:rsid w:val="00073CCE"/>
    <w:rsid w:val="000916A6"/>
    <w:rsid w:val="000936C2"/>
    <w:rsid w:val="000B0453"/>
    <w:rsid w:val="000E5749"/>
    <w:rsid w:val="00161F49"/>
    <w:rsid w:val="0019194A"/>
    <w:rsid w:val="001A188A"/>
    <w:rsid w:val="001A3D37"/>
    <w:rsid w:val="001C3E47"/>
    <w:rsid w:val="001D4C07"/>
    <w:rsid w:val="00212F72"/>
    <w:rsid w:val="0023123F"/>
    <w:rsid w:val="00231FCA"/>
    <w:rsid w:val="00245657"/>
    <w:rsid w:val="00267558"/>
    <w:rsid w:val="002B5614"/>
    <w:rsid w:val="002C42C0"/>
    <w:rsid w:val="0031492E"/>
    <w:rsid w:val="003204CF"/>
    <w:rsid w:val="003248D3"/>
    <w:rsid w:val="00353995"/>
    <w:rsid w:val="00360E27"/>
    <w:rsid w:val="003C3EE1"/>
    <w:rsid w:val="003E7721"/>
    <w:rsid w:val="003F031A"/>
    <w:rsid w:val="00432E02"/>
    <w:rsid w:val="00452803"/>
    <w:rsid w:val="004556CC"/>
    <w:rsid w:val="00476469"/>
    <w:rsid w:val="004A3836"/>
    <w:rsid w:val="004B0F97"/>
    <w:rsid w:val="004B7212"/>
    <w:rsid w:val="004B73E3"/>
    <w:rsid w:val="004C0F4B"/>
    <w:rsid w:val="00512956"/>
    <w:rsid w:val="00514908"/>
    <w:rsid w:val="0053001F"/>
    <w:rsid w:val="00531972"/>
    <w:rsid w:val="005659C1"/>
    <w:rsid w:val="00574916"/>
    <w:rsid w:val="00584B1E"/>
    <w:rsid w:val="005A343F"/>
    <w:rsid w:val="005D6E4D"/>
    <w:rsid w:val="005E3402"/>
    <w:rsid w:val="005E60F8"/>
    <w:rsid w:val="00604461"/>
    <w:rsid w:val="006351AE"/>
    <w:rsid w:val="00636C7E"/>
    <w:rsid w:val="00673D78"/>
    <w:rsid w:val="00675646"/>
    <w:rsid w:val="006835B6"/>
    <w:rsid w:val="006E2E03"/>
    <w:rsid w:val="00706905"/>
    <w:rsid w:val="0072190F"/>
    <w:rsid w:val="00772488"/>
    <w:rsid w:val="00790472"/>
    <w:rsid w:val="00792F5E"/>
    <w:rsid w:val="007A07A9"/>
    <w:rsid w:val="007A5B30"/>
    <w:rsid w:val="007B4D2A"/>
    <w:rsid w:val="00827686"/>
    <w:rsid w:val="00831B73"/>
    <w:rsid w:val="00832B3C"/>
    <w:rsid w:val="00837AE7"/>
    <w:rsid w:val="00840EF0"/>
    <w:rsid w:val="00841136"/>
    <w:rsid w:val="008931AB"/>
    <w:rsid w:val="008B7FC3"/>
    <w:rsid w:val="00900B57"/>
    <w:rsid w:val="0090776F"/>
    <w:rsid w:val="00932416"/>
    <w:rsid w:val="00950154"/>
    <w:rsid w:val="009605AD"/>
    <w:rsid w:val="00993A76"/>
    <w:rsid w:val="00997D02"/>
    <w:rsid w:val="009B534B"/>
    <w:rsid w:val="009C7DBA"/>
    <w:rsid w:val="009F0C90"/>
    <w:rsid w:val="00A00D1E"/>
    <w:rsid w:val="00A07FFC"/>
    <w:rsid w:val="00A16D2B"/>
    <w:rsid w:val="00A30095"/>
    <w:rsid w:val="00A927CB"/>
    <w:rsid w:val="00AA22FD"/>
    <w:rsid w:val="00AB1290"/>
    <w:rsid w:val="00AB17A0"/>
    <w:rsid w:val="00AB3D57"/>
    <w:rsid w:val="00AD244B"/>
    <w:rsid w:val="00AE01B7"/>
    <w:rsid w:val="00B0594E"/>
    <w:rsid w:val="00B41E11"/>
    <w:rsid w:val="00B47EDD"/>
    <w:rsid w:val="00B60C1B"/>
    <w:rsid w:val="00B847F9"/>
    <w:rsid w:val="00B95530"/>
    <w:rsid w:val="00BC483E"/>
    <w:rsid w:val="00BE049A"/>
    <w:rsid w:val="00C371E2"/>
    <w:rsid w:val="00C37D3E"/>
    <w:rsid w:val="00C4684A"/>
    <w:rsid w:val="00C57E18"/>
    <w:rsid w:val="00C65161"/>
    <w:rsid w:val="00CB06B0"/>
    <w:rsid w:val="00CB15D5"/>
    <w:rsid w:val="00CB1790"/>
    <w:rsid w:val="00CB48E8"/>
    <w:rsid w:val="00CC293D"/>
    <w:rsid w:val="00CE13FF"/>
    <w:rsid w:val="00CE5717"/>
    <w:rsid w:val="00D61B80"/>
    <w:rsid w:val="00D839E8"/>
    <w:rsid w:val="00D94D58"/>
    <w:rsid w:val="00DA16E4"/>
    <w:rsid w:val="00DB32C7"/>
    <w:rsid w:val="00DB412D"/>
    <w:rsid w:val="00DB6F5E"/>
    <w:rsid w:val="00DB7F07"/>
    <w:rsid w:val="00DC681C"/>
    <w:rsid w:val="00DE6C65"/>
    <w:rsid w:val="00E10EBF"/>
    <w:rsid w:val="00E41912"/>
    <w:rsid w:val="00E42513"/>
    <w:rsid w:val="00E42901"/>
    <w:rsid w:val="00E83367"/>
    <w:rsid w:val="00E9660C"/>
    <w:rsid w:val="00E9702D"/>
    <w:rsid w:val="00ED6951"/>
    <w:rsid w:val="00EE2135"/>
    <w:rsid w:val="00EF06F1"/>
    <w:rsid w:val="00EF11AE"/>
    <w:rsid w:val="00F20D01"/>
    <w:rsid w:val="00F32280"/>
    <w:rsid w:val="00F34B5F"/>
    <w:rsid w:val="00F42932"/>
    <w:rsid w:val="00F54717"/>
    <w:rsid w:val="00F566E2"/>
    <w:rsid w:val="00F710CD"/>
    <w:rsid w:val="00F8645C"/>
    <w:rsid w:val="00F911EF"/>
    <w:rsid w:val="00F94B91"/>
    <w:rsid w:val="00FB2CD7"/>
    <w:rsid w:val="00FC5AC9"/>
    <w:rsid w:val="00FE0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211B7B"/>
  <w15:chartTrackingRefBased/>
  <w15:docId w15:val="{B06B579E-3A76-48F7-9049-45899CDDA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56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49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749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646"/>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EF06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06F1"/>
    <w:rPr>
      <w:rFonts w:ascii="Segoe UI" w:hAnsi="Segoe UI" w:cs="Segoe UI"/>
      <w:sz w:val="18"/>
      <w:szCs w:val="18"/>
    </w:rPr>
  </w:style>
  <w:style w:type="paragraph" w:styleId="FootnoteText">
    <w:name w:val="footnote text"/>
    <w:basedOn w:val="Normal"/>
    <w:link w:val="FootnoteTextChar"/>
    <w:uiPriority w:val="99"/>
    <w:unhideWhenUsed/>
    <w:rsid w:val="00EF06F1"/>
    <w:pPr>
      <w:spacing w:after="0" w:line="240" w:lineRule="auto"/>
    </w:pPr>
    <w:rPr>
      <w:sz w:val="20"/>
      <w:szCs w:val="20"/>
    </w:rPr>
  </w:style>
  <w:style w:type="character" w:customStyle="1" w:styleId="FootnoteTextChar">
    <w:name w:val="Footnote Text Char"/>
    <w:basedOn w:val="DefaultParagraphFont"/>
    <w:link w:val="FootnoteText"/>
    <w:uiPriority w:val="99"/>
    <w:rsid w:val="00EF06F1"/>
    <w:rPr>
      <w:sz w:val="20"/>
      <w:szCs w:val="20"/>
    </w:rPr>
  </w:style>
  <w:style w:type="character" w:styleId="FootnoteReference">
    <w:name w:val="footnote reference"/>
    <w:basedOn w:val="DefaultParagraphFont"/>
    <w:uiPriority w:val="99"/>
    <w:semiHidden/>
    <w:unhideWhenUsed/>
    <w:rsid w:val="00EF06F1"/>
    <w:rPr>
      <w:vertAlign w:val="superscript"/>
    </w:rPr>
  </w:style>
  <w:style w:type="character" w:styleId="CommentReference">
    <w:name w:val="annotation reference"/>
    <w:basedOn w:val="DefaultParagraphFont"/>
    <w:uiPriority w:val="99"/>
    <w:semiHidden/>
    <w:unhideWhenUsed/>
    <w:rsid w:val="009B534B"/>
    <w:rPr>
      <w:sz w:val="16"/>
      <w:szCs w:val="16"/>
    </w:rPr>
  </w:style>
  <w:style w:type="paragraph" w:styleId="CommentText">
    <w:name w:val="annotation text"/>
    <w:basedOn w:val="Normal"/>
    <w:link w:val="CommentTextChar"/>
    <w:uiPriority w:val="99"/>
    <w:semiHidden/>
    <w:unhideWhenUsed/>
    <w:rsid w:val="009B534B"/>
    <w:pPr>
      <w:spacing w:line="240" w:lineRule="auto"/>
    </w:pPr>
    <w:rPr>
      <w:sz w:val="20"/>
      <w:szCs w:val="20"/>
    </w:rPr>
  </w:style>
  <w:style w:type="character" w:customStyle="1" w:styleId="CommentTextChar">
    <w:name w:val="Comment Text Char"/>
    <w:basedOn w:val="DefaultParagraphFont"/>
    <w:link w:val="CommentText"/>
    <w:uiPriority w:val="99"/>
    <w:semiHidden/>
    <w:rsid w:val="009B534B"/>
    <w:rPr>
      <w:sz w:val="20"/>
      <w:szCs w:val="20"/>
    </w:rPr>
  </w:style>
  <w:style w:type="character" w:customStyle="1" w:styleId="Heading2Char">
    <w:name w:val="Heading 2 Char"/>
    <w:basedOn w:val="DefaultParagraphFont"/>
    <w:link w:val="Heading2"/>
    <w:uiPriority w:val="9"/>
    <w:rsid w:val="0057491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74916"/>
    <w:rPr>
      <w:rFonts w:asciiTheme="majorHAnsi" w:eastAsiaTheme="majorEastAsia" w:hAnsiTheme="majorHAnsi" w:cstheme="majorBidi"/>
      <w:color w:val="1F3763" w:themeColor="accent1" w:themeShade="7F"/>
      <w:sz w:val="24"/>
      <w:szCs w:val="24"/>
    </w:rPr>
  </w:style>
  <w:style w:type="paragraph" w:styleId="CommentSubject">
    <w:name w:val="annotation subject"/>
    <w:basedOn w:val="CommentText"/>
    <w:next w:val="CommentText"/>
    <w:link w:val="CommentSubjectChar"/>
    <w:uiPriority w:val="99"/>
    <w:semiHidden/>
    <w:unhideWhenUsed/>
    <w:rsid w:val="00D94D58"/>
    <w:rPr>
      <w:b/>
      <w:bCs/>
    </w:rPr>
  </w:style>
  <w:style w:type="character" w:customStyle="1" w:styleId="CommentSubjectChar">
    <w:name w:val="Comment Subject Char"/>
    <w:basedOn w:val="CommentTextChar"/>
    <w:link w:val="CommentSubject"/>
    <w:uiPriority w:val="99"/>
    <w:semiHidden/>
    <w:rsid w:val="00D94D5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6385661">
      <w:bodyDiv w:val="1"/>
      <w:marLeft w:val="0"/>
      <w:marRight w:val="0"/>
      <w:marTop w:val="0"/>
      <w:marBottom w:val="0"/>
      <w:divBdr>
        <w:top w:val="none" w:sz="0" w:space="0" w:color="auto"/>
        <w:left w:val="none" w:sz="0" w:space="0" w:color="auto"/>
        <w:bottom w:val="none" w:sz="0" w:space="0" w:color="auto"/>
        <w:right w:val="none" w:sz="0" w:space="0" w:color="auto"/>
      </w:divBdr>
    </w:div>
    <w:div w:id="1903907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BBECF1-EAC9-4D0C-8488-2EC25C89B2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12</Pages>
  <Words>2132</Words>
  <Characters>12159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 Steiner</dc:creator>
  <cp:keywords/>
  <dc:description/>
  <cp:lastModifiedBy>Iza Steiner</cp:lastModifiedBy>
  <cp:revision>4</cp:revision>
  <dcterms:created xsi:type="dcterms:W3CDTF">2020-11-10T18:14:00Z</dcterms:created>
  <dcterms:modified xsi:type="dcterms:W3CDTF">2020-11-11T01:51:00Z</dcterms:modified>
</cp:coreProperties>
</file>