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4A170" w14:textId="77777777" w:rsidR="00807BDF" w:rsidRDefault="00807BDF" w:rsidP="008D25C5">
      <w:pPr>
        <w:pStyle w:val="NormalWeb"/>
        <w:ind w:left="360"/>
        <w:jc w:val="center"/>
      </w:pPr>
    </w:p>
    <w:p w14:paraId="6BB1FDF5" w14:textId="77777777" w:rsidR="00807BDF" w:rsidRDefault="00807BDF" w:rsidP="008D25C5">
      <w:pPr>
        <w:pStyle w:val="NormalWeb"/>
        <w:ind w:left="360"/>
        <w:jc w:val="center"/>
      </w:pPr>
    </w:p>
    <w:p w14:paraId="266889A8" w14:textId="77777777" w:rsidR="00807BDF" w:rsidRDefault="00807BDF" w:rsidP="008D25C5">
      <w:pPr>
        <w:pStyle w:val="NormalWeb"/>
        <w:ind w:left="360"/>
        <w:jc w:val="center"/>
      </w:pPr>
    </w:p>
    <w:p w14:paraId="1375AA01" w14:textId="77777777" w:rsidR="00807BDF" w:rsidRDefault="00807BDF" w:rsidP="008D25C5">
      <w:pPr>
        <w:pStyle w:val="NormalWeb"/>
        <w:ind w:left="360"/>
        <w:jc w:val="center"/>
      </w:pPr>
    </w:p>
    <w:p w14:paraId="2407B624" w14:textId="77777777" w:rsidR="00807BDF" w:rsidRDefault="00807BDF" w:rsidP="008D25C5">
      <w:pPr>
        <w:pStyle w:val="NormalWeb"/>
        <w:ind w:left="360"/>
        <w:jc w:val="center"/>
      </w:pPr>
    </w:p>
    <w:p w14:paraId="56E34B62" w14:textId="77777777" w:rsidR="00807BDF" w:rsidRDefault="00807BDF" w:rsidP="008D25C5">
      <w:pPr>
        <w:pStyle w:val="NormalWeb"/>
        <w:ind w:left="360"/>
        <w:jc w:val="center"/>
      </w:pPr>
    </w:p>
    <w:p w14:paraId="68CFD34E" w14:textId="77777777" w:rsidR="00807BDF" w:rsidRDefault="00807BDF" w:rsidP="008D25C5">
      <w:pPr>
        <w:pStyle w:val="NormalWeb"/>
        <w:ind w:left="360"/>
        <w:jc w:val="center"/>
      </w:pPr>
    </w:p>
    <w:p w14:paraId="07EA35F9" w14:textId="77777777" w:rsidR="00807BDF" w:rsidRPr="00807BDF" w:rsidRDefault="00807BDF" w:rsidP="00807BDF">
      <w:pPr>
        <w:pStyle w:val="NormalWeb"/>
        <w:ind w:left="360"/>
        <w:jc w:val="center"/>
        <w:rPr>
          <w:b/>
          <w:u w:val="single"/>
        </w:rPr>
      </w:pPr>
      <w:r w:rsidRPr="00807BDF">
        <w:rPr>
          <w:b/>
          <w:u w:val="single"/>
        </w:rPr>
        <w:t>Module: Introduction to Health and Social Care</w:t>
      </w:r>
    </w:p>
    <w:p w14:paraId="3F2554BE" w14:textId="77777777" w:rsidR="00807BDF" w:rsidRDefault="00807BDF" w:rsidP="008D25C5">
      <w:pPr>
        <w:pStyle w:val="NormalWeb"/>
        <w:ind w:left="360"/>
        <w:jc w:val="center"/>
      </w:pPr>
    </w:p>
    <w:p w14:paraId="1630DB36" w14:textId="32C08EEF" w:rsidR="008D25C5" w:rsidRDefault="008D25C5" w:rsidP="008D25C5">
      <w:pPr>
        <w:pStyle w:val="NormalWeb"/>
        <w:ind w:left="360"/>
        <w:jc w:val="center"/>
      </w:pPr>
      <w:r>
        <w:t>Student name</w:t>
      </w:r>
      <w:r w:rsidR="00F634F8">
        <w:t xml:space="preserve"> is Zahra Bi</w:t>
      </w:r>
      <w:r>
        <w:t xml:space="preserve"> and ID</w:t>
      </w:r>
      <w:r w:rsidR="00F634F8">
        <w:t xml:space="preserve"> 2419631</w:t>
      </w:r>
    </w:p>
    <w:p w14:paraId="45CEB2AB" w14:textId="77777777" w:rsidR="00F634F8" w:rsidRDefault="00F634F8" w:rsidP="008D25C5">
      <w:pPr>
        <w:pStyle w:val="NormalWeb"/>
        <w:ind w:left="360"/>
        <w:jc w:val="center"/>
      </w:pPr>
    </w:p>
    <w:p w14:paraId="6B566674" w14:textId="77777777" w:rsidR="00807BDF" w:rsidRPr="00807BDF" w:rsidRDefault="008D25C5" w:rsidP="008D25C5">
      <w:pPr>
        <w:pStyle w:val="NormalWeb"/>
        <w:ind w:left="360"/>
        <w:jc w:val="center"/>
        <w:rPr>
          <w:b/>
          <w:u w:val="single"/>
        </w:rPr>
      </w:pPr>
      <w:r w:rsidRPr="00807BDF">
        <w:rPr>
          <w:b/>
          <w:u w:val="single"/>
        </w:rPr>
        <w:t xml:space="preserve">Module Code: </w:t>
      </w:r>
    </w:p>
    <w:p w14:paraId="6CA5670D" w14:textId="77777777" w:rsidR="008D25C5" w:rsidRDefault="008D25C5" w:rsidP="008D25C5">
      <w:pPr>
        <w:pStyle w:val="NormalWeb"/>
        <w:ind w:left="360"/>
        <w:jc w:val="center"/>
      </w:pPr>
      <w:r>
        <w:t>LCHS4003</w:t>
      </w:r>
    </w:p>
    <w:p w14:paraId="206F41C1" w14:textId="77777777" w:rsidR="00807BDF" w:rsidRDefault="008D25C5" w:rsidP="008D25C5">
      <w:pPr>
        <w:pStyle w:val="NormalWeb"/>
        <w:ind w:left="360"/>
        <w:jc w:val="center"/>
      </w:pPr>
      <w:r>
        <w:t xml:space="preserve">Lecturer: </w:t>
      </w:r>
    </w:p>
    <w:p w14:paraId="673A4F78" w14:textId="65A14C3E" w:rsidR="008D25C5" w:rsidRDefault="00F634F8" w:rsidP="008D25C5">
      <w:pPr>
        <w:pStyle w:val="NormalWeb"/>
        <w:ind w:left="360"/>
        <w:jc w:val="center"/>
      </w:pPr>
      <w:r>
        <w:t>Debra Odeh</w:t>
      </w:r>
    </w:p>
    <w:p w14:paraId="43079DF0" w14:textId="77777777" w:rsidR="00807BDF" w:rsidRDefault="00807BDF" w:rsidP="008D25C5">
      <w:pPr>
        <w:pStyle w:val="NormalWeb"/>
        <w:ind w:left="360"/>
        <w:jc w:val="center"/>
      </w:pPr>
    </w:p>
    <w:p w14:paraId="1642D6E2" w14:textId="77777777" w:rsidR="00807BDF" w:rsidRPr="00807BDF" w:rsidRDefault="008D25C5" w:rsidP="008D25C5">
      <w:pPr>
        <w:pStyle w:val="NormalWeb"/>
        <w:ind w:left="360"/>
        <w:jc w:val="center"/>
        <w:rPr>
          <w:b/>
          <w:u w:val="single"/>
        </w:rPr>
      </w:pPr>
      <w:r w:rsidRPr="00807BDF">
        <w:rPr>
          <w:b/>
          <w:u w:val="single"/>
        </w:rPr>
        <w:t xml:space="preserve">Assignment Title: </w:t>
      </w:r>
    </w:p>
    <w:p w14:paraId="1D3A55A6" w14:textId="4006C6DC" w:rsidR="008D25C5" w:rsidRDefault="008D25C5" w:rsidP="008D25C5">
      <w:pPr>
        <w:pStyle w:val="NormalWeb"/>
        <w:ind w:left="360"/>
        <w:jc w:val="center"/>
      </w:pPr>
      <w:r>
        <w:t xml:space="preserve">Written Assignment – Case Study: </w:t>
      </w:r>
      <w:r w:rsidR="00F634F8">
        <w:t>Mrs.</w:t>
      </w:r>
      <w:r>
        <w:t xml:space="preserve"> Mann</w:t>
      </w:r>
    </w:p>
    <w:p w14:paraId="61F487F6" w14:textId="77777777" w:rsidR="008D25C5" w:rsidRDefault="008D25C5" w:rsidP="008D25C5">
      <w:pPr>
        <w:pStyle w:val="NormalWeb"/>
        <w:ind w:left="360"/>
        <w:jc w:val="center"/>
      </w:pPr>
      <w:r>
        <w:t>Word Count</w:t>
      </w:r>
      <w:r w:rsidR="00807BDF">
        <w:t>: 157</w:t>
      </w:r>
      <w:r w:rsidR="00174DE2">
        <w:t>6</w:t>
      </w:r>
    </w:p>
    <w:p w14:paraId="7D10CD38" w14:textId="77777777" w:rsidR="00BB4CE5" w:rsidRDefault="00BB4CE5" w:rsidP="008D25C5">
      <w:pPr>
        <w:pStyle w:val="NormalWeb"/>
        <w:ind w:left="360"/>
        <w:jc w:val="center"/>
      </w:pPr>
    </w:p>
    <w:p w14:paraId="089DC9EB" w14:textId="77777777" w:rsidR="00BB4CE5" w:rsidRDefault="00BB4CE5" w:rsidP="008D25C5">
      <w:pPr>
        <w:pStyle w:val="NormalWeb"/>
        <w:ind w:left="360"/>
        <w:jc w:val="center"/>
      </w:pPr>
    </w:p>
    <w:p w14:paraId="2857F77E" w14:textId="77777777" w:rsidR="00BB4CE5" w:rsidRDefault="00BB4CE5" w:rsidP="008D25C5">
      <w:pPr>
        <w:pStyle w:val="NormalWeb"/>
        <w:ind w:left="360"/>
        <w:jc w:val="center"/>
      </w:pPr>
    </w:p>
    <w:p w14:paraId="51BE5C50" w14:textId="77777777" w:rsidR="00BB4CE5" w:rsidRDefault="00BB4CE5" w:rsidP="008D25C5">
      <w:pPr>
        <w:pStyle w:val="NormalWeb"/>
        <w:ind w:left="360"/>
        <w:jc w:val="center"/>
      </w:pPr>
    </w:p>
    <w:p w14:paraId="0EE8441B" w14:textId="77777777" w:rsidR="00BB4CE5" w:rsidRDefault="00BB4CE5" w:rsidP="008D25C5">
      <w:pPr>
        <w:pStyle w:val="NormalWeb"/>
        <w:ind w:left="360"/>
        <w:jc w:val="center"/>
      </w:pPr>
    </w:p>
    <w:sdt>
      <w:sdtPr>
        <w:rPr>
          <w:rFonts w:asciiTheme="minorHAnsi" w:eastAsiaTheme="minorHAnsi" w:hAnsiTheme="minorHAnsi" w:cstheme="minorBidi"/>
          <w:color w:val="auto"/>
          <w:sz w:val="22"/>
          <w:szCs w:val="22"/>
        </w:rPr>
        <w:id w:val="-7907923"/>
        <w:docPartObj>
          <w:docPartGallery w:val="Table of Contents"/>
          <w:docPartUnique/>
        </w:docPartObj>
      </w:sdtPr>
      <w:sdtEndPr>
        <w:rPr>
          <w:rFonts w:ascii="Arial" w:hAnsi="Arial" w:cs="Arial"/>
          <w:b/>
          <w:bCs/>
          <w:noProof/>
        </w:rPr>
      </w:sdtEndPr>
      <w:sdtContent>
        <w:p w14:paraId="7F896784" w14:textId="77777777" w:rsidR="00807BDF" w:rsidRPr="00281270" w:rsidRDefault="00807BDF" w:rsidP="00281270">
          <w:pPr>
            <w:pStyle w:val="TOCHeading"/>
            <w:jc w:val="center"/>
            <w:rPr>
              <w:rFonts w:ascii="Arial" w:hAnsi="Arial" w:cs="Arial"/>
              <w:b/>
              <w:color w:val="000000" w:themeColor="text1"/>
            </w:rPr>
          </w:pPr>
          <w:r w:rsidRPr="00281270">
            <w:rPr>
              <w:rFonts w:ascii="Arial" w:hAnsi="Arial" w:cs="Arial"/>
              <w:b/>
              <w:color w:val="000000" w:themeColor="text1"/>
            </w:rPr>
            <w:t>Table of Contents</w:t>
          </w:r>
        </w:p>
        <w:p w14:paraId="55553D7F" w14:textId="77777777" w:rsidR="00281270" w:rsidRPr="00281270" w:rsidRDefault="00807BDF" w:rsidP="00281270">
          <w:pPr>
            <w:pStyle w:val="TOC1"/>
            <w:tabs>
              <w:tab w:val="left" w:pos="440"/>
              <w:tab w:val="right" w:leader="dot" w:pos="9350"/>
            </w:tabs>
            <w:spacing w:line="360" w:lineRule="auto"/>
            <w:rPr>
              <w:rFonts w:ascii="Arial" w:eastAsiaTheme="minorEastAsia" w:hAnsi="Arial" w:cs="Arial"/>
              <w:noProof/>
            </w:rPr>
          </w:pPr>
          <w:r w:rsidRPr="00281270">
            <w:rPr>
              <w:rFonts w:ascii="Arial" w:hAnsi="Arial" w:cs="Arial"/>
            </w:rPr>
            <w:fldChar w:fldCharType="begin"/>
          </w:r>
          <w:r w:rsidRPr="00281270">
            <w:rPr>
              <w:rFonts w:ascii="Arial" w:hAnsi="Arial" w:cs="Arial"/>
            </w:rPr>
            <w:instrText xml:space="preserve"> TOC \o "1-3" \h \z \u </w:instrText>
          </w:r>
          <w:r w:rsidRPr="00281270">
            <w:rPr>
              <w:rFonts w:ascii="Arial" w:hAnsi="Arial" w:cs="Arial"/>
            </w:rPr>
            <w:fldChar w:fldCharType="separate"/>
          </w:r>
          <w:hyperlink w:anchor="_Toc211690320" w:history="1">
            <w:r w:rsidR="00281270" w:rsidRPr="00281270">
              <w:rPr>
                <w:rStyle w:val="Hyperlink"/>
                <w:rFonts w:ascii="Arial" w:hAnsi="Arial" w:cs="Arial"/>
                <w:noProof/>
              </w:rPr>
              <w:t>1.</w:t>
            </w:r>
            <w:r w:rsidR="00281270" w:rsidRPr="00281270">
              <w:rPr>
                <w:rFonts w:ascii="Arial" w:eastAsiaTheme="minorEastAsia" w:hAnsi="Arial" w:cs="Arial"/>
                <w:noProof/>
              </w:rPr>
              <w:tab/>
            </w:r>
            <w:r w:rsidR="00281270" w:rsidRPr="00281270">
              <w:rPr>
                <w:rStyle w:val="Hyperlink"/>
                <w:rFonts w:ascii="Arial" w:hAnsi="Arial" w:cs="Arial"/>
                <w:noProof/>
              </w:rPr>
              <w:t>Introduction</w:t>
            </w:r>
            <w:r w:rsidR="00281270" w:rsidRPr="00281270">
              <w:rPr>
                <w:rFonts w:ascii="Arial" w:hAnsi="Arial" w:cs="Arial"/>
                <w:noProof/>
                <w:webHidden/>
              </w:rPr>
              <w:tab/>
            </w:r>
            <w:r w:rsidR="00281270" w:rsidRPr="00281270">
              <w:rPr>
                <w:rFonts w:ascii="Arial" w:hAnsi="Arial" w:cs="Arial"/>
                <w:noProof/>
                <w:webHidden/>
              </w:rPr>
              <w:fldChar w:fldCharType="begin"/>
            </w:r>
            <w:r w:rsidR="00281270" w:rsidRPr="00281270">
              <w:rPr>
                <w:rFonts w:ascii="Arial" w:hAnsi="Arial" w:cs="Arial"/>
                <w:noProof/>
                <w:webHidden/>
              </w:rPr>
              <w:instrText xml:space="preserve"> PAGEREF _Toc211690320 \h </w:instrText>
            </w:r>
            <w:r w:rsidR="00281270" w:rsidRPr="00281270">
              <w:rPr>
                <w:rFonts w:ascii="Arial" w:hAnsi="Arial" w:cs="Arial"/>
                <w:noProof/>
                <w:webHidden/>
              </w:rPr>
            </w:r>
            <w:r w:rsidR="00281270" w:rsidRPr="00281270">
              <w:rPr>
                <w:rFonts w:ascii="Arial" w:hAnsi="Arial" w:cs="Arial"/>
                <w:noProof/>
                <w:webHidden/>
              </w:rPr>
              <w:fldChar w:fldCharType="separate"/>
            </w:r>
            <w:r w:rsidR="00281270" w:rsidRPr="00281270">
              <w:rPr>
                <w:rFonts w:ascii="Arial" w:hAnsi="Arial" w:cs="Arial"/>
                <w:noProof/>
                <w:webHidden/>
              </w:rPr>
              <w:t>3</w:t>
            </w:r>
            <w:r w:rsidR="00281270" w:rsidRPr="00281270">
              <w:rPr>
                <w:rFonts w:ascii="Arial" w:hAnsi="Arial" w:cs="Arial"/>
                <w:noProof/>
                <w:webHidden/>
              </w:rPr>
              <w:fldChar w:fldCharType="end"/>
            </w:r>
          </w:hyperlink>
        </w:p>
        <w:p w14:paraId="4225056E" w14:textId="77777777" w:rsidR="00281270" w:rsidRPr="00281270" w:rsidRDefault="00281270" w:rsidP="00281270">
          <w:pPr>
            <w:pStyle w:val="TOC1"/>
            <w:tabs>
              <w:tab w:val="left" w:pos="440"/>
              <w:tab w:val="right" w:leader="dot" w:pos="9350"/>
            </w:tabs>
            <w:spacing w:line="360" w:lineRule="auto"/>
            <w:rPr>
              <w:rFonts w:ascii="Arial" w:eastAsiaTheme="minorEastAsia" w:hAnsi="Arial" w:cs="Arial"/>
              <w:noProof/>
            </w:rPr>
          </w:pPr>
          <w:hyperlink w:anchor="_Toc211690321" w:history="1">
            <w:r w:rsidRPr="00281270">
              <w:rPr>
                <w:rStyle w:val="Hyperlink"/>
                <w:rFonts w:ascii="Arial" w:hAnsi="Arial" w:cs="Arial"/>
                <w:noProof/>
              </w:rPr>
              <w:t>2.</w:t>
            </w:r>
            <w:r w:rsidRPr="00281270">
              <w:rPr>
                <w:rFonts w:ascii="Arial" w:eastAsiaTheme="minorEastAsia" w:hAnsi="Arial" w:cs="Arial"/>
                <w:noProof/>
              </w:rPr>
              <w:tab/>
            </w:r>
            <w:r w:rsidRPr="00281270">
              <w:rPr>
                <w:rStyle w:val="Hyperlink"/>
                <w:rFonts w:ascii="Arial" w:hAnsi="Arial" w:cs="Arial"/>
                <w:noProof/>
              </w:rPr>
              <w:t>Effective Communication in the Care of Mrs Mann.</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_Toc211690321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3</w:t>
            </w:r>
            <w:r w:rsidRPr="00281270">
              <w:rPr>
                <w:rFonts w:ascii="Arial" w:hAnsi="Arial" w:cs="Arial"/>
                <w:noProof/>
                <w:webHidden/>
              </w:rPr>
              <w:fldChar w:fldCharType="end"/>
            </w:r>
          </w:hyperlink>
        </w:p>
        <w:p w14:paraId="214E3411"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22" w:history="1">
            <w:r w:rsidRPr="00281270">
              <w:rPr>
                <w:rStyle w:val="Hyperlink"/>
                <w:rFonts w:ascii="Arial" w:hAnsi="Arial" w:cs="Arial"/>
                <w:noProof/>
              </w:rPr>
              <w:t>2.1.</w:t>
            </w:r>
            <w:r w:rsidRPr="00281270">
              <w:rPr>
                <w:rFonts w:ascii="Arial" w:eastAsiaTheme="minorEastAsia" w:hAnsi="Arial" w:cs="Arial"/>
                <w:noProof/>
              </w:rPr>
              <w:tab/>
            </w:r>
            <w:r w:rsidRPr="00281270">
              <w:rPr>
                <w:rStyle w:val="Hyperlink"/>
                <w:rFonts w:ascii="Arial" w:hAnsi="Arial" w:cs="Arial"/>
                <w:noProof/>
              </w:rPr>
              <w:t>Significance of Communication.</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_Toc211690322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3</w:t>
            </w:r>
            <w:r w:rsidRPr="00281270">
              <w:rPr>
                <w:rFonts w:ascii="Arial" w:hAnsi="Arial" w:cs="Arial"/>
                <w:noProof/>
                <w:webHidden/>
              </w:rPr>
              <w:fldChar w:fldCharType="end"/>
            </w:r>
          </w:hyperlink>
        </w:p>
        <w:p w14:paraId="50302141"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23" w:history="1">
            <w:r w:rsidRPr="00281270">
              <w:rPr>
                <w:rStyle w:val="Hyperlink"/>
                <w:rFonts w:ascii="Arial" w:hAnsi="Arial" w:cs="Arial"/>
                <w:noProof/>
              </w:rPr>
              <w:t>2.2.</w:t>
            </w:r>
            <w:r w:rsidRPr="00281270">
              <w:rPr>
                <w:rFonts w:ascii="Arial" w:eastAsiaTheme="minorEastAsia" w:hAnsi="Arial" w:cs="Arial"/>
                <w:noProof/>
              </w:rPr>
              <w:tab/>
            </w:r>
            <w:r w:rsidRPr="00281270">
              <w:rPr>
                <w:rStyle w:val="Hyperlink"/>
                <w:rFonts w:ascii="Arial" w:hAnsi="Arial" w:cs="Arial"/>
                <w:noProof/>
              </w:rPr>
              <w:t>Equality and Diversity Reflections.</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_Toc211690323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3</w:t>
            </w:r>
            <w:r w:rsidRPr="00281270">
              <w:rPr>
                <w:rFonts w:ascii="Arial" w:hAnsi="Arial" w:cs="Arial"/>
                <w:noProof/>
                <w:webHidden/>
              </w:rPr>
              <w:fldChar w:fldCharType="end"/>
            </w:r>
          </w:hyperlink>
        </w:p>
        <w:p w14:paraId="6178937A"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24" w:history="1">
            <w:r w:rsidRPr="00281270">
              <w:rPr>
                <w:rStyle w:val="Hyperlink"/>
                <w:rFonts w:ascii="Arial" w:hAnsi="Arial" w:cs="Arial"/>
                <w:noProof/>
              </w:rPr>
              <w:t>2.3.</w:t>
            </w:r>
            <w:r w:rsidRPr="00281270">
              <w:rPr>
                <w:rFonts w:ascii="Arial" w:eastAsiaTheme="minorEastAsia" w:hAnsi="Arial" w:cs="Arial"/>
                <w:noProof/>
              </w:rPr>
              <w:tab/>
            </w:r>
            <w:r w:rsidRPr="00281270">
              <w:rPr>
                <w:rStyle w:val="Hyperlink"/>
                <w:rFonts w:ascii="Arial" w:hAnsi="Arial" w:cs="Arial"/>
                <w:noProof/>
              </w:rPr>
              <w:t>Application of Communication Model.</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_Toc211690324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4</w:t>
            </w:r>
            <w:r w:rsidRPr="00281270">
              <w:rPr>
                <w:rFonts w:ascii="Arial" w:hAnsi="Arial" w:cs="Arial"/>
                <w:noProof/>
                <w:webHidden/>
              </w:rPr>
              <w:fldChar w:fldCharType="end"/>
            </w:r>
          </w:hyperlink>
        </w:p>
        <w:p w14:paraId="69BE997E" w14:textId="77777777" w:rsidR="00281270" w:rsidRPr="00281270" w:rsidRDefault="00281270" w:rsidP="00281270">
          <w:pPr>
            <w:pStyle w:val="TOC1"/>
            <w:tabs>
              <w:tab w:val="left" w:pos="440"/>
              <w:tab w:val="right" w:leader="dot" w:pos="9350"/>
            </w:tabs>
            <w:spacing w:line="360" w:lineRule="auto"/>
            <w:rPr>
              <w:rFonts w:ascii="Arial" w:eastAsiaTheme="minorEastAsia" w:hAnsi="Arial" w:cs="Arial"/>
              <w:noProof/>
            </w:rPr>
          </w:pPr>
          <w:hyperlink w:anchor="_Toc211690325" w:history="1">
            <w:r w:rsidRPr="00281270">
              <w:rPr>
                <w:rStyle w:val="Hyperlink"/>
                <w:rFonts w:ascii="Arial" w:hAnsi="Arial" w:cs="Arial"/>
                <w:noProof/>
              </w:rPr>
              <w:t>3.</w:t>
            </w:r>
            <w:r w:rsidRPr="00281270">
              <w:rPr>
                <w:rFonts w:ascii="Arial" w:eastAsiaTheme="minorEastAsia" w:hAnsi="Arial" w:cs="Arial"/>
                <w:noProof/>
              </w:rPr>
              <w:tab/>
            </w:r>
            <w:r w:rsidRPr="00281270">
              <w:rPr>
                <w:rStyle w:val="Hyperlink"/>
                <w:rFonts w:ascii="Arial" w:hAnsi="Arial" w:cs="Arial"/>
                <w:noProof/>
              </w:rPr>
              <w:t>Administrative and record keeping competencies.</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_Toc211690325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4</w:t>
            </w:r>
            <w:r w:rsidRPr="00281270">
              <w:rPr>
                <w:rFonts w:ascii="Arial" w:hAnsi="Arial" w:cs="Arial"/>
                <w:noProof/>
                <w:webHidden/>
              </w:rPr>
              <w:fldChar w:fldCharType="end"/>
            </w:r>
          </w:hyperlink>
        </w:p>
        <w:p w14:paraId="50135F5F"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26" w:history="1">
            <w:r w:rsidRPr="00281270">
              <w:rPr>
                <w:rStyle w:val="Hyperlink"/>
                <w:rFonts w:ascii="Arial" w:hAnsi="Arial" w:cs="Arial"/>
                <w:noProof/>
              </w:rPr>
              <w:t>3.1.</w:t>
            </w:r>
            <w:r w:rsidRPr="00281270">
              <w:rPr>
                <w:rFonts w:ascii="Arial" w:eastAsiaTheme="minorEastAsia" w:hAnsi="Arial" w:cs="Arial"/>
                <w:noProof/>
              </w:rPr>
              <w:tab/>
            </w:r>
            <w:r w:rsidRPr="00281270">
              <w:rPr>
                <w:rStyle w:val="Hyperlink"/>
                <w:rFonts w:ascii="Arial" w:hAnsi="Arial" w:cs="Arial"/>
                <w:noProof/>
              </w:rPr>
              <w:t>Significance of Good Administrative Practice.</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_Toc211690326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4</w:t>
            </w:r>
            <w:r w:rsidRPr="00281270">
              <w:rPr>
                <w:rFonts w:ascii="Arial" w:hAnsi="Arial" w:cs="Arial"/>
                <w:noProof/>
                <w:webHidden/>
              </w:rPr>
              <w:fldChar w:fldCharType="end"/>
            </w:r>
          </w:hyperlink>
        </w:p>
        <w:p w14:paraId="123EAF3C"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27" w:history="1">
            <w:r w:rsidRPr="00281270">
              <w:rPr>
                <w:rStyle w:val="Hyperlink"/>
                <w:rFonts w:ascii="Arial" w:hAnsi="Arial" w:cs="Arial"/>
                <w:noProof/>
              </w:rPr>
              <w:t>3.2.</w:t>
            </w:r>
            <w:r w:rsidRPr="00281270">
              <w:rPr>
                <w:rFonts w:ascii="Arial" w:eastAsiaTheme="minorEastAsia" w:hAnsi="Arial" w:cs="Arial"/>
                <w:noProof/>
              </w:rPr>
              <w:tab/>
            </w:r>
            <w:r w:rsidRPr="00281270">
              <w:rPr>
                <w:rStyle w:val="Hyperlink"/>
                <w:rFonts w:ascii="Arial" w:hAnsi="Arial" w:cs="Arial"/>
                <w:noProof/>
              </w:rPr>
              <w:t>Data Protection and Confidentiality.</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_Toc211690327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4</w:t>
            </w:r>
            <w:r w:rsidRPr="00281270">
              <w:rPr>
                <w:rFonts w:ascii="Arial" w:hAnsi="Arial" w:cs="Arial"/>
                <w:noProof/>
                <w:webHidden/>
              </w:rPr>
              <w:fldChar w:fldCharType="end"/>
            </w:r>
          </w:hyperlink>
        </w:p>
        <w:p w14:paraId="09D53D9C"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28" w:history="1">
            <w:r w:rsidRPr="00281270">
              <w:rPr>
                <w:rStyle w:val="Hyperlink"/>
                <w:rFonts w:ascii="Arial" w:hAnsi="Arial" w:cs="Arial"/>
                <w:noProof/>
              </w:rPr>
              <w:t>3.3.</w:t>
            </w:r>
            <w:r w:rsidRPr="00281270">
              <w:rPr>
                <w:rFonts w:ascii="Arial" w:eastAsiaTheme="minorEastAsia" w:hAnsi="Arial" w:cs="Arial"/>
                <w:noProof/>
              </w:rPr>
              <w:tab/>
            </w:r>
            <w:r w:rsidRPr="00281270">
              <w:rPr>
                <w:rStyle w:val="Hyperlink"/>
                <w:rFonts w:ascii="Arial" w:hAnsi="Arial" w:cs="Arial"/>
                <w:bCs/>
                <w:noProof/>
              </w:rPr>
              <w:t>Policies and Frameworks</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_Toc211690328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5</w:t>
            </w:r>
            <w:r w:rsidRPr="00281270">
              <w:rPr>
                <w:rFonts w:ascii="Arial" w:hAnsi="Arial" w:cs="Arial"/>
                <w:noProof/>
                <w:webHidden/>
              </w:rPr>
              <w:fldChar w:fldCharType="end"/>
            </w:r>
          </w:hyperlink>
        </w:p>
        <w:p w14:paraId="54A92E9C" w14:textId="77777777" w:rsidR="00281270" w:rsidRPr="00281270" w:rsidRDefault="00281270" w:rsidP="00281270">
          <w:pPr>
            <w:pStyle w:val="TOC1"/>
            <w:tabs>
              <w:tab w:val="left" w:pos="440"/>
              <w:tab w:val="right" w:leader="dot" w:pos="9350"/>
            </w:tabs>
            <w:spacing w:line="360" w:lineRule="auto"/>
            <w:rPr>
              <w:rFonts w:ascii="Arial" w:eastAsiaTheme="minorEastAsia" w:hAnsi="Arial" w:cs="Arial"/>
              <w:noProof/>
            </w:rPr>
          </w:pPr>
          <w:hyperlink w:anchor="_Toc211690329" w:history="1">
            <w:r w:rsidRPr="00281270">
              <w:rPr>
                <w:rStyle w:val="Hyperlink"/>
                <w:rFonts w:ascii="Arial" w:hAnsi="Arial" w:cs="Arial"/>
                <w:noProof/>
              </w:rPr>
              <w:t>4.</w:t>
            </w:r>
            <w:r w:rsidRPr="00281270">
              <w:rPr>
                <w:rFonts w:ascii="Arial" w:eastAsiaTheme="minorEastAsia" w:hAnsi="Arial" w:cs="Arial"/>
                <w:noProof/>
              </w:rPr>
              <w:tab/>
            </w:r>
            <w:r w:rsidRPr="00281270">
              <w:rPr>
                <w:rStyle w:val="Hyperlink"/>
                <w:rFonts w:ascii="Arial" w:hAnsi="Arial" w:cs="Arial"/>
                <w:noProof/>
              </w:rPr>
              <w:t>Collaborative Working Mrs Mann Care.</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_Toc211690329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5</w:t>
            </w:r>
            <w:r w:rsidRPr="00281270">
              <w:rPr>
                <w:rFonts w:ascii="Arial" w:hAnsi="Arial" w:cs="Arial"/>
                <w:noProof/>
                <w:webHidden/>
              </w:rPr>
              <w:fldChar w:fldCharType="end"/>
            </w:r>
          </w:hyperlink>
        </w:p>
        <w:p w14:paraId="796E0590"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30" w:history="1">
            <w:r w:rsidRPr="00281270">
              <w:rPr>
                <w:rStyle w:val="Hyperlink"/>
                <w:rFonts w:ascii="Arial" w:hAnsi="Arial" w:cs="Arial"/>
                <w:noProof/>
              </w:rPr>
              <w:t>4.1.</w:t>
            </w:r>
            <w:r w:rsidRPr="00281270">
              <w:rPr>
                <w:rFonts w:ascii="Arial" w:eastAsiaTheme="minorEastAsia" w:hAnsi="Arial" w:cs="Arial"/>
                <w:noProof/>
              </w:rPr>
              <w:tab/>
            </w:r>
            <w:r w:rsidRPr="00281270">
              <w:rPr>
                <w:rStyle w:val="Hyperlink"/>
                <w:rFonts w:ascii="Arial" w:hAnsi="Arial" w:cs="Arial"/>
                <w:noProof/>
              </w:rPr>
              <w:t>The Significance of Multi-Agency Cooperation.</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_Toc211690330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5</w:t>
            </w:r>
            <w:r w:rsidRPr="00281270">
              <w:rPr>
                <w:rFonts w:ascii="Arial" w:hAnsi="Arial" w:cs="Arial"/>
                <w:noProof/>
                <w:webHidden/>
              </w:rPr>
              <w:fldChar w:fldCharType="end"/>
            </w:r>
          </w:hyperlink>
        </w:p>
        <w:p w14:paraId="0CD85EED"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31" w:history="1">
            <w:r w:rsidRPr="00281270">
              <w:rPr>
                <w:rStyle w:val="Hyperlink"/>
                <w:rFonts w:ascii="Arial" w:hAnsi="Arial" w:cs="Arial"/>
                <w:noProof/>
              </w:rPr>
              <w:t>4.2.</w:t>
            </w:r>
            <w:r w:rsidRPr="00281270">
              <w:rPr>
                <w:rFonts w:ascii="Arial" w:eastAsiaTheme="minorEastAsia" w:hAnsi="Arial" w:cs="Arial"/>
                <w:noProof/>
              </w:rPr>
              <w:tab/>
            </w:r>
            <w:r w:rsidRPr="00281270">
              <w:rPr>
                <w:rStyle w:val="Hyperlink"/>
                <w:rFonts w:ascii="Arial" w:hAnsi="Arial" w:cs="Arial"/>
                <w:noProof/>
              </w:rPr>
              <w:t>Approaches and Strategies</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_Toc211690331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6</w:t>
            </w:r>
            <w:r w:rsidRPr="00281270">
              <w:rPr>
                <w:rFonts w:ascii="Arial" w:hAnsi="Arial" w:cs="Arial"/>
                <w:noProof/>
                <w:webHidden/>
              </w:rPr>
              <w:fldChar w:fldCharType="end"/>
            </w:r>
          </w:hyperlink>
        </w:p>
        <w:p w14:paraId="63BE5614" w14:textId="77777777" w:rsidR="00281270" w:rsidRPr="00281270" w:rsidRDefault="00281270" w:rsidP="00281270">
          <w:pPr>
            <w:pStyle w:val="TOC2"/>
            <w:tabs>
              <w:tab w:val="left" w:pos="880"/>
              <w:tab w:val="right" w:leader="dot" w:pos="9350"/>
            </w:tabs>
            <w:spacing w:line="360" w:lineRule="auto"/>
            <w:rPr>
              <w:rFonts w:ascii="Arial" w:eastAsiaTheme="minorEastAsia" w:hAnsi="Arial" w:cs="Arial"/>
              <w:noProof/>
            </w:rPr>
          </w:pPr>
          <w:hyperlink w:anchor="_Toc211690332" w:history="1">
            <w:r w:rsidRPr="00281270">
              <w:rPr>
                <w:rStyle w:val="Hyperlink"/>
                <w:rFonts w:ascii="Arial" w:hAnsi="Arial" w:cs="Arial"/>
                <w:noProof/>
              </w:rPr>
              <w:t>4.3.</w:t>
            </w:r>
            <w:r w:rsidRPr="00281270">
              <w:rPr>
                <w:rFonts w:ascii="Arial" w:eastAsiaTheme="minorEastAsia" w:hAnsi="Arial" w:cs="Arial"/>
                <w:noProof/>
              </w:rPr>
              <w:tab/>
            </w:r>
            <w:r w:rsidRPr="00281270">
              <w:rPr>
                <w:rStyle w:val="Hyperlink"/>
                <w:rFonts w:ascii="Arial" w:hAnsi="Arial" w:cs="Arial"/>
                <w:noProof/>
              </w:rPr>
              <w:t>Overcoming Challenges</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_Toc211690332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6</w:t>
            </w:r>
            <w:r w:rsidRPr="00281270">
              <w:rPr>
                <w:rFonts w:ascii="Arial" w:hAnsi="Arial" w:cs="Arial"/>
                <w:noProof/>
                <w:webHidden/>
              </w:rPr>
              <w:fldChar w:fldCharType="end"/>
            </w:r>
          </w:hyperlink>
        </w:p>
        <w:p w14:paraId="17F92F02" w14:textId="77777777" w:rsidR="00281270" w:rsidRPr="00281270" w:rsidRDefault="00281270" w:rsidP="00281270">
          <w:pPr>
            <w:pStyle w:val="TOC1"/>
            <w:tabs>
              <w:tab w:val="left" w:pos="440"/>
              <w:tab w:val="right" w:leader="dot" w:pos="9350"/>
            </w:tabs>
            <w:spacing w:line="360" w:lineRule="auto"/>
            <w:rPr>
              <w:rFonts w:ascii="Arial" w:eastAsiaTheme="minorEastAsia" w:hAnsi="Arial" w:cs="Arial"/>
              <w:noProof/>
            </w:rPr>
          </w:pPr>
          <w:hyperlink w:anchor="_Toc211690333" w:history="1">
            <w:r w:rsidRPr="00281270">
              <w:rPr>
                <w:rStyle w:val="Hyperlink"/>
                <w:rFonts w:ascii="Arial" w:hAnsi="Arial" w:cs="Arial"/>
                <w:noProof/>
              </w:rPr>
              <w:t>5.</w:t>
            </w:r>
            <w:r w:rsidRPr="00281270">
              <w:rPr>
                <w:rFonts w:ascii="Arial" w:eastAsiaTheme="minorEastAsia" w:hAnsi="Arial" w:cs="Arial"/>
                <w:noProof/>
              </w:rPr>
              <w:tab/>
            </w:r>
            <w:r w:rsidRPr="00281270">
              <w:rPr>
                <w:rStyle w:val="Hyperlink"/>
                <w:rFonts w:ascii="Arial" w:hAnsi="Arial" w:cs="Arial"/>
                <w:noProof/>
              </w:rPr>
              <w:t>Conclusion</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_Toc211690333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6</w:t>
            </w:r>
            <w:r w:rsidRPr="00281270">
              <w:rPr>
                <w:rFonts w:ascii="Arial" w:hAnsi="Arial" w:cs="Arial"/>
                <w:noProof/>
                <w:webHidden/>
              </w:rPr>
              <w:fldChar w:fldCharType="end"/>
            </w:r>
          </w:hyperlink>
        </w:p>
        <w:p w14:paraId="4D8D2F3A" w14:textId="77777777" w:rsidR="00281270" w:rsidRPr="00281270" w:rsidRDefault="00281270" w:rsidP="00281270">
          <w:pPr>
            <w:pStyle w:val="TOC1"/>
            <w:tabs>
              <w:tab w:val="right" w:leader="dot" w:pos="9350"/>
            </w:tabs>
            <w:spacing w:line="360" w:lineRule="auto"/>
            <w:rPr>
              <w:rFonts w:ascii="Arial" w:eastAsiaTheme="minorEastAsia" w:hAnsi="Arial" w:cs="Arial"/>
              <w:noProof/>
            </w:rPr>
          </w:pPr>
          <w:hyperlink w:anchor="_Toc211690334" w:history="1">
            <w:r w:rsidRPr="00281270">
              <w:rPr>
                <w:rStyle w:val="Hyperlink"/>
                <w:rFonts w:ascii="Arial" w:hAnsi="Arial" w:cs="Arial"/>
                <w:noProof/>
              </w:rPr>
              <w:t>References</w:t>
            </w:r>
            <w:r w:rsidRPr="00281270">
              <w:rPr>
                <w:rFonts w:ascii="Arial" w:hAnsi="Arial" w:cs="Arial"/>
                <w:noProof/>
                <w:webHidden/>
              </w:rPr>
              <w:tab/>
            </w:r>
            <w:r w:rsidRPr="00281270">
              <w:rPr>
                <w:rFonts w:ascii="Arial" w:hAnsi="Arial" w:cs="Arial"/>
                <w:noProof/>
                <w:webHidden/>
              </w:rPr>
              <w:fldChar w:fldCharType="begin"/>
            </w:r>
            <w:r w:rsidRPr="00281270">
              <w:rPr>
                <w:rFonts w:ascii="Arial" w:hAnsi="Arial" w:cs="Arial"/>
                <w:noProof/>
                <w:webHidden/>
              </w:rPr>
              <w:instrText xml:space="preserve"> PAGEREF _Toc211690334 \h </w:instrText>
            </w:r>
            <w:r w:rsidRPr="00281270">
              <w:rPr>
                <w:rFonts w:ascii="Arial" w:hAnsi="Arial" w:cs="Arial"/>
                <w:noProof/>
                <w:webHidden/>
              </w:rPr>
            </w:r>
            <w:r w:rsidRPr="00281270">
              <w:rPr>
                <w:rFonts w:ascii="Arial" w:hAnsi="Arial" w:cs="Arial"/>
                <w:noProof/>
                <w:webHidden/>
              </w:rPr>
              <w:fldChar w:fldCharType="separate"/>
            </w:r>
            <w:r w:rsidRPr="00281270">
              <w:rPr>
                <w:rFonts w:ascii="Arial" w:hAnsi="Arial" w:cs="Arial"/>
                <w:noProof/>
                <w:webHidden/>
              </w:rPr>
              <w:t>7</w:t>
            </w:r>
            <w:r w:rsidRPr="00281270">
              <w:rPr>
                <w:rFonts w:ascii="Arial" w:hAnsi="Arial" w:cs="Arial"/>
                <w:noProof/>
                <w:webHidden/>
              </w:rPr>
              <w:fldChar w:fldCharType="end"/>
            </w:r>
          </w:hyperlink>
        </w:p>
        <w:p w14:paraId="3C599332" w14:textId="77777777" w:rsidR="00807BDF" w:rsidRPr="00281270" w:rsidRDefault="00807BDF" w:rsidP="00281270">
          <w:pPr>
            <w:spacing w:line="360" w:lineRule="auto"/>
            <w:rPr>
              <w:rFonts w:ascii="Arial" w:hAnsi="Arial" w:cs="Arial"/>
            </w:rPr>
          </w:pPr>
          <w:r w:rsidRPr="00281270">
            <w:rPr>
              <w:rFonts w:ascii="Arial" w:hAnsi="Arial" w:cs="Arial"/>
              <w:b/>
              <w:bCs/>
              <w:noProof/>
            </w:rPr>
            <w:fldChar w:fldCharType="end"/>
          </w:r>
        </w:p>
      </w:sdtContent>
    </w:sdt>
    <w:p w14:paraId="5370B7CF" w14:textId="77777777" w:rsidR="00BB4CE5" w:rsidRPr="00281270" w:rsidRDefault="00BB4CE5" w:rsidP="00281270">
      <w:pPr>
        <w:pStyle w:val="NormalWeb"/>
        <w:spacing w:line="360" w:lineRule="auto"/>
        <w:ind w:left="360"/>
        <w:jc w:val="center"/>
        <w:rPr>
          <w:rFonts w:ascii="Arial" w:hAnsi="Arial" w:cs="Arial"/>
        </w:rPr>
      </w:pPr>
    </w:p>
    <w:p w14:paraId="26486774" w14:textId="77777777" w:rsidR="00BB4CE5" w:rsidRPr="00281270" w:rsidRDefault="00BB4CE5" w:rsidP="00281270">
      <w:pPr>
        <w:pStyle w:val="NormalWeb"/>
        <w:spacing w:line="360" w:lineRule="auto"/>
        <w:ind w:left="360"/>
        <w:jc w:val="center"/>
        <w:rPr>
          <w:rFonts w:ascii="Arial" w:hAnsi="Arial" w:cs="Arial"/>
        </w:rPr>
      </w:pPr>
    </w:p>
    <w:p w14:paraId="42B58C28" w14:textId="77777777" w:rsidR="00BB4CE5" w:rsidRPr="00281270" w:rsidRDefault="00BB4CE5" w:rsidP="00281270">
      <w:pPr>
        <w:pStyle w:val="NormalWeb"/>
        <w:spacing w:line="360" w:lineRule="auto"/>
        <w:ind w:left="360"/>
        <w:jc w:val="center"/>
        <w:rPr>
          <w:rFonts w:ascii="Arial" w:hAnsi="Arial" w:cs="Arial"/>
        </w:rPr>
      </w:pPr>
    </w:p>
    <w:p w14:paraId="49CEAB27" w14:textId="77777777" w:rsidR="00BB4CE5" w:rsidRPr="00281270" w:rsidRDefault="00BB4CE5" w:rsidP="00281270">
      <w:pPr>
        <w:pStyle w:val="NormalWeb"/>
        <w:spacing w:line="360" w:lineRule="auto"/>
        <w:ind w:left="360"/>
        <w:jc w:val="center"/>
        <w:rPr>
          <w:rFonts w:ascii="Arial" w:hAnsi="Arial" w:cs="Arial"/>
        </w:rPr>
      </w:pPr>
    </w:p>
    <w:p w14:paraId="1888E218" w14:textId="77777777" w:rsidR="00BB4CE5" w:rsidRPr="00281270" w:rsidRDefault="00BB4CE5" w:rsidP="00281270">
      <w:pPr>
        <w:pStyle w:val="NormalWeb"/>
        <w:spacing w:line="360" w:lineRule="auto"/>
        <w:ind w:left="360"/>
        <w:jc w:val="center"/>
        <w:rPr>
          <w:rFonts w:ascii="Arial" w:hAnsi="Arial" w:cs="Arial"/>
        </w:rPr>
      </w:pPr>
    </w:p>
    <w:p w14:paraId="56566DE9" w14:textId="77777777" w:rsidR="00BB4CE5" w:rsidRDefault="00BB4CE5" w:rsidP="008D25C5">
      <w:pPr>
        <w:pStyle w:val="NormalWeb"/>
        <w:ind w:left="360"/>
        <w:jc w:val="center"/>
      </w:pPr>
    </w:p>
    <w:p w14:paraId="4CC37084" w14:textId="77777777" w:rsidR="00BB4CE5" w:rsidRDefault="00BB4CE5" w:rsidP="008D25C5">
      <w:pPr>
        <w:pStyle w:val="NormalWeb"/>
        <w:ind w:left="360"/>
        <w:jc w:val="center"/>
      </w:pPr>
    </w:p>
    <w:p w14:paraId="00C04EE0" w14:textId="77777777" w:rsidR="00BB4CE5" w:rsidRDefault="00BB4CE5" w:rsidP="008D25C5">
      <w:pPr>
        <w:pStyle w:val="NormalWeb"/>
        <w:ind w:left="360"/>
        <w:jc w:val="center"/>
      </w:pPr>
    </w:p>
    <w:p w14:paraId="6C9E8F76" w14:textId="77777777" w:rsidR="00BB4CE5" w:rsidRDefault="00BB4CE5" w:rsidP="008D25C5">
      <w:pPr>
        <w:pStyle w:val="NormalWeb"/>
        <w:ind w:left="360"/>
        <w:jc w:val="center"/>
      </w:pPr>
    </w:p>
    <w:p w14:paraId="19F28287" w14:textId="77777777" w:rsidR="00BB4CE5" w:rsidRPr="00BB4CE5" w:rsidRDefault="00BB4CE5" w:rsidP="00BB4CE5">
      <w:pPr>
        <w:spacing w:line="360" w:lineRule="auto"/>
        <w:jc w:val="both"/>
        <w:rPr>
          <w:rFonts w:ascii="Arial" w:hAnsi="Arial" w:cs="Arial"/>
        </w:rPr>
      </w:pPr>
    </w:p>
    <w:p w14:paraId="07864033" w14:textId="77777777" w:rsidR="00076C73" w:rsidRPr="00BB4CE5" w:rsidRDefault="00076C73" w:rsidP="00DF712B">
      <w:pPr>
        <w:pStyle w:val="Heading1"/>
        <w:numPr>
          <w:ilvl w:val="0"/>
          <w:numId w:val="4"/>
        </w:numPr>
      </w:pPr>
      <w:bookmarkStart w:id="0" w:name="_Toc211690320"/>
      <w:r w:rsidRPr="00DF712B">
        <w:rPr>
          <w:rStyle w:val="Strong"/>
          <w:b/>
          <w:bCs w:val="0"/>
        </w:rPr>
        <w:t>Introduction</w:t>
      </w:r>
      <w:bookmarkEnd w:id="0"/>
    </w:p>
    <w:p w14:paraId="44599F1F" w14:textId="77777777" w:rsidR="000D218A" w:rsidRPr="00BB4CE5" w:rsidRDefault="000D218A" w:rsidP="00BB4CE5">
      <w:pPr>
        <w:spacing w:line="360" w:lineRule="auto"/>
        <w:jc w:val="both"/>
        <w:rPr>
          <w:rFonts w:ascii="Arial" w:hAnsi="Arial" w:cs="Arial"/>
        </w:rPr>
      </w:pPr>
      <w:proofErr w:type="spellStart"/>
      <w:r w:rsidRPr="00BB4CE5">
        <w:rPr>
          <w:rFonts w:ascii="Arial" w:hAnsi="Arial" w:cs="Arial"/>
        </w:rPr>
        <w:t>Mrs</w:t>
      </w:r>
      <w:proofErr w:type="spellEnd"/>
      <w:r w:rsidRPr="00BB4CE5">
        <w:rPr>
          <w:rFonts w:ascii="Arial" w:hAnsi="Arial" w:cs="Arial"/>
        </w:rPr>
        <w:t xml:space="preserve"> Mann is a seventy-two year old female who was recently sent home having undergone hip replacement surgery. She resides alone, and she is daily visited by care workers to assist her with mobility and personal care. But poor English spelling and inadequate documentation have led to misunderstanding and medication delay. This report will address three core areas of ongoing care of </w:t>
      </w:r>
      <w:proofErr w:type="spellStart"/>
      <w:r w:rsidRPr="00BB4CE5">
        <w:rPr>
          <w:rFonts w:ascii="Arial" w:hAnsi="Arial" w:cs="Arial"/>
        </w:rPr>
        <w:t>Mrs</w:t>
      </w:r>
      <w:proofErr w:type="spellEnd"/>
      <w:r w:rsidRPr="00BB4CE5">
        <w:rPr>
          <w:rFonts w:ascii="Arial" w:hAnsi="Arial" w:cs="Arial"/>
        </w:rPr>
        <w:t xml:space="preserve"> Mann namely effective communication, correct record keeping and team working. It will critically debate their significance in delivering safe, person-</w:t>
      </w:r>
      <w:proofErr w:type="spellStart"/>
      <w:r w:rsidRPr="00BB4CE5">
        <w:rPr>
          <w:rFonts w:ascii="Arial" w:hAnsi="Arial" w:cs="Arial"/>
        </w:rPr>
        <w:t>centred</w:t>
      </w:r>
      <w:proofErr w:type="spellEnd"/>
      <w:r w:rsidRPr="00BB4CE5">
        <w:rPr>
          <w:rFonts w:ascii="Arial" w:hAnsi="Arial" w:cs="Arial"/>
        </w:rPr>
        <w:t xml:space="preserve"> care and connect each of them to the major legislation and professional standards in the UK. The report is divided into three major sections, and finally has a conclusion.</w:t>
      </w:r>
    </w:p>
    <w:p w14:paraId="3D3A43C0" w14:textId="77777777" w:rsidR="000D218A" w:rsidRPr="00BB4CE5" w:rsidRDefault="000D218A" w:rsidP="00DF712B">
      <w:pPr>
        <w:pStyle w:val="Heading1"/>
        <w:numPr>
          <w:ilvl w:val="0"/>
          <w:numId w:val="4"/>
        </w:numPr>
      </w:pPr>
      <w:bookmarkStart w:id="1" w:name="_Toc211690321"/>
      <w:r w:rsidRPr="00BB4CE5">
        <w:t xml:space="preserve">Effective Communication in the Care of </w:t>
      </w:r>
      <w:proofErr w:type="spellStart"/>
      <w:r w:rsidRPr="00BB4CE5">
        <w:t>Mrs</w:t>
      </w:r>
      <w:proofErr w:type="spellEnd"/>
      <w:r w:rsidRPr="00BB4CE5">
        <w:t xml:space="preserve"> Mann.</w:t>
      </w:r>
      <w:bookmarkEnd w:id="1"/>
      <w:r w:rsidRPr="00BB4CE5">
        <w:t xml:space="preserve"> </w:t>
      </w:r>
    </w:p>
    <w:p w14:paraId="7F45EE45" w14:textId="77777777" w:rsidR="000D218A" w:rsidRPr="00BB4CE5" w:rsidRDefault="000D218A" w:rsidP="00DF712B">
      <w:pPr>
        <w:pStyle w:val="Heading2"/>
        <w:numPr>
          <w:ilvl w:val="1"/>
          <w:numId w:val="4"/>
        </w:numPr>
      </w:pPr>
      <w:bookmarkStart w:id="2" w:name="_Toc211690322"/>
      <w:r w:rsidRPr="00BB4CE5">
        <w:t>Significance of Communication.</w:t>
      </w:r>
      <w:bookmarkEnd w:id="2"/>
    </w:p>
    <w:p w14:paraId="38D2BEE2" w14:textId="77777777" w:rsidR="000D218A" w:rsidRPr="00BB4CE5" w:rsidRDefault="000D218A" w:rsidP="00BB4CE5">
      <w:pPr>
        <w:spacing w:line="360" w:lineRule="auto"/>
        <w:jc w:val="both"/>
        <w:rPr>
          <w:rFonts w:ascii="Arial" w:hAnsi="Arial" w:cs="Arial"/>
        </w:rPr>
      </w:pPr>
      <w:r w:rsidRPr="00BB4CE5">
        <w:rPr>
          <w:rFonts w:ascii="Arial" w:hAnsi="Arial" w:cs="Arial"/>
        </w:rPr>
        <w:t>The key to safe and caring health and social care is effective communication. It enables professionals to know the needs of a person, provide care in a coordinated manner and have trust that facilitates recovery</w:t>
      </w:r>
      <w:r w:rsidR="00A243D8">
        <w:rPr>
          <w:rFonts w:ascii="Arial" w:hAnsi="Arial" w:cs="Arial"/>
        </w:rPr>
        <w:t xml:space="preserve"> (</w:t>
      </w:r>
      <w:r w:rsidR="00A243D8" w:rsidRPr="00A243D8">
        <w:rPr>
          <w:rFonts w:ascii="Arial" w:hAnsi="Arial" w:cs="Arial"/>
        </w:rPr>
        <w:t>Durand</w:t>
      </w:r>
      <w:r w:rsidR="00A243D8">
        <w:rPr>
          <w:rFonts w:ascii="Arial" w:hAnsi="Arial" w:cs="Arial"/>
        </w:rPr>
        <w:t xml:space="preserve"> </w:t>
      </w:r>
      <w:r w:rsidR="00A243D8" w:rsidRPr="00A243D8">
        <w:rPr>
          <w:rFonts w:ascii="Arial" w:hAnsi="Arial" w:cs="Arial"/>
          <w:i/>
        </w:rPr>
        <w:t>et al.,</w:t>
      </w:r>
      <w:r w:rsidR="00A243D8">
        <w:rPr>
          <w:rFonts w:ascii="Arial" w:hAnsi="Arial" w:cs="Arial"/>
        </w:rPr>
        <w:t xml:space="preserve"> 2025)</w:t>
      </w:r>
      <w:r w:rsidRPr="00BB4CE5">
        <w:rPr>
          <w:rFonts w:ascii="Arial" w:hAnsi="Arial" w:cs="Arial"/>
        </w:rPr>
        <w:t xml:space="preserve">. Language barrier is a major problem in the case of </w:t>
      </w:r>
      <w:proofErr w:type="spellStart"/>
      <w:r w:rsidRPr="00BB4CE5">
        <w:rPr>
          <w:rFonts w:ascii="Arial" w:hAnsi="Arial" w:cs="Arial"/>
        </w:rPr>
        <w:t>Mrs</w:t>
      </w:r>
      <w:proofErr w:type="spellEnd"/>
      <w:r w:rsidRPr="00BB4CE5">
        <w:rPr>
          <w:rFonts w:ascii="Arial" w:hAnsi="Arial" w:cs="Arial"/>
        </w:rPr>
        <w:t xml:space="preserve"> Mann since her native language is Urdu and she speaks little English. The fact that she relies on her daughter to provide interpretation also amplifies the chance of misinterpretation especially where she is talking about intricate information, like refining medication or physiotherapy. The standards of the </w:t>
      </w:r>
      <w:r w:rsidR="00A243D8">
        <w:rPr>
          <w:rFonts w:ascii="Arial" w:hAnsi="Arial" w:cs="Arial"/>
        </w:rPr>
        <w:t>England</w:t>
      </w:r>
      <w:r w:rsidR="00A243D8" w:rsidRPr="00A243D8">
        <w:rPr>
          <w:rFonts w:ascii="Arial" w:hAnsi="Arial" w:cs="Arial"/>
        </w:rPr>
        <w:t xml:space="preserve"> and Improvement, </w:t>
      </w:r>
      <w:r w:rsidR="00A243D8">
        <w:rPr>
          <w:rFonts w:ascii="Arial" w:hAnsi="Arial" w:cs="Arial"/>
        </w:rPr>
        <w:t>(2019</w:t>
      </w:r>
      <w:r w:rsidRPr="00BB4CE5">
        <w:rPr>
          <w:rFonts w:ascii="Arial" w:hAnsi="Arial" w:cs="Arial"/>
        </w:rPr>
        <w:t xml:space="preserve">) on communication state that effective and accessible communication is critical to patient safety and shared decision-making. Failure to communicate, which is experienced in the delayed medication modification during </w:t>
      </w:r>
      <w:proofErr w:type="spellStart"/>
      <w:r w:rsidRPr="00BB4CE5">
        <w:rPr>
          <w:rFonts w:ascii="Arial" w:hAnsi="Arial" w:cs="Arial"/>
        </w:rPr>
        <w:t>Mrs</w:t>
      </w:r>
      <w:proofErr w:type="spellEnd"/>
      <w:r w:rsidRPr="00BB4CE5">
        <w:rPr>
          <w:rFonts w:ascii="Arial" w:hAnsi="Arial" w:cs="Arial"/>
        </w:rPr>
        <w:t xml:space="preserve"> Mann care, may result in mistakes and sufferings, which might affect the recovery process and faith in services. Research by </w:t>
      </w:r>
      <w:r w:rsidR="00A243D8">
        <w:rPr>
          <w:rFonts w:ascii="Arial" w:hAnsi="Arial" w:cs="Arial"/>
        </w:rPr>
        <w:t xml:space="preserve">Knoch </w:t>
      </w:r>
      <w:r w:rsidR="00A243D8" w:rsidRPr="00A243D8">
        <w:rPr>
          <w:rFonts w:ascii="Arial" w:hAnsi="Arial" w:cs="Arial"/>
          <w:i/>
        </w:rPr>
        <w:t>et al.,</w:t>
      </w:r>
      <w:r w:rsidR="00A243D8">
        <w:rPr>
          <w:rFonts w:ascii="Arial" w:hAnsi="Arial" w:cs="Arial"/>
        </w:rPr>
        <w:t xml:space="preserve"> (2025</w:t>
      </w:r>
      <w:r w:rsidRPr="00BB4CE5">
        <w:rPr>
          <w:rFonts w:ascii="Arial" w:hAnsi="Arial" w:cs="Arial"/>
        </w:rPr>
        <w:t>) has demonstrated that communication failure is one of the most significant reasons behind negative events in community care, which is usually caused by language or documentation problems.</w:t>
      </w:r>
    </w:p>
    <w:p w14:paraId="07F1BAA6" w14:textId="77777777" w:rsidR="000D218A" w:rsidRPr="00BB4CE5" w:rsidRDefault="000D218A" w:rsidP="00DF712B">
      <w:pPr>
        <w:pStyle w:val="Heading2"/>
        <w:numPr>
          <w:ilvl w:val="1"/>
          <w:numId w:val="4"/>
        </w:numPr>
      </w:pPr>
      <w:bookmarkStart w:id="3" w:name="_Toc211690323"/>
      <w:r w:rsidRPr="00BB4CE5">
        <w:t>Equality and Diversity Reflections.</w:t>
      </w:r>
      <w:bookmarkEnd w:id="3"/>
    </w:p>
    <w:p w14:paraId="5F921DE9" w14:textId="77777777" w:rsidR="000D218A" w:rsidRPr="00BB4CE5" w:rsidRDefault="000D218A" w:rsidP="00BB4CE5">
      <w:pPr>
        <w:spacing w:line="360" w:lineRule="auto"/>
        <w:jc w:val="both"/>
        <w:rPr>
          <w:rFonts w:ascii="Arial" w:hAnsi="Arial" w:cs="Arial"/>
        </w:rPr>
      </w:pPr>
      <w:r w:rsidRPr="00BB4CE5">
        <w:rPr>
          <w:rFonts w:ascii="Arial" w:hAnsi="Arial" w:cs="Arial"/>
        </w:rPr>
        <w:t>The Equality Act 2010 keys upon providing equal access and eradicating discrimination against healthcare and social care providers due to factors like race, age and language</w:t>
      </w:r>
      <w:r w:rsidR="00A243D8">
        <w:rPr>
          <w:rFonts w:ascii="Arial" w:hAnsi="Arial" w:cs="Arial"/>
        </w:rPr>
        <w:t xml:space="preserve"> (</w:t>
      </w:r>
      <w:r w:rsidR="00A243D8" w:rsidRPr="00A243D8">
        <w:rPr>
          <w:rFonts w:ascii="Arial" w:hAnsi="Arial" w:cs="Arial"/>
        </w:rPr>
        <w:t>Andrulis</w:t>
      </w:r>
      <w:r w:rsidR="00A243D8">
        <w:rPr>
          <w:rFonts w:ascii="Arial" w:hAnsi="Arial" w:cs="Arial"/>
        </w:rPr>
        <w:t xml:space="preserve"> </w:t>
      </w:r>
      <w:r w:rsidR="00A243D8" w:rsidRPr="00A243D8">
        <w:rPr>
          <w:rFonts w:ascii="Arial" w:hAnsi="Arial" w:cs="Arial"/>
          <w:i/>
        </w:rPr>
        <w:t>et al.,</w:t>
      </w:r>
      <w:r w:rsidR="00A243D8">
        <w:rPr>
          <w:rFonts w:ascii="Arial" w:hAnsi="Arial" w:cs="Arial"/>
        </w:rPr>
        <w:t xml:space="preserve"> </w:t>
      </w:r>
      <w:r w:rsidR="00A243D8">
        <w:rPr>
          <w:rFonts w:ascii="Arial" w:hAnsi="Arial" w:cs="Arial"/>
        </w:rPr>
        <w:lastRenderedPageBreak/>
        <w:t>2010)</w:t>
      </w:r>
      <w:r w:rsidRPr="00BB4CE5">
        <w:rPr>
          <w:rFonts w:ascii="Arial" w:hAnsi="Arial" w:cs="Arial"/>
        </w:rPr>
        <w:t xml:space="preserve">. In the case of </w:t>
      </w:r>
      <w:proofErr w:type="spellStart"/>
      <w:r w:rsidRPr="00BB4CE5">
        <w:rPr>
          <w:rFonts w:ascii="Arial" w:hAnsi="Arial" w:cs="Arial"/>
        </w:rPr>
        <w:t>Mrs</w:t>
      </w:r>
      <w:proofErr w:type="spellEnd"/>
      <w:r w:rsidRPr="00BB4CE5">
        <w:rPr>
          <w:rFonts w:ascii="Arial" w:hAnsi="Arial" w:cs="Arial"/>
        </w:rPr>
        <w:t xml:space="preserve"> Mann it will be to make sure that information is presented in a way that she comprehends like an interpreter, translated material or even culturally modified communication. Ethical values of dignity, autonomy, and person-</w:t>
      </w:r>
      <w:proofErr w:type="spellStart"/>
      <w:r w:rsidRPr="00BB4CE5">
        <w:rPr>
          <w:rFonts w:ascii="Arial" w:hAnsi="Arial" w:cs="Arial"/>
        </w:rPr>
        <w:t>centred</w:t>
      </w:r>
      <w:proofErr w:type="spellEnd"/>
      <w:r w:rsidRPr="00BB4CE5">
        <w:rPr>
          <w:rFonts w:ascii="Arial" w:hAnsi="Arial" w:cs="Arial"/>
        </w:rPr>
        <w:t xml:space="preserve"> care are respected through respecting language and cultural differences. The Care Quality Commission also insists that person-</w:t>
      </w:r>
      <w:proofErr w:type="spellStart"/>
      <w:r w:rsidRPr="00BB4CE5">
        <w:rPr>
          <w:rFonts w:ascii="Arial" w:hAnsi="Arial" w:cs="Arial"/>
        </w:rPr>
        <w:t>centred</w:t>
      </w:r>
      <w:proofErr w:type="spellEnd"/>
      <w:r w:rsidRPr="00BB4CE5">
        <w:rPr>
          <w:rFonts w:ascii="Arial" w:hAnsi="Arial" w:cs="Arial"/>
        </w:rPr>
        <w:t xml:space="preserve"> communication improves comprehension, as well as emotional comfort, especially among minority older adults</w:t>
      </w:r>
      <w:r w:rsidR="00A243D8">
        <w:rPr>
          <w:rFonts w:ascii="Arial" w:hAnsi="Arial" w:cs="Arial"/>
        </w:rPr>
        <w:t xml:space="preserve"> (</w:t>
      </w:r>
      <w:r w:rsidR="00A243D8" w:rsidRPr="00A243D8">
        <w:rPr>
          <w:rFonts w:ascii="Arial" w:hAnsi="Arial" w:cs="Arial"/>
        </w:rPr>
        <w:t>Mansfield-Loynes,</w:t>
      </w:r>
      <w:r w:rsidR="00A243D8">
        <w:rPr>
          <w:rFonts w:ascii="Arial" w:hAnsi="Arial" w:cs="Arial"/>
        </w:rPr>
        <w:t xml:space="preserve"> 2021)</w:t>
      </w:r>
      <w:r w:rsidRPr="00BB4CE5">
        <w:rPr>
          <w:rFonts w:ascii="Arial" w:hAnsi="Arial" w:cs="Arial"/>
        </w:rPr>
        <w:t xml:space="preserve">. Actually, a culturally competent carer will take additional time to clarify every operation with visual tools or simple explanations so that </w:t>
      </w:r>
      <w:proofErr w:type="spellStart"/>
      <w:r w:rsidRPr="00BB4CE5">
        <w:rPr>
          <w:rFonts w:ascii="Arial" w:hAnsi="Arial" w:cs="Arial"/>
        </w:rPr>
        <w:t>Mrs</w:t>
      </w:r>
      <w:proofErr w:type="spellEnd"/>
      <w:r w:rsidRPr="00BB4CE5">
        <w:rPr>
          <w:rFonts w:ascii="Arial" w:hAnsi="Arial" w:cs="Arial"/>
        </w:rPr>
        <w:t xml:space="preserve"> Mann feels that she is part of the team and she feels respected.</w:t>
      </w:r>
    </w:p>
    <w:p w14:paraId="039268E9" w14:textId="77777777" w:rsidR="000D218A" w:rsidRPr="00BB4CE5" w:rsidRDefault="000D218A" w:rsidP="00DF712B">
      <w:pPr>
        <w:pStyle w:val="Heading2"/>
        <w:numPr>
          <w:ilvl w:val="1"/>
          <w:numId w:val="4"/>
        </w:numPr>
      </w:pPr>
      <w:bookmarkStart w:id="4" w:name="_Toc211690324"/>
      <w:r w:rsidRPr="00BB4CE5">
        <w:t>Application of Communication Model.</w:t>
      </w:r>
      <w:bookmarkEnd w:id="4"/>
    </w:p>
    <w:p w14:paraId="22CF7063" w14:textId="77777777" w:rsidR="008851E1" w:rsidRPr="008851E1" w:rsidRDefault="000D218A" w:rsidP="008851E1">
      <w:pPr>
        <w:spacing w:line="360" w:lineRule="auto"/>
        <w:jc w:val="both"/>
        <w:rPr>
          <w:rFonts w:ascii="Arial" w:hAnsi="Arial" w:cs="Arial"/>
        </w:rPr>
      </w:pPr>
      <w:r w:rsidRPr="00BB4CE5">
        <w:rPr>
          <w:rFonts w:ascii="Arial" w:hAnsi="Arial" w:cs="Arial"/>
        </w:rPr>
        <w:t xml:space="preserve">The SMCR Model </w:t>
      </w:r>
      <w:r w:rsidR="00174DE2" w:rsidRPr="00BB4CE5">
        <w:rPr>
          <w:rFonts w:ascii="Arial" w:hAnsi="Arial" w:cs="Arial"/>
        </w:rPr>
        <w:t>(Source</w:t>
      </w:r>
      <w:r w:rsidRPr="00BB4CE5">
        <w:rPr>
          <w:rFonts w:ascii="Arial" w:hAnsi="Arial" w:cs="Arial"/>
        </w:rPr>
        <w:t xml:space="preserve">, Message, Channel, </w:t>
      </w:r>
      <w:r w:rsidR="00A243D8" w:rsidRPr="00BB4CE5">
        <w:rPr>
          <w:rFonts w:ascii="Arial" w:hAnsi="Arial" w:cs="Arial"/>
        </w:rPr>
        <w:t>and Receiver</w:t>
      </w:r>
      <w:r w:rsidRPr="00BB4CE5">
        <w:rPr>
          <w:rFonts w:ascii="Arial" w:hAnsi="Arial" w:cs="Arial"/>
        </w:rPr>
        <w:t xml:space="preserve">) by Berlo gives an effective model of communication in the case of </w:t>
      </w:r>
      <w:proofErr w:type="spellStart"/>
      <w:r w:rsidRPr="00BB4CE5">
        <w:rPr>
          <w:rFonts w:ascii="Arial" w:hAnsi="Arial" w:cs="Arial"/>
        </w:rPr>
        <w:t>Mrs</w:t>
      </w:r>
      <w:proofErr w:type="spellEnd"/>
      <w:r w:rsidRPr="00BB4CE5">
        <w:rPr>
          <w:rFonts w:ascii="Arial" w:hAnsi="Arial" w:cs="Arial"/>
        </w:rPr>
        <w:t xml:space="preserve"> Mann</w:t>
      </w:r>
      <w:r w:rsidR="00A243D8" w:rsidRPr="00A243D8">
        <w:t xml:space="preserve"> </w:t>
      </w:r>
      <w:r w:rsidR="00A243D8">
        <w:t>(</w:t>
      </w:r>
      <w:r w:rsidR="00A243D8" w:rsidRPr="00A243D8">
        <w:rPr>
          <w:rFonts w:ascii="Arial" w:hAnsi="Arial" w:cs="Arial"/>
        </w:rPr>
        <w:t>Berlo's</w:t>
      </w:r>
      <w:r w:rsidR="00A243D8">
        <w:rPr>
          <w:rFonts w:ascii="Arial" w:hAnsi="Arial" w:cs="Arial"/>
        </w:rPr>
        <w:t>, 2204)</w:t>
      </w:r>
      <w:r w:rsidRPr="00BB4CE5">
        <w:rPr>
          <w:rFonts w:ascii="Arial" w:hAnsi="Arial" w:cs="Arial"/>
        </w:rPr>
        <w:t xml:space="preserve">. The channel can be both verbal and non-verbal (through gestures or demonstrations), and the source (care worker) needs to encode messages in a way that is understandable to </w:t>
      </w:r>
      <w:proofErr w:type="spellStart"/>
      <w:r w:rsidRPr="00BB4CE5">
        <w:rPr>
          <w:rFonts w:ascii="Arial" w:hAnsi="Arial" w:cs="Arial"/>
        </w:rPr>
        <w:t>Mrs</w:t>
      </w:r>
      <w:proofErr w:type="spellEnd"/>
      <w:r w:rsidRPr="00BB4CE5">
        <w:rPr>
          <w:rFonts w:ascii="Arial" w:hAnsi="Arial" w:cs="Arial"/>
        </w:rPr>
        <w:t xml:space="preserve"> Mann, who has limited English. The message is decoded by the receiver (</w:t>
      </w:r>
      <w:proofErr w:type="spellStart"/>
      <w:r w:rsidRPr="00BB4CE5">
        <w:rPr>
          <w:rFonts w:ascii="Arial" w:hAnsi="Arial" w:cs="Arial"/>
        </w:rPr>
        <w:t>Mrs</w:t>
      </w:r>
      <w:proofErr w:type="spellEnd"/>
      <w:r w:rsidRPr="00BB4CE5">
        <w:rPr>
          <w:rFonts w:ascii="Arial" w:hAnsi="Arial" w:cs="Arial"/>
        </w:rPr>
        <w:t xml:space="preserve"> Mann) with the assistance of her daughter or interpreter whose role is supposed to be supported rather than being totally dependent. In case there is a difference in encoding and decoding, miscommunication may take place, which is why the training of interpreters and culturally sensitive employees is necessary. According to research, </w:t>
      </w:r>
      <w:r w:rsidR="00A243D8">
        <w:rPr>
          <w:rFonts w:ascii="Arial" w:hAnsi="Arial" w:cs="Arial"/>
        </w:rPr>
        <w:t xml:space="preserve">Ruben </w:t>
      </w:r>
      <w:r w:rsidRPr="00A243D8">
        <w:rPr>
          <w:rFonts w:ascii="Arial" w:hAnsi="Arial" w:cs="Arial"/>
          <w:i/>
        </w:rPr>
        <w:t>et al.</w:t>
      </w:r>
      <w:r w:rsidRPr="00BB4CE5">
        <w:rPr>
          <w:rFonts w:ascii="Arial" w:hAnsi="Arial" w:cs="Arial"/>
        </w:rPr>
        <w:t xml:space="preserve"> (2020) demonstrated that empathy and non-verbal sensitivity helps to enhance the outcomes of communication among patients with a lack of language competence. </w:t>
      </w:r>
      <w:r w:rsidR="008851E1" w:rsidRPr="008851E1">
        <w:rPr>
          <w:rFonts w:ascii="Arial" w:hAnsi="Arial" w:cs="Arial"/>
        </w:rPr>
        <w:t xml:space="preserve">By this, the application of the model will ensure that the care being administered to </w:t>
      </w:r>
      <w:proofErr w:type="spellStart"/>
      <w:r w:rsidR="008851E1" w:rsidRPr="008851E1">
        <w:rPr>
          <w:rFonts w:ascii="Arial" w:hAnsi="Arial" w:cs="Arial"/>
        </w:rPr>
        <w:t>Mrs</w:t>
      </w:r>
      <w:proofErr w:type="spellEnd"/>
      <w:r w:rsidR="008851E1" w:rsidRPr="008851E1">
        <w:rPr>
          <w:rFonts w:ascii="Arial" w:hAnsi="Arial" w:cs="Arial"/>
        </w:rPr>
        <w:t xml:space="preserve"> Mann is inclusive, precise and sensitive to her peculiarities.</w:t>
      </w:r>
    </w:p>
    <w:p w14:paraId="0B175338" w14:textId="77777777" w:rsidR="008851E1" w:rsidRPr="008851E1" w:rsidRDefault="008851E1" w:rsidP="008851E1">
      <w:pPr>
        <w:pStyle w:val="Heading1"/>
        <w:numPr>
          <w:ilvl w:val="0"/>
          <w:numId w:val="4"/>
        </w:numPr>
      </w:pPr>
      <w:r w:rsidRPr="008851E1">
        <w:t>Competences in administration and record keeping.</w:t>
      </w:r>
    </w:p>
    <w:p w14:paraId="18E0493D" w14:textId="77777777" w:rsidR="008851E1" w:rsidRPr="008851E1" w:rsidRDefault="008851E1" w:rsidP="008851E1">
      <w:pPr>
        <w:pStyle w:val="Heading2"/>
        <w:numPr>
          <w:ilvl w:val="1"/>
          <w:numId w:val="4"/>
        </w:numPr>
      </w:pPr>
      <w:r w:rsidRPr="008851E1">
        <w:t>Importance of Good Administrative Practice.</w:t>
      </w:r>
    </w:p>
    <w:p w14:paraId="6F665DFB" w14:textId="77777777" w:rsidR="000D218A" w:rsidRPr="00BB4CE5" w:rsidRDefault="008851E1" w:rsidP="008851E1">
      <w:pPr>
        <w:spacing w:line="360" w:lineRule="auto"/>
        <w:jc w:val="both"/>
        <w:rPr>
          <w:rFonts w:ascii="Arial" w:hAnsi="Arial" w:cs="Arial"/>
        </w:rPr>
      </w:pPr>
      <w:r w:rsidRPr="008851E1">
        <w:rPr>
          <w:rFonts w:ascii="Arial" w:hAnsi="Arial" w:cs="Arial"/>
        </w:rPr>
        <w:t xml:space="preserve">In a study conducted by Ross et al., (2019), the care is safe, effective, and coordinated within a health and social care setting due to both the accuracy and consistency of documentation. The fact that no consistency in record keeping was utilized in case of </w:t>
      </w:r>
      <w:proofErr w:type="spellStart"/>
      <w:r w:rsidRPr="008851E1">
        <w:rPr>
          <w:rFonts w:ascii="Arial" w:hAnsi="Arial" w:cs="Arial"/>
        </w:rPr>
        <w:t>Mrs</w:t>
      </w:r>
      <w:proofErr w:type="spellEnd"/>
      <w:r w:rsidRPr="008851E1">
        <w:rPr>
          <w:rFonts w:ascii="Arial" w:hAnsi="Arial" w:cs="Arial"/>
        </w:rPr>
        <w:t xml:space="preserve"> Mann contributed to the delay in the medication revision process of her case which highlights the importance of administrative errors as obstacles to safety and continuity. The administrative good practice helps professionals to keep track of the progress, share information efficiently and hold themselves responsible in </w:t>
      </w:r>
      <w:r w:rsidR="00BB0525" w:rsidRPr="008851E1">
        <w:rPr>
          <w:rFonts w:ascii="Arial" w:hAnsi="Arial" w:cs="Arial"/>
        </w:rPr>
        <w:t>multi-agency</w:t>
      </w:r>
      <w:r w:rsidRPr="008851E1">
        <w:rPr>
          <w:rFonts w:ascii="Arial" w:hAnsi="Arial" w:cs="Arial"/>
        </w:rPr>
        <w:t xml:space="preserve"> teams. Effective records are essential not only in the protection of the service users but also in commu</w:t>
      </w:r>
      <w:r>
        <w:rPr>
          <w:rFonts w:ascii="Arial" w:hAnsi="Arial" w:cs="Arial"/>
        </w:rPr>
        <w:t>nicating with the practitioners</w:t>
      </w:r>
      <w:r w:rsidR="000D218A" w:rsidRPr="00BB4CE5">
        <w:rPr>
          <w:rFonts w:ascii="Arial" w:hAnsi="Arial" w:cs="Arial"/>
        </w:rPr>
        <w:t>. Inadequate documentation may result in disjointed care, redundancy, or violation of the law and ethical violations</w:t>
      </w:r>
      <w:r w:rsidR="000A2145">
        <w:rPr>
          <w:rFonts w:ascii="Arial" w:hAnsi="Arial" w:cs="Arial"/>
        </w:rPr>
        <w:t xml:space="preserve"> (</w:t>
      </w:r>
      <w:r w:rsidR="000A2145" w:rsidRPr="000A2145">
        <w:rPr>
          <w:rFonts w:ascii="Arial" w:hAnsi="Arial" w:cs="Arial"/>
        </w:rPr>
        <w:t>Ime</w:t>
      </w:r>
      <w:r w:rsidR="000A2145">
        <w:rPr>
          <w:rFonts w:ascii="Arial" w:hAnsi="Arial" w:cs="Arial"/>
        </w:rPr>
        <w:t xml:space="preserve"> </w:t>
      </w:r>
      <w:r w:rsidR="000A2145" w:rsidRPr="000A2145">
        <w:rPr>
          <w:rFonts w:ascii="Arial" w:hAnsi="Arial" w:cs="Arial"/>
          <w:i/>
        </w:rPr>
        <w:t>et al.,</w:t>
      </w:r>
      <w:r w:rsidR="000A2145">
        <w:rPr>
          <w:rFonts w:ascii="Arial" w:hAnsi="Arial" w:cs="Arial"/>
        </w:rPr>
        <w:t xml:space="preserve"> 2024)</w:t>
      </w:r>
      <w:r w:rsidR="000D218A" w:rsidRPr="00BB4CE5">
        <w:rPr>
          <w:rFonts w:ascii="Arial" w:hAnsi="Arial" w:cs="Arial"/>
        </w:rPr>
        <w:t xml:space="preserve">. The professional responsibility of having clear and complete records is also stressed in </w:t>
      </w:r>
      <w:r w:rsidR="000D218A" w:rsidRPr="00BB4CE5">
        <w:rPr>
          <w:rFonts w:ascii="Arial" w:hAnsi="Arial" w:cs="Arial"/>
        </w:rPr>
        <w:lastRenderedPageBreak/>
        <w:t>the Health and Social Care Act 2012 as an element of the quality assurance and clinical governance. Ha</w:t>
      </w:r>
      <w:r w:rsidR="000A2145">
        <w:rPr>
          <w:rFonts w:ascii="Arial" w:hAnsi="Arial" w:cs="Arial"/>
        </w:rPr>
        <w:t>ving proper records is</w:t>
      </w:r>
      <w:r w:rsidR="000D218A" w:rsidRPr="00BB4CE5">
        <w:rPr>
          <w:rFonts w:ascii="Arial" w:hAnsi="Arial" w:cs="Arial"/>
        </w:rPr>
        <w:t xml:space="preserve"> not only about being efficient but also about professional accountability and risk management so that every member of a care team is able to get up to date and relevant information</w:t>
      </w:r>
      <w:r w:rsidR="000A2145">
        <w:rPr>
          <w:rFonts w:ascii="Arial" w:hAnsi="Arial" w:cs="Arial"/>
        </w:rPr>
        <w:t xml:space="preserve"> (</w:t>
      </w:r>
      <w:r w:rsidR="000A2145" w:rsidRPr="000A2145">
        <w:rPr>
          <w:rFonts w:ascii="Arial" w:hAnsi="Arial" w:cs="Arial"/>
        </w:rPr>
        <w:t>Sheikh</w:t>
      </w:r>
      <w:r w:rsidR="000A2145">
        <w:rPr>
          <w:rFonts w:ascii="Arial" w:hAnsi="Arial" w:cs="Arial"/>
        </w:rPr>
        <w:t xml:space="preserve"> </w:t>
      </w:r>
      <w:r w:rsidR="000A2145" w:rsidRPr="000A2145">
        <w:rPr>
          <w:rFonts w:ascii="Arial" w:hAnsi="Arial" w:cs="Arial"/>
          <w:i/>
        </w:rPr>
        <w:t>et al</w:t>
      </w:r>
      <w:r w:rsidR="000A2145">
        <w:rPr>
          <w:rFonts w:ascii="Arial" w:hAnsi="Arial" w:cs="Arial"/>
        </w:rPr>
        <w:t>.</w:t>
      </w:r>
      <w:r w:rsidR="000A2145" w:rsidRPr="000A2145">
        <w:rPr>
          <w:rFonts w:ascii="Arial" w:hAnsi="Arial" w:cs="Arial"/>
        </w:rPr>
        <w:t>,</w:t>
      </w:r>
      <w:r w:rsidR="000A2145">
        <w:rPr>
          <w:rFonts w:ascii="Arial" w:hAnsi="Arial" w:cs="Arial"/>
        </w:rPr>
        <w:t xml:space="preserve"> 2021)</w:t>
      </w:r>
      <w:r w:rsidR="000D218A" w:rsidRPr="00BB4CE5">
        <w:rPr>
          <w:rFonts w:ascii="Arial" w:hAnsi="Arial" w:cs="Arial"/>
        </w:rPr>
        <w:t>.</w:t>
      </w:r>
    </w:p>
    <w:p w14:paraId="4530688F" w14:textId="77777777" w:rsidR="000D218A" w:rsidRPr="00BB4CE5" w:rsidRDefault="000D218A" w:rsidP="00DF712B">
      <w:pPr>
        <w:pStyle w:val="Heading2"/>
        <w:numPr>
          <w:ilvl w:val="1"/>
          <w:numId w:val="4"/>
        </w:numPr>
      </w:pPr>
      <w:bookmarkStart w:id="5" w:name="_Toc211690327"/>
      <w:r w:rsidRPr="00BB4CE5">
        <w:t>Data Protection and Confidentiality.</w:t>
      </w:r>
      <w:bookmarkEnd w:id="5"/>
    </w:p>
    <w:p w14:paraId="6D2811E2" w14:textId="77777777" w:rsidR="000D218A" w:rsidRPr="00BB4CE5" w:rsidRDefault="00425483" w:rsidP="00BB4CE5">
      <w:pPr>
        <w:spacing w:line="360" w:lineRule="auto"/>
        <w:jc w:val="both"/>
        <w:rPr>
          <w:rFonts w:ascii="Arial" w:hAnsi="Arial" w:cs="Arial"/>
        </w:rPr>
      </w:pPr>
      <w:r>
        <w:rPr>
          <w:rFonts w:ascii="Arial" w:hAnsi="Arial" w:cs="Arial"/>
        </w:rPr>
        <w:t xml:space="preserve">According to study </w:t>
      </w:r>
      <w:r w:rsidRPr="00425483">
        <w:rPr>
          <w:rFonts w:ascii="Arial" w:hAnsi="Arial" w:cs="Arial"/>
        </w:rPr>
        <w:t>Shahid</w:t>
      </w:r>
      <w:r>
        <w:rPr>
          <w:rFonts w:ascii="Arial" w:hAnsi="Arial" w:cs="Arial"/>
        </w:rPr>
        <w:t xml:space="preserve"> </w:t>
      </w:r>
      <w:r w:rsidRPr="00425483">
        <w:rPr>
          <w:rFonts w:ascii="Arial" w:hAnsi="Arial" w:cs="Arial"/>
          <w:i/>
        </w:rPr>
        <w:t>et al.,</w:t>
      </w:r>
      <w:r w:rsidRPr="00425483">
        <w:rPr>
          <w:rFonts w:ascii="Arial" w:hAnsi="Arial" w:cs="Arial"/>
        </w:rPr>
        <w:t xml:space="preserve"> </w:t>
      </w:r>
      <w:r>
        <w:rPr>
          <w:rFonts w:ascii="Arial" w:hAnsi="Arial" w:cs="Arial"/>
        </w:rPr>
        <w:t>(2022), t</w:t>
      </w:r>
      <w:r w:rsidR="000D218A" w:rsidRPr="00BB4CE5">
        <w:rPr>
          <w:rFonts w:ascii="Arial" w:hAnsi="Arial" w:cs="Arial"/>
        </w:rPr>
        <w:t xml:space="preserve">he Data Protection Act 2018, which complies with the General Data Protection Regulation (GDPR), offers legal basis in the management of personal and sensitive health data. Among the basic concepts, which the Act involves, are lawfulness, fairness, accuracy, and limited access to data to make sure that the data is both collected and stored in a responsible manner. The concept of confidentiality is essential in the case of </w:t>
      </w:r>
      <w:proofErr w:type="spellStart"/>
      <w:r w:rsidR="000D218A" w:rsidRPr="00BB4CE5">
        <w:rPr>
          <w:rFonts w:ascii="Arial" w:hAnsi="Arial" w:cs="Arial"/>
        </w:rPr>
        <w:t>Mrs</w:t>
      </w:r>
      <w:proofErr w:type="spellEnd"/>
      <w:r w:rsidR="000D218A" w:rsidRPr="00BB4CE5">
        <w:rPr>
          <w:rFonts w:ascii="Arial" w:hAnsi="Arial" w:cs="Arial"/>
        </w:rPr>
        <w:t xml:space="preserve"> Mann as there are several professionals working with her. Her data should be provided when it is necessary and informed consent should be given. The NHS Code of Pr</w:t>
      </w:r>
      <w:r w:rsidR="00054A32">
        <w:rPr>
          <w:rFonts w:ascii="Arial" w:hAnsi="Arial" w:cs="Arial"/>
        </w:rPr>
        <w:t>actice on Confidentiality</w:t>
      </w:r>
      <w:r w:rsidR="000D218A" w:rsidRPr="00BB4CE5">
        <w:rPr>
          <w:rFonts w:ascii="Arial" w:hAnsi="Arial" w:cs="Arial"/>
        </w:rPr>
        <w:t xml:space="preserve"> </w:t>
      </w:r>
      <w:proofErr w:type="spellStart"/>
      <w:r w:rsidR="000D218A" w:rsidRPr="00BB4CE5">
        <w:rPr>
          <w:rFonts w:ascii="Arial" w:hAnsi="Arial" w:cs="Arial"/>
        </w:rPr>
        <w:t>emphasises</w:t>
      </w:r>
      <w:proofErr w:type="spellEnd"/>
      <w:r w:rsidR="000D218A" w:rsidRPr="00BB4CE5">
        <w:rPr>
          <w:rFonts w:ascii="Arial" w:hAnsi="Arial" w:cs="Arial"/>
        </w:rPr>
        <w:t xml:space="preserve"> that the service user has a right to understand how their information is utilized and whether or not it is shared with others. The confidentiality breach may destroy the trust and abuse the ethical principles of the regulation authorities. Professional ethics stipulate that employees should treat all documents confidentially, through secure systems and share only information to aid delivery of safe care</w:t>
      </w:r>
      <w:r w:rsidR="00054A32">
        <w:rPr>
          <w:rFonts w:ascii="Arial" w:hAnsi="Arial" w:cs="Arial"/>
        </w:rPr>
        <w:t xml:space="preserve"> (</w:t>
      </w:r>
      <w:r w:rsidR="00054A32" w:rsidRPr="00054A32">
        <w:rPr>
          <w:rFonts w:ascii="Arial" w:hAnsi="Arial" w:cs="Arial"/>
        </w:rPr>
        <w:t>Dove,</w:t>
      </w:r>
      <w:r w:rsidR="00054A32">
        <w:rPr>
          <w:rFonts w:ascii="Arial" w:hAnsi="Arial" w:cs="Arial"/>
        </w:rPr>
        <w:t xml:space="preserve"> 2023)</w:t>
      </w:r>
      <w:r w:rsidR="000D218A" w:rsidRPr="00BB4CE5">
        <w:rPr>
          <w:rFonts w:ascii="Arial" w:hAnsi="Arial" w:cs="Arial"/>
        </w:rPr>
        <w:t>.</w:t>
      </w:r>
    </w:p>
    <w:p w14:paraId="3543066F" w14:textId="77777777" w:rsidR="00174DE2" w:rsidRPr="00174DE2" w:rsidRDefault="009C7AA1" w:rsidP="00DF712B">
      <w:pPr>
        <w:pStyle w:val="Heading2"/>
        <w:numPr>
          <w:ilvl w:val="1"/>
          <w:numId w:val="4"/>
        </w:numPr>
        <w:rPr>
          <w:b w:val="0"/>
        </w:rPr>
      </w:pPr>
      <w:bookmarkStart w:id="6" w:name="_Toc211690328"/>
      <w:r w:rsidRPr="00174DE2">
        <w:rPr>
          <w:rStyle w:val="Strong"/>
          <w:rFonts w:cs="Arial"/>
          <w:b/>
        </w:rPr>
        <w:t>Policies and Frameworks</w:t>
      </w:r>
      <w:bookmarkEnd w:id="6"/>
    </w:p>
    <w:p w14:paraId="675AA990" w14:textId="77777777" w:rsidR="000D218A" w:rsidRPr="00BB4CE5" w:rsidRDefault="000D218A" w:rsidP="00BB4CE5">
      <w:pPr>
        <w:spacing w:line="360" w:lineRule="auto"/>
        <w:jc w:val="both"/>
        <w:rPr>
          <w:rFonts w:ascii="Arial" w:hAnsi="Arial" w:cs="Arial"/>
        </w:rPr>
      </w:pPr>
      <w:r w:rsidRPr="00BB4CE5">
        <w:rPr>
          <w:rFonts w:ascii="Arial" w:hAnsi="Arial" w:cs="Arial"/>
        </w:rPr>
        <w:t>The health and social care administrative roles are handled using professional frameworks. According to the Nursing a</w:t>
      </w:r>
      <w:r w:rsidR="00054A32">
        <w:rPr>
          <w:rFonts w:ascii="Arial" w:hAnsi="Arial" w:cs="Arial"/>
        </w:rPr>
        <w:t>nd Midwifery Council Code (2018)</w:t>
      </w:r>
      <w:r w:rsidRPr="00BB4CE5">
        <w:rPr>
          <w:rFonts w:ascii="Arial" w:hAnsi="Arial" w:cs="Arial"/>
        </w:rPr>
        <w:t>, nurses and carers are expected to maintain accurate records and keep the information regarding patients confidential</w:t>
      </w:r>
      <w:r w:rsidR="00054A32">
        <w:rPr>
          <w:rFonts w:ascii="Arial" w:hAnsi="Arial" w:cs="Arial"/>
        </w:rPr>
        <w:t xml:space="preserve"> (Lelan </w:t>
      </w:r>
      <w:r w:rsidR="00054A32" w:rsidRPr="00054A32">
        <w:rPr>
          <w:rFonts w:ascii="Arial" w:hAnsi="Arial" w:cs="Arial"/>
        </w:rPr>
        <w:t>and Korir,</w:t>
      </w:r>
      <w:r w:rsidR="00054A32">
        <w:rPr>
          <w:rFonts w:ascii="Arial" w:hAnsi="Arial" w:cs="Arial"/>
        </w:rPr>
        <w:t xml:space="preserve"> 2025)</w:t>
      </w:r>
      <w:r w:rsidRPr="00BB4CE5">
        <w:rPr>
          <w:rFonts w:ascii="Arial" w:hAnsi="Arial" w:cs="Arial"/>
        </w:rPr>
        <w:t>. On the same note, the CQC standards (2023) mandate providers to keep fully developed, up-to-date, and safely stored records. The NHS Digital Records Management Code (2021) also provides additional best practices in the responsibility of storing and disposing of records</w:t>
      </w:r>
      <w:r w:rsidR="00054A32">
        <w:rPr>
          <w:rFonts w:ascii="Arial" w:hAnsi="Arial" w:cs="Arial"/>
        </w:rPr>
        <w:t xml:space="preserve"> (</w:t>
      </w:r>
      <w:r w:rsidR="00054A32" w:rsidRPr="00054A32">
        <w:rPr>
          <w:rFonts w:ascii="Arial" w:hAnsi="Arial" w:cs="Arial"/>
        </w:rPr>
        <w:t>Jones</w:t>
      </w:r>
      <w:r w:rsidR="00054A32">
        <w:rPr>
          <w:rFonts w:ascii="Arial" w:hAnsi="Arial" w:cs="Arial"/>
        </w:rPr>
        <w:t xml:space="preserve"> </w:t>
      </w:r>
      <w:r w:rsidR="00054A32" w:rsidRPr="00054A32">
        <w:rPr>
          <w:rFonts w:ascii="Arial" w:hAnsi="Arial" w:cs="Arial"/>
          <w:i/>
        </w:rPr>
        <w:t>et al.,</w:t>
      </w:r>
      <w:r w:rsidR="00054A32">
        <w:rPr>
          <w:rFonts w:ascii="Arial" w:hAnsi="Arial" w:cs="Arial"/>
        </w:rPr>
        <w:t xml:space="preserve"> 2023)</w:t>
      </w:r>
      <w:r w:rsidRPr="00BB4CE5">
        <w:rPr>
          <w:rFonts w:ascii="Arial" w:hAnsi="Arial" w:cs="Arial"/>
        </w:rPr>
        <w:t xml:space="preserve">. Under the circumstances of </w:t>
      </w:r>
      <w:proofErr w:type="spellStart"/>
      <w:r w:rsidRPr="00BB4CE5">
        <w:rPr>
          <w:rFonts w:ascii="Arial" w:hAnsi="Arial" w:cs="Arial"/>
        </w:rPr>
        <w:t>Mrs</w:t>
      </w:r>
      <w:proofErr w:type="spellEnd"/>
      <w:r w:rsidRPr="00BB4CE5">
        <w:rPr>
          <w:rFonts w:ascii="Arial" w:hAnsi="Arial" w:cs="Arial"/>
        </w:rPr>
        <w:t xml:space="preserve"> Mann, the application of these frameworks would make sure that her care records are harmonized, legally compliant, and available to all the authorized professionals working on her recovery.</w:t>
      </w:r>
    </w:p>
    <w:p w14:paraId="1C27DFF7" w14:textId="77777777" w:rsidR="000D218A" w:rsidRPr="00BB4CE5" w:rsidRDefault="000D218A" w:rsidP="00DF712B">
      <w:pPr>
        <w:pStyle w:val="Heading1"/>
        <w:numPr>
          <w:ilvl w:val="0"/>
          <w:numId w:val="4"/>
        </w:numPr>
      </w:pPr>
      <w:bookmarkStart w:id="7" w:name="_Toc211690329"/>
      <w:r w:rsidRPr="00BB4CE5">
        <w:t xml:space="preserve">Collaborative Working </w:t>
      </w:r>
      <w:proofErr w:type="spellStart"/>
      <w:r w:rsidRPr="00BB4CE5">
        <w:t>Mrs</w:t>
      </w:r>
      <w:proofErr w:type="spellEnd"/>
      <w:r w:rsidRPr="00BB4CE5">
        <w:t xml:space="preserve"> Mann Care.</w:t>
      </w:r>
      <w:bookmarkEnd w:id="7"/>
      <w:r w:rsidRPr="00BB4CE5">
        <w:t xml:space="preserve"> </w:t>
      </w:r>
    </w:p>
    <w:p w14:paraId="40C7DABA" w14:textId="77777777" w:rsidR="000D218A" w:rsidRPr="00BB4CE5" w:rsidRDefault="000D218A" w:rsidP="00DF712B">
      <w:pPr>
        <w:pStyle w:val="Heading2"/>
        <w:numPr>
          <w:ilvl w:val="1"/>
          <w:numId w:val="4"/>
        </w:numPr>
      </w:pPr>
      <w:bookmarkStart w:id="8" w:name="_Toc211690330"/>
      <w:r w:rsidRPr="00BB4CE5">
        <w:t>The Significance of Multi-Agency Cooperation.</w:t>
      </w:r>
      <w:bookmarkEnd w:id="8"/>
    </w:p>
    <w:p w14:paraId="4E1EDCCC" w14:textId="77777777" w:rsidR="000D218A" w:rsidRPr="00BB4CE5" w:rsidRDefault="000D218A" w:rsidP="00BB4CE5">
      <w:pPr>
        <w:spacing w:line="360" w:lineRule="auto"/>
        <w:jc w:val="both"/>
        <w:rPr>
          <w:rFonts w:ascii="Arial" w:hAnsi="Arial" w:cs="Arial"/>
        </w:rPr>
      </w:pPr>
      <w:r w:rsidRPr="00BB4CE5">
        <w:rPr>
          <w:rFonts w:ascii="Arial" w:hAnsi="Arial" w:cs="Arial"/>
        </w:rPr>
        <w:t>Collaborative practice when applied to inter-disciplinary co-workers can be defined as the collaboration of two or more professionals to provide integrated care. It is employed in health and social care in ensuring that the service users are supported in all areas of their wellbeing</w:t>
      </w:r>
      <w:r w:rsidR="00054A32">
        <w:rPr>
          <w:rFonts w:ascii="Arial" w:hAnsi="Arial" w:cs="Arial"/>
        </w:rPr>
        <w:t xml:space="preserve"> (</w:t>
      </w:r>
      <w:r w:rsidR="00054A32" w:rsidRPr="00054A32">
        <w:rPr>
          <w:rFonts w:ascii="Arial" w:hAnsi="Arial" w:cs="Arial"/>
        </w:rPr>
        <w:t>Schilling</w:t>
      </w:r>
      <w:r w:rsidR="00054A32">
        <w:rPr>
          <w:rFonts w:ascii="Arial" w:hAnsi="Arial" w:cs="Arial"/>
        </w:rPr>
        <w:t xml:space="preserve"> </w:t>
      </w:r>
      <w:r w:rsidR="00054A32" w:rsidRPr="00054A32">
        <w:rPr>
          <w:rFonts w:ascii="Arial" w:hAnsi="Arial" w:cs="Arial"/>
          <w:i/>
        </w:rPr>
        <w:t>et al.,</w:t>
      </w:r>
      <w:r w:rsidR="00054A32">
        <w:rPr>
          <w:rFonts w:ascii="Arial" w:hAnsi="Arial" w:cs="Arial"/>
        </w:rPr>
        <w:t xml:space="preserve"> 2022)</w:t>
      </w:r>
      <w:r w:rsidRPr="00BB4CE5">
        <w:rPr>
          <w:rFonts w:ascii="Arial" w:hAnsi="Arial" w:cs="Arial"/>
        </w:rPr>
        <w:t xml:space="preserve">. Collaboration between her GP, community physiotherapist, and domiciliary carers </w:t>
      </w:r>
      <w:r w:rsidRPr="00BB4CE5">
        <w:rPr>
          <w:rFonts w:ascii="Arial" w:hAnsi="Arial" w:cs="Arial"/>
        </w:rPr>
        <w:lastRenderedPageBreak/>
        <w:t xml:space="preserve">in the case of </w:t>
      </w:r>
      <w:proofErr w:type="spellStart"/>
      <w:r w:rsidRPr="00BB4CE5">
        <w:rPr>
          <w:rFonts w:ascii="Arial" w:hAnsi="Arial" w:cs="Arial"/>
        </w:rPr>
        <w:t>Mrs</w:t>
      </w:r>
      <w:proofErr w:type="spellEnd"/>
      <w:r w:rsidRPr="00BB4CE5">
        <w:rPr>
          <w:rFonts w:ascii="Arial" w:hAnsi="Arial" w:cs="Arial"/>
        </w:rPr>
        <w:t xml:space="preserve"> Mann is essential to continuity of care and rehabilitation. All professionals will have their own expertise of medical supervision, mobility aid, and day-to-day care, which need to be combined to provide safe recovery. The Department of Health and Social Care (2022) points out that successful corporate cooperation minimizes the number of hospitalizations and maximizes the person-</w:t>
      </w:r>
      <w:proofErr w:type="spellStart"/>
      <w:r w:rsidRPr="00BB4CE5">
        <w:rPr>
          <w:rFonts w:ascii="Arial" w:hAnsi="Arial" w:cs="Arial"/>
        </w:rPr>
        <w:t>centred</w:t>
      </w:r>
      <w:proofErr w:type="spellEnd"/>
      <w:r w:rsidRPr="00BB4CE5">
        <w:rPr>
          <w:rFonts w:ascii="Arial" w:hAnsi="Arial" w:cs="Arial"/>
        </w:rPr>
        <w:t xml:space="preserve"> outcomes</w:t>
      </w:r>
      <w:r w:rsidR="00054A32">
        <w:rPr>
          <w:rFonts w:ascii="Arial" w:hAnsi="Arial" w:cs="Arial"/>
        </w:rPr>
        <w:t xml:space="preserve"> (</w:t>
      </w:r>
      <w:r w:rsidR="00054A32" w:rsidRPr="00054A32">
        <w:rPr>
          <w:rFonts w:ascii="Arial" w:hAnsi="Arial" w:cs="Arial"/>
        </w:rPr>
        <w:t>Cantrell</w:t>
      </w:r>
      <w:r w:rsidR="00054A32">
        <w:rPr>
          <w:rFonts w:ascii="Arial" w:hAnsi="Arial" w:cs="Arial"/>
        </w:rPr>
        <w:t xml:space="preserve"> </w:t>
      </w:r>
      <w:r w:rsidR="00054A32" w:rsidRPr="00054A32">
        <w:rPr>
          <w:rFonts w:ascii="Arial" w:hAnsi="Arial" w:cs="Arial"/>
          <w:i/>
        </w:rPr>
        <w:t>et al.,</w:t>
      </w:r>
      <w:r w:rsidR="00054A32">
        <w:rPr>
          <w:rFonts w:ascii="Arial" w:hAnsi="Arial" w:cs="Arial"/>
        </w:rPr>
        <w:t xml:space="preserve"> 2024)</w:t>
      </w:r>
      <w:r w:rsidRPr="00BB4CE5">
        <w:rPr>
          <w:rFonts w:ascii="Arial" w:hAnsi="Arial" w:cs="Arial"/>
        </w:rPr>
        <w:t>.</w:t>
      </w:r>
    </w:p>
    <w:p w14:paraId="1109660A" w14:textId="77777777" w:rsidR="000D218A" w:rsidRPr="00BB4CE5" w:rsidRDefault="000D218A" w:rsidP="00DF712B">
      <w:pPr>
        <w:pStyle w:val="Heading2"/>
        <w:numPr>
          <w:ilvl w:val="1"/>
          <w:numId w:val="4"/>
        </w:numPr>
      </w:pPr>
      <w:bookmarkStart w:id="9" w:name="_Toc211690331"/>
      <w:r w:rsidRPr="00BB4CE5">
        <w:t>Approaches and Strategies</w:t>
      </w:r>
      <w:bookmarkEnd w:id="9"/>
    </w:p>
    <w:p w14:paraId="309C3EA3" w14:textId="77777777" w:rsidR="000D218A" w:rsidRPr="00BB4CE5" w:rsidRDefault="000D218A" w:rsidP="00BB4CE5">
      <w:pPr>
        <w:spacing w:line="360" w:lineRule="auto"/>
        <w:jc w:val="both"/>
        <w:rPr>
          <w:rFonts w:ascii="Arial" w:hAnsi="Arial" w:cs="Arial"/>
        </w:rPr>
      </w:pPr>
      <w:r w:rsidRPr="00BB4CE5">
        <w:rPr>
          <w:rFonts w:ascii="Arial" w:hAnsi="Arial" w:cs="Arial"/>
        </w:rPr>
        <w:t>The Integrated Care Model facilitates cross-service planning and communication by taking place in shared care plans and weekly or monthly team meetings. The principles of interprofessional teamwork include respect, role clarity, and shared responsibility</w:t>
      </w:r>
      <w:r w:rsidR="00807BDF">
        <w:rPr>
          <w:rFonts w:ascii="Arial" w:hAnsi="Arial" w:cs="Arial"/>
        </w:rPr>
        <w:t xml:space="preserve"> (</w:t>
      </w:r>
      <w:r w:rsidR="00807BDF" w:rsidRPr="00807BDF">
        <w:rPr>
          <w:rFonts w:ascii="Arial" w:hAnsi="Arial" w:cs="Arial"/>
        </w:rPr>
        <w:t>Ulrich,</w:t>
      </w:r>
      <w:r w:rsidR="00807BDF">
        <w:rPr>
          <w:rFonts w:ascii="Arial" w:hAnsi="Arial" w:cs="Arial"/>
        </w:rPr>
        <w:t xml:space="preserve"> 2021)</w:t>
      </w:r>
      <w:r w:rsidRPr="00BB4CE5">
        <w:rPr>
          <w:rFonts w:ascii="Arial" w:hAnsi="Arial" w:cs="Arial"/>
        </w:rPr>
        <w:t xml:space="preserve">. But there are also usual difficulties in the situation when the division of responsibilities is unsatisfactory, records are not always kept and the communication between specialists is disorienting. In the case of </w:t>
      </w:r>
      <w:proofErr w:type="spellStart"/>
      <w:r w:rsidRPr="00BB4CE5">
        <w:rPr>
          <w:rFonts w:ascii="Arial" w:hAnsi="Arial" w:cs="Arial"/>
        </w:rPr>
        <w:t>Mrs</w:t>
      </w:r>
      <w:proofErr w:type="spellEnd"/>
      <w:r w:rsidRPr="00BB4CE5">
        <w:rPr>
          <w:rFonts w:ascii="Arial" w:hAnsi="Arial" w:cs="Arial"/>
        </w:rPr>
        <w:t xml:space="preserve"> Mann, poor coordination between her care agency and her GP was identified as delayed medication adjustment with how information lapses can directly influence safety and trust.</w:t>
      </w:r>
    </w:p>
    <w:p w14:paraId="751BC51C" w14:textId="77777777" w:rsidR="000D218A" w:rsidRPr="00BB4CE5" w:rsidRDefault="000D218A" w:rsidP="00DF712B">
      <w:pPr>
        <w:pStyle w:val="Heading2"/>
        <w:numPr>
          <w:ilvl w:val="1"/>
          <w:numId w:val="4"/>
        </w:numPr>
      </w:pPr>
      <w:bookmarkStart w:id="10" w:name="_Toc211690332"/>
      <w:r w:rsidRPr="00BB4CE5">
        <w:t>Overcoming Challenges</w:t>
      </w:r>
      <w:bookmarkEnd w:id="10"/>
    </w:p>
    <w:p w14:paraId="4565B177" w14:textId="77777777" w:rsidR="008851E1" w:rsidRPr="008851E1" w:rsidRDefault="000D218A" w:rsidP="008851E1">
      <w:pPr>
        <w:spacing w:line="360" w:lineRule="auto"/>
        <w:jc w:val="both"/>
        <w:rPr>
          <w:rFonts w:ascii="Arial" w:hAnsi="Arial" w:cs="Arial"/>
        </w:rPr>
      </w:pPr>
      <w:r w:rsidRPr="00BB4CE5">
        <w:rPr>
          <w:rFonts w:ascii="Arial" w:hAnsi="Arial" w:cs="Arial"/>
        </w:rPr>
        <w:t>In order to enhance teamwork, there should be clear communication procedure and a shared database where all practitioners can access updated care information. Roles and accountability may also be enhanced through joint training</w:t>
      </w:r>
      <w:r w:rsidR="00807BDF">
        <w:rPr>
          <w:rFonts w:ascii="Arial" w:hAnsi="Arial" w:cs="Arial"/>
        </w:rPr>
        <w:t xml:space="preserve"> (</w:t>
      </w:r>
      <w:r w:rsidR="00807BDF" w:rsidRPr="00807BDF">
        <w:rPr>
          <w:rFonts w:ascii="Arial" w:hAnsi="Arial" w:cs="Arial"/>
        </w:rPr>
        <w:t>Zajac</w:t>
      </w:r>
      <w:r w:rsidR="00807BDF">
        <w:rPr>
          <w:rFonts w:ascii="Arial" w:hAnsi="Arial" w:cs="Arial"/>
        </w:rPr>
        <w:t xml:space="preserve"> </w:t>
      </w:r>
      <w:r w:rsidR="00807BDF" w:rsidRPr="00807BDF">
        <w:rPr>
          <w:rFonts w:ascii="Arial" w:hAnsi="Arial" w:cs="Arial"/>
          <w:i/>
        </w:rPr>
        <w:t>et al.,</w:t>
      </w:r>
      <w:r w:rsidR="00807BDF">
        <w:rPr>
          <w:rFonts w:ascii="Arial" w:hAnsi="Arial" w:cs="Arial"/>
        </w:rPr>
        <w:t xml:space="preserve"> 2021)</w:t>
      </w:r>
      <w:r w:rsidRPr="00BB4CE5">
        <w:rPr>
          <w:rFonts w:ascii="Arial" w:hAnsi="Arial" w:cs="Arial"/>
        </w:rPr>
        <w:t xml:space="preserve">. </w:t>
      </w:r>
      <w:r w:rsidR="008851E1" w:rsidRPr="008851E1">
        <w:rPr>
          <w:rFonts w:ascii="Arial" w:hAnsi="Arial" w:cs="Arial"/>
        </w:rPr>
        <w:t xml:space="preserve">Trust may be developed and a standard practice may be provided with the help of good leadership and multidisciplinary meetings. These would have avoided the delay in the medication review of </w:t>
      </w:r>
      <w:proofErr w:type="spellStart"/>
      <w:r w:rsidR="008851E1" w:rsidRPr="008851E1">
        <w:rPr>
          <w:rFonts w:ascii="Arial" w:hAnsi="Arial" w:cs="Arial"/>
        </w:rPr>
        <w:t>Mrs</w:t>
      </w:r>
      <w:proofErr w:type="spellEnd"/>
      <w:r w:rsidR="008851E1" w:rsidRPr="008851E1">
        <w:rPr>
          <w:rFonts w:ascii="Arial" w:hAnsi="Arial" w:cs="Arial"/>
        </w:rPr>
        <w:t xml:space="preserve"> Mann, which in turn justifies the efficacy of teamwork as a supplementary measure to quality, integrated care.</w:t>
      </w:r>
    </w:p>
    <w:p w14:paraId="69560A74" w14:textId="77777777" w:rsidR="008851E1" w:rsidRPr="008851E1" w:rsidRDefault="008851E1" w:rsidP="008851E1">
      <w:pPr>
        <w:pStyle w:val="Heading1"/>
        <w:numPr>
          <w:ilvl w:val="0"/>
          <w:numId w:val="4"/>
        </w:numPr>
      </w:pPr>
      <w:r w:rsidRPr="008851E1">
        <w:t>Conclusion</w:t>
      </w:r>
    </w:p>
    <w:p w14:paraId="24DBF762" w14:textId="77777777" w:rsidR="00807BDF" w:rsidRDefault="008851E1" w:rsidP="00BB4CE5">
      <w:pPr>
        <w:spacing w:line="360" w:lineRule="auto"/>
        <w:jc w:val="both"/>
        <w:rPr>
          <w:rFonts w:ascii="Arial" w:hAnsi="Arial" w:cs="Arial"/>
        </w:rPr>
      </w:pPr>
      <w:r w:rsidRPr="008851E1">
        <w:rPr>
          <w:rFonts w:ascii="Arial" w:hAnsi="Arial" w:cs="Arial"/>
        </w:rPr>
        <w:t xml:space="preserve">In general, the case of </w:t>
      </w:r>
      <w:proofErr w:type="spellStart"/>
      <w:r w:rsidRPr="008851E1">
        <w:rPr>
          <w:rFonts w:ascii="Arial" w:hAnsi="Arial" w:cs="Arial"/>
        </w:rPr>
        <w:t>Mrs</w:t>
      </w:r>
      <w:proofErr w:type="spellEnd"/>
      <w:r w:rsidRPr="008851E1">
        <w:rPr>
          <w:rFonts w:ascii="Arial" w:hAnsi="Arial" w:cs="Arial"/>
        </w:rPr>
        <w:t xml:space="preserve"> Mann shows that in order to deliver safe and person-</w:t>
      </w:r>
      <w:proofErr w:type="spellStart"/>
      <w:r w:rsidRPr="008851E1">
        <w:rPr>
          <w:rFonts w:ascii="Arial" w:hAnsi="Arial" w:cs="Arial"/>
        </w:rPr>
        <w:t>centred</w:t>
      </w:r>
      <w:proofErr w:type="spellEnd"/>
      <w:r w:rsidRPr="008851E1">
        <w:rPr>
          <w:rFonts w:ascii="Arial" w:hAnsi="Arial" w:cs="Arial"/>
        </w:rPr>
        <w:t xml:space="preserve"> care, communication, record keeping and collaboration is highly needed. The solution to her language barrier is making sure that there is dignity, understanding within the context of inclusive communication and use of interpreters. The use of regular record-keeping, which is steered by the Data Protection Act 2018 and professional codes, assists in preventing the occurrence of errors and increases accountability. The multi-agency cooperation between her GP, physiotherapist and carers creates the continuity and shared responsibility. </w:t>
      </w:r>
      <w:r w:rsidR="00EC4B17" w:rsidRPr="00EC4B17">
        <w:rPr>
          <w:rFonts w:ascii="Arial" w:hAnsi="Arial" w:cs="Arial"/>
        </w:rPr>
        <w:t>Her medication change that was delayed, as the example, is an indicator that professionalism, collaboration, and ethical consideration is very critical in preventing harm and attaining quality services to the vulnerable service users in community care.</w:t>
      </w:r>
    </w:p>
    <w:p w14:paraId="25AE2C04" w14:textId="77777777" w:rsidR="00807BDF" w:rsidRDefault="00807BDF" w:rsidP="00BB4CE5">
      <w:pPr>
        <w:spacing w:line="360" w:lineRule="auto"/>
        <w:jc w:val="both"/>
        <w:rPr>
          <w:rFonts w:ascii="Arial" w:hAnsi="Arial" w:cs="Arial"/>
        </w:rPr>
      </w:pPr>
    </w:p>
    <w:p w14:paraId="25DB5EE3" w14:textId="77777777" w:rsidR="00807BDF" w:rsidRDefault="00807BDF" w:rsidP="00BB4CE5">
      <w:pPr>
        <w:spacing w:line="360" w:lineRule="auto"/>
        <w:jc w:val="both"/>
        <w:rPr>
          <w:rFonts w:ascii="Arial" w:hAnsi="Arial" w:cs="Arial"/>
        </w:rPr>
      </w:pPr>
    </w:p>
    <w:p w14:paraId="6BD3DE3D" w14:textId="77777777" w:rsidR="00807BDF" w:rsidRDefault="00807BDF" w:rsidP="00BB4CE5">
      <w:pPr>
        <w:spacing w:line="360" w:lineRule="auto"/>
        <w:jc w:val="both"/>
        <w:rPr>
          <w:rFonts w:ascii="Arial" w:hAnsi="Arial" w:cs="Arial"/>
        </w:rPr>
      </w:pPr>
    </w:p>
    <w:p w14:paraId="3A01B7B5" w14:textId="77777777" w:rsidR="00807BDF" w:rsidRDefault="00807BDF" w:rsidP="00807BDF">
      <w:pPr>
        <w:pStyle w:val="Heading1"/>
      </w:pPr>
      <w:bookmarkStart w:id="11" w:name="_Toc211690334"/>
      <w:r>
        <w:t>References</w:t>
      </w:r>
      <w:bookmarkEnd w:id="11"/>
    </w:p>
    <w:p w14:paraId="6EF163CE" w14:textId="0A42149A"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Andrulis, D.P., Siddiqui, N.J., Purtle, J. and Duchon, L., </w:t>
      </w:r>
      <w:r w:rsidR="00F634F8">
        <w:rPr>
          <w:rFonts w:ascii="Arial" w:hAnsi="Arial" w:cs="Arial"/>
          <w:sz w:val="22"/>
        </w:rPr>
        <w:t>(</w:t>
      </w:r>
      <w:r w:rsidRPr="00807BDF">
        <w:rPr>
          <w:rFonts w:ascii="Arial" w:hAnsi="Arial" w:cs="Arial"/>
          <w:sz w:val="22"/>
        </w:rPr>
        <w:t>2010</w:t>
      </w:r>
      <w:r w:rsidR="00F634F8">
        <w:rPr>
          <w:rFonts w:ascii="Arial" w:hAnsi="Arial" w:cs="Arial"/>
          <w:sz w:val="22"/>
        </w:rPr>
        <w:t>)</w:t>
      </w:r>
      <w:r w:rsidRPr="00807BDF">
        <w:rPr>
          <w:rFonts w:ascii="Arial" w:hAnsi="Arial" w:cs="Arial"/>
          <w:sz w:val="22"/>
        </w:rPr>
        <w:t>. Patient Protection and Affordable Care Act of 2010: Advancing health equity for racially and ethnically diverse populations.</w:t>
      </w:r>
    </w:p>
    <w:p w14:paraId="3D8ED9DC" w14:textId="09A7FBC5"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Dove, E.S., 2023. Confidentiality, public interest, and the human right to science: when can confidential information be used for the benefit of the wider </w:t>
      </w:r>
      <w:r w:rsidR="00F634F8" w:rsidRPr="00807BDF">
        <w:rPr>
          <w:rFonts w:ascii="Arial" w:hAnsi="Arial" w:cs="Arial"/>
          <w:sz w:val="22"/>
        </w:rPr>
        <w:t>community?</w:t>
      </w:r>
      <w:r w:rsidRPr="00807BDF">
        <w:rPr>
          <w:rFonts w:ascii="Arial" w:hAnsi="Arial" w:cs="Arial"/>
          <w:sz w:val="22"/>
        </w:rPr>
        <w:t xml:space="preserve"> Journal of Law and the Biosciences, 10(1), p.lsad013.</w:t>
      </w:r>
    </w:p>
    <w:p w14:paraId="2C48A8DC"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Durand, M.A., Thana, L., Al-</w:t>
      </w:r>
      <w:proofErr w:type="spellStart"/>
      <w:r w:rsidRPr="00807BDF">
        <w:rPr>
          <w:rFonts w:ascii="Arial" w:hAnsi="Arial" w:cs="Arial"/>
          <w:sz w:val="22"/>
        </w:rPr>
        <w:t>Haboubi</w:t>
      </w:r>
      <w:proofErr w:type="spellEnd"/>
      <w:r w:rsidRPr="00807BDF">
        <w:rPr>
          <w:rFonts w:ascii="Arial" w:hAnsi="Arial" w:cs="Arial"/>
          <w:sz w:val="22"/>
        </w:rPr>
        <w:t xml:space="preserve">, M., Pacho, A., </w:t>
      </w:r>
      <w:proofErr w:type="spellStart"/>
      <w:r w:rsidRPr="00807BDF">
        <w:rPr>
          <w:rFonts w:ascii="Arial" w:hAnsi="Arial" w:cs="Arial"/>
          <w:sz w:val="22"/>
        </w:rPr>
        <w:t>Rehackova</w:t>
      </w:r>
      <w:proofErr w:type="spellEnd"/>
      <w:r w:rsidRPr="00807BDF">
        <w:rPr>
          <w:rFonts w:ascii="Arial" w:hAnsi="Arial" w:cs="Arial"/>
          <w:sz w:val="22"/>
        </w:rPr>
        <w:t xml:space="preserve">, L., </w:t>
      </w:r>
      <w:proofErr w:type="spellStart"/>
      <w:r w:rsidRPr="00807BDF">
        <w:rPr>
          <w:rFonts w:ascii="Arial" w:hAnsi="Arial" w:cs="Arial"/>
          <w:sz w:val="22"/>
        </w:rPr>
        <w:t>Wistow</w:t>
      </w:r>
      <w:proofErr w:type="spellEnd"/>
      <w:r w:rsidRPr="00807BDF">
        <w:rPr>
          <w:rFonts w:ascii="Arial" w:hAnsi="Arial" w:cs="Arial"/>
          <w:sz w:val="22"/>
        </w:rPr>
        <w:t>, G., Douglas, N. and Mays, N., 2025. The views of older people on community-based multi-disciplinary team caseloads and informal carers about health and care services in two Integrated Care Pioneer sites in England. Journal of Health Services Research &amp; Policy, 30(1_suppl), pp.48S-57S.</w:t>
      </w:r>
    </w:p>
    <w:p w14:paraId="7A82D4E3"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Berlo's, S.M.C.R., 2024. Comparative Analysis of </w:t>
      </w:r>
      <w:proofErr w:type="spellStart"/>
      <w:r w:rsidRPr="00807BDF">
        <w:rPr>
          <w:rFonts w:ascii="Arial" w:hAnsi="Arial" w:cs="Arial"/>
          <w:sz w:val="22"/>
        </w:rPr>
        <w:t>Sadharanikaran</w:t>
      </w:r>
      <w:proofErr w:type="spellEnd"/>
      <w:r w:rsidRPr="00807BDF">
        <w:rPr>
          <w:rFonts w:ascii="Arial" w:hAnsi="Arial" w:cs="Arial"/>
          <w:sz w:val="22"/>
        </w:rPr>
        <w:t xml:space="preserve"> Model of Communication and.</w:t>
      </w:r>
    </w:p>
    <w:p w14:paraId="082E07EC"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England, N.H.S. and Improvement, N.H.S., 2019. The NHS patient safety strategy. Safer culture, safer systems, safer patients.</w:t>
      </w:r>
    </w:p>
    <w:p w14:paraId="68F29B29"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Cantrell, A., Chambers, D. and Booth, A., 2024. Interventions to </w:t>
      </w:r>
      <w:proofErr w:type="spellStart"/>
      <w:r w:rsidRPr="00807BDF">
        <w:rPr>
          <w:rFonts w:ascii="Arial" w:hAnsi="Arial" w:cs="Arial"/>
          <w:sz w:val="22"/>
        </w:rPr>
        <w:t>minimise</w:t>
      </w:r>
      <w:proofErr w:type="spellEnd"/>
      <w:r w:rsidRPr="00807BDF">
        <w:rPr>
          <w:rFonts w:ascii="Arial" w:hAnsi="Arial" w:cs="Arial"/>
          <w:sz w:val="22"/>
        </w:rPr>
        <w:t xml:space="preserve"> hospital winter pressures related to discharge planning and integrated care: a rapid mapping review of UK evidence. Health and Social Care Delivery Research, 12(31), pp.1-116.</w:t>
      </w:r>
    </w:p>
    <w:p w14:paraId="3E37571A"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Ime, B.I., Philip, A. and </w:t>
      </w:r>
      <w:proofErr w:type="spellStart"/>
      <w:r w:rsidRPr="00807BDF">
        <w:rPr>
          <w:rFonts w:ascii="Arial" w:hAnsi="Arial" w:cs="Arial"/>
          <w:sz w:val="22"/>
        </w:rPr>
        <w:t>Enyong</w:t>
      </w:r>
      <w:proofErr w:type="spellEnd"/>
      <w:r w:rsidRPr="00807BDF">
        <w:rPr>
          <w:rFonts w:ascii="Arial" w:hAnsi="Arial" w:cs="Arial"/>
          <w:sz w:val="22"/>
        </w:rPr>
        <w:t xml:space="preserve">, M., 2024. Limiting Factors on the Effective and Efficient Management of Health Records in General Hospital </w:t>
      </w:r>
      <w:proofErr w:type="spellStart"/>
      <w:r w:rsidRPr="00807BDF">
        <w:rPr>
          <w:rFonts w:ascii="Arial" w:hAnsi="Arial" w:cs="Arial"/>
          <w:sz w:val="22"/>
        </w:rPr>
        <w:t>Eket</w:t>
      </w:r>
      <w:proofErr w:type="spellEnd"/>
      <w:r w:rsidRPr="00807BDF">
        <w:rPr>
          <w:rFonts w:ascii="Arial" w:hAnsi="Arial" w:cs="Arial"/>
          <w:sz w:val="22"/>
        </w:rPr>
        <w:t>. Trends in Health Informatics, 1(1), pp.31-46.</w:t>
      </w:r>
    </w:p>
    <w:p w14:paraId="6C1546CD"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Jones, M.C., Stone, T., Mason, S.M., Eames, A. and Franklin, M., 2023. Navigating data governance associated with real-world data for public benefit: an overview in the UK and future considerations. BMJ open, 13(10), p.e069925.</w:t>
      </w:r>
    </w:p>
    <w:p w14:paraId="074A15D2"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Knoch, U., Mackey, P., Chen, I. and O’Hagan, S., 2025. Modelling the communication challenges of care workers from multilingual and multicultural backgrounds. Ageing &amp; Society, pp.1-28.</w:t>
      </w:r>
    </w:p>
    <w:p w14:paraId="4033C9C5"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lastRenderedPageBreak/>
        <w:t>Lelan, B.J. and Korir, C.K., 2025. Nurses’ role in ensuring secure patient data management within healthcare settings.</w:t>
      </w:r>
    </w:p>
    <w:p w14:paraId="1DD0520D"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Mansfield-Loynes, K.A., 2021. Conversations within a nursing home: An ethnographic study of the lived experience of residents, visitors and staff.</w:t>
      </w:r>
    </w:p>
    <w:p w14:paraId="5BE87B23"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Ross, A., Arnold, J., Gormley, A., Locke, S., </w:t>
      </w:r>
      <w:proofErr w:type="spellStart"/>
      <w:r w:rsidRPr="00807BDF">
        <w:rPr>
          <w:rFonts w:ascii="Arial" w:hAnsi="Arial" w:cs="Arial"/>
          <w:sz w:val="22"/>
        </w:rPr>
        <w:t>Shanske</w:t>
      </w:r>
      <w:proofErr w:type="spellEnd"/>
      <w:r w:rsidRPr="00807BDF">
        <w:rPr>
          <w:rFonts w:ascii="Arial" w:hAnsi="Arial" w:cs="Arial"/>
          <w:sz w:val="22"/>
        </w:rPr>
        <w:t>, S. and Tardiff, C., 2019. Care coordination in pediatric health care settings: The critical role of social work. Social Work in Health Care, 58(1), pp.1-13.</w:t>
      </w:r>
    </w:p>
    <w:p w14:paraId="00C8D352"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Ruben, M.A., Blanch</w:t>
      </w:r>
      <w:r w:rsidRPr="00807BDF">
        <w:rPr>
          <w:rFonts w:ascii="Cambria Math" w:hAnsi="Cambria Math" w:cs="Cambria Math"/>
          <w:sz w:val="22"/>
        </w:rPr>
        <w:t>‐</w:t>
      </w:r>
      <w:r w:rsidRPr="00807BDF">
        <w:rPr>
          <w:rFonts w:ascii="Arial" w:hAnsi="Arial" w:cs="Arial"/>
          <w:sz w:val="22"/>
        </w:rPr>
        <w:t>Hartigan, D. and Hall, J.A., 2020. Communication skills to engage patients in treatment. The Wiley Handbook of Healthcare Treatment Engagement: Theory, Research, and Clinical Practice, pp.274-296.</w:t>
      </w:r>
    </w:p>
    <w:p w14:paraId="335FAFF4"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Schilling, S., </w:t>
      </w:r>
      <w:proofErr w:type="spellStart"/>
      <w:r w:rsidRPr="00807BDF">
        <w:rPr>
          <w:rFonts w:ascii="Arial" w:hAnsi="Arial" w:cs="Arial"/>
          <w:sz w:val="22"/>
        </w:rPr>
        <w:t>Armaou</w:t>
      </w:r>
      <w:proofErr w:type="spellEnd"/>
      <w:r w:rsidRPr="00807BDF">
        <w:rPr>
          <w:rFonts w:ascii="Arial" w:hAnsi="Arial" w:cs="Arial"/>
          <w:sz w:val="22"/>
        </w:rPr>
        <w:t xml:space="preserve">, M., Morrison, Z., Carding, P., Bricknell, M. and Connelly, V., 2022. Understanding teamwork in rapidly deployed interprofessional teams in intensive and acute care: A systematic review of reviews. </w:t>
      </w:r>
      <w:proofErr w:type="spellStart"/>
      <w:r w:rsidRPr="00807BDF">
        <w:rPr>
          <w:rFonts w:ascii="Arial" w:hAnsi="Arial" w:cs="Arial"/>
          <w:sz w:val="22"/>
        </w:rPr>
        <w:t>Plos</w:t>
      </w:r>
      <w:proofErr w:type="spellEnd"/>
      <w:r w:rsidRPr="00807BDF">
        <w:rPr>
          <w:rFonts w:ascii="Arial" w:hAnsi="Arial" w:cs="Arial"/>
          <w:sz w:val="22"/>
        </w:rPr>
        <w:t xml:space="preserve"> one, 17(8), p.e0272942.</w:t>
      </w:r>
    </w:p>
    <w:p w14:paraId="78EE0233"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Shahid, J., Ahmad, R., Kiani, A.K., Ahmad, T., Saeed, S. and </w:t>
      </w:r>
      <w:proofErr w:type="spellStart"/>
      <w:r w:rsidRPr="00807BDF">
        <w:rPr>
          <w:rFonts w:ascii="Arial" w:hAnsi="Arial" w:cs="Arial"/>
          <w:sz w:val="22"/>
        </w:rPr>
        <w:t>Almuhaideb</w:t>
      </w:r>
      <w:proofErr w:type="spellEnd"/>
      <w:r w:rsidRPr="00807BDF">
        <w:rPr>
          <w:rFonts w:ascii="Arial" w:hAnsi="Arial" w:cs="Arial"/>
          <w:sz w:val="22"/>
        </w:rPr>
        <w:t>, A.M., 2022. Data protection and privacy of the internet of healthcare things (</w:t>
      </w:r>
      <w:proofErr w:type="spellStart"/>
      <w:r w:rsidRPr="00807BDF">
        <w:rPr>
          <w:rFonts w:ascii="Arial" w:hAnsi="Arial" w:cs="Arial"/>
          <w:sz w:val="22"/>
        </w:rPr>
        <w:t>IoHTs</w:t>
      </w:r>
      <w:proofErr w:type="spellEnd"/>
      <w:r w:rsidRPr="00807BDF">
        <w:rPr>
          <w:rFonts w:ascii="Arial" w:hAnsi="Arial" w:cs="Arial"/>
          <w:sz w:val="22"/>
        </w:rPr>
        <w:t>). Applied Sciences, 12(4), p.1927.</w:t>
      </w:r>
    </w:p>
    <w:p w14:paraId="5DD74CB5"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 xml:space="preserve">Sheikh, A., Anderson, M., Albala, S., Casadei, B., Franklin, B.D., Richards, M., Taylor, D., Tibble, H. and </w:t>
      </w:r>
      <w:proofErr w:type="spellStart"/>
      <w:r w:rsidRPr="00807BDF">
        <w:rPr>
          <w:rFonts w:ascii="Arial" w:hAnsi="Arial" w:cs="Arial"/>
          <w:sz w:val="22"/>
        </w:rPr>
        <w:t>Mossialos</w:t>
      </w:r>
      <w:proofErr w:type="spellEnd"/>
      <w:r w:rsidRPr="00807BDF">
        <w:rPr>
          <w:rFonts w:ascii="Arial" w:hAnsi="Arial" w:cs="Arial"/>
          <w:sz w:val="22"/>
        </w:rPr>
        <w:t>, E., 2021. Health information technology and digital innovation for national learning health and care systems. The Lancet Digital Health, 3(6), pp.e383-e396.</w:t>
      </w:r>
    </w:p>
    <w:p w14:paraId="27A6ACD3"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Ulrich, B., 2021. Interprofessional Teamwork and Collaboration-Working Together for the Good of the Patient. Nephrology Nursing Journal, 48(2), p.114.</w:t>
      </w:r>
    </w:p>
    <w:p w14:paraId="4040D1CD" w14:textId="77777777" w:rsidR="00807BDF" w:rsidRPr="00807BDF" w:rsidRDefault="00807BDF" w:rsidP="00807BDF">
      <w:pPr>
        <w:pStyle w:val="NormalWeb"/>
        <w:spacing w:line="360" w:lineRule="auto"/>
        <w:jc w:val="both"/>
        <w:rPr>
          <w:rFonts w:ascii="Arial" w:hAnsi="Arial" w:cs="Arial"/>
          <w:sz w:val="22"/>
        </w:rPr>
      </w:pPr>
      <w:r w:rsidRPr="00807BDF">
        <w:rPr>
          <w:rFonts w:ascii="Arial" w:hAnsi="Arial" w:cs="Arial"/>
          <w:sz w:val="22"/>
        </w:rPr>
        <w:t>Zajac, S., Woods, A., Tannenbaum, S., Salas, E. and Holladay, C.L., 2021. Overcoming challenges to teamwork in healthcare: a team effectiveness framework and evidence-based guidance. Frontiers in Communication, 6, p.606445.</w:t>
      </w:r>
    </w:p>
    <w:p w14:paraId="11BD7354" w14:textId="77777777" w:rsidR="00807BDF" w:rsidRDefault="00807BDF" w:rsidP="00BB4CE5">
      <w:pPr>
        <w:spacing w:line="360" w:lineRule="auto"/>
        <w:jc w:val="both"/>
        <w:rPr>
          <w:rFonts w:ascii="Arial" w:hAnsi="Arial" w:cs="Arial"/>
        </w:rPr>
      </w:pPr>
    </w:p>
    <w:p w14:paraId="2BFE066E" w14:textId="77777777" w:rsidR="00F93F5B" w:rsidRPr="00BB4CE5" w:rsidRDefault="00F93F5B" w:rsidP="00BB4CE5">
      <w:pPr>
        <w:spacing w:line="360" w:lineRule="auto"/>
        <w:jc w:val="both"/>
        <w:rPr>
          <w:rFonts w:ascii="Arial" w:hAnsi="Arial" w:cs="Arial"/>
        </w:rPr>
      </w:pPr>
    </w:p>
    <w:sectPr w:rsidR="00F93F5B" w:rsidRPr="00BB4CE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FA883" w14:textId="77777777" w:rsidR="00B6374A" w:rsidRDefault="00B6374A" w:rsidP="00807BDF">
      <w:pPr>
        <w:spacing w:after="0" w:line="240" w:lineRule="auto"/>
      </w:pPr>
      <w:r>
        <w:separator/>
      </w:r>
    </w:p>
  </w:endnote>
  <w:endnote w:type="continuationSeparator" w:id="0">
    <w:p w14:paraId="314C0083" w14:textId="77777777" w:rsidR="00B6374A" w:rsidRDefault="00B6374A" w:rsidP="00807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3201508"/>
      <w:docPartObj>
        <w:docPartGallery w:val="Page Numbers (Bottom of Page)"/>
        <w:docPartUnique/>
      </w:docPartObj>
    </w:sdtPr>
    <w:sdtEndPr>
      <w:rPr>
        <w:color w:val="7F7F7F" w:themeColor="background1" w:themeShade="7F"/>
        <w:spacing w:val="60"/>
      </w:rPr>
    </w:sdtEndPr>
    <w:sdtContent>
      <w:p w14:paraId="23815727" w14:textId="77777777" w:rsidR="00807BDF" w:rsidRDefault="00807BD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C4B17" w:rsidRPr="00EC4B17">
          <w:rPr>
            <w:b/>
            <w:bCs/>
            <w:noProof/>
          </w:rPr>
          <w:t>8</w:t>
        </w:r>
        <w:r>
          <w:rPr>
            <w:b/>
            <w:bCs/>
            <w:noProof/>
          </w:rPr>
          <w:fldChar w:fldCharType="end"/>
        </w:r>
        <w:r>
          <w:rPr>
            <w:b/>
            <w:bCs/>
          </w:rPr>
          <w:t xml:space="preserve"> | </w:t>
        </w:r>
        <w:r>
          <w:rPr>
            <w:color w:val="7F7F7F" w:themeColor="background1" w:themeShade="7F"/>
            <w:spacing w:val="60"/>
          </w:rPr>
          <w:t>Page</w:t>
        </w:r>
      </w:p>
    </w:sdtContent>
  </w:sdt>
  <w:p w14:paraId="33F93854" w14:textId="77777777" w:rsidR="00807BDF" w:rsidRDefault="00807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A33BA" w14:textId="77777777" w:rsidR="00B6374A" w:rsidRDefault="00B6374A" w:rsidP="00807BDF">
      <w:pPr>
        <w:spacing w:after="0" w:line="240" w:lineRule="auto"/>
      </w:pPr>
      <w:r>
        <w:separator/>
      </w:r>
    </w:p>
  </w:footnote>
  <w:footnote w:type="continuationSeparator" w:id="0">
    <w:p w14:paraId="2A3221CA" w14:textId="77777777" w:rsidR="00B6374A" w:rsidRDefault="00B6374A" w:rsidP="00807B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C2706"/>
    <w:multiLevelType w:val="multilevel"/>
    <w:tmpl w:val="C5E2E3D2"/>
    <w:lvl w:ilvl="0">
      <w:start w:val="1"/>
      <w:numFmt w:val="decimal"/>
      <w:lvlText w:val="%1."/>
      <w:lvlJc w:val="left"/>
      <w:pPr>
        <w:ind w:left="360" w:hanging="360"/>
      </w:pPr>
      <w:rPr>
        <w:rFonts w:ascii="Arial" w:hAnsi="Arial" w:cs="Arial" w:hint="default"/>
        <w:b/>
      </w:r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10745D4C"/>
    <w:multiLevelType w:val="hybridMultilevel"/>
    <w:tmpl w:val="33826B36"/>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B245F2"/>
    <w:multiLevelType w:val="hybridMultilevel"/>
    <w:tmpl w:val="1186B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76773B"/>
    <w:multiLevelType w:val="multilevel"/>
    <w:tmpl w:val="C5E2E3D2"/>
    <w:lvl w:ilvl="0">
      <w:start w:val="1"/>
      <w:numFmt w:val="decimal"/>
      <w:lvlText w:val="%1."/>
      <w:lvlJc w:val="left"/>
      <w:pPr>
        <w:ind w:left="360" w:hanging="360"/>
      </w:pPr>
      <w:rPr>
        <w:rFonts w:ascii="Arial" w:hAnsi="Arial" w:cs="Arial" w:hint="default"/>
        <w:b/>
      </w:rPr>
    </w:lvl>
    <w:lvl w:ilvl="1">
      <w:start w:val="1"/>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52F13E77"/>
    <w:multiLevelType w:val="hybridMultilevel"/>
    <w:tmpl w:val="45E6F6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4700022">
    <w:abstractNumId w:val="2"/>
  </w:num>
  <w:num w:numId="2" w16cid:durableId="1100489987">
    <w:abstractNumId w:val="1"/>
  </w:num>
  <w:num w:numId="3" w16cid:durableId="1375738178">
    <w:abstractNumId w:val="0"/>
  </w:num>
  <w:num w:numId="4" w16cid:durableId="1979870976">
    <w:abstractNumId w:val="3"/>
  </w:num>
  <w:num w:numId="5" w16cid:durableId="7687426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25C5"/>
    <w:rsid w:val="00054A32"/>
    <w:rsid w:val="00076C73"/>
    <w:rsid w:val="000A2145"/>
    <w:rsid w:val="000A34CB"/>
    <w:rsid w:val="000D218A"/>
    <w:rsid w:val="00115D98"/>
    <w:rsid w:val="00174DE2"/>
    <w:rsid w:val="00192FD4"/>
    <w:rsid w:val="0022619F"/>
    <w:rsid w:val="00281270"/>
    <w:rsid w:val="00405F81"/>
    <w:rsid w:val="00425483"/>
    <w:rsid w:val="004C6E55"/>
    <w:rsid w:val="0059310C"/>
    <w:rsid w:val="00807BDF"/>
    <w:rsid w:val="008851E1"/>
    <w:rsid w:val="0089050C"/>
    <w:rsid w:val="008D25C5"/>
    <w:rsid w:val="009C7AA1"/>
    <w:rsid w:val="00A17E60"/>
    <w:rsid w:val="00A243D8"/>
    <w:rsid w:val="00B00C8B"/>
    <w:rsid w:val="00B337F6"/>
    <w:rsid w:val="00B6374A"/>
    <w:rsid w:val="00BB0525"/>
    <w:rsid w:val="00BB4CE5"/>
    <w:rsid w:val="00C779DA"/>
    <w:rsid w:val="00D667D2"/>
    <w:rsid w:val="00DF2031"/>
    <w:rsid w:val="00DF712B"/>
    <w:rsid w:val="00EC4B17"/>
    <w:rsid w:val="00F634F8"/>
    <w:rsid w:val="00F93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2A95D"/>
  <w15:chartTrackingRefBased/>
  <w15:docId w15:val="{93EFFE59-9E60-45D2-92A1-DC3F8887D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712B"/>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DF712B"/>
    <w:pPr>
      <w:keepNext/>
      <w:keepLines/>
      <w:spacing w:before="40" w:after="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25C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76C73"/>
    <w:rPr>
      <w:b/>
      <w:bCs/>
    </w:rPr>
  </w:style>
  <w:style w:type="character" w:customStyle="1" w:styleId="Heading1Char">
    <w:name w:val="Heading 1 Char"/>
    <w:basedOn w:val="DefaultParagraphFont"/>
    <w:link w:val="Heading1"/>
    <w:uiPriority w:val="9"/>
    <w:rsid w:val="00DF712B"/>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DF712B"/>
    <w:rPr>
      <w:rFonts w:ascii="Arial" w:eastAsiaTheme="majorEastAsia" w:hAnsi="Arial" w:cstheme="majorBidi"/>
      <w:b/>
      <w:color w:val="000000" w:themeColor="text1"/>
      <w:sz w:val="26"/>
      <w:szCs w:val="26"/>
    </w:rPr>
  </w:style>
  <w:style w:type="paragraph" w:styleId="Header">
    <w:name w:val="header"/>
    <w:basedOn w:val="Normal"/>
    <w:link w:val="HeaderChar"/>
    <w:uiPriority w:val="99"/>
    <w:unhideWhenUsed/>
    <w:rsid w:val="00807B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BDF"/>
  </w:style>
  <w:style w:type="paragraph" w:styleId="Footer">
    <w:name w:val="footer"/>
    <w:basedOn w:val="Normal"/>
    <w:link w:val="FooterChar"/>
    <w:uiPriority w:val="99"/>
    <w:unhideWhenUsed/>
    <w:rsid w:val="00807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BDF"/>
  </w:style>
  <w:style w:type="paragraph" w:styleId="TOCHeading">
    <w:name w:val="TOC Heading"/>
    <w:basedOn w:val="Heading1"/>
    <w:next w:val="Normal"/>
    <w:uiPriority w:val="39"/>
    <w:unhideWhenUsed/>
    <w:qFormat/>
    <w:rsid w:val="00807BDF"/>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807BDF"/>
    <w:pPr>
      <w:spacing w:after="100"/>
    </w:pPr>
  </w:style>
  <w:style w:type="paragraph" w:styleId="TOC2">
    <w:name w:val="toc 2"/>
    <w:basedOn w:val="Normal"/>
    <w:next w:val="Normal"/>
    <w:autoRedefine/>
    <w:uiPriority w:val="39"/>
    <w:unhideWhenUsed/>
    <w:rsid w:val="00807BDF"/>
    <w:pPr>
      <w:spacing w:after="100"/>
      <w:ind w:left="220"/>
    </w:pPr>
  </w:style>
  <w:style w:type="character" w:styleId="Hyperlink">
    <w:name w:val="Hyperlink"/>
    <w:basedOn w:val="DefaultParagraphFont"/>
    <w:uiPriority w:val="99"/>
    <w:unhideWhenUsed/>
    <w:rsid w:val="00807B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3864820">
      <w:bodyDiv w:val="1"/>
      <w:marLeft w:val="0"/>
      <w:marRight w:val="0"/>
      <w:marTop w:val="0"/>
      <w:marBottom w:val="0"/>
      <w:divBdr>
        <w:top w:val="none" w:sz="0" w:space="0" w:color="auto"/>
        <w:left w:val="none" w:sz="0" w:space="0" w:color="auto"/>
        <w:bottom w:val="none" w:sz="0" w:space="0" w:color="auto"/>
        <w:right w:val="none" w:sz="0" w:space="0" w:color="auto"/>
      </w:divBdr>
    </w:div>
    <w:div w:id="636300010">
      <w:bodyDiv w:val="1"/>
      <w:marLeft w:val="0"/>
      <w:marRight w:val="0"/>
      <w:marTop w:val="0"/>
      <w:marBottom w:val="0"/>
      <w:divBdr>
        <w:top w:val="none" w:sz="0" w:space="0" w:color="auto"/>
        <w:left w:val="none" w:sz="0" w:space="0" w:color="auto"/>
        <w:bottom w:val="none" w:sz="0" w:space="0" w:color="auto"/>
        <w:right w:val="none" w:sz="0" w:space="0" w:color="auto"/>
      </w:divBdr>
    </w:div>
    <w:div w:id="894704326">
      <w:bodyDiv w:val="1"/>
      <w:marLeft w:val="0"/>
      <w:marRight w:val="0"/>
      <w:marTop w:val="0"/>
      <w:marBottom w:val="0"/>
      <w:divBdr>
        <w:top w:val="none" w:sz="0" w:space="0" w:color="auto"/>
        <w:left w:val="none" w:sz="0" w:space="0" w:color="auto"/>
        <w:bottom w:val="none" w:sz="0" w:space="0" w:color="auto"/>
        <w:right w:val="none" w:sz="0" w:space="0" w:color="auto"/>
      </w:divBdr>
      <w:divsChild>
        <w:div w:id="603998208">
          <w:marLeft w:val="0"/>
          <w:marRight w:val="0"/>
          <w:marTop w:val="0"/>
          <w:marBottom w:val="0"/>
          <w:divBdr>
            <w:top w:val="none" w:sz="0" w:space="0" w:color="auto"/>
            <w:left w:val="none" w:sz="0" w:space="0" w:color="auto"/>
            <w:bottom w:val="none" w:sz="0" w:space="0" w:color="auto"/>
            <w:right w:val="none" w:sz="0" w:space="0" w:color="auto"/>
          </w:divBdr>
          <w:divsChild>
            <w:div w:id="359166795">
              <w:marLeft w:val="0"/>
              <w:marRight w:val="0"/>
              <w:marTop w:val="0"/>
              <w:marBottom w:val="0"/>
              <w:divBdr>
                <w:top w:val="none" w:sz="0" w:space="0" w:color="auto"/>
                <w:left w:val="none" w:sz="0" w:space="0" w:color="auto"/>
                <w:bottom w:val="none" w:sz="0" w:space="0" w:color="auto"/>
                <w:right w:val="none" w:sz="0" w:space="0" w:color="auto"/>
              </w:divBdr>
              <w:divsChild>
                <w:div w:id="1830366008">
                  <w:marLeft w:val="0"/>
                  <w:marRight w:val="0"/>
                  <w:marTop w:val="0"/>
                  <w:marBottom w:val="0"/>
                  <w:divBdr>
                    <w:top w:val="none" w:sz="0" w:space="0" w:color="auto"/>
                    <w:left w:val="none" w:sz="0" w:space="0" w:color="auto"/>
                    <w:bottom w:val="none" w:sz="0" w:space="0" w:color="auto"/>
                    <w:right w:val="none" w:sz="0" w:space="0" w:color="auto"/>
                  </w:divBdr>
                  <w:divsChild>
                    <w:div w:id="48038565">
                      <w:marLeft w:val="0"/>
                      <w:marRight w:val="0"/>
                      <w:marTop w:val="0"/>
                      <w:marBottom w:val="0"/>
                      <w:divBdr>
                        <w:top w:val="none" w:sz="0" w:space="0" w:color="auto"/>
                        <w:left w:val="none" w:sz="0" w:space="0" w:color="auto"/>
                        <w:bottom w:val="none" w:sz="0" w:space="0" w:color="auto"/>
                        <w:right w:val="none" w:sz="0" w:space="0" w:color="auto"/>
                      </w:divBdr>
                      <w:divsChild>
                        <w:div w:id="1315987546">
                          <w:marLeft w:val="0"/>
                          <w:marRight w:val="0"/>
                          <w:marTop w:val="0"/>
                          <w:marBottom w:val="0"/>
                          <w:divBdr>
                            <w:top w:val="none" w:sz="0" w:space="0" w:color="auto"/>
                            <w:left w:val="none" w:sz="0" w:space="0" w:color="auto"/>
                            <w:bottom w:val="none" w:sz="0" w:space="0" w:color="auto"/>
                            <w:right w:val="none" w:sz="0" w:space="0" w:color="auto"/>
                          </w:divBdr>
                          <w:divsChild>
                            <w:div w:id="83218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663666">
      <w:bodyDiv w:val="1"/>
      <w:marLeft w:val="0"/>
      <w:marRight w:val="0"/>
      <w:marTop w:val="0"/>
      <w:marBottom w:val="0"/>
      <w:divBdr>
        <w:top w:val="none" w:sz="0" w:space="0" w:color="auto"/>
        <w:left w:val="none" w:sz="0" w:space="0" w:color="auto"/>
        <w:bottom w:val="none" w:sz="0" w:space="0" w:color="auto"/>
        <w:right w:val="none" w:sz="0" w:space="0" w:color="auto"/>
      </w:divBdr>
    </w:div>
    <w:div w:id="1550535019">
      <w:bodyDiv w:val="1"/>
      <w:marLeft w:val="0"/>
      <w:marRight w:val="0"/>
      <w:marTop w:val="0"/>
      <w:marBottom w:val="0"/>
      <w:divBdr>
        <w:top w:val="none" w:sz="0" w:space="0" w:color="auto"/>
        <w:left w:val="none" w:sz="0" w:space="0" w:color="auto"/>
        <w:bottom w:val="none" w:sz="0" w:space="0" w:color="auto"/>
        <w:right w:val="none" w:sz="0" w:space="0" w:color="auto"/>
      </w:divBdr>
    </w:div>
    <w:div w:id="1613978734">
      <w:bodyDiv w:val="1"/>
      <w:marLeft w:val="0"/>
      <w:marRight w:val="0"/>
      <w:marTop w:val="0"/>
      <w:marBottom w:val="0"/>
      <w:divBdr>
        <w:top w:val="none" w:sz="0" w:space="0" w:color="auto"/>
        <w:left w:val="none" w:sz="0" w:space="0" w:color="auto"/>
        <w:bottom w:val="none" w:sz="0" w:space="0" w:color="auto"/>
        <w:right w:val="none" w:sz="0" w:space="0" w:color="auto"/>
      </w:divBdr>
    </w:div>
    <w:div w:id="1692729981">
      <w:bodyDiv w:val="1"/>
      <w:marLeft w:val="0"/>
      <w:marRight w:val="0"/>
      <w:marTop w:val="0"/>
      <w:marBottom w:val="0"/>
      <w:divBdr>
        <w:top w:val="none" w:sz="0" w:space="0" w:color="auto"/>
        <w:left w:val="none" w:sz="0" w:space="0" w:color="auto"/>
        <w:bottom w:val="none" w:sz="0" w:space="0" w:color="auto"/>
        <w:right w:val="none" w:sz="0" w:space="0" w:color="auto"/>
      </w:divBdr>
    </w:div>
    <w:div w:id="1702776437">
      <w:bodyDiv w:val="1"/>
      <w:marLeft w:val="0"/>
      <w:marRight w:val="0"/>
      <w:marTop w:val="0"/>
      <w:marBottom w:val="0"/>
      <w:divBdr>
        <w:top w:val="none" w:sz="0" w:space="0" w:color="auto"/>
        <w:left w:val="none" w:sz="0" w:space="0" w:color="auto"/>
        <w:bottom w:val="none" w:sz="0" w:space="0" w:color="auto"/>
        <w:right w:val="none" w:sz="0" w:space="0" w:color="auto"/>
      </w:divBdr>
    </w:div>
    <w:div w:id="1885824666">
      <w:bodyDiv w:val="1"/>
      <w:marLeft w:val="0"/>
      <w:marRight w:val="0"/>
      <w:marTop w:val="0"/>
      <w:marBottom w:val="0"/>
      <w:divBdr>
        <w:top w:val="none" w:sz="0" w:space="0" w:color="auto"/>
        <w:left w:val="none" w:sz="0" w:space="0" w:color="auto"/>
        <w:bottom w:val="none" w:sz="0" w:space="0" w:color="auto"/>
        <w:right w:val="none" w:sz="0" w:space="0" w:color="auto"/>
      </w:divBdr>
    </w:div>
    <w:div w:id="2073654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01E4A6-C41E-417E-9ACD-70514AF28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Pages>
  <Words>2373</Words>
  <Characters>13528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muhammad yasir</cp:lastModifiedBy>
  <cp:revision>25</cp:revision>
  <dcterms:created xsi:type="dcterms:W3CDTF">2025-10-18T06:38:00Z</dcterms:created>
  <dcterms:modified xsi:type="dcterms:W3CDTF">2025-11-17T18:49:00Z</dcterms:modified>
</cp:coreProperties>
</file>