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67F4B" w14:textId="77777777" w:rsidR="002215B8" w:rsidRPr="0051650B" w:rsidRDefault="002215B8" w:rsidP="0051650B">
      <w:pPr>
        <w:spacing w:line="360" w:lineRule="auto"/>
        <w:jc w:val="both"/>
        <w:rPr>
          <w:rFonts w:ascii="Arial" w:hAnsi="Arial" w:cs="Arial"/>
        </w:rPr>
      </w:pPr>
    </w:p>
    <w:p w14:paraId="016E1C6B" w14:textId="77777777" w:rsidR="002215B8" w:rsidRPr="0051650B" w:rsidRDefault="002215B8" w:rsidP="0051650B">
      <w:pPr>
        <w:spacing w:line="360" w:lineRule="auto"/>
        <w:jc w:val="center"/>
        <w:rPr>
          <w:rFonts w:ascii="Arial" w:hAnsi="Arial" w:cs="Arial"/>
        </w:rPr>
      </w:pPr>
      <w:r w:rsidRPr="0051650B">
        <w:rPr>
          <w:rFonts w:ascii="Arial" w:hAnsi="Arial" w:cs="Arial"/>
        </w:rPr>
        <w:t>Student Name: Godfrey Osawaru Osawaru</w:t>
      </w:r>
    </w:p>
    <w:p w14:paraId="7844E2E0" w14:textId="77777777" w:rsidR="002215B8" w:rsidRPr="0051650B" w:rsidRDefault="002215B8" w:rsidP="0051650B">
      <w:pPr>
        <w:spacing w:line="360" w:lineRule="auto"/>
        <w:jc w:val="center"/>
        <w:rPr>
          <w:rFonts w:ascii="Arial" w:hAnsi="Arial" w:cs="Arial"/>
        </w:rPr>
      </w:pPr>
      <w:r w:rsidRPr="0051650B">
        <w:rPr>
          <w:rFonts w:ascii="Arial" w:hAnsi="Arial" w:cs="Arial"/>
        </w:rPr>
        <w:t>Student Number: 2122802</w:t>
      </w:r>
    </w:p>
    <w:p w14:paraId="05C09973" w14:textId="5A9A9285" w:rsidR="002215B8" w:rsidRPr="0051650B" w:rsidRDefault="002215B8" w:rsidP="0051650B">
      <w:pPr>
        <w:spacing w:line="360" w:lineRule="auto"/>
        <w:jc w:val="center"/>
        <w:rPr>
          <w:rFonts w:ascii="Arial" w:hAnsi="Arial" w:cs="Arial"/>
        </w:rPr>
      </w:pPr>
      <w:r w:rsidRPr="0051650B">
        <w:rPr>
          <w:rFonts w:ascii="Arial" w:hAnsi="Arial" w:cs="Arial"/>
        </w:rPr>
        <w:t>Module No: BMHP5004</w:t>
      </w:r>
    </w:p>
    <w:p w14:paraId="48CB8959" w14:textId="3767F3FD" w:rsidR="002215B8" w:rsidRPr="0051650B" w:rsidRDefault="002215B8" w:rsidP="0051650B">
      <w:pPr>
        <w:spacing w:line="360" w:lineRule="auto"/>
        <w:jc w:val="center"/>
        <w:rPr>
          <w:rFonts w:ascii="Arial" w:hAnsi="Arial" w:cs="Arial"/>
        </w:rPr>
      </w:pPr>
      <w:r w:rsidRPr="0051650B">
        <w:rPr>
          <w:rFonts w:ascii="Arial" w:hAnsi="Arial" w:cs="Arial"/>
        </w:rPr>
        <w:t>Module Leader: Jolly Nwankwo</w:t>
      </w:r>
    </w:p>
    <w:p w14:paraId="4360FA7E" w14:textId="77777777" w:rsidR="002215B8" w:rsidRPr="0051650B" w:rsidRDefault="002215B8" w:rsidP="0051650B">
      <w:pPr>
        <w:spacing w:line="360" w:lineRule="auto"/>
        <w:jc w:val="center"/>
        <w:rPr>
          <w:rFonts w:ascii="Arial" w:hAnsi="Arial" w:cs="Arial"/>
        </w:rPr>
      </w:pPr>
    </w:p>
    <w:p w14:paraId="7A768179" w14:textId="77777777" w:rsidR="002215B8" w:rsidRPr="0051650B" w:rsidRDefault="002215B8" w:rsidP="0051650B">
      <w:pPr>
        <w:spacing w:line="360" w:lineRule="auto"/>
        <w:jc w:val="center"/>
        <w:rPr>
          <w:rFonts w:ascii="Arial" w:hAnsi="Arial" w:cs="Arial"/>
        </w:rPr>
      </w:pPr>
    </w:p>
    <w:p w14:paraId="2F51E6A9" w14:textId="77777777" w:rsidR="002215B8" w:rsidRPr="0051650B" w:rsidRDefault="002215B8" w:rsidP="0051650B">
      <w:pPr>
        <w:spacing w:line="360" w:lineRule="auto"/>
        <w:jc w:val="center"/>
        <w:rPr>
          <w:rFonts w:ascii="Arial" w:hAnsi="Arial" w:cs="Arial"/>
        </w:rPr>
      </w:pPr>
      <w:r w:rsidRPr="0051650B">
        <w:rPr>
          <w:rFonts w:ascii="Arial" w:hAnsi="Arial" w:cs="Arial"/>
        </w:rPr>
        <w:t>Assignment Title</w:t>
      </w:r>
    </w:p>
    <w:p w14:paraId="1918F278" w14:textId="38CE7833" w:rsidR="002215B8" w:rsidRPr="0051650B" w:rsidRDefault="002215B8" w:rsidP="0051650B">
      <w:pPr>
        <w:spacing w:line="360" w:lineRule="auto"/>
        <w:jc w:val="center"/>
        <w:rPr>
          <w:rFonts w:ascii="Arial" w:hAnsi="Arial" w:cs="Arial"/>
        </w:rPr>
      </w:pPr>
      <w:r w:rsidRPr="0051650B">
        <w:rPr>
          <w:rFonts w:ascii="Arial" w:hAnsi="Arial" w:cs="Arial"/>
        </w:rPr>
        <w:t>Children, Young People and Families (Assessment 2)</w:t>
      </w:r>
    </w:p>
    <w:p w14:paraId="00C70C2B" w14:textId="77777777" w:rsidR="00CE01DC" w:rsidRPr="0051650B" w:rsidRDefault="00CE01DC" w:rsidP="0051650B">
      <w:pPr>
        <w:spacing w:line="360" w:lineRule="auto"/>
        <w:jc w:val="both"/>
        <w:rPr>
          <w:rFonts w:ascii="Arial" w:hAnsi="Arial" w:cs="Arial"/>
        </w:rPr>
      </w:pPr>
    </w:p>
    <w:p w14:paraId="6F2A7269" w14:textId="77777777" w:rsidR="00CE01DC" w:rsidRPr="0051650B" w:rsidRDefault="00CE01DC" w:rsidP="0051650B">
      <w:pPr>
        <w:spacing w:line="360" w:lineRule="auto"/>
        <w:jc w:val="both"/>
        <w:rPr>
          <w:rFonts w:ascii="Arial" w:hAnsi="Arial" w:cs="Arial"/>
        </w:rPr>
      </w:pPr>
      <w:r w:rsidRPr="0051650B">
        <w:rPr>
          <w:rFonts w:ascii="Arial" w:hAnsi="Arial" w:cs="Arial"/>
        </w:rPr>
        <w:br w:type="page"/>
      </w:r>
    </w:p>
    <w:sdt>
      <w:sdtPr>
        <w:rPr>
          <w:rFonts w:ascii="Arial" w:eastAsiaTheme="minorHAnsi" w:hAnsi="Arial" w:cs="Arial"/>
          <w:color w:val="auto"/>
          <w:kern w:val="2"/>
          <w:sz w:val="22"/>
          <w:szCs w:val="22"/>
          <w14:ligatures w14:val="standardContextual"/>
        </w:rPr>
        <w:id w:val="1916127286"/>
        <w:docPartObj>
          <w:docPartGallery w:val="Table of Contents"/>
          <w:docPartUnique/>
        </w:docPartObj>
      </w:sdtPr>
      <w:sdtEndPr>
        <w:rPr>
          <w:b/>
          <w:bCs/>
          <w:noProof/>
        </w:rPr>
      </w:sdtEndPr>
      <w:sdtContent>
        <w:p w14:paraId="319AEC51" w14:textId="2EBD8EC7" w:rsidR="00993DDD" w:rsidRPr="0051650B" w:rsidRDefault="00993DDD" w:rsidP="0051650B">
          <w:pPr>
            <w:pStyle w:val="TOCHeading"/>
            <w:spacing w:line="360" w:lineRule="auto"/>
            <w:rPr>
              <w:rFonts w:ascii="Arial" w:hAnsi="Arial" w:cs="Arial"/>
              <w:sz w:val="22"/>
              <w:szCs w:val="22"/>
            </w:rPr>
          </w:pPr>
          <w:r w:rsidRPr="0051650B">
            <w:rPr>
              <w:rFonts w:ascii="Arial" w:hAnsi="Arial" w:cs="Arial"/>
              <w:sz w:val="22"/>
              <w:szCs w:val="22"/>
            </w:rPr>
            <w:t>Contents</w:t>
          </w:r>
        </w:p>
        <w:p w14:paraId="6677085B" w14:textId="265E14C0" w:rsidR="0051650B" w:rsidRDefault="00993DDD">
          <w:pPr>
            <w:pStyle w:val="TOC1"/>
            <w:tabs>
              <w:tab w:val="right" w:leader="dot" w:pos="9350"/>
            </w:tabs>
            <w:rPr>
              <w:rFonts w:eastAsiaTheme="minorEastAsia"/>
              <w:noProof/>
            </w:rPr>
          </w:pPr>
          <w:r w:rsidRPr="0051650B">
            <w:rPr>
              <w:rFonts w:ascii="Arial" w:hAnsi="Arial" w:cs="Arial"/>
            </w:rPr>
            <w:fldChar w:fldCharType="begin"/>
          </w:r>
          <w:r w:rsidRPr="0051650B">
            <w:rPr>
              <w:rFonts w:ascii="Arial" w:hAnsi="Arial" w:cs="Arial"/>
            </w:rPr>
            <w:instrText xml:space="preserve"> TOC \o "1-3" \h \z \u </w:instrText>
          </w:r>
          <w:r w:rsidRPr="0051650B">
            <w:rPr>
              <w:rFonts w:ascii="Arial" w:hAnsi="Arial" w:cs="Arial"/>
            </w:rPr>
            <w:fldChar w:fldCharType="separate"/>
          </w:r>
          <w:hyperlink w:anchor="_Toc142917839" w:history="1">
            <w:r w:rsidR="0051650B" w:rsidRPr="00673E3D">
              <w:rPr>
                <w:rStyle w:val="Hyperlink"/>
                <w:rFonts w:ascii="Arial" w:hAnsi="Arial" w:cs="Arial"/>
                <w:noProof/>
              </w:rPr>
              <w:t>Introduction</w:t>
            </w:r>
            <w:r w:rsidR="0051650B">
              <w:rPr>
                <w:noProof/>
                <w:webHidden/>
              </w:rPr>
              <w:tab/>
            </w:r>
            <w:r w:rsidR="0051650B">
              <w:rPr>
                <w:noProof/>
                <w:webHidden/>
              </w:rPr>
              <w:fldChar w:fldCharType="begin"/>
            </w:r>
            <w:r w:rsidR="0051650B">
              <w:rPr>
                <w:noProof/>
                <w:webHidden/>
              </w:rPr>
              <w:instrText xml:space="preserve"> PAGEREF _Toc142917839 \h </w:instrText>
            </w:r>
            <w:r w:rsidR="0051650B">
              <w:rPr>
                <w:noProof/>
                <w:webHidden/>
              </w:rPr>
            </w:r>
            <w:r w:rsidR="0051650B">
              <w:rPr>
                <w:noProof/>
                <w:webHidden/>
              </w:rPr>
              <w:fldChar w:fldCharType="separate"/>
            </w:r>
            <w:r w:rsidR="0051650B">
              <w:rPr>
                <w:noProof/>
                <w:webHidden/>
              </w:rPr>
              <w:t>3</w:t>
            </w:r>
            <w:r w:rsidR="0051650B">
              <w:rPr>
                <w:noProof/>
                <w:webHidden/>
              </w:rPr>
              <w:fldChar w:fldCharType="end"/>
            </w:r>
          </w:hyperlink>
        </w:p>
        <w:p w14:paraId="7F887AEC" w14:textId="5C04D441" w:rsidR="0051650B" w:rsidRDefault="00000000">
          <w:pPr>
            <w:pStyle w:val="TOC1"/>
            <w:tabs>
              <w:tab w:val="right" w:leader="dot" w:pos="9350"/>
            </w:tabs>
            <w:rPr>
              <w:rFonts w:eastAsiaTheme="minorEastAsia"/>
              <w:noProof/>
            </w:rPr>
          </w:pPr>
          <w:hyperlink w:anchor="_Toc142917840" w:history="1">
            <w:r w:rsidR="0051650B" w:rsidRPr="00673E3D">
              <w:rPr>
                <w:rStyle w:val="Hyperlink"/>
                <w:rFonts w:ascii="Arial" w:hAnsi="Arial" w:cs="Arial"/>
                <w:noProof/>
              </w:rPr>
              <w:t>Emergence of Childhood Alongside the Construction of the Family</w:t>
            </w:r>
            <w:r w:rsidR="0051650B">
              <w:rPr>
                <w:noProof/>
                <w:webHidden/>
              </w:rPr>
              <w:tab/>
            </w:r>
            <w:r w:rsidR="0051650B">
              <w:rPr>
                <w:noProof/>
                <w:webHidden/>
              </w:rPr>
              <w:fldChar w:fldCharType="begin"/>
            </w:r>
            <w:r w:rsidR="0051650B">
              <w:rPr>
                <w:noProof/>
                <w:webHidden/>
              </w:rPr>
              <w:instrText xml:space="preserve"> PAGEREF _Toc142917840 \h </w:instrText>
            </w:r>
            <w:r w:rsidR="0051650B">
              <w:rPr>
                <w:noProof/>
                <w:webHidden/>
              </w:rPr>
            </w:r>
            <w:r w:rsidR="0051650B">
              <w:rPr>
                <w:noProof/>
                <w:webHidden/>
              </w:rPr>
              <w:fldChar w:fldCharType="separate"/>
            </w:r>
            <w:r w:rsidR="0051650B">
              <w:rPr>
                <w:noProof/>
                <w:webHidden/>
              </w:rPr>
              <w:t>3</w:t>
            </w:r>
            <w:r w:rsidR="0051650B">
              <w:rPr>
                <w:noProof/>
                <w:webHidden/>
              </w:rPr>
              <w:fldChar w:fldCharType="end"/>
            </w:r>
          </w:hyperlink>
        </w:p>
        <w:p w14:paraId="31E0B735" w14:textId="02ED3479" w:rsidR="0051650B" w:rsidRDefault="00000000">
          <w:pPr>
            <w:pStyle w:val="TOC1"/>
            <w:tabs>
              <w:tab w:val="right" w:leader="dot" w:pos="9350"/>
            </w:tabs>
            <w:rPr>
              <w:rFonts w:eastAsiaTheme="minorEastAsia"/>
              <w:noProof/>
            </w:rPr>
          </w:pPr>
          <w:hyperlink w:anchor="_Toc142917841" w:history="1">
            <w:r w:rsidR="0051650B" w:rsidRPr="00673E3D">
              <w:rPr>
                <w:rStyle w:val="Hyperlink"/>
                <w:rFonts w:ascii="Arial" w:hAnsi="Arial" w:cs="Arial"/>
                <w:noProof/>
              </w:rPr>
              <w:t>Conclusion</w:t>
            </w:r>
            <w:r w:rsidR="0051650B">
              <w:rPr>
                <w:noProof/>
                <w:webHidden/>
              </w:rPr>
              <w:tab/>
            </w:r>
            <w:r w:rsidR="0051650B">
              <w:rPr>
                <w:noProof/>
                <w:webHidden/>
              </w:rPr>
              <w:fldChar w:fldCharType="begin"/>
            </w:r>
            <w:r w:rsidR="0051650B">
              <w:rPr>
                <w:noProof/>
                <w:webHidden/>
              </w:rPr>
              <w:instrText xml:space="preserve"> PAGEREF _Toc142917841 \h </w:instrText>
            </w:r>
            <w:r w:rsidR="0051650B">
              <w:rPr>
                <w:noProof/>
                <w:webHidden/>
              </w:rPr>
            </w:r>
            <w:r w:rsidR="0051650B">
              <w:rPr>
                <w:noProof/>
                <w:webHidden/>
              </w:rPr>
              <w:fldChar w:fldCharType="separate"/>
            </w:r>
            <w:r w:rsidR="0051650B">
              <w:rPr>
                <w:noProof/>
                <w:webHidden/>
              </w:rPr>
              <w:t>8</w:t>
            </w:r>
            <w:r w:rsidR="0051650B">
              <w:rPr>
                <w:noProof/>
                <w:webHidden/>
              </w:rPr>
              <w:fldChar w:fldCharType="end"/>
            </w:r>
          </w:hyperlink>
        </w:p>
        <w:p w14:paraId="1F68BAEA" w14:textId="446085BA" w:rsidR="00993DDD" w:rsidRPr="0051650B" w:rsidRDefault="00000000" w:rsidP="0051650B">
          <w:pPr>
            <w:pStyle w:val="TOC1"/>
            <w:tabs>
              <w:tab w:val="right" w:leader="dot" w:pos="9350"/>
            </w:tabs>
            <w:rPr>
              <w:rFonts w:ascii="Arial" w:hAnsi="Arial" w:cs="Arial"/>
            </w:rPr>
          </w:pPr>
          <w:hyperlink w:anchor="_Toc142917842" w:history="1">
            <w:r w:rsidR="0051650B" w:rsidRPr="00673E3D">
              <w:rPr>
                <w:rStyle w:val="Hyperlink"/>
                <w:rFonts w:ascii="Arial" w:hAnsi="Arial" w:cs="Arial"/>
                <w:noProof/>
              </w:rPr>
              <w:t>References</w:t>
            </w:r>
            <w:r w:rsidR="0051650B">
              <w:rPr>
                <w:noProof/>
                <w:webHidden/>
              </w:rPr>
              <w:tab/>
            </w:r>
            <w:r w:rsidR="0051650B">
              <w:rPr>
                <w:noProof/>
                <w:webHidden/>
              </w:rPr>
              <w:fldChar w:fldCharType="begin"/>
            </w:r>
            <w:r w:rsidR="0051650B">
              <w:rPr>
                <w:noProof/>
                <w:webHidden/>
              </w:rPr>
              <w:instrText xml:space="preserve"> PAGEREF _Toc142917842 \h </w:instrText>
            </w:r>
            <w:r w:rsidR="0051650B">
              <w:rPr>
                <w:noProof/>
                <w:webHidden/>
              </w:rPr>
            </w:r>
            <w:r w:rsidR="0051650B">
              <w:rPr>
                <w:noProof/>
                <w:webHidden/>
              </w:rPr>
              <w:fldChar w:fldCharType="separate"/>
            </w:r>
            <w:r w:rsidR="0051650B">
              <w:rPr>
                <w:noProof/>
                <w:webHidden/>
              </w:rPr>
              <w:t>9</w:t>
            </w:r>
            <w:r w:rsidR="0051650B">
              <w:rPr>
                <w:noProof/>
                <w:webHidden/>
              </w:rPr>
              <w:fldChar w:fldCharType="end"/>
            </w:r>
          </w:hyperlink>
          <w:r w:rsidR="00993DDD" w:rsidRPr="0051650B">
            <w:rPr>
              <w:rFonts w:ascii="Arial" w:hAnsi="Arial" w:cs="Arial"/>
              <w:b/>
              <w:bCs/>
              <w:noProof/>
            </w:rPr>
            <w:fldChar w:fldCharType="end"/>
          </w:r>
        </w:p>
      </w:sdtContent>
    </w:sdt>
    <w:p w14:paraId="4A74071A" w14:textId="77777777" w:rsidR="00CE01DC" w:rsidRPr="0051650B" w:rsidRDefault="00CE01DC" w:rsidP="0051650B">
      <w:pPr>
        <w:spacing w:line="360" w:lineRule="auto"/>
        <w:jc w:val="both"/>
        <w:rPr>
          <w:rFonts w:ascii="Arial" w:hAnsi="Arial" w:cs="Arial"/>
        </w:rPr>
      </w:pPr>
    </w:p>
    <w:p w14:paraId="60415778" w14:textId="77777777" w:rsidR="00CE01DC" w:rsidRPr="0051650B" w:rsidRDefault="00CE01DC" w:rsidP="0051650B">
      <w:pPr>
        <w:spacing w:line="360" w:lineRule="auto"/>
        <w:jc w:val="both"/>
        <w:rPr>
          <w:rFonts w:ascii="Arial" w:hAnsi="Arial" w:cs="Arial"/>
        </w:rPr>
      </w:pPr>
      <w:r w:rsidRPr="0051650B">
        <w:rPr>
          <w:rFonts w:ascii="Arial" w:hAnsi="Arial" w:cs="Arial"/>
        </w:rPr>
        <w:br w:type="page"/>
      </w:r>
    </w:p>
    <w:p w14:paraId="45C58D6E" w14:textId="77777777" w:rsidR="00CE01DC" w:rsidRPr="0051650B" w:rsidRDefault="00CE01DC" w:rsidP="0051650B">
      <w:pPr>
        <w:pStyle w:val="Heading1"/>
        <w:spacing w:line="360" w:lineRule="auto"/>
        <w:rPr>
          <w:rFonts w:ascii="Arial" w:hAnsi="Arial" w:cs="Arial"/>
          <w:sz w:val="22"/>
          <w:szCs w:val="22"/>
        </w:rPr>
      </w:pPr>
      <w:bookmarkStart w:id="0" w:name="_Toc142917839"/>
      <w:r w:rsidRPr="0051650B">
        <w:rPr>
          <w:rFonts w:ascii="Arial" w:hAnsi="Arial" w:cs="Arial"/>
          <w:sz w:val="22"/>
          <w:szCs w:val="22"/>
        </w:rPr>
        <w:lastRenderedPageBreak/>
        <w:t>Introduction</w:t>
      </w:r>
      <w:bookmarkEnd w:id="0"/>
    </w:p>
    <w:p w14:paraId="46CF91F2" w14:textId="6A031CB0" w:rsidR="00CE01DC" w:rsidRPr="0051650B" w:rsidRDefault="00621364" w:rsidP="0051650B">
      <w:pPr>
        <w:spacing w:line="360" w:lineRule="auto"/>
        <w:jc w:val="both"/>
        <w:rPr>
          <w:rFonts w:ascii="Arial" w:hAnsi="Arial" w:cs="Arial"/>
        </w:rPr>
      </w:pPr>
      <w:r w:rsidRPr="0051650B">
        <w:rPr>
          <w:rFonts w:ascii="Arial" w:hAnsi="Arial" w:cs="Arial"/>
        </w:rPr>
        <w:t>The concept of childhood has evolved over centuries, from a time when children were considered miniature adults to the modern understanding of childhood as a distinct and formative stage. This evolution has been shaped by historical shifts, policy changes, and societal values. Central to this transformation is the pivotal role of family life, which provides the nurturing environment necessary for healthy child development. In this essay, we will delve into the emergence of childhood, exploring its multifaceted definitions and the key role families play in shaping childhood experiences. We will analyze historical changes that have led to the protection of children from labor exploitation, the establishment of compulsory education, and the recognition of children's rights through the United Nations Convention on the Rights of the Child (UNCRC). Furthermore, we will discuss the impact of these shifts on the lives of children, young people, and families, emphasizing the reduction of inequalities in health and social care service provision. By examining various approaches and interventions, including early intervention programs and parenting support, we will provide recommendations for enhancing support for vulnerable children, young people, and families, ensuring a brighter and more equitable future for generations to come.</w:t>
      </w:r>
    </w:p>
    <w:p w14:paraId="241EDAB7" w14:textId="77777777" w:rsidR="00CE01DC" w:rsidRPr="0051650B" w:rsidRDefault="00CE01DC" w:rsidP="0051650B">
      <w:pPr>
        <w:pStyle w:val="Heading1"/>
        <w:spacing w:line="360" w:lineRule="auto"/>
        <w:rPr>
          <w:rFonts w:ascii="Arial" w:hAnsi="Arial" w:cs="Arial"/>
          <w:sz w:val="22"/>
          <w:szCs w:val="22"/>
        </w:rPr>
      </w:pPr>
      <w:bookmarkStart w:id="1" w:name="_Toc142917840"/>
      <w:r w:rsidRPr="0051650B">
        <w:rPr>
          <w:rFonts w:ascii="Arial" w:hAnsi="Arial" w:cs="Arial"/>
          <w:sz w:val="22"/>
          <w:szCs w:val="22"/>
        </w:rPr>
        <w:t>Emergence of Childhood Alongside the Construction of the Family</w:t>
      </w:r>
      <w:bookmarkEnd w:id="1"/>
    </w:p>
    <w:p w14:paraId="4EB9643D" w14:textId="3F9059FB" w:rsidR="0027474B" w:rsidRPr="0051650B" w:rsidRDefault="0027474B" w:rsidP="0051650B">
      <w:pPr>
        <w:spacing w:line="360" w:lineRule="auto"/>
        <w:jc w:val="both"/>
        <w:rPr>
          <w:rFonts w:ascii="Arial" w:hAnsi="Arial" w:cs="Arial"/>
        </w:rPr>
      </w:pPr>
      <w:r w:rsidRPr="0051650B">
        <w:rPr>
          <w:rFonts w:ascii="Arial" w:hAnsi="Arial" w:cs="Arial"/>
        </w:rPr>
        <w:t>The concept of childhood is intricately linked to the development and growth of individuals, encompassing physical, cognitive, emotional, and social dimensions (</w:t>
      </w:r>
      <w:r w:rsidR="00B30A00" w:rsidRPr="0051650B">
        <w:rPr>
          <w:rFonts w:ascii="Arial" w:hAnsi="Arial" w:cs="Arial"/>
        </w:rPr>
        <w:t>Damon and Hart, 1991</w:t>
      </w:r>
      <w:r w:rsidRPr="0051650B">
        <w:rPr>
          <w:rFonts w:ascii="Arial" w:hAnsi="Arial" w:cs="Arial"/>
        </w:rPr>
        <w:t>). It is not merely a biological stage but a social construct influenced by historical, cultural, and societal factors. Childhood is a period characterized by significant transformations as individuals transition from complete dependency to increasing autonomy, forming the foundation for their future identities and roles (Corsaro, 2017). Family life, as a fundamental social institution, plays a pivotal role in shaping the experiences and trajectories of childhood. Childhood is far more than a chronological phase; it is a multidimensional construct encompassing various aspects of development</w:t>
      </w:r>
      <w:r w:rsidR="00B30A00" w:rsidRPr="0051650B">
        <w:rPr>
          <w:rFonts w:ascii="Arial" w:hAnsi="Arial" w:cs="Arial"/>
        </w:rPr>
        <w:t xml:space="preserve"> (Lent et al., 1994)</w:t>
      </w:r>
      <w:r w:rsidRPr="0051650B">
        <w:rPr>
          <w:rFonts w:ascii="Arial" w:hAnsi="Arial" w:cs="Arial"/>
        </w:rPr>
        <w:t>. Physically, it entails rapid growth, changes in body composition, and the attainment of motor skills. Cognitively, children experience cognitive growth, language development, and the acquisition of knowledge about the world around them. Emotionally, children navigate their emotions, develop emotional intelligence, and form attachments with caregivers. Socially, children learn to interact with peers, understand societal norms, and construct their social identities (Corsaro, 2017). The family unit stands as the primary context in which children experience and navigate their early years. As a microcosm of society, the family shapes children's values, behaviors, and attitudes, thereby influencing their experiences of childhood</w:t>
      </w:r>
      <w:r w:rsidR="00B30A00" w:rsidRPr="0051650B">
        <w:rPr>
          <w:rFonts w:ascii="Arial" w:hAnsi="Arial" w:cs="Arial"/>
        </w:rPr>
        <w:t xml:space="preserve"> (Menaghan and Parcel, 1991)</w:t>
      </w:r>
      <w:r w:rsidRPr="0051650B">
        <w:rPr>
          <w:rFonts w:ascii="Arial" w:hAnsi="Arial" w:cs="Arial"/>
        </w:rPr>
        <w:t xml:space="preserve">. Bronfenbrenner's ecological systems theory </w:t>
      </w:r>
      <w:r w:rsidRPr="0051650B">
        <w:rPr>
          <w:rFonts w:ascii="Arial" w:hAnsi="Arial" w:cs="Arial"/>
        </w:rPr>
        <w:lastRenderedPageBreak/>
        <w:t>emphasizes the interplay between various systems, with the family serving as the most immediate and influential system in a child's life (Bronfenbrenner, 1979). Family dynamics, interactions, and structures play a pivotal role in determining the quality of children's experiences and their developmental outcomes</w:t>
      </w:r>
      <w:r w:rsidR="00B30A00" w:rsidRPr="0051650B">
        <w:rPr>
          <w:rFonts w:ascii="Arial" w:hAnsi="Arial" w:cs="Arial"/>
        </w:rPr>
        <w:t xml:space="preserve"> (Medrich, 1982)</w:t>
      </w:r>
      <w:r w:rsidRPr="0051650B">
        <w:rPr>
          <w:rFonts w:ascii="Arial" w:hAnsi="Arial" w:cs="Arial"/>
        </w:rPr>
        <w:t>.</w:t>
      </w:r>
      <w:r w:rsidRPr="0051650B">
        <w:rPr>
          <w:rFonts w:ascii="Arial" w:eastAsia="Times New Roman" w:hAnsi="Arial" w:cs="Arial"/>
          <w:color w:val="D1D5DB"/>
          <w:kern w:val="0"/>
          <w14:ligatures w14:val="none"/>
        </w:rPr>
        <w:t xml:space="preserve"> </w:t>
      </w:r>
      <w:r w:rsidRPr="0051650B">
        <w:rPr>
          <w:rFonts w:ascii="Arial" w:hAnsi="Arial" w:cs="Arial"/>
        </w:rPr>
        <w:t>Throughout history, childhood and family constructs have undergone profound transformations. In pre-modern societies, children were often treated as miniature adults, participating in adult responsibilities from an early age</w:t>
      </w:r>
      <w:r w:rsidR="00B30A00" w:rsidRPr="0051650B">
        <w:rPr>
          <w:rFonts w:ascii="Arial" w:hAnsi="Arial" w:cs="Arial"/>
        </w:rPr>
        <w:t xml:space="preserve"> (Guven, 2019)</w:t>
      </w:r>
      <w:r w:rsidRPr="0051650B">
        <w:rPr>
          <w:rFonts w:ascii="Arial" w:hAnsi="Arial" w:cs="Arial"/>
        </w:rPr>
        <w:t>. Industrialization and urbanization marked a significant shift, as labor moved out of the home and created a separation between the public realm of work and the private realm of family life. This led to a growing recognition of childhood as a period of vulnerability and dependence, laying the foundation for the modern view of childhood (Aries, 1962). The emergence of child labor laws during the 19th and 20th centuries further delineated the distinction between childhood and adulthood. These legal interventions acknowledged the need to protect children from harsh working conditions, emphasizing their rights to education, play, and personal development. The evolution of family dynamics, driven by these socio-economic changes, reinforced the idea of childhood as a unique and valuable phase of life (Humphries, 2010).</w:t>
      </w:r>
    </w:p>
    <w:p w14:paraId="3947561F" w14:textId="1FD8B625" w:rsidR="00CE01DC" w:rsidRPr="0051650B" w:rsidRDefault="0027474B" w:rsidP="0051650B">
      <w:pPr>
        <w:spacing w:line="360" w:lineRule="auto"/>
        <w:jc w:val="both"/>
        <w:rPr>
          <w:rFonts w:ascii="Arial" w:hAnsi="Arial" w:cs="Arial"/>
        </w:rPr>
      </w:pPr>
      <w:r w:rsidRPr="0051650B">
        <w:rPr>
          <w:rFonts w:ascii="Arial" w:hAnsi="Arial" w:cs="Arial"/>
        </w:rPr>
        <w:t>The lives of children and families have undergone profound transformations over the course of history, shaped by societal shifts, policy changes, and evolving cultural values. In historical contexts, children were often subjected to labor at an early age, contributing to the economic survival of their families. This practice was marked by harsh working conditions, limited access to education, and a lack of protective measures. Mintz (2010) elucidates how children were exploited in various industries, enduring dangerous working environments that compromised their well-being and development.</w:t>
      </w:r>
      <w:r w:rsidR="00BC1400" w:rsidRPr="0051650B">
        <w:rPr>
          <w:rFonts w:ascii="Arial" w:eastAsia="Times New Roman" w:hAnsi="Arial" w:cs="Arial"/>
          <w:color w:val="D1D5DB"/>
          <w:kern w:val="0"/>
          <w14:ligatures w14:val="none"/>
        </w:rPr>
        <w:t xml:space="preserve"> </w:t>
      </w:r>
      <w:r w:rsidR="00BC1400" w:rsidRPr="0051650B">
        <w:rPr>
          <w:rFonts w:ascii="Arial" w:hAnsi="Arial" w:cs="Arial"/>
        </w:rPr>
        <w:t>The Industrial Revolution marked a turning point in the lives of children and families. The shift from agrarian to industrial economies resulted in the migration of work from homes to factories and mines, which, in turn, led to the recognition of the need to safeguard children from exploitation. Cunningham (1991) underscores the significance of this shift, as concerns about child labor's detrimental impact on physical and cognitive development emerged. Consequently, the establishment of child labor laws during the 19th and early 20th centuries signaled a significant change in societal attitudes towards childhood. These laws aimed to restrict the employment of children, emphasizing their right to education, protection, and adequate living conditions. This marked a pivotal step towards the gradual emergence of childhood as a distinct developmental stage, separate from adult responsibilities (Humphries, 2010).</w:t>
      </w:r>
      <w:r w:rsidR="00BC1400" w:rsidRPr="0051650B">
        <w:rPr>
          <w:rFonts w:ascii="Arial" w:eastAsia="Times New Roman" w:hAnsi="Arial" w:cs="Arial"/>
          <w:color w:val="D1D5DB"/>
          <w:kern w:val="0"/>
          <w14:ligatures w14:val="none"/>
        </w:rPr>
        <w:t xml:space="preserve"> </w:t>
      </w:r>
      <w:r w:rsidR="00BC1400" w:rsidRPr="0051650B">
        <w:rPr>
          <w:rFonts w:ascii="Arial" w:hAnsi="Arial" w:cs="Arial"/>
        </w:rPr>
        <w:t xml:space="preserve">The transformation of children's lives was further propelled by the implementation of compulsory education systems. The recognition that education was pivotal for individual and societal progress led to a collective </w:t>
      </w:r>
      <w:r w:rsidR="00BC1400" w:rsidRPr="0051650B">
        <w:rPr>
          <w:rFonts w:ascii="Arial" w:hAnsi="Arial" w:cs="Arial"/>
        </w:rPr>
        <w:lastRenderedPageBreak/>
        <w:t>effort to provide children with opportunities for intellectual and moral development (Shorter, 1975). This transition fostered the idea that childhood was not merely a period of labor, but a time of growth, learning, and preparation for adulthood. Policy and legislation continued to shape the lives of children and families, culminating in the adoption of the United Nations Convention on the Rights of the Child (UNCRC) in 1989. The UNCRC reaffirmed children's rights to protection, education, participation, and overall well-being (UNICEF, 1989). This landmark international agreement underscored the global commitment to ensuring that children's rights were upheld, regardless of their socio-economic backgrounds. These policy changes have contributed to the reduction of inequalities in the lives of children and families. The focus on education, protection, and participation has led to improved access to quality education and healthcare, especially for vulnerable children (Ní Laoire et al., 2016). These developments have laid the foundation for enhancing opportunities and well-being for children, regardless of their social circumstances.</w:t>
      </w:r>
    </w:p>
    <w:p w14:paraId="00BFB490" w14:textId="3CDBB6E4" w:rsidR="00BC1400" w:rsidRPr="0051650B" w:rsidRDefault="00BC1400" w:rsidP="0051650B">
      <w:pPr>
        <w:spacing w:line="360" w:lineRule="auto"/>
        <w:jc w:val="both"/>
        <w:rPr>
          <w:rFonts w:ascii="Arial" w:hAnsi="Arial" w:cs="Arial"/>
        </w:rPr>
      </w:pPr>
      <w:r w:rsidRPr="0051650B">
        <w:rPr>
          <w:rFonts w:ascii="Arial" w:hAnsi="Arial" w:cs="Arial"/>
        </w:rPr>
        <w:t>The profound shifts in societal attitudes, policy frameworks, and legal protections have led to significant impacts on the lives of children, young people, and families. Child labor laws have played a pivotal role in shaping the lives of children and families</w:t>
      </w:r>
      <w:r w:rsidR="00621364" w:rsidRPr="0051650B">
        <w:rPr>
          <w:rFonts w:ascii="Arial" w:hAnsi="Arial" w:cs="Arial"/>
        </w:rPr>
        <w:t xml:space="preserve"> (Horan and Hargis, 1991)</w:t>
      </w:r>
      <w:r w:rsidRPr="0051650B">
        <w:rPr>
          <w:rFonts w:ascii="Arial" w:hAnsi="Arial" w:cs="Arial"/>
        </w:rPr>
        <w:t>. Historically, children were subjected to exploitative working conditions that hindered their physical and cognitive development. The enactment of child labor laws marked a decisive departure from this exploitative past (Humphries, 2010). These legal measures aimed to shield children from hazardous work environments, enabling them to experience a safer and more nurturing childhood</w:t>
      </w:r>
      <w:r w:rsidR="00AE191D" w:rsidRPr="0051650B">
        <w:rPr>
          <w:rFonts w:ascii="Arial" w:hAnsi="Arial" w:cs="Arial"/>
        </w:rPr>
        <w:t xml:space="preserve"> (WHO, 2018)</w:t>
      </w:r>
      <w:r w:rsidRPr="0051650B">
        <w:rPr>
          <w:rFonts w:ascii="Arial" w:hAnsi="Arial" w:cs="Arial"/>
        </w:rPr>
        <w:t>. As children were freed from the demands of arduous labor, they were provided with an opportunity to channel their energies into education and personal growth</w:t>
      </w:r>
      <w:r w:rsidR="00AE191D" w:rsidRPr="0051650B">
        <w:rPr>
          <w:rFonts w:ascii="Arial" w:hAnsi="Arial" w:cs="Arial"/>
        </w:rPr>
        <w:t xml:space="preserve"> (Maconachie and Hilson, 2016)</w:t>
      </w:r>
      <w:r w:rsidRPr="0051650B">
        <w:rPr>
          <w:rFonts w:ascii="Arial" w:hAnsi="Arial" w:cs="Arial"/>
        </w:rPr>
        <w:t xml:space="preserve">. Child labor laws have had a transformative impact on children's lives by allowing them to focus on education and personal development. By removing the obligation to work in hazardous conditions, children gained access to schools and educational opportunities that were previously denied to them. This shift marked the beginning of a transformation in societal perceptions of childhood, emphasizing its significance as a unique and formative stage of life (Humphries, 2010). With the freedom to pursue education, children's potential for intellectual, emotional, and social development was unlocked, ultimately contributing to the creation of a skilled and knowledgeable citizenry. The UNCRC, a landmark international agreement, has further propelled positive changes in the lives of children, young people, and families. One of its most remarkable impacts has been the emphasis on child participation. Lansdown (2005) highlights how the UNCRC recognizes children as active agents, entitled to participate in decisions affecting their lives. This paradigm shift from considering children as passive recipients </w:t>
      </w:r>
      <w:r w:rsidRPr="0051650B">
        <w:rPr>
          <w:rFonts w:ascii="Arial" w:hAnsi="Arial" w:cs="Arial"/>
        </w:rPr>
        <w:lastRenderedPageBreak/>
        <w:t>of care to recognizing them as rights-holders has empowered young people to contribute to matters that shape their present and future. The combined impact of child labor laws and the UNCRC has led to a notable reduction in inequalities among children, young people, and families. These legal and policy measures have ensured that all children, regardless of their socio-economic backgrounds, have the right to a safe and nurturing environment. The focus on education, protection, and participation has bridged gaps in access to quality education, healthcare, and other essential services (Ní Laoire et al., 2016). This has led to improved outcomes for vulnerable populations, contributing to a more equitable society.</w:t>
      </w:r>
    </w:p>
    <w:p w14:paraId="557EAEDC" w14:textId="19ABFDB7" w:rsidR="00BC1400" w:rsidRPr="0051650B" w:rsidRDefault="00BC1400" w:rsidP="0051650B">
      <w:pPr>
        <w:spacing w:line="360" w:lineRule="auto"/>
        <w:jc w:val="both"/>
        <w:rPr>
          <w:rFonts w:ascii="Arial" w:hAnsi="Arial" w:cs="Arial"/>
        </w:rPr>
      </w:pPr>
      <w:r w:rsidRPr="0051650B">
        <w:rPr>
          <w:rFonts w:ascii="Arial" w:hAnsi="Arial" w:cs="Arial"/>
        </w:rPr>
        <w:t>In contemporary society, recognizing and addressing the needs of vulnerable children, young people, and families is crucial to reducing inequalities in health and social care service provision. The effectiveness of these interventions in improving child development outcomes and reducing disparities</w:t>
      </w:r>
      <w:r w:rsidR="00AE191D" w:rsidRPr="0051650B">
        <w:rPr>
          <w:rFonts w:ascii="Arial" w:hAnsi="Arial" w:cs="Arial"/>
        </w:rPr>
        <w:t xml:space="preserve"> (Yuan et al., 2014)</w:t>
      </w:r>
      <w:r w:rsidRPr="0051650B">
        <w:rPr>
          <w:rFonts w:ascii="Arial" w:hAnsi="Arial" w:cs="Arial"/>
        </w:rPr>
        <w:t>. Early intervention programs constitute a cornerstone in supporting vulnerable children and families. These initiatives recognize the critical importance of the early years in shaping a child's developmental trajectory. Early intervention programs typically encompass a range of services, including health, education, and social support, tailored to the unique needs of at-risk families. By intervening during this formative period, the potential to positively impact child development is maximized. Home visiting services represent one specific form of early intervention that has demonstrated effectiveness in reaching vulnerable families. Olds et al. (2010) emphasize the positive outcomes of home visiting programs in terms of improved parenting practices, child health, and family well-being. Through regular visits by trained professionals, families receive guidance, resources, and support, fostering a nurturing environment that contributes to positive child outcomes. These programs are particularly effective for families facing socio-economic challenges, providing them with the tools and knowledge necessary for optimal child rearing.</w:t>
      </w:r>
      <w:r w:rsidRPr="0051650B">
        <w:rPr>
          <w:rFonts w:ascii="Arial" w:eastAsia="Times New Roman" w:hAnsi="Arial" w:cs="Arial"/>
          <w:color w:val="D1D5DB"/>
          <w:kern w:val="0"/>
          <w14:ligatures w14:val="none"/>
        </w:rPr>
        <w:t xml:space="preserve"> </w:t>
      </w:r>
      <w:r w:rsidRPr="0051650B">
        <w:rPr>
          <w:rFonts w:ascii="Arial" w:hAnsi="Arial" w:cs="Arial"/>
        </w:rPr>
        <w:t>Parenting support is another essential component of interventions for vulnerable children and families</w:t>
      </w:r>
      <w:r w:rsidR="00AE191D" w:rsidRPr="0051650B">
        <w:rPr>
          <w:rFonts w:ascii="Arial" w:hAnsi="Arial" w:cs="Arial"/>
        </w:rPr>
        <w:t xml:space="preserve"> (Moran and Ghate, 2005)</w:t>
      </w:r>
      <w:r w:rsidRPr="0051650B">
        <w:rPr>
          <w:rFonts w:ascii="Arial" w:hAnsi="Arial" w:cs="Arial"/>
        </w:rPr>
        <w:t xml:space="preserve">. Acknowledging the pivotal role parents play in a child's development, targeted parenting support programs empower caregivers with the skills and knowledge needed to create a supportive and stimulating environment for their children. These programs offer guidance on child-rearing practices, emotional support for parents, and strategies to enhance parent-child interactions. The effectiveness of parenting support programs in reducing disparities and improving child development outcomes is well-documented. Doyle et al. (2018) highlight the positive impact of such interventions, especially for families facing social and economic challenges. By equipping parents with the tools to provide a nurturing and responsive environment, parenting support </w:t>
      </w:r>
      <w:r w:rsidRPr="0051650B">
        <w:rPr>
          <w:rFonts w:ascii="Arial" w:hAnsi="Arial" w:cs="Arial"/>
        </w:rPr>
        <w:lastRenderedPageBreak/>
        <w:t>programs enhance children's cognitive, emotional, and social development, thereby mitigating inequalities that may arise from disadvantaged backgrounds. The potential impact of these approaches and interventions on vulnerable children, young people, and families is substantial. Early intervention programs, such as home visiting services and parenting support, have the potential to break the cycle of adversity by providing families with the resources and knowledge needed to support healthy child development. These programs not only address immediate needs but also lay the foundation for lifelong well-being and success (Heckman, 2006). By targeting vulnerable populations, these interventions address inequalities in health and social care service provision. They ensure that all children, regardless of their socio-economic backgrounds, have access to supportive services that enhance their chances of a bright and promising future. The positive outcomes of these interventions can ripple through generations, creating a more equitable society where every child has the opportunity to thrive.</w:t>
      </w:r>
    </w:p>
    <w:p w14:paraId="421A9175" w14:textId="76E6DDE0" w:rsidR="00BC1400" w:rsidRPr="0051650B" w:rsidRDefault="00BC1400" w:rsidP="0051650B">
      <w:pPr>
        <w:spacing w:line="360" w:lineRule="auto"/>
        <w:jc w:val="both"/>
        <w:rPr>
          <w:rFonts w:ascii="Arial" w:hAnsi="Arial" w:cs="Arial"/>
        </w:rPr>
      </w:pPr>
      <w:r w:rsidRPr="0051650B">
        <w:rPr>
          <w:rFonts w:ascii="Arial" w:hAnsi="Arial" w:cs="Arial"/>
        </w:rPr>
        <w:t>Enhancing the well-being and opportunities for vulnerable children, young people, and families requires a multifaceted approach that combines evidence-based interventions, collaborative efforts, and vigilant monitoring</w:t>
      </w:r>
      <w:r w:rsidR="00AE191D" w:rsidRPr="0051650B">
        <w:rPr>
          <w:rFonts w:ascii="Arial" w:hAnsi="Arial" w:cs="Arial"/>
        </w:rPr>
        <w:t xml:space="preserve"> (Wade et al., 2006)</w:t>
      </w:r>
      <w:r w:rsidRPr="0051650B">
        <w:rPr>
          <w:rFonts w:ascii="Arial" w:hAnsi="Arial" w:cs="Arial"/>
        </w:rPr>
        <w:t xml:space="preserve">. Investing in comprehensive and evidence-based early intervention programs is a pivotal recommendation to support vulnerable children, young people, and families. Heckman (2006) advocates for the significance of early interventions in promoting lifelong well-being and development. These programs encompass a range of services that target at-risk families, focusing on child development, parenting skills, and access to essential resources. By addressing challenges early in a child's life, such interventions mitigate the negative impact of adverse experiences and set a positive trajectory for growth. Collaboration across various sectors, including schools, healthcare services, and community organizations, is another vital recommendation with the potential to yield substantial impacts. Bronfenbrenner's ecological systems theory underscores the interconnectedness of different systems in a child's life (1979). By fostering collaboration among these systems, a holistic approach to addressing inequalities can be achieved. Schools can provide educational support, healthcare services can ensure access to quality healthcare, and community organizations can offer resources and programs that strengthen families. This collaborative effort maximizes the impact of interventions by addressing a range of needs in an integrated manner. Continuous monitoring and evaluation of interventions represent a critical recommendation to ensure sustained effectiveness. Shonkoff et al. (2012) stress the importance of assessing the outcomes of interventions and adjusting strategies as needed. Rigorous evaluation processes provide insights into the efficacy of interventions, allowing stakeholders to refine their approaches based on empirical evidence. This </w:t>
      </w:r>
      <w:r w:rsidRPr="0051650B">
        <w:rPr>
          <w:rFonts w:ascii="Arial" w:hAnsi="Arial" w:cs="Arial"/>
        </w:rPr>
        <w:lastRenderedPageBreak/>
        <w:t>iterative process not only enhances the impact of interventions but also facilitates a deeper understanding of the unique needs and challenges faced by vulnerable children, young people, and families.</w:t>
      </w:r>
      <w:r w:rsidRPr="0051650B">
        <w:rPr>
          <w:rFonts w:ascii="Arial" w:eastAsia="Times New Roman" w:hAnsi="Arial" w:cs="Arial"/>
          <w:color w:val="D1D5DB"/>
          <w:kern w:val="0"/>
          <w14:ligatures w14:val="none"/>
        </w:rPr>
        <w:t xml:space="preserve"> </w:t>
      </w:r>
      <w:r w:rsidRPr="0051650B">
        <w:rPr>
          <w:rFonts w:ascii="Arial" w:hAnsi="Arial" w:cs="Arial"/>
        </w:rPr>
        <w:t>Implementing these recommendations has the potential to yield significant impacts on the lives of vulnerable children, young people, and families. Comprehensive early intervention programs can break the cycle of adversity, providing children with the support they need during their formative years. This, in turn, can lead to improved cognitive, emotional, and social development, reducing the likelihood of negative outcomes in adulthood (Heckman, 2006). Strengthening collaboration across various sectors can result in a more holistic and coordinated approach to addressing inequalities. This approach ensures that vulnerable individuals receive comprehensive support tailored to their unique circumstances. As schools, healthcare services, and community organizations work synergistically, the likelihood of positive outcomes for children and families increases substantially.</w:t>
      </w:r>
      <w:r w:rsidR="00D47B0A" w:rsidRPr="0051650B">
        <w:rPr>
          <w:rFonts w:ascii="Arial" w:hAnsi="Arial" w:cs="Arial"/>
        </w:rPr>
        <w:t xml:space="preserve"> </w:t>
      </w:r>
      <w:r w:rsidRPr="0051650B">
        <w:rPr>
          <w:rFonts w:ascii="Arial" w:hAnsi="Arial" w:cs="Arial"/>
        </w:rPr>
        <w:t>Continuous monitoring and evaluation further enhance the effectiveness of interventions. By systematically assessing outcomes, stakeholders can refine strategies, allocate resources more efficiently, and ensure that interventions remain responsive to evolving needs. This not only maximizes the positive impact on children and families but also promotes the efficient allocation of resources.</w:t>
      </w:r>
    </w:p>
    <w:p w14:paraId="104B0B26" w14:textId="77777777" w:rsidR="00CE01DC" w:rsidRPr="0051650B" w:rsidRDefault="00CE01DC" w:rsidP="0051650B">
      <w:pPr>
        <w:pStyle w:val="Heading1"/>
        <w:spacing w:line="360" w:lineRule="auto"/>
        <w:rPr>
          <w:rFonts w:ascii="Arial" w:hAnsi="Arial" w:cs="Arial"/>
          <w:sz w:val="22"/>
          <w:szCs w:val="22"/>
        </w:rPr>
      </w:pPr>
      <w:bookmarkStart w:id="2" w:name="_Toc142917841"/>
      <w:r w:rsidRPr="0051650B">
        <w:rPr>
          <w:rFonts w:ascii="Arial" w:hAnsi="Arial" w:cs="Arial"/>
          <w:sz w:val="22"/>
          <w:szCs w:val="22"/>
        </w:rPr>
        <w:t>Conclusion</w:t>
      </w:r>
      <w:bookmarkEnd w:id="2"/>
    </w:p>
    <w:p w14:paraId="29F77BE2" w14:textId="0AA54E9F" w:rsidR="00CE01DC" w:rsidRPr="0051650B" w:rsidRDefault="00621364" w:rsidP="0051650B">
      <w:pPr>
        <w:spacing w:line="360" w:lineRule="auto"/>
        <w:jc w:val="both"/>
        <w:rPr>
          <w:rFonts w:ascii="Arial" w:hAnsi="Arial" w:cs="Arial"/>
        </w:rPr>
      </w:pPr>
      <w:r w:rsidRPr="0051650B">
        <w:rPr>
          <w:rFonts w:ascii="Arial" w:hAnsi="Arial" w:cs="Arial"/>
        </w:rPr>
        <w:t>In tracing the evolution of childhood and its inseparable connection to family life, this essay underscores the profound impact of historical shifts, policy changes, and societal values on the experiences of children, young people, and families. From the exploitative practices of child labor to the recognition of children's rights through the UNCRC, the trajectory of childhood has been redirected towards protection, education, and well-being. This transformation has contributed to a reduction in inequalities, offering all children a chance for a safe and nurturing environment. The strategies of early intervention programs, home visiting services, and parenting support stand as powerful tools in addressing the needs of vulnerable populations and ensuring equitable access to opportunities. By embracing evidence-based interventions and collaborative efforts, society can amplify the positive impacts on child development and family dynamics. As we navigate the complex interplay of historical context, policy, and societal values, the collective commitment to supporting vulnerable children, young people, and families will undoubtedly shape a more inclusive and promising future for all.</w:t>
      </w:r>
    </w:p>
    <w:p w14:paraId="16586718" w14:textId="77777777" w:rsidR="00CE01DC" w:rsidRPr="0051650B" w:rsidRDefault="00CE01DC" w:rsidP="0051650B">
      <w:pPr>
        <w:spacing w:line="360" w:lineRule="auto"/>
        <w:jc w:val="both"/>
        <w:rPr>
          <w:rFonts w:ascii="Arial" w:hAnsi="Arial" w:cs="Arial"/>
        </w:rPr>
      </w:pPr>
    </w:p>
    <w:p w14:paraId="5877BCF6" w14:textId="77777777" w:rsidR="00CE01DC" w:rsidRPr="0051650B" w:rsidRDefault="00CE01DC" w:rsidP="0051650B">
      <w:pPr>
        <w:spacing w:line="360" w:lineRule="auto"/>
        <w:jc w:val="both"/>
        <w:rPr>
          <w:rFonts w:ascii="Arial" w:hAnsi="Arial" w:cs="Arial"/>
        </w:rPr>
      </w:pPr>
      <w:r w:rsidRPr="0051650B">
        <w:rPr>
          <w:rFonts w:ascii="Arial" w:hAnsi="Arial" w:cs="Arial"/>
        </w:rPr>
        <w:br w:type="page"/>
      </w:r>
    </w:p>
    <w:p w14:paraId="049920E2" w14:textId="77777777" w:rsidR="009F2CE9" w:rsidRPr="0051650B" w:rsidRDefault="00CE01DC" w:rsidP="0051650B">
      <w:pPr>
        <w:pStyle w:val="Heading1"/>
        <w:spacing w:line="360" w:lineRule="auto"/>
        <w:rPr>
          <w:rFonts w:ascii="Arial" w:hAnsi="Arial" w:cs="Arial"/>
          <w:sz w:val="22"/>
          <w:szCs w:val="22"/>
        </w:rPr>
      </w:pPr>
      <w:bookmarkStart w:id="3" w:name="_Toc142917842"/>
      <w:r w:rsidRPr="0051650B">
        <w:rPr>
          <w:rFonts w:ascii="Arial" w:hAnsi="Arial" w:cs="Arial"/>
          <w:sz w:val="22"/>
          <w:szCs w:val="22"/>
        </w:rPr>
        <w:lastRenderedPageBreak/>
        <w:t>References</w:t>
      </w:r>
      <w:bookmarkEnd w:id="3"/>
    </w:p>
    <w:p w14:paraId="590F8F54" w14:textId="14215160" w:rsidR="00AA6B40" w:rsidRPr="0051650B" w:rsidRDefault="00AA6B40" w:rsidP="0051650B">
      <w:pPr>
        <w:spacing w:line="360" w:lineRule="auto"/>
        <w:jc w:val="both"/>
        <w:rPr>
          <w:rFonts w:ascii="Arial" w:hAnsi="Arial" w:cs="Arial"/>
        </w:rPr>
      </w:pPr>
      <w:r w:rsidRPr="0051650B">
        <w:rPr>
          <w:rFonts w:ascii="Arial" w:hAnsi="Arial" w:cs="Arial"/>
        </w:rPr>
        <w:t xml:space="preserve">Aries, P. (1962). </w:t>
      </w:r>
      <w:r w:rsidRPr="0051650B">
        <w:rPr>
          <w:rFonts w:ascii="Arial" w:hAnsi="Arial" w:cs="Arial"/>
          <w:i/>
          <w:iCs/>
        </w:rPr>
        <w:t>Centuries of Childhood: A Social History of Family Life.</w:t>
      </w:r>
      <w:r w:rsidRPr="0051650B">
        <w:rPr>
          <w:rFonts w:ascii="Arial" w:hAnsi="Arial" w:cs="Arial"/>
        </w:rPr>
        <w:t xml:space="preserve"> Vintage.</w:t>
      </w:r>
    </w:p>
    <w:p w14:paraId="44FA7FD4" w14:textId="77777777" w:rsidR="00AA6B40" w:rsidRPr="0051650B" w:rsidRDefault="00AA6B40" w:rsidP="0051650B">
      <w:pPr>
        <w:spacing w:line="360" w:lineRule="auto"/>
        <w:jc w:val="both"/>
        <w:rPr>
          <w:rFonts w:ascii="Arial" w:hAnsi="Arial" w:cs="Arial"/>
        </w:rPr>
      </w:pPr>
      <w:r w:rsidRPr="0051650B">
        <w:rPr>
          <w:rFonts w:ascii="Arial" w:hAnsi="Arial" w:cs="Arial"/>
        </w:rPr>
        <w:t xml:space="preserve">Bronfenbrenner, U. (1979). </w:t>
      </w:r>
      <w:r w:rsidRPr="0051650B">
        <w:rPr>
          <w:rFonts w:ascii="Arial" w:hAnsi="Arial" w:cs="Arial"/>
          <w:i/>
          <w:iCs/>
        </w:rPr>
        <w:t>The ecology of human development: Experiments by nature and design</w:t>
      </w:r>
      <w:r w:rsidRPr="0051650B">
        <w:rPr>
          <w:rFonts w:ascii="Arial" w:hAnsi="Arial" w:cs="Arial"/>
        </w:rPr>
        <w:t>. Harvard University Press.</w:t>
      </w:r>
    </w:p>
    <w:p w14:paraId="7230ECC6" w14:textId="77777777" w:rsidR="00AA6B40" w:rsidRPr="0051650B" w:rsidRDefault="00AA6B40" w:rsidP="0051650B">
      <w:pPr>
        <w:spacing w:line="360" w:lineRule="auto"/>
        <w:jc w:val="both"/>
        <w:rPr>
          <w:rFonts w:ascii="Arial" w:hAnsi="Arial" w:cs="Arial"/>
        </w:rPr>
      </w:pPr>
      <w:r w:rsidRPr="0051650B">
        <w:rPr>
          <w:rFonts w:ascii="Arial" w:hAnsi="Arial" w:cs="Arial"/>
        </w:rPr>
        <w:t xml:space="preserve">Corsaro, W. A. (2017). </w:t>
      </w:r>
      <w:r w:rsidRPr="0051650B">
        <w:rPr>
          <w:rFonts w:ascii="Arial" w:hAnsi="Arial" w:cs="Arial"/>
          <w:i/>
          <w:iCs/>
        </w:rPr>
        <w:t xml:space="preserve">The Sociology of Childhood (4th ed.). </w:t>
      </w:r>
      <w:r w:rsidRPr="0051650B">
        <w:rPr>
          <w:rFonts w:ascii="Arial" w:hAnsi="Arial" w:cs="Arial"/>
        </w:rPr>
        <w:t>SAGE Publications.</w:t>
      </w:r>
    </w:p>
    <w:p w14:paraId="59F8516D" w14:textId="77777777" w:rsidR="00AA6B40" w:rsidRPr="0051650B" w:rsidRDefault="00AA6B40" w:rsidP="0051650B">
      <w:pPr>
        <w:spacing w:line="360" w:lineRule="auto"/>
        <w:jc w:val="both"/>
        <w:rPr>
          <w:rFonts w:ascii="Arial" w:hAnsi="Arial" w:cs="Arial"/>
        </w:rPr>
      </w:pPr>
      <w:r w:rsidRPr="0051650B">
        <w:rPr>
          <w:rFonts w:ascii="Arial" w:hAnsi="Arial" w:cs="Arial"/>
        </w:rPr>
        <w:t xml:space="preserve">Cunningham, H. (1991). </w:t>
      </w:r>
      <w:r w:rsidRPr="0051650B">
        <w:rPr>
          <w:rFonts w:ascii="Arial" w:hAnsi="Arial" w:cs="Arial"/>
          <w:i/>
          <w:iCs/>
        </w:rPr>
        <w:t>Children and Childhood in Western Society Since 1500 (2nd ed.).</w:t>
      </w:r>
      <w:r w:rsidRPr="0051650B">
        <w:rPr>
          <w:rFonts w:ascii="Arial" w:hAnsi="Arial" w:cs="Arial"/>
        </w:rPr>
        <w:t xml:space="preserve"> Longman.</w:t>
      </w:r>
    </w:p>
    <w:p w14:paraId="0DCD41AE" w14:textId="77777777" w:rsidR="00B30A00" w:rsidRPr="0051650B" w:rsidRDefault="00B30A00" w:rsidP="0051650B">
      <w:pPr>
        <w:spacing w:line="360" w:lineRule="auto"/>
        <w:jc w:val="both"/>
        <w:rPr>
          <w:rFonts w:ascii="Arial" w:hAnsi="Arial" w:cs="Arial"/>
        </w:rPr>
      </w:pPr>
      <w:r w:rsidRPr="0051650B">
        <w:rPr>
          <w:rFonts w:ascii="Arial" w:hAnsi="Arial" w:cs="Arial"/>
        </w:rPr>
        <w:t>Damon, W. and Hart, D., 1991. </w:t>
      </w:r>
      <w:r w:rsidRPr="0051650B">
        <w:rPr>
          <w:rFonts w:ascii="Arial" w:hAnsi="Arial" w:cs="Arial"/>
          <w:i/>
          <w:iCs/>
        </w:rPr>
        <w:t>Self-understanding in childhood and adolescence</w:t>
      </w:r>
      <w:r w:rsidRPr="0051650B">
        <w:rPr>
          <w:rFonts w:ascii="Arial" w:hAnsi="Arial" w:cs="Arial"/>
        </w:rPr>
        <w:t> (No. 7). CUP Archive.</w:t>
      </w:r>
    </w:p>
    <w:p w14:paraId="2658B936" w14:textId="350CF8B1" w:rsidR="00AA6B40" w:rsidRPr="0051650B" w:rsidRDefault="00AA6B40" w:rsidP="0051650B">
      <w:pPr>
        <w:spacing w:line="360" w:lineRule="auto"/>
        <w:jc w:val="both"/>
        <w:rPr>
          <w:rFonts w:ascii="Arial" w:hAnsi="Arial" w:cs="Arial"/>
        </w:rPr>
      </w:pPr>
      <w:r w:rsidRPr="0051650B">
        <w:rPr>
          <w:rFonts w:ascii="Arial" w:hAnsi="Arial" w:cs="Arial"/>
        </w:rPr>
        <w:t xml:space="preserve">Doyle, O., Fitzpatrick, N., Lovett, J., </w:t>
      </w:r>
      <w:r w:rsidR="00993DDD" w:rsidRPr="0051650B">
        <w:rPr>
          <w:rFonts w:ascii="Arial" w:hAnsi="Arial" w:cs="Arial"/>
        </w:rPr>
        <w:t>and</w:t>
      </w:r>
      <w:r w:rsidRPr="0051650B">
        <w:rPr>
          <w:rFonts w:ascii="Arial" w:hAnsi="Arial" w:cs="Arial"/>
        </w:rPr>
        <w:t xml:space="preserve"> Connolly, S. (2018). What works in early years education? A meta-analysis of preschool programs. </w:t>
      </w:r>
      <w:r w:rsidRPr="0051650B">
        <w:rPr>
          <w:rFonts w:ascii="Arial" w:hAnsi="Arial" w:cs="Arial"/>
          <w:i/>
          <w:iCs/>
        </w:rPr>
        <w:t>European Early Childhood Education Research Journal, 26(2),</w:t>
      </w:r>
      <w:r w:rsidRPr="0051650B">
        <w:rPr>
          <w:rFonts w:ascii="Arial" w:hAnsi="Arial" w:cs="Arial"/>
        </w:rPr>
        <w:t xml:space="preserve"> </w:t>
      </w:r>
      <w:r w:rsidR="00993DDD" w:rsidRPr="0051650B">
        <w:rPr>
          <w:rFonts w:ascii="Arial" w:hAnsi="Arial" w:cs="Arial"/>
        </w:rPr>
        <w:t>pp.</w:t>
      </w:r>
      <w:r w:rsidRPr="0051650B">
        <w:rPr>
          <w:rFonts w:ascii="Arial" w:hAnsi="Arial" w:cs="Arial"/>
        </w:rPr>
        <w:t>182-205.</w:t>
      </w:r>
    </w:p>
    <w:p w14:paraId="5790F488" w14:textId="77777777" w:rsidR="00D47B0A" w:rsidRPr="0051650B" w:rsidRDefault="00D47B0A" w:rsidP="0051650B">
      <w:pPr>
        <w:spacing w:line="360" w:lineRule="auto"/>
        <w:jc w:val="both"/>
        <w:rPr>
          <w:rFonts w:ascii="Arial" w:hAnsi="Arial" w:cs="Arial"/>
        </w:rPr>
      </w:pPr>
      <w:r w:rsidRPr="0051650B">
        <w:rPr>
          <w:rFonts w:ascii="Arial" w:hAnsi="Arial" w:cs="Arial"/>
        </w:rPr>
        <w:t>Güven, D.Ç., 2019. Reviewing the Concepts of “the Modern Child” and “Small Adult”—A Plea for “Third World Small Adults’ Literature” as an Alternative to “Children’s Literature”. </w:t>
      </w:r>
      <w:r w:rsidRPr="0051650B">
        <w:rPr>
          <w:rFonts w:ascii="Arial" w:hAnsi="Arial" w:cs="Arial"/>
          <w:i/>
          <w:iCs/>
        </w:rPr>
        <w:t>İnsan ve Toplum Bilimleri Araştırmaları Dergisi</w:t>
      </w:r>
      <w:r w:rsidRPr="0051650B">
        <w:rPr>
          <w:rFonts w:ascii="Arial" w:hAnsi="Arial" w:cs="Arial"/>
        </w:rPr>
        <w:t>, </w:t>
      </w:r>
      <w:r w:rsidRPr="0051650B">
        <w:rPr>
          <w:rFonts w:ascii="Arial" w:hAnsi="Arial" w:cs="Arial"/>
          <w:i/>
          <w:iCs/>
        </w:rPr>
        <w:t>8</w:t>
      </w:r>
      <w:r w:rsidRPr="0051650B">
        <w:rPr>
          <w:rFonts w:ascii="Arial" w:hAnsi="Arial" w:cs="Arial"/>
        </w:rPr>
        <w:t>(2), pp.897-915.</w:t>
      </w:r>
    </w:p>
    <w:p w14:paraId="34C614B3" w14:textId="0C1EF515" w:rsidR="00AA6B40" w:rsidRPr="0051650B" w:rsidRDefault="00AA6B40" w:rsidP="0051650B">
      <w:pPr>
        <w:spacing w:line="360" w:lineRule="auto"/>
        <w:jc w:val="both"/>
        <w:rPr>
          <w:rFonts w:ascii="Arial" w:hAnsi="Arial" w:cs="Arial"/>
        </w:rPr>
      </w:pPr>
      <w:r w:rsidRPr="0051650B">
        <w:rPr>
          <w:rFonts w:ascii="Arial" w:hAnsi="Arial" w:cs="Arial"/>
        </w:rPr>
        <w:t xml:space="preserve">Heckman, J. J. (2006). Skill formation and the economics of investing in disadvantaged children. </w:t>
      </w:r>
      <w:r w:rsidRPr="0051650B">
        <w:rPr>
          <w:rFonts w:ascii="Arial" w:hAnsi="Arial" w:cs="Arial"/>
          <w:i/>
          <w:iCs/>
        </w:rPr>
        <w:t>Science, 312(5782),</w:t>
      </w:r>
      <w:r w:rsidRPr="0051650B">
        <w:rPr>
          <w:rFonts w:ascii="Arial" w:hAnsi="Arial" w:cs="Arial"/>
        </w:rPr>
        <w:t xml:space="preserve"> </w:t>
      </w:r>
      <w:r w:rsidR="00993DDD" w:rsidRPr="0051650B">
        <w:rPr>
          <w:rFonts w:ascii="Arial" w:hAnsi="Arial" w:cs="Arial"/>
        </w:rPr>
        <w:t>pp.</w:t>
      </w:r>
      <w:r w:rsidRPr="0051650B">
        <w:rPr>
          <w:rFonts w:ascii="Arial" w:hAnsi="Arial" w:cs="Arial"/>
        </w:rPr>
        <w:t>1900-1902.</w:t>
      </w:r>
    </w:p>
    <w:p w14:paraId="751F3668" w14:textId="77777777" w:rsidR="00621364" w:rsidRPr="0051650B" w:rsidRDefault="00621364" w:rsidP="0051650B">
      <w:pPr>
        <w:spacing w:line="360" w:lineRule="auto"/>
        <w:jc w:val="both"/>
        <w:rPr>
          <w:rFonts w:ascii="Arial" w:hAnsi="Arial" w:cs="Arial"/>
        </w:rPr>
      </w:pPr>
      <w:r w:rsidRPr="0051650B">
        <w:rPr>
          <w:rFonts w:ascii="Arial" w:hAnsi="Arial" w:cs="Arial"/>
        </w:rPr>
        <w:t>Horan, P.M. and Hargis, P.G., 1991. Children's work and schooling in the late nineteenth-century family economy. </w:t>
      </w:r>
      <w:r w:rsidRPr="0051650B">
        <w:rPr>
          <w:rFonts w:ascii="Arial" w:hAnsi="Arial" w:cs="Arial"/>
          <w:i/>
          <w:iCs/>
        </w:rPr>
        <w:t>American Sociological Review</w:t>
      </w:r>
      <w:r w:rsidRPr="0051650B">
        <w:rPr>
          <w:rFonts w:ascii="Arial" w:hAnsi="Arial" w:cs="Arial"/>
        </w:rPr>
        <w:t xml:space="preserve">, pp.583-596. </w:t>
      </w:r>
    </w:p>
    <w:p w14:paraId="72E817A6" w14:textId="183645C4" w:rsidR="00AA6B40" w:rsidRPr="0051650B" w:rsidRDefault="00AA6B40" w:rsidP="0051650B">
      <w:pPr>
        <w:spacing w:line="360" w:lineRule="auto"/>
        <w:jc w:val="both"/>
        <w:rPr>
          <w:rFonts w:ascii="Arial" w:hAnsi="Arial" w:cs="Arial"/>
        </w:rPr>
      </w:pPr>
      <w:r w:rsidRPr="0051650B">
        <w:rPr>
          <w:rFonts w:ascii="Arial" w:hAnsi="Arial" w:cs="Arial"/>
        </w:rPr>
        <w:t xml:space="preserve">Humphries, J. (2010). </w:t>
      </w:r>
      <w:r w:rsidRPr="0051650B">
        <w:rPr>
          <w:rFonts w:ascii="Arial" w:hAnsi="Arial" w:cs="Arial"/>
          <w:i/>
          <w:iCs/>
        </w:rPr>
        <w:t>Childhood and child labour in the British Industrial Revolution</w:t>
      </w:r>
      <w:r w:rsidRPr="0051650B">
        <w:rPr>
          <w:rFonts w:ascii="Arial" w:hAnsi="Arial" w:cs="Arial"/>
        </w:rPr>
        <w:t>. Cambridge University Press.</w:t>
      </w:r>
    </w:p>
    <w:p w14:paraId="0EE86A5E" w14:textId="77777777" w:rsidR="00AA6B40" w:rsidRPr="0051650B" w:rsidRDefault="00AA6B40" w:rsidP="0051650B">
      <w:pPr>
        <w:spacing w:line="360" w:lineRule="auto"/>
        <w:jc w:val="both"/>
        <w:rPr>
          <w:rFonts w:ascii="Arial" w:hAnsi="Arial" w:cs="Arial"/>
        </w:rPr>
      </w:pPr>
      <w:r w:rsidRPr="0051650B">
        <w:rPr>
          <w:rFonts w:ascii="Arial" w:hAnsi="Arial" w:cs="Arial"/>
        </w:rPr>
        <w:t xml:space="preserve">Lansdown, G. (2005). </w:t>
      </w:r>
      <w:r w:rsidRPr="0051650B">
        <w:rPr>
          <w:rFonts w:ascii="Arial" w:hAnsi="Arial" w:cs="Arial"/>
          <w:i/>
          <w:iCs/>
        </w:rPr>
        <w:t>The evolving capacities of the child.</w:t>
      </w:r>
      <w:r w:rsidRPr="0051650B">
        <w:rPr>
          <w:rFonts w:ascii="Arial" w:hAnsi="Arial" w:cs="Arial"/>
        </w:rPr>
        <w:t xml:space="preserve"> The Hague: Martinus Nijhoff Publishers.</w:t>
      </w:r>
    </w:p>
    <w:p w14:paraId="3480A83C" w14:textId="77777777" w:rsidR="00B30A00" w:rsidRPr="0051650B" w:rsidRDefault="00B30A00" w:rsidP="0051650B">
      <w:pPr>
        <w:spacing w:line="360" w:lineRule="auto"/>
        <w:jc w:val="both"/>
        <w:rPr>
          <w:rFonts w:ascii="Arial" w:hAnsi="Arial" w:cs="Arial"/>
        </w:rPr>
      </w:pPr>
      <w:r w:rsidRPr="0051650B">
        <w:rPr>
          <w:rFonts w:ascii="Arial" w:hAnsi="Arial" w:cs="Arial"/>
        </w:rPr>
        <w:t>Lent, R.W., Brown, S.D. and Hackett, G., 1994. Toward a unifying social cognitive theory of career and academic interest, choice, and performance. </w:t>
      </w:r>
      <w:r w:rsidRPr="0051650B">
        <w:rPr>
          <w:rFonts w:ascii="Arial" w:hAnsi="Arial" w:cs="Arial"/>
          <w:i/>
          <w:iCs/>
        </w:rPr>
        <w:t>Journal of vocational behavior</w:t>
      </w:r>
      <w:r w:rsidRPr="0051650B">
        <w:rPr>
          <w:rFonts w:ascii="Arial" w:hAnsi="Arial" w:cs="Arial"/>
        </w:rPr>
        <w:t>, </w:t>
      </w:r>
      <w:r w:rsidRPr="0051650B">
        <w:rPr>
          <w:rFonts w:ascii="Arial" w:hAnsi="Arial" w:cs="Arial"/>
          <w:i/>
          <w:iCs/>
        </w:rPr>
        <w:t>45</w:t>
      </w:r>
      <w:r w:rsidRPr="0051650B">
        <w:rPr>
          <w:rFonts w:ascii="Arial" w:hAnsi="Arial" w:cs="Arial"/>
        </w:rPr>
        <w:t>(1), pp.79-122.</w:t>
      </w:r>
    </w:p>
    <w:p w14:paraId="77436683" w14:textId="77777777" w:rsidR="00AE191D" w:rsidRPr="0051650B" w:rsidRDefault="00AE191D" w:rsidP="0051650B">
      <w:pPr>
        <w:spacing w:line="360" w:lineRule="auto"/>
        <w:jc w:val="both"/>
        <w:rPr>
          <w:rFonts w:ascii="Arial" w:hAnsi="Arial" w:cs="Arial"/>
        </w:rPr>
      </w:pPr>
      <w:r w:rsidRPr="0051650B">
        <w:rPr>
          <w:rFonts w:ascii="Arial" w:hAnsi="Arial" w:cs="Arial"/>
        </w:rPr>
        <w:t>Maconachie, R. and Hilson, G., 2016. Re-thinking the child labor “problem” in rural sub-Saharan Africa: the case of Sierra Leone’s half shovels. </w:t>
      </w:r>
      <w:r w:rsidRPr="0051650B">
        <w:rPr>
          <w:rFonts w:ascii="Arial" w:hAnsi="Arial" w:cs="Arial"/>
          <w:i/>
          <w:iCs/>
        </w:rPr>
        <w:t>World development</w:t>
      </w:r>
      <w:r w:rsidRPr="0051650B">
        <w:rPr>
          <w:rFonts w:ascii="Arial" w:hAnsi="Arial" w:cs="Arial"/>
        </w:rPr>
        <w:t>, </w:t>
      </w:r>
      <w:r w:rsidRPr="0051650B">
        <w:rPr>
          <w:rFonts w:ascii="Arial" w:hAnsi="Arial" w:cs="Arial"/>
          <w:i/>
          <w:iCs/>
        </w:rPr>
        <w:t>78</w:t>
      </w:r>
      <w:r w:rsidRPr="0051650B">
        <w:rPr>
          <w:rFonts w:ascii="Arial" w:hAnsi="Arial" w:cs="Arial"/>
        </w:rPr>
        <w:t>, pp.136-147.</w:t>
      </w:r>
    </w:p>
    <w:p w14:paraId="700034A0" w14:textId="62B28FCC" w:rsidR="00B30A00" w:rsidRPr="0051650B" w:rsidRDefault="00B30A00" w:rsidP="0051650B">
      <w:pPr>
        <w:spacing w:line="360" w:lineRule="auto"/>
        <w:jc w:val="both"/>
        <w:rPr>
          <w:rFonts w:ascii="Arial" w:hAnsi="Arial" w:cs="Arial"/>
        </w:rPr>
      </w:pPr>
      <w:r w:rsidRPr="0051650B">
        <w:rPr>
          <w:rFonts w:ascii="Arial" w:hAnsi="Arial" w:cs="Arial"/>
        </w:rPr>
        <w:lastRenderedPageBreak/>
        <w:t>Medrich, E.A., 1982. </w:t>
      </w:r>
      <w:r w:rsidRPr="0051650B">
        <w:rPr>
          <w:rFonts w:ascii="Arial" w:hAnsi="Arial" w:cs="Arial"/>
          <w:i/>
          <w:iCs/>
        </w:rPr>
        <w:t>The serious business of growing up: A study of children's lives outside school</w:t>
      </w:r>
      <w:r w:rsidRPr="0051650B">
        <w:rPr>
          <w:rFonts w:ascii="Arial" w:hAnsi="Arial" w:cs="Arial"/>
        </w:rPr>
        <w:t>. Univ of California Press.</w:t>
      </w:r>
    </w:p>
    <w:p w14:paraId="24268151" w14:textId="16C072C9" w:rsidR="00B30A00" w:rsidRPr="0051650B" w:rsidRDefault="00B30A00" w:rsidP="0051650B">
      <w:pPr>
        <w:spacing w:line="360" w:lineRule="auto"/>
        <w:jc w:val="both"/>
        <w:rPr>
          <w:rFonts w:ascii="Arial" w:hAnsi="Arial" w:cs="Arial"/>
        </w:rPr>
      </w:pPr>
      <w:r w:rsidRPr="0051650B">
        <w:rPr>
          <w:rFonts w:ascii="Arial" w:hAnsi="Arial" w:cs="Arial"/>
        </w:rPr>
        <w:t>Menaghan, E.G. and Parcel, T.L., 1991. Determining children's home environments: The impact of maternal characteristics and current occupational and family conditions. </w:t>
      </w:r>
      <w:r w:rsidRPr="0051650B">
        <w:rPr>
          <w:rFonts w:ascii="Arial" w:hAnsi="Arial" w:cs="Arial"/>
          <w:i/>
          <w:iCs/>
        </w:rPr>
        <w:t>Journal of Marriage and the Family</w:t>
      </w:r>
      <w:r w:rsidRPr="0051650B">
        <w:rPr>
          <w:rFonts w:ascii="Arial" w:hAnsi="Arial" w:cs="Arial"/>
        </w:rPr>
        <w:t>, pp.417-431.</w:t>
      </w:r>
    </w:p>
    <w:p w14:paraId="05455EF6" w14:textId="77777777" w:rsidR="00AA6B40" w:rsidRPr="0051650B" w:rsidRDefault="00AA6B40" w:rsidP="0051650B">
      <w:pPr>
        <w:spacing w:line="360" w:lineRule="auto"/>
        <w:jc w:val="both"/>
        <w:rPr>
          <w:rFonts w:ascii="Arial" w:hAnsi="Arial" w:cs="Arial"/>
        </w:rPr>
      </w:pPr>
      <w:r w:rsidRPr="0051650B">
        <w:rPr>
          <w:rFonts w:ascii="Arial" w:hAnsi="Arial" w:cs="Arial"/>
        </w:rPr>
        <w:t>Mintz, S. (2010). Huck’s raft: A history of American childhood. Harvard University Press.</w:t>
      </w:r>
    </w:p>
    <w:p w14:paraId="718C1A06" w14:textId="0DF37094" w:rsidR="00AE191D" w:rsidRPr="0051650B" w:rsidRDefault="00AE191D" w:rsidP="0051650B">
      <w:pPr>
        <w:spacing w:line="360" w:lineRule="auto"/>
        <w:jc w:val="both"/>
        <w:rPr>
          <w:rFonts w:ascii="Arial" w:hAnsi="Arial" w:cs="Arial"/>
        </w:rPr>
      </w:pPr>
      <w:r w:rsidRPr="0051650B">
        <w:rPr>
          <w:rFonts w:ascii="Arial" w:hAnsi="Arial" w:cs="Arial"/>
        </w:rPr>
        <w:t>Moran, P. and Ghate, D., 2005. The effectiveness of parenting support. </w:t>
      </w:r>
      <w:r w:rsidRPr="0051650B">
        <w:rPr>
          <w:rFonts w:ascii="Arial" w:hAnsi="Arial" w:cs="Arial"/>
          <w:i/>
          <w:iCs/>
        </w:rPr>
        <w:t xml:space="preserve">Children </w:t>
      </w:r>
      <w:r w:rsidR="00993DDD" w:rsidRPr="0051650B">
        <w:rPr>
          <w:rFonts w:ascii="Arial" w:hAnsi="Arial" w:cs="Arial"/>
          <w:i/>
          <w:iCs/>
        </w:rPr>
        <w:t>and</w:t>
      </w:r>
      <w:r w:rsidRPr="0051650B">
        <w:rPr>
          <w:rFonts w:ascii="Arial" w:hAnsi="Arial" w:cs="Arial"/>
          <w:i/>
          <w:iCs/>
        </w:rPr>
        <w:t xml:space="preserve"> Society</w:t>
      </w:r>
      <w:r w:rsidRPr="0051650B">
        <w:rPr>
          <w:rFonts w:ascii="Arial" w:hAnsi="Arial" w:cs="Arial"/>
        </w:rPr>
        <w:t>, </w:t>
      </w:r>
      <w:r w:rsidRPr="0051650B">
        <w:rPr>
          <w:rFonts w:ascii="Arial" w:hAnsi="Arial" w:cs="Arial"/>
          <w:i/>
          <w:iCs/>
        </w:rPr>
        <w:t>19</w:t>
      </w:r>
      <w:r w:rsidRPr="0051650B">
        <w:rPr>
          <w:rFonts w:ascii="Arial" w:hAnsi="Arial" w:cs="Arial"/>
        </w:rPr>
        <w:t xml:space="preserve">(4), pp.329-336. </w:t>
      </w:r>
    </w:p>
    <w:p w14:paraId="5158A96E" w14:textId="31149F40" w:rsidR="00AA6B40" w:rsidRPr="0051650B" w:rsidRDefault="00AA6B40" w:rsidP="0051650B">
      <w:pPr>
        <w:spacing w:line="360" w:lineRule="auto"/>
        <w:jc w:val="both"/>
        <w:rPr>
          <w:rFonts w:ascii="Arial" w:hAnsi="Arial" w:cs="Arial"/>
        </w:rPr>
      </w:pPr>
      <w:r w:rsidRPr="0051650B">
        <w:rPr>
          <w:rFonts w:ascii="Arial" w:hAnsi="Arial" w:cs="Arial"/>
        </w:rPr>
        <w:t xml:space="preserve">Ní Laoire, C., Carpena-Méndez, F., Tyrrell, N., </w:t>
      </w:r>
      <w:r w:rsidR="00993DDD" w:rsidRPr="0051650B">
        <w:rPr>
          <w:rFonts w:ascii="Arial" w:hAnsi="Arial" w:cs="Arial"/>
        </w:rPr>
        <w:t>and</w:t>
      </w:r>
      <w:r w:rsidRPr="0051650B">
        <w:rPr>
          <w:rFonts w:ascii="Arial" w:hAnsi="Arial" w:cs="Arial"/>
        </w:rPr>
        <w:t xml:space="preserve"> White, A. (2016). "No one likes to live in hardship": Children's and young people's experiences of poverty and homelessness in Ireland. </w:t>
      </w:r>
      <w:r w:rsidRPr="0051650B">
        <w:rPr>
          <w:rFonts w:ascii="Arial" w:hAnsi="Arial" w:cs="Arial"/>
          <w:i/>
          <w:iCs/>
        </w:rPr>
        <w:t>Child Indicators Research, 9(2)</w:t>
      </w:r>
      <w:r w:rsidRPr="0051650B">
        <w:rPr>
          <w:rFonts w:ascii="Arial" w:hAnsi="Arial" w:cs="Arial"/>
        </w:rPr>
        <w:t xml:space="preserve">, </w:t>
      </w:r>
      <w:r w:rsidR="00993DDD" w:rsidRPr="0051650B">
        <w:rPr>
          <w:rFonts w:ascii="Arial" w:hAnsi="Arial" w:cs="Arial"/>
        </w:rPr>
        <w:t>pp.</w:t>
      </w:r>
      <w:r w:rsidRPr="0051650B">
        <w:rPr>
          <w:rFonts w:ascii="Arial" w:hAnsi="Arial" w:cs="Arial"/>
        </w:rPr>
        <w:t>459-472.</w:t>
      </w:r>
    </w:p>
    <w:p w14:paraId="3B658A0A" w14:textId="5E408026" w:rsidR="00AA6B40" w:rsidRPr="0051650B" w:rsidRDefault="00AA6B40" w:rsidP="0051650B">
      <w:pPr>
        <w:spacing w:line="360" w:lineRule="auto"/>
        <w:jc w:val="both"/>
        <w:rPr>
          <w:rFonts w:ascii="Arial" w:hAnsi="Arial" w:cs="Arial"/>
        </w:rPr>
      </w:pPr>
      <w:r w:rsidRPr="0051650B">
        <w:rPr>
          <w:rFonts w:ascii="Arial" w:hAnsi="Arial" w:cs="Arial"/>
        </w:rPr>
        <w:t xml:space="preserve">Olds, D. L., Kitzman, H., Hanks, C., Cole, R., Anson, E., Sidora-Arcoleo, K., ... </w:t>
      </w:r>
      <w:r w:rsidR="00993DDD" w:rsidRPr="0051650B">
        <w:rPr>
          <w:rFonts w:ascii="Arial" w:hAnsi="Arial" w:cs="Arial"/>
        </w:rPr>
        <w:t>and</w:t>
      </w:r>
      <w:r w:rsidRPr="0051650B">
        <w:rPr>
          <w:rFonts w:ascii="Arial" w:hAnsi="Arial" w:cs="Arial"/>
        </w:rPr>
        <w:t xml:space="preserve"> Bondy, J. (2010). Effects of nurse home visiting on maternal and child functioning: Age-9 follow-up of a randomized trial. </w:t>
      </w:r>
      <w:r w:rsidRPr="0051650B">
        <w:rPr>
          <w:rFonts w:ascii="Arial" w:hAnsi="Arial" w:cs="Arial"/>
          <w:i/>
          <w:iCs/>
        </w:rPr>
        <w:t xml:space="preserve">Pediatrics, 125(2), </w:t>
      </w:r>
      <w:r w:rsidRPr="0051650B">
        <w:rPr>
          <w:rFonts w:ascii="Arial" w:hAnsi="Arial" w:cs="Arial"/>
        </w:rPr>
        <w:t>e17-e23.</w:t>
      </w:r>
    </w:p>
    <w:p w14:paraId="416D7986" w14:textId="6813D197" w:rsidR="00AA6B40" w:rsidRPr="0051650B" w:rsidRDefault="00AA6B40" w:rsidP="0051650B">
      <w:pPr>
        <w:spacing w:line="360" w:lineRule="auto"/>
        <w:jc w:val="both"/>
        <w:rPr>
          <w:rFonts w:ascii="Arial" w:hAnsi="Arial" w:cs="Arial"/>
        </w:rPr>
      </w:pPr>
      <w:r w:rsidRPr="0051650B">
        <w:rPr>
          <w:rFonts w:ascii="Arial" w:hAnsi="Arial" w:cs="Arial"/>
        </w:rPr>
        <w:t xml:space="preserve">Shonkoff, J. P., Garner, A. S., Siegel, B. S., Dobbins, M. I., Earls, M. F., McGuinn, L., ... </w:t>
      </w:r>
      <w:r w:rsidR="00993DDD" w:rsidRPr="0051650B">
        <w:rPr>
          <w:rFonts w:ascii="Arial" w:hAnsi="Arial" w:cs="Arial"/>
        </w:rPr>
        <w:t>and</w:t>
      </w:r>
      <w:r w:rsidRPr="0051650B">
        <w:rPr>
          <w:rFonts w:ascii="Arial" w:hAnsi="Arial" w:cs="Arial"/>
        </w:rPr>
        <w:t xml:space="preserve"> Wood, D. L. (2012). The lifelong effects of early childhood adversity and toxic stress. </w:t>
      </w:r>
      <w:r w:rsidRPr="0051650B">
        <w:rPr>
          <w:rFonts w:ascii="Arial" w:hAnsi="Arial" w:cs="Arial"/>
          <w:i/>
          <w:iCs/>
        </w:rPr>
        <w:t>Pediatrics, 129(1),</w:t>
      </w:r>
      <w:r w:rsidRPr="0051650B">
        <w:rPr>
          <w:rFonts w:ascii="Arial" w:hAnsi="Arial" w:cs="Arial"/>
        </w:rPr>
        <w:t xml:space="preserve"> </w:t>
      </w:r>
      <w:r w:rsidR="00993DDD" w:rsidRPr="0051650B">
        <w:rPr>
          <w:rFonts w:ascii="Arial" w:hAnsi="Arial" w:cs="Arial"/>
        </w:rPr>
        <w:t>pp.</w:t>
      </w:r>
      <w:r w:rsidRPr="0051650B">
        <w:rPr>
          <w:rFonts w:ascii="Arial" w:hAnsi="Arial" w:cs="Arial"/>
        </w:rPr>
        <w:t>e232-e246.</w:t>
      </w:r>
    </w:p>
    <w:p w14:paraId="1FDBE5FE" w14:textId="77777777" w:rsidR="00AA6B40" w:rsidRPr="0051650B" w:rsidRDefault="00AA6B40" w:rsidP="0051650B">
      <w:pPr>
        <w:spacing w:line="360" w:lineRule="auto"/>
        <w:jc w:val="both"/>
        <w:rPr>
          <w:rFonts w:ascii="Arial" w:hAnsi="Arial" w:cs="Arial"/>
        </w:rPr>
      </w:pPr>
      <w:r w:rsidRPr="0051650B">
        <w:rPr>
          <w:rFonts w:ascii="Arial" w:hAnsi="Arial" w:cs="Arial"/>
        </w:rPr>
        <w:t xml:space="preserve">Shorter, E. (1975). </w:t>
      </w:r>
      <w:r w:rsidRPr="0051650B">
        <w:rPr>
          <w:rFonts w:ascii="Arial" w:hAnsi="Arial" w:cs="Arial"/>
          <w:i/>
          <w:iCs/>
        </w:rPr>
        <w:t>The Making of the Modern Family.</w:t>
      </w:r>
      <w:r w:rsidRPr="0051650B">
        <w:rPr>
          <w:rFonts w:ascii="Arial" w:hAnsi="Arial" w:cs="Arial"/>
        </w:rPr>
        <w:t xml:space="preserve"> Basic Books.</w:t>
      </w:r>
    </w:p>
    <w:p w14:paraId="521312B8" w14:textId="2E2AFB85" w:rsidR="00AA6B40" w:rsidRPr="0051650B" w:rsidRDefault="00AA6B40" w:rsidP="0051650B">
      <w:pPr>
        <w:spacing w:line="360" w:lineRule="auto"/>
        <w:jc w:val="both"/>
        <w:rPr>
          <w:rFonts w:ascii="Arial" w:hAnsi="Arial" w:cs="Arial"/>
        </w:rPr>
      </w:pPr>
      <w:r w:rsidRPr="0051650B">
        <w:rPr>
          <w:rFonts w:ascii="Arial" w:hAnsi="Arial" w:cs="Arial"/>
        </w:rPr>
        <w:t xml:space="preserve">UNICEF (1989). </w:t>
      </w:r>
      <w:r w:rsidRPr="0051650B">
        <w:rPr>
          <w:rFonts w:ascii="Arial" w:hAnsi="Arial" w:cs="Arial"/>
          <w:i/>
          <w:iCs/>
        </w:rPr>
        <w:t>Convention on the Rights of the Child. Retrieved</w:t>
      </w:r>
      <w:r w:rsidRPr="0051650B">
        <w:rPr>
          <w:rFonts w:ascii="Arial" w:hAnsi="Arial" w:cs="Arial"/>
        </w:rPr>
        <w:t xml:space="preserve"> </w:t>
      </w:r>
      <w:r w:rsidR="00AE191D" w:rsidRPr="0051650B">
        <w:rPr>
          <w:rFonts w:ascii="Arial" w:hAnsi="Arial" w:cs="Arial"/>
        </w:rPr>
        <w:t xml:space="preserve">11 August 2023 </w:t>
      </w:r>
      <w:r w:rsidRPr="0051650B">
        <w:rPr>
          <w:rFonts w:ascii="Arial" w:hAnsi="Arial" w:cs="Arial"/>
        </w:rPr>
        <w:t>from</w:t>
      </w:r>
      <w:r w:rsidR="00AE191D" w:rsidRPr="0051650B">
        <w:rPr>
          <w:rFonts w:ascii="Arial" w:hAnsi="Arial" w:cs="Arial"/>
        </w:rPr>
        <w:t>,</w:t>
      </w:r>
      <w:r w:rsidRPr="0051650B">
        <w:rPr>
          <w:rFonts w:ascii="Arial" w:hAnsi="Arial" w:cs="Arial"/>
        </w:rPr>
        <w:t xml:space="preserve"> </w:t>
      </w:r>
      <w:hyperlink r:id="rId8" w:history="1">
        <w:r w:rsidRPr="0051650B">
          <w:rPr>
            <w:rStyle w:val="Hyperlink"/>
            <w:rFonts w:ascii="Arial" w:hAnsi="Arial" w:cs="Arial"/>
          </w:rPr>
          <w:t>https://www.unicef.org/child-rights-convention</w:t>
        </w:r>
      </w:hyperlink>
    </w:p>
    <w:p w14:paraId="5E231E53" w14:textId="7E98275C" w:rsidR="00993DDD" w:rsidRPr="0051650B" w:rsidRDefault="00993DDD" w:rsidP="0051650B">
      <w:pPr>
        <w:spacing w:line="360" w:lineRule="auto"/>
        <w:jc w:val="both"/>
        <w:rPr>
          <w:rFonts w:ascii="Arial" w:hAnsi="Arial" w:cs="Arial"/>
        </w:rPr>
      </w:pPr>
      <w:r w:rsidRPr="0051650B">
        <w:rPr>
          <w:rFonts w:ascii="Arial" w:hAnsi="Arial" w:cs="Arial"/>
        </w:rPr>
        <w:t>Wade, J., Bentovim, A., Turney, D., Quinton, D., Wilson, K., Tanner, K. and Sinclair, I. (2006). </w:t>
      </w:r>
      <w:r w:rsidRPr="0051650B">
        <w:rPr>
          <w:rFonts w:ascii="Arial" w:hAnsi="Arial" w:cs="Arial"/>
          <w:i/>
          <w:iCs/>
        </w:rPr>
        <w:t>Enhancing the well-being of children and families through effective interventions: International evidence for practice</w:t>
      </w:r>
      <w:r w:rsidRPr="0051650B">
        <w:rPr>
          <w:rFonts w:ascii="Arial" w:hAnsi="Arial" w:cs="Arial"/>
        </w:rPr>
        <w:t>. Jessica Kingsley Publishers.</w:t>
      </w:r>
    </w:p>
    <w:p w14:paraId="3234EDCC" w14:textId="413C624A" w:rsidR="00B30A00" w:rsidRPr="0051650B" w:rsidRDefault="00AE191D" w:rsidP="0051650B">
      <w:pPr>
        <w:spacing w:line="360" w:lineRule="auto"/>
        <w:jc w:val="both"/>
        <w:rPr>
          <w:rFonts w:ascii="Arial" w:hAnsi="Arial" w:cs="Arial"/>
        </w:rPr>
      </w:pPr>
      <w:r w:rsidRPr="0051650B">
        <w:rPr>
          <w:rFonts w:ascii="Arial" w:hAnsi="Arial" w:cs="Arial"/>
        </w:rPr>
        <w:t xml:space="preserve">World Health Organization </w:t>
      </w:r>
      <w:r w:rsidR="00993DDD" w:rsidRPr="0051650B">
        <w:rPr>
          <w:rFonts w:ascii="Arial" w:hAnsi="Arial" w:cs="Arial"/>
        </w:rPr>
        <w:t>(</w:t>
      </w:r>
      <w:r w:rsidRPr="0051650B">
        <w:rPr>
          <w:rFonts w:ascii="Arial" w:hAnsi="Arial" w:cs="Arial"/>
        </w:rPr>
        <w:t>2018</w:t>
      </w:r>
      <w:r w:rsidR="00993DDD" w:rsidRPr="0051650B">
        <w:rPr>
          <w:rFonts w:ascii="Arial" w:hAnsi="Arial" w:cs="Arial"/>
        </w:rPr>
        <w:t>)</w:t>
      </w:r>
      <w:r w:rsidRPr="0051650B">
        <w:rPr>
          <w:rFonts w:ascii="Arial" w:hAnsi="Arial" w:cs="Arial"/>
        </w:rPr>
        <w:t xml:space="preserve">. </w:t>
      </w:r>
      <w:r w:rsidRPr="0051650B">
        <w:rPr>
          <w:rFonts w:ascii="Arial" w:hAnsi="Arial" w:cs="Arial"/>
          <w:i/>
          <w:iCs/>
        </w:rPr>
        <w:t>Nurturing care for early childhood development: a framework for helping children survive and thrive to transform health and human potential</w:t>
      </w:r>
      <w:r w:rsidRPr="0051650B">
        <w:rPr>
          <w:rFonts w:ascii="Arial" w:hAnsi="Arial" w:cs="Arial"/>
        </w:rPr>
        <w:t xml:space="preserve">. Retrieved 11 August 2023 from, </w:t>
      </w:r>
      <w:hyperlink r:id="rId9" w:history="1">
        <w:r w:rsidRPr="0051650B">
          <w:rPr>
            <w:rStyle w:val="Hyperlink"/>
            <w:rFonts w:ascii="Arial" w:hAnsi="Arial" w:cs="Arial"/>
          </w:rPr>
          <w:t>https://apps.who.int/iris/bitstream/handle/10665/272603/9789240016071-rus.pdf</w:t>
        </w:r>
      </w:hyperlink>
    </w:p>
    <w:p w14:paraId="15F6DF62" w14:textId="6462C050" w:rsidR="00AE191D" w:rsidRPr="0051650B" w:rsidRDefault="00AE191D" w:rsidP="0051650B">
      <w:pPr>
        <w:spacing w:line="360" w:lineRule="auto"/>
        <w:jc w:val="both"/>
        <w:rPr>
          <w:rFonts w:ascii="Arial" w:hAnsi="Arial" w:cs="Arial"/>
        </w:rPr>
      </w:pPr>
      <w:r w:rsidRPr="0051650B">
        <w:rPr>
          <w:rFonts w:ascii="Arial" w:hAnsi="Arial" w:cs="Arial"/>
        </w:rPr>
        <w:lastRenderedPageBreak/>
        <w:t>Yuan, B., Målqvist, M., Trygg, N., Qian, X., Ng, N. and Thomsen, S.</w:t>
      </w:r>
      <w:r w:rsidR="00993DDD" w:rsidRPr="0051650B">
        <w:rPr>
          <w:rFonts w:ascii="Arial" w:hAnsi="Arial" w:cs="Arial"/>
        </w:rPr>
        <w:t xml:space="preserve"> (</w:t>
      </w:r>
      <w:r w:rsidRPr="0051650B">
        <w:rPr>
          <w:rFonts w:ascii="Arial" w:hAnsi="Arial" w:cs="Arial"/>
        </w:rPr>
        <w:t>2014</w:t>
      </w:r>
      <w:r w:rsidR="00993DDD" w:rsidRPr="0051650B">
        <w:rPr>
          <w:rFonts w:ascii="Arial" w:hAnsi="Arial" w:cs="Arial"/>
        </w:rPr>
        <w:t>)</w:t>
      </w:r>
      <w:r w:rsidRPr="0051650B">
        <w:rPr>
          <w:rFonts w:ascii="Arial" w:hAnsi="Arial" w:cs="Arial"/>
        </w:rPr>
        <w:t>. What interventions are effective on reducing inequalities in maternal and child health in low-and middle-income settings? A systematic review. </w:t>
      </w:r>
      <w:r w:rsidRPr="0051650B">
        <w:rPr>
          <w:rFonts w:ascii="Arial" w:hAnsi="Arial" w:cs="Arial"/>
          <w:i/>
          <w:iCs/>
        </w:rPr>
        <w:t>BMC public health</w:t>
      </w:r>
      <w:r w:rsidRPr="0051650B">
        <w:rPr>
          <w:rFonts w:ascii="Arial" w:hAnsi="Arial" w:cs="Arial"/>
        </w:rPr>
        <w:t>, </w:t>
      </w:r>
      <w:r w:rsidRPr="0051650B">
        <w:rPr>
          <w:rFonts w:ascii="Arial" w:hAnsi="Arial" w:cs="Arial"/>
          <w:i/>
          <w:iCs/>
        </w:rPr>
        <w:t>14</w:t>
      </w:r>
      <w:r w:rsidRPr="0051650B">
        <w:rPr>
          <w:rFonts w:ascii="Arial" w:hAnsi="Arial" w:cs="Arial"/>
        </w:rPr>
        <w:t>(1), pp.1-14.</w:t>
      </w:r>
    </w:p>
    <w:sectPr w:rsidR="00AE191D" w:rsidRPr="0051650B">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85386" w14:textId="77777777" w:rsidR="000D698B" w:rsidRDefault="000D698B" w:rsidP="00F842F4">
      <w:pPr>
        <w:spacing w:after="0" w:line="240" w:lineRule="auto"/>
      </w:pPr>
      <w:r>
        <w:separator/>
      </w:r>
    </w:p>
  </w:endnote>
  <w:endnote w:type="continuationSeparator" w:id="0">
    <w:p w14:paraId="57F289A3" w14:textId="77777777" w:rsidR="000D698B" w:rsidRDefault="000D698B" w:rsidP="00F842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6012827"/>
      <w:docPartObj>
        <w:docPartGallery w:val="Page Numbers (Bottom of Page)"/>
        <w:docPartUnique/>
      </w:docPartObj>
    </w:sdtPr>
    <w:sdtEndPr>
      <w:rPr>
        <w:noProof/>
      </w:rPr>
    </w:sdtEndPr>
    <w:sdtContent>
      <w:p w14:paraId="7AC3A9FA" w14:textId="4D7FD2DB" w:rsidR="00F842F4" w:rsidRDefault="00F842F4">
        <w:pPr>
          <w:pStyle w:val="Footer"/>
          <w:jc w:val="center"/>
        </w:pPr>
        <w:r>
          <w:rPr>
            <w:noProof/>
          </w:rPr>
          <mc:AlternateContent>
            <mc:Choice Requires="wps">
              <w:drawing>
                <wp:inline distT="0" distB="0" distL="0" distR="0" wp14:anchorId="3C89AD81" wp14:editId="5ADEA061">
                  <wp:extent cx="5467350" cy="54610"/>
                  <wp:effectExtent l="9525" t="19050" r="9525" b="12065"/>
                  <wp:docPr id="2024245264"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4BCEED22"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3F5CCA0A" w14:textId="194A2BD2" w:rsidR="00F842F4" w:rsidRDefault="00F842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8CDE11" w14:textId="77777777" w:rsidR="00F842F4" w:rsidRDefault="00F842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841C3" w14:textId="77777777" w:rsidR="000D698B" w:rsidRDefault="000D698B" w:rsidP="00F842F4">
      <w:pPr>
        <w:spacing w:after="0" w:line="240" w:lineRule="auto"/>
      </w:pPr>
      <w:r>
        <w:separator/>
      </w:r>
    </w:p>
  </w:footnote>
  <w:footnote w:type="continuationSeparator" w:id="0">
    <w:p w14:paraId="1B5A91CF" w14:textId="77777777" w:rsidR="000D698B" w:rsidRDefault="000D698B" w:rsidP="00F842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415BB"/>
    <w:multiLevelType w:val="multilevel"/>
    <w:tmpl w:val="BE24D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084046"/>
    <w:multiLevelType w:val="hybridMultilevel"/>
    <w:tmpl w:val="EBA23B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C647921"/>
    <w:multiLevelType w:val="multilevel"/>
    <w:tmpl w:val="676CF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4356A8F"/>
    <w:multiLevelType w:val="multilevel"/>
    <w:tmpl w:val="9642F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1195266">
    <w:abstractNumId w:val="2"/>
  </w:num>
  <w:num w:numId="2" w16cid:durableId="1736851357">
    <w:abstractNumId w:val="0"/>
  </w:num>
  <w:num w:numId="3" w16cid:durableId="1989045795">
    <w:abstractNumId w:val="3"/>
  </w:num>
  <w:num w:numId="4" w16cid:durableId="8352622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1DC"/>
    <w:rsid w:val="000D698B"/>
    <w:rsid w:val="00175B87"/>
    <w:rsid w:val="002215B8"/>
    <w:rsid w:val="0027474B"/>
    <w:rsid w:val="00275C7B"/>
    <w:rsid w:val="0051650B"/>
    <w:rsid w:val="00567262"/>
    <w:rsid w:val="00621364"/>
    <w:rsid w:val="00993DDD"/>
    <w:rsid w:val="009E7589"/>
    <w:rsid w:val="009F2CE9"/>
    <w:rsid w:val="00AA6B40"/>
    <w:rsid w:val="00AE191D"/>
    <w:rsid w:val="00AF3B83"/>
    <w:rsid w:val="00B30A00"/>
    <w:rsid w:val="00BC1400"/>
    <w:rsid w:val="00CE01DC"/>
    <w:rsid w:val="00D47B0A"/>
    <w:rsid w:val="00D55BD9"/>
    <w:rsid w:val="00F842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471986"/>
  <w15:chartTrackingRefBased/>
  <w15:docId w15:val="{B91E5C70-C49E-46EA-ADD5-EA9EFD591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3D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7474B"/>
    <w:rPr>
      <w:rFonts w:ascii="Times New Roman" w:hAnsi="Times New Roman" w:cs="Times New Roman"/>
      <w:sz w:val="24"/>
      <w:szCs w:val="24"/>
    </w:rPr>
  </w:style>
  <w:style w:type="character" w:styleId="Hyperlink">
    <w:name w:val="Hyperlink"/>
    <w:basedOn w:val="DefaultParagraphFont"/>
    <w:uiPriority w:val="99"/>
    <w:unhideWhenUsed/>
    <w:rsid w:val="00AF3B83"/>
    <w:rPr>
      <w:color w:val="0563C1" w:themeColor="hyperlink"/>
      <w:u w:val="single"/>
    </w:rPr>
  </w:style>
  <w:style w:type="character" w:styleId="UnresolvedMention">
    <w:name w:val="Unresolved Mention"/>
    <w:basedOn w:val="DefaultParagraphFont"/>
    <w:uiPriority w:val="99"/>
    <w:semiHidden/>
    <w:unhideWhenUsed/>
    <w:rsid w:val="00AF3B83"/>
    <w:rPr>
      <w:color w:val="605E5C"/>
      <w:shd w:val="clear" w:color="auto" w:fill="E1DFDD"/>
    </w:rPr>
  </w:style>
  <w:style w:type="paragraph" w:styleId="ListParagraph">
    <w:name w:val="List Paragraph"/>
    <w:basedOn w:val="Normal"/>
    <w:uiPriority w:val="34"/>
    <w:qFormat/>
    <w:rsid w:val="00B30A00"/>
    <w:pPr>
      <w:ind w:left="720"/>
      <w:contextualSpacing/>
    </w:pPr>
  </w:style>
  <w:style w:type="character" w:customStyle="1" w:styleId="Heading1Char">
    <w:name w:val="Heading 1 Char"/>
    <w:basedOn w:val="DefaultParagraphFont"/>
    <w:link w:val="Heading1"/>
    <w:uiPriority w:val="9"/>
    <w:rsid w:val="00993DD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3DDD"/>
    <w:pPr>
      <w:outlineLvl w:val="9"/>
    </w:pPr>
    <w:rPr>
      <w:kern w:val="0"/>
      <w14:ligatures w14:val="none"/>
    </w:rPr>
  </w:style>
  <w:style w:type="paragraph" w:styleId="TOC1">
    <w:name w:val="toc 1"/>
    <w:basedOn w:val="Normal"/>
    <w:next w:val="Normal"/>
    <w:autoRedefine/>
    <w:uiPriority w:val="39"/>
    <w:unhideWhenUsed/>
    <w:rsid w:val="00993DDD"/>
    <w:pPr>
      <w:spacing w:after="100"/>
    </w:pPr>
  </w:style>
  <w:style w:type="paragraph" w:styleId="Header">
    <w:name w:val="header"/>
    <w:basedOn w:val="Normal"/>
    <w:link w:val="HeaderChar"/>
    <w:uiPriority w:val="99"/>
    <w:unhideWhenUsed/>
    <w:rsid w:val="00F842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42F4"/>
  </w:style>
  <w:style w:type="paragraph" w:styleId="Footer">
    <w:name w:val="footer"/>
    <w:basedOn w:val="Normal"/>
    <w:link w:val="FooterChar"/>
    <w:uiPriority w:val="99"/>
    <w:unhideWhenUsed/>
    <w:rsid w:val="00F842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42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984689">
      <w:bodyDiv w:val="1"/>
      <w:marLeft w:val="0"/>
      <w:marRight w:val="0"/>
      <w:marTop w:val="0"/>
      <w:marBottom w:val="0"/>
      <w:divBdr>
        <w:top w:val="none" w:sz="0" w:space="0" w:color="auto"/>
        <w:left w:val="none" w:sz="0" w:space="0" w:color="auto"/>
        <w:bottom w:val="none" w:sz="0" w:space="0" w:color="auto"/>
        <w:right w:val="none" w:sz="0" w:space="0" w:color="auto"/>
      </w:divBdr>
    </w:div>
    <w:div w:id="259947813">
      <w:bodyDiv w:val="1"/>
      <w:marLeft w:val="0"/>
      <w:marRight w:val="0"/>
      <w:marTop w:val="0"/>
      <w:marBottom w:val="0"/>
      <w:divBdr>
        <w:top w:val="none" w:sz="0" w:space="0" w:color="auto"/>
        <w:left w:val="none" w:sz="0" w:space="0" w:color="auto"/>
        <w:bottom w:val="none" w:sz="0" w:space="0" w:color="auto"/>
        <w:right w:val="none" w:sz="0" w:space="0" w:color="auto"/>
      </w:divBdr>
    </w:div>
    <w:div w:id="415442770">
      <w:bodyDiv w:val="1"/>
      <w:marLeft w:val="0"/>
      <w:marRight w:val="0"/>
      <w:marTop w:val="0"/>
      <w:marBottom w:val="0"/>
      <w:divBdr>
        <w:top w:val="none" w:sz="0" w:space="0" w:color="auto"/>
        <w:left w:val="none" w:sz="0" w:space="0" w:color="auto"/>
        <w:bottom w:val="none" w:sz="0" w:space="0" w:color="auto"/>
        <w:right w:val="none" w:sz="0" w:space="0" w:color="auto"/>
      </w:divBdr>
    </w:div>
    <w:div w:id="544297579">
      <w:bodyDiv w:val="1"/>
      <w:marLeft w:val="0"/>
      <w:marRight w:val="0"/>
      <w:marTop w:val="0"/>
      <w:marBottom w:val="0"/>
      <w:divBdr>
        <w:top w:val="none" w:sz="0" w:space="0" w:color="auto"/>
        <w:left w:val="none" w:sz="0" w:space="0" w:color="auto"/>
        <w:bottom w:val="none" w:sz="0" w:space="0" w:color="auto"/>
        <w:right w:val="none" w:sz="0" w:space="0" w:color="auto"/>
      </w:divBdr>
    </w:div>
    <w:div w:id="854462744">
      <w:bodyDiv w:val="1"/>
      <w:marLeft w:val="0"/>
      <w:marRight w:val="0"/>
      <w:marTop w:val="0"/>
      <w:marBottom w:val="0"/>
      <w:divBdr>
        <w:top w:val="none" w:sz="0" w:space="0" w:color="auto"/>
        <w:left w:val="none" w:sz="0" w:space="0" w:color="auto"/>
        <w:bottom w:val="none" w:sz="0" w:space="0" w:color="auto"/>
        <w:right w:val="none" w:sz="0" w:space="0" w:color="auto"/>
      </w:divBdr>
    </w:div>
    <w:div w:id="1101994475">
      <w:bodyDiv w:val="1"/>
      <w:marLeft w:val="0"/>
      <w:marRight w:val="0"/>
      <w:marTop w:val="0"/>
      <w:marBottom w:val="0"/>
      <w:divBdr>
        <w:top w:val="none" w:sz="0" w:space="0" w:color="auto"/>
        <w:left w:val="none" w:sz="0" w:space="0" w:color="auto"/>
        <w:bottom w:val="none" w:sz="0" w:space="0" w:color="auto"/>
        <w:right w:val="none" w:sz="0" w:space="0" w:color="auto"/>
      </w:divBdr>
    </w:div>
    <w:div w:id="1173298285">
      <w:bodyDiv w:val="1"/>
      <w:marLeft w:val="0"/>
      <w:marRight w:val="0"/>
      <w:marTop w:val="0"/>
      <w:marBottom w:val="0"/>
      <w:divBdr>
        <w:top w:val="none" w:sz="0" w:space="0" w:color="auto"/>
        <w:left w:val="none" w:sz="0" w:space="0" w:color="auto"/>
        <w:bottom w:val="none" w:sz="0" w:space="0" w:color="auto"/>
        <w:right w:val="none" w:sz="0" w:space="0" w:color="auto"/>
      </w:divBdr>
    </w:div>
    <w:div w:id="1530492240">
      <w:bodyDiv w:val="1"/>
      <w:marLeft w:val="0"/>
      <w:marRight w:val="0"/>
      <w:marTop w:val="0"/>
      <w:marBottom w:val="0"/>
      <w:divBdr>
        <w:top w:val="none" w:sz="0" w:space="0" w:color="auto"/>
        <w:left w:val="none" w:sz="0" w:space="0" w:color="auto"/>
        <w:bottom w:val="none" w:sz="0" w:space="0" w:color="auto"/>
        <w:right w:val="none" w:sz="0" w:space="0" w:color="auto"/>
      </w:divBdr>
    </w:div>
    <w:div w:id="1568342320">
      <w:bodyDiv w:val="1"/>
      <w:marLeft w:val="0"/>
      <w:marRight w:val="0"/>
      <w:marTop w:val="0"/>
      <w:marBottom w:val="0"/>
      <w:divBdr>
        <w:top w:val="none" w:sz="0" w:space="0" w:color="auto"/>
        <w:left w:val="none" w:sz="0" w:space="0" w:color="auto"/>
        <w:bottom w:val="none" w:sz="0" w:space="0" w:color="auto"/>
        <w:right w:val="none" w:sz="0" w:space="0" w:color="auto"/>
      </w:divBdr>
    </w:div>
    <w:div w:id="1692342484">
      <w:bodyDiv w:val="1"/>
      <w:marLeft w:val="0"/>
      <w:marRight w:val="0"/>
      <w:marTop w:val="0"/>
      <w:marBottom w:val="0"/>
      <w:divBdr>
        <w:top w:val="none" w:sz="0" w:space="0" w:color="auto"/>
        <w:left w:val="none" w:sz="0" w:space="0" w:color="auto"/>
        <w:bottom w:val="none" w:sz="0" w:space="0" w:color="auto"/>
        <w:right w:val="none" w:sz="0" w:space="0" w:color="auto"/>
      </w:divBdr>
    </w:div>
    <w:div w:id="1773473079">
      <w:bodyDiv w:val="1"/>
      <w:marLeft w:val="0"/>
      <w:marRight w:val="0"/>
      <w:marTop w:val="0"/>
      <w:marBottom w:val="0"/>
      <w:divBdr>
        <w:top w:val="none" w:sz="0" w:space="0" w:color="auto"/>
        <w:left w:val="none" w:sz="0" w:space="0" w:color="auto"/>
        <w:bottom w:val="none" w:sz="0" w:space="0" w:color="auto"/>
        <w:right w:val="none" w:sz="0" w:space="0" w:color="auto"/>
      </w:divBdr>
    </w:div>
    <w:div w:id="1794203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child-rights-conven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apps.who.int/iris/bitstream/handle/10665/272603/9789240016071-ru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CCF9A7-2FAE-452E-AEB2-72A8FE90F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3523</Words>
  <Characters>19381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Onyinyechukwu Aghadike</dc:creator>
  <cp:keywords/>
  <dc:description/>
  <cp:lastModifiedBy>Godfrey Osawaru</cp:lastModifiedBy>
  <cp:revision>2</cp:revision>
  <dcterms:created xsi:type="dcterms:W3CDTF">2023-08-23T16:52:00Z</dcterms:created>
  <dcterms:modified xsi:type="dcterms:W3CDTF">2023-08-23T16:52:00Z</dcterms:modified>
</cp:coreProperties>
</file>