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1FB48" w14:textId="77777777" w:rsidR="00144F10" w:rsidRDefault="00144F10" w:rsidP="00144F10">
      <w:pPr>
        <w:spacing w:line="360" w:lineRule="auto"/>
        <w:rPr>
          <w:lang w:val="en-US"/>
        </w:rPr>
      </w:pPr>
    </w:p>
    <w:p w14:paraId="1051BC85" w14:textId="77777777" w:rsidR="00144F10" w:rsidRDefault="00144F10" w:rsidP="00144F10">
      <w:pPr>
        <w:spacing w:line="360" w:lineRule="auto"/>
        <w:rPr>
          <w:lang w:val="en-US"/>
        </w:rPr>
      </w:pPr>
    </w:p>
    <w:p w14:paraId="2AB9F91C" w14:textId="77777777" w:rsidR="00144F10" w:rsidRDefault="00144F10" w:rsidP="00144F10">
      <w:pPr>
        <w:spacing w:line="360" w:lineRule="auto"/>
        <w:rPr>
          <w:lang w:val="en-US"/>
        </w:rPr>
      </w:pPr>
    </w:p>
    <w:p w14:paraId="3B9662E4" w14:textId="77777777" w:rsidR="00144F10" w:rsidRDefault="00144F10" w:rsidP="00144F10">
      <w:pPr>
        <w:spacing w:line="360" w:lineRule="auto"/>
        <w:rPr>
          <w:lang w:val="en-US"/>
        </w:rPr>
      </w:pPr>
    </w:p>
    <w:p w14:paraId="135C95C1" w14:textId="77777777" w:rsidR="00144F10" w:rsidRDefault="00144F10" w:rsidP="00144F10">
      <w:pPr>
        <w:spacing w:line="360" w:lineRule="auto"/>
        <w:rPr>
          <w:lang w:val="en-US"/>
        </w:rPr>
      </w:pPr>
    </w:p>
    <w:p w14:paraId="61E9C72E" w14:textId="77777777" w:rsidR="00144F10" w:rsidRDefault="00144F10" w:rsidP="00144F10">
      <w:pPr>
        <w:spacing w:line="360" w:lineRule="auto"/>
        <w:rPr>
          <w:lang w:val="en-US"/>
        </w:rPr>
      </w:pPr>
    </w:p>
    <w:p w14:paraId="5569A4CF" w14:textId="39F9BE82" w:rsidR="00144F10" w:rsidRDefault="00144F10" w:rsidP="00144F10">
      <w:pPr>
        <w:spacing w:line="360" w:lineRule="auto"/>
        <w:jc w:val="center"/>
        <w:rPr>
          <w:lang w:val="en-US"/>
        </w:rPr>
      </w:pPr>
    </w:p>
    <w:p w14:paraId="6BB4223E" w14:textId="5607B103" w:rsidR="008A27D0" w:rsidRPr="008A27D0" w:rsidRDefault="008A27D0" w:rsidP="00144F10">
      <w:pPr>
        <w:spacing w:line="360" w:lineRule="auto"/>
        <w:jc w:val="center"/>
        <w:rPr>
          <w:b/>
          <w:bCs/>
          <w:lang w:val="en-US"/>
        </w:rPr>
      </w:pPr>
      <w:r>
        <w:rPr>
          <w:b/>
          <w:bCs/>
          <w:lang w:val="en-US"/>
        </w:rPr>
        <w:t xml:space="preserve">STUDENT NAME: SANIA ULLAH </w:t>
      </w:r>
    </w:p>
    <w:p w14:paraId="50E48864" w14:textId="7D8589BB" w:rsidR="00144F10" w:rsidRPr="00063480" w:rsidRDefault="00144F10" w:rsidP="00144F10">
      <w:pPr>
        <w:spacing w:line="360" w:lineRule="auto"/>
        <w:jc w:val="center"/>
        <w:rPr>
          <w:b/>
          <w:lang w:val="en-US"/>
        </w:rPr>
      </w:pPr>
      <w:r>
        <w:rPr>
          <w:b/>
          <w:lang w:val="en-US"/>
        </w:rPr>
        <w:t xml:space="preserve">STUDENT NUMBER: </w:t>
      </w:r>
      <w:r w:rsidR="008A27D0">
        <w:rPr>
          <w:b/>
          <w:lang w:val="en-US"/>
        </w:rPr>
        <w:t>2314490</w:t>
      </w:r>
    </w:p>
    <w:p w14:paraId="6A515372" w14:textId="120998CB" w:rsidR="00144F10" w:rsidRPr="00063480" w:rsidRDefault="008A27D0" w:rsidP="00144F10">
      <w:pPr>
        <w:spacing w:line="360" w:lineRule="auto"/>
        <w:jc w:val="center"/>
        <w:rPr>
          <w:b/>
          <w:lang w:val="en-US"/>
        </w:rPr>
      </w:pPr>
      <w:r>
        <w:rPr>
          <w:b/>
          <w:lang w:val="en-US"/>
        </w:rPr>
        <w:t>MODULE CODE: BMHP6030</w:t>
      </w:r>
    </w:p>
    <w:p w14:paraId="4CFB2490" w14:textId="5ABBA76E" w:rsidR="00144F10" w:rsidRPr="00063480" w:rsidRDefault="008A27D0" w:rsidP="00144F10">
      <w:pPr>
        <w:spacing w:line="360" w:lineRule="auto"/>
        <w:jc w:val="center"/>
        <w:rPr>
          <w:b/>
          <w:lang w:val="en-US"/>
        </w:rPr>
      </w:pPr>
      <w:r>
        <w:rPr>
          <w:b/>
          <w:lang w:val="en-US"/>
        </w:rPr>
        <w:t>MODULE: HEALT</w:t>
      </w:r>
      <w:r w:rsidR="005225D9">
        <w:rPr>
          <w:b/>
          <w:lang w:val="en-US"/>
        </w:rPr>
        <w:t>H</w:t>
      </w:r>
      <w:r>
        <w:rPr>
          <w:b/>
          <w:lang w:val="en-US"/>
        </w:rPr>
        <w:t xml:space="preserve">, WELLBEING &amp; SUSTAINABLE DEVELOPMENT </w:t>
      </w:r>
    </w:p>
    <w:p w14:paraId="59B69495" w14:textId="633CA28A" w:rsidR="00144F10" w:rsidRPr="00063480" w:rsidRDefault="008A27D0" w:rsidP="00144F10">
      <w:pPr>
        <w:spacing w:line="360" w:lineRule="auto"/>
        <w:jc w:val="center"/>
        <w:rPr>
          <w:b/>
          <w:lang w:val="en-US"/>
        </w:rPr>
      </w:pPr>
      <w:r>
        <w:rPr>
          <w:b/>
          <w:lang w:val="en-US"/>
        </w:rPr>
        <w:t xml:space="preserve">LECTURER: HAMDI HUSSAIN </w:t>
      </w:r>
    </w:p>
    <w:p w14:paraId="4C6F0406" w14:textId="2B109F1C" w:rsidR="00144F10" w:rsidRPr="00063480" w:rsidRDefault="008A27D0" w:rsidP="00144F10">
      <w:pPr>
        <w:spacing w:line="360" w:lineRule="auto"/>
        <w:jc w:val="center"/>
        <w:rPr>
          <w:b/>
          <w:lang w:val="en-US"/>
        </w:rPr>
      </w:pPr>
      <w:r>
        <w:rPr>
          <w:b/>
          <w:lang w:val="en-US"/>
        </w:rPr>
        <w:t>ASSIGNMENT: COMPONENT 2 - REPORT</w:t>
      </w:r>
    </w:p>
    <w:p w14:paraId="59FA4999" w14:textId="77777777" w:rsidR="00144F10" w:rsidRDefault="00144F10" w:rsidP="00144F10">
      <w:pPr>
        <w:spacing w:line="360" w:lineRule="auto"/>
        <w:rPr>
          <w:lang w:val="en-US"/>
        </w:rPr>
      </w:pPr>
    </w:p>
    <w:p w14:paraId="71E6503D" w14:textId="77777777" w:rsidR="00144F10" w:rsidRDefault="00144F10" w:rsidP="00144F10">
      <w:pPr>
        <w:spacing w:line="360" w:lineRule="auto"/>
        <w:rPr>
          <w:lang w:val="en-US"/>
        </w:rPr>
      </w:pPr>
      <w:r>
        <w:rPr>
          <w:lang w:val="en-US"/>
        </w:rPr>
        <w:br w:type="page"/>
      </w:r>
    </w:p>
    <w:sdt>
      <w:sdtPr>
        <w:rPr>
          <w:rFonts w:ascii="Times New Roman" w:eastAsiaTheme="minorHAnsi" w:hAnsi="Times New Roman" w:cstheme="minorBidi"/>
          <w:color w:val="auto"/>
          <w:sz w:val="24"/>
          <w:szCs w:val="22"/>
          <w:lang w:val="en-GB"/>
        </w:rPr>
        <w:id w:val="-853492170"/>
        <w:docPartObj>
          <w:docPartGallery w:val="Table of Contents"/>
          <w:docPartUnique/>
        </w:docPartObj>
      </w:sdtPr>
      <w:sdtEndPr>
        <w:rPr>
          <w:b/>
          <w:bCs/>
          <w:noProof/>
        </w:rPr>
      </w:sdtEndPr>
      <w:sdtContent>
        <w:p w14:paraId="2BA13650" w14:textId="77777777" w:rsidR="00144F10" w:rsidRPr="007C2F6D" w:rsidRDefault="00144F10" w:rsidP="00144F10">
          <w:pPr>
            <w:pStyle w:val="TOCHeading"/>
            <w:spacing w:line="360" w:lineRule="auto"/>
            <w:rPr>
              <w:rFonts w:ascii="Times New Roman" w:hAnsi="Times New Roman" w:cs="Times New Roman"/>
              <w:color w:val="auto"/>
              <w:sz w:val="24"/>
              <w:szCs w:val="24"/>
            </w:rPr>
          </w:pPr>
          <w:r w:rsidRPr="007C2F6D">
            <w:rPr>
              <w:rFonts w:ascii="Times New Roman" w:hAnsi="Times New Roman" w:cs="Times New Roman"/>
              <w:color w:val="auto"/>
              <w:sz w:val="24"/>
              <w:szCs w:val="24"/>
            </w:rPr>
            <w:t>Table of Contents</w:t>
          </w:r>
        </w:p>
        <w:p w14:paraId="62AD622B" w14:textId="77777777" w:rsidR="00144F10" w:rsidRPr="007C2F6D" w:rsidRDefault="00144F10" w:rsidP="00144F10">
          <w:pPr>
            <w:pStyle w:val="TOC1"/>
            <w:tabs>
              <w:tab w:val="right" w:leader="dot" w:pos="9350"/>
            </w:tabs>
            <w:spacing w:line="360" w:lineRule="auto"/>
            <w:rPr>
              <w:rFonts w:cs="Times New Roman"/>
              <w:noProof/>
              <w:szCs w:val="24"/>
            </w:rPr>
          </w:pPr>
          <w:r w:rsidRPr="007C2F6D">
            <w:rPr>
              <w:rFonts w:cs="Times New Roman"/>
              <w:szCs w:val="24"/>
            </w:rPr>
            <w:fldChar w:fldCharType="begin"/>
          </w:r>
          <w:r w:rsidRPr="007C2F6D">
            <w:rPr>
              <w:rFonts w:cs="Times New Roman"/>
              <w:szCs w:val="24"/>
            </w:rPr>
            <w:instrText xml:space="preserve"> TOC \o "1-3" \h \z \u </w:instrText>
          </w:r>
          <w:r w:rsidRPr="007C2F6D">
            <w:rPr>
              <w:rFonts w:cs="Times New Roman"/>
              <w:szCs w:val="24"/>
            </w:rPr>
            <w:fldChar w:fldCharType="separate"/>
          </w:r>
          <w:hyperlink w:anchor="_Toc231412537" w:history="1">
            <w:r w:rsidRPr="007C2F6D">
              <w:rPr>
                <w:rStyle w:val="Hyperlink"/>
                <w:rFonts w:cs="Times New Roman"/>
                <w:noProof/>
                <w:color w:val="auto"/>
                <w:szCs w:val="24"/>
              </w:rPr>
              <w:t>Introduction</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_Toc231412537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3</w:t>
            </w:r>
            <w:r w:rsidRPr="007C2F6D">
              <w:rPr>
                <w:rFonts w:cs="Times New Roman"/>
                <w:noProof/>
                <w:webHidden/>
                <w:szCs w:val="24"/>
              </w:rPr>
              <w:fldChar w:fldCharType="end"/>
            </w:r>
          </w:hyperlink>
        </w:p>
        <w:p w14:paraId="309BF3EC"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38" w:history="1">
            <w:r w:rsidRPr="007C2F6D">
              <w:rPr>
                <w:rStyle w:val="Hyperlink"/>
                <w:rFonts w:cs="Times New Roman"/>
                <w:noProof/>
                <w:color w:val="auto"/>
                <w:szCs w:val="24"/>
              </w:rPr>
              <w:t>Understanding Sustainable Development, Health and Wellbeing</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_Toc231412538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3</w:t>
            </w:r>
            <w:r w:rsidRPr="007C2F6D">
              <w:rPr>
                <w:rFonts w:cs="Times New Roman"/>
                <w:noProof/>
                <w:webHidden/>
                <w:szCs w:val="24"/>
              </w:rPr>
              <w:fldChar w:fldCharType="end"/>
            </w:r>
          </w:hyperlink>
        </w:p>
        <w:p w14:paraId="69E97894"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39" w:history="1">
            <w:r w:rsidRPr="007C2F6D">
              <w:rPr>
                <w:rStyle w:val="Hyperlink"/>
                <w:rFonts w:cs="Times New Roman"/>
                <w:noProof/>
                <w:color w:val="auto"/>
                <w:szCs w:val="24"/>
              </w:rPr>
              <w:t>Analysis of SDG 3: Good Health and Wellbeing</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_Toc231412539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4</w:t>
            </w:r>
            <w:r w:rsidRPr="007C2F6D">
              <w:rPr>
                <w:rFonts w:cs="Times New Roman"/>
                <w:noProof/>
                <w:webHidden/>
                <w:szCs w:val="24"/>
              </w:rPr>
              <w:fldChar w:fldCharType="end"/>
            </w:r>
          </w:hyperlink>
        </w:p>
        <w:p w14:paraId="3CC3A96C"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40" w:history="1">
            <w:r w:rsidRPr="007C2F6D">
              <w:rPr>
                <w:rStyle w:val="Hyperlink"/>
                <w:rFonts w:cs="Times New Roman"/>
                <w:noProof/>
                <w:color w:val="auto"/>
                <w:szCs w:val="24"/>
              </w:rPr>
              <w:t>Analysis of SDG 6: Clean Water and Sanitation</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_Toc231412540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5</w:t>
            </w:r>
            <w:r w:rsidRPr="007C2F6D">
              <w:rPr>
                <w:rFonts w:cs="Times New Roman"/>
                <w:noProof/>
                <w:webHidden/>
                <w:szCs w:val="24"/>
              </w:rPr>
              <w:fldChar w:fldCharType="end"/>
            </w:r>
          </w:hyperlink>
        </w:p>
        <w:p w14:paraId="39475E0A"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41" w:history="1">
            <w:r w:rsidRPr="007C2F6D">
              <w:rPr>
                <w:rStyle w:val="Hyperlink"/>
                <w:rFonts w:cs="Times New Roman"/>
                <w:noProof/>
                <w:color w:val="auto"/>
                <w:szCs w:val="24"/>
              </w:rPr>
              <w:t>Evaluation of National Health, Wellbeing and Sustainability Initiatives</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_Toc231412541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6</w:t>
            </w:r>
            <w:r w:rsidRPr="007C2F6D">
              <w:rPr>
                <w:rFonts w:cs="Times New Roman"/>
                <w:noProof/>
                <w:webHidden/>
                <w:szCs w:val="24"/>
              </w:rPr>
              <w:fldChar w:fldCharType="end"/>
            </w:r>
          </w:hyperlink>
        </w:p>
        <w:p w14:paraId="01EF7C41"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42" w:history="1">
            <w:r w:rsidRPr="007C2F6D">
              <w:rPr>
                <w:rStyle w:val="Hyperlink"/>
                <w:rFonts w:cs="Times New Roman"/>
                <w:noProof/>
                <w:color w:val="auto"/>
                <w:szCs w:val="24"/>
              </w:rPr>
              <w:t>Evaluation of Scotland’s Cleaner Air Initiative</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_Toc231412542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6</w:t>
            </w:r>
            <w:r w:rsidRPr="007C2F6D">
              <w:rPr>
                <w:rFonts w:cs="Times New Roman"/>
                <w:noProof/>
                <w:webHidden/>
                <w:szCs w:val="24"/>
              </w:rPr>
              <w:fldChar w:fldCharType="end"/>
            </w:r>
          </w:hyperlink>
        </w:p>
        <w:p w14:paraId="5B7E7C30"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43" w:history="1">
            <w:r w:rsidRPr="007C2F6D">
              <w:rPr>
                <w:rStyle w:val="Hyperlink"/>
                <w:rFonts w:cs="Times New Roman"/>
                <w:noProof/>
                <w:color w:val="auto"/>
                <w:szCs w:val="24"/>
              </w:rPr>
              <w:t>Recommendations for Improvement</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_Toc231412543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7</w:t>
            </w:r>
            <w:r w:rsidRPr="007C2F6D">
              <w:rPr>
                <w:rFonts w:cs="Times New Roman"/>
                <w:noProof/>
                <w:webHidden/>
                <w:szCs w:val="24"/>
              </w:rPr>
              <w:fldChar w:fldCharType="end"/>
            </w:r>
          </w:hyperlink>
        </w:p>
        <w:p w14:paraId="1E6F2E95"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44" w:history="1">
            <w:r w:rsidRPr="007C2F6D">
              <w:rPr>
                <w:rStyle w:val="Hyperlink"/>
                <w:rFonts w:cs="Times New Roman"/>
                <w:noProof/>
                <w:color w:val="auto"/>
                <w:szCs w:val="24"/>
              </w:rPr>
              <w:t>Conclusion</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_Toc231412544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7</w:t>
            </w:r>
            <w:r w:rsidRPr="007C2F6D">
              <w:rPr>
                <w:rFonts w:cs="Times New Roman"/>
                <w:noProof/>
                <w:webHidden/>
                <w:szCs w:val="24"/>
              </w:rPr>
              <w:fldChar w:fldCharType="end"/>
            </w:r>
          </w:hyperlink>
        </w:p>
        <w:p w14:paraId="2A5ADF40" w14:textId="77777777" w:rsidR="00144F10" w:rsidRPr="007C2F6D" w:rsidRDefault="00144F10" w:rsidP="00144F10">
          <w:pPr>
            <w:pStyle w:val="TOC1"/>
            <w:tabs>
              <w:tab w:val="right" w:leader="dot" w:pos="9350"/>
            </w:tabs>
            <w:spacing w:line="360" w:lineRule="auto"/>
            <w:rPr>
              <w:rFonts w:cs="Times New Roman"/>
              <w:noProof/>
              <w:szCs w:val="24"/>
            </w:rPr>
          </w:pPr>
          <w:hyperlink w:anchor="_Toc231412545" w:history="1">
            <w:r w:rsidRPr="007C2F6D">
              <w:rPr>
                <w:rStyle w:val="Hyperlink"/>
                <w:rFonts w:cs="Times New Roman"/>
                <w:noProof/>
                <w:color w:val="auto"/>
                <w:szCs w:val="24"/>
              </w:rPr>
              <w:t>References</w:t>
            </w:r>
            <w:r w:rsidRPr="007C2F6D">
              <w:rPr>
                <w:rFonts w:cs="Times New Roman"/>
                <w:noProof/>
                <w:webHidden/>
                <w:szCs w:val="24"/>
              </w:rPr>
              <w:tab/>
            </w:r>
            <w:r w:rsidRPr="007C2F6D">
              <w:rPr>
                <w:rFonts w:cs="Times New Roman"/>
                <w:noProof/>
                <w:webHidden/>
                <w:szCs w:val="24"/>
              </w:rPr>
              <w:fldChar w:fldCharType="begin"/>
            </w:r>
            <w:r w:rsidRPr="007C2F6D">
              <w:rPr>
                <w:rFonts w:cs="Times New Roman"/>
                <w:noProof/>
                <w:webHidden/>
                <w:szCs w:val="24"/>
              </w:rPr>
              <w:instrText xml:space="preserve"> PAGEREF _Toc231412545 \h </w:instrText>
            </w:r>
            <w:r w:rsidRPr="007C2F6D">
              <w:rPr>
                <w:rFonts w:cs="Times New Roman"/>
                <w:noProof/>
                <w:webHidden/>
                <w:szCs w:val="24"/>
              </w:rPr>
            </w:r>
            <w:r w:rsidRPr="007C2F6D">
              <w:rPr>
                <w:rFonts w:cs="Times New Roman"/>
                <w:noProof/>
                <w:webHidden/>
                <w:szCs w:val="24"/>
              </w:rPr>
              <w:fldChar w:fldCharType="separate"/>
            </w:r>
            <w:r w:rsidRPr="007C2F6D">
              <w:rPr>
                <w:rFonts w:cs="Times New Roman"/>
                <w:noProof/>
                <w:webHidden/>
                <w:szCs w:val="24"/>
              </w:rPr>
              <w:t>9</w:t>
            </w:r>
            <w:r w:rsidRPr="007C2F6D">
              <w:rPr>
                <w:rFonts w:cs="Times New Roman"/>
                <w:noProof/>
                <w:webHidden/>
                <w:szCs w:val="24"/>
              </w:rPr>
              <w:fldChar w:fldCharType="end"/>
            </w:r>
          </w:hyperlink>
        </w:p>
        <w:p w14:paraId="7B335AE9" w14:textId="77777777" w:rsidR="00144F10" w:rsidRDefault="00144F10" w:rsidP="00144F10">
          <w:pPr>
            <w:spacing w:line="360" w:lineRule="auto"/>
          </w:pPr>
          <w:r w:rsidRPr="007C2F6D">
            <w:rPr>
              <w:rFonts w:cs="Times New Roman"/>
              <w:b/>
              <w:bCs/>
              <w:noProof/>
              <w:szCs w:val="24"/>
            </w:rPr>
            <w:fldChar w:fldCharType="end"/>
          </w:r>
        </w:p>
      </w:sdtContent>
    </w:sdt>
    <w:p w14:paraId="7C33937A" w14:textId="77777777" w:rsidR="00144F10" w:rsidRDefault="00144F10" w:rsidP="00144F10">
      <w:pPr>
        <w:spacing w:line="360" w:lineRule="auto"/>
        <w:rPr>
          <w:lang w:val="en-US"/>
        </w:rPr>
      </w:pPr>
    </w:p>
    <w:p w14:paraId="61ADB2D1" w14:textId="77777777" w:rsidR="00144F10" w:rsidRDefault="00144F10" w:rsidP="00144F10">
      <w:pPr>
        <w:spacing w:line="360" w:lineRule="auto"/>
        <w:rPr>
          <w:lang w:val="en-US"/>
        </w:rPr>
      </w:pPr>
    </w:p>
    <w:p w14:paraId="5FB1F3BC" w14:textId="77777777" w:rsidR="00144F10" w:rsidRDefault="00144F10" w:rsidP="00144F10">
      <w:pPr>
        <w:spacing w:line="360" w:lineRule="auto"/>
        <w:rPr>
          <w:lang w:val="en-US"/>
        </w:rPr>
      </w:pPr>
    </w:p>
    <w:p w14:paraId="48E05E25" w14:textId="77777777" w:rsidR="00144F10" w:rsidRDefault="00144F10" w:rsidP="00144F10">
      <w:pPr>
        <w:spacing w:line="360" w:lineRule="auto"/>
        <w:rPr>
          <w:lang w:val="en-US"/>
        </w:rPr>
      </w:pPr>
    </w:p>
    <w:p w14:paraId="62888C07" w14:textId="77777777" w:rsidR="00144F10" w:rsidRDefault="00144F10" w:rsidP="00144F10">
      <w:pPr>
        <w:spacing w:line="360" w:lineRule="auto"/>
        <w:rPr>
          <w:lang w:val="en-US"/>
        </w:rPr>
      </w:pPr>
      <w:r>
        <w:rPr>
          <w:lang w:val="en-US"/>
        </w:rPr>
        <w:br w:type="page"/>
      </w:r>
    </w:p>
    <w:p w14:paraId="2B70D989" w14:textId="77777777" w:rsidR="00144F10" w:rsidRDefault="00144F10" w:rsidP="00144F10">
      <w:pPr>
        <w:pStyle w:val="Heading1"/>
        <w:spacing w:line="360" w:lineRule="auto"/>
      </w:pPr>
      <w:bookmarkStart w:id="0" w:name="_Toc231412537"/>
      <w:r w:rsidRPr="007806E5">
        <w:lastRenderedPageBreak/>
        <w:t>Introduction</w:t>
      </w:r>
      <w:bookmarkEnd w:id="0"/>
    </w:p>
    <w:p w14:paraId="23563350" w14:textId="77777777" w:rsidR="00144F10" w:rsidRPr="00144F10" w:rsidRDefault="00144F10" w:rsidP="00144F10">
      <w:pPr>
        <w:spacing w:line="360" w:lineRule="auto"/>
        <w:rPr>
          <w:sz w:val="22"/>
        </w:rPr>
      </w:pPr>
      <w:r w:rsidRPr="00144F10">
        <w:rPr>
          <w:sz w:val="22"/>
        </w:rPr>
        <w:t>A healthy and active population constitutes the basic pillar of sustainable societies and is strongly related to social, economic and environmental factors. According to the World Health Organisation (WHO 2023), health is a state of complete physical, mental and social wellbeing – not the absence of disease. Sustainable development is development that does not harm the ability of future generations to develop in the same manner (</w:t>
      </w:r>
      <w:proofErr w:type="spellStart"/>
      <w:r w:rsidRPr="00144F10">
        <w:rPr>
          <w:sz w:val="22"/>
        </w:rPr>
        <w:t>Uralovich</w:t>
      </w:r>
      <w:proofErr w:type="spellEnd"/>
      <w:r w:rsidRPr="00144F10">
        <w:rPr>
          <w:sz w:val="22"/>
        </w:rPr>
        <w:t xml:space="preserve"> et al., 2023). The significance of sustainability in public health has grown with the understanding that environmental degradation, climate change, pollution, and inequitable access to resources directly impact the health of the population. </w:t>
      </w:r>
    </w:p>
    <w:p w14:paraId="3CFB5609" w14:textId="77777777" w:rsidR="00144F10" w:rsidRPr="00144F10" w:rsidRDefault="00144F10" w:rsidP="00144F10">
      <w:pPr>
        <w:spacing w:line="360" w:lineRule="auto"/>
        <w:rPr>
          <w:sz w:val="22"/>
        </w:rPr>
      </w:pPr>
      <w:r w:rsidRPr="00144F10">
        <w:rPr>
          <w:sz w:val="22"/>
        </w:rPr>
        <w:t xml:space="preserve">SDG 3 targets healthy lives and wellbeing for all, and SDG 6 targets access to clean water and sanitation within the United Nations Sustainable Development Goals (SDGs) (Arora and Mishra, 2022). These goals are linked, as communicable diseases, malnutrition, and death tolls around the world are greatly influenced by poor sanitation and unsafe water (WHO, 2023). The impact of SDG 3 and SDG 6 on citizens' health and wellbeing will be analysed, and national initiatives, including the NHS Long Term Plan, will be considered with a critical eye prior to recommendations for improvement </w:t>
      </w:r>
      <w:proofErr w:type="gramStart"/>
      <w:r w:rsidRPr="00144F10">
        <w:rPr>
          <w:sz w:val="22"/>
        </w:rPr>
        <w:t>in the area of</w:t>
      </w:r>
      <w:proofErr w:type="gramEnd"/>
      <w:r w:rsidRPr="00144F10">
        <w:rPr>
          <w:sz w:val="22"/>
        </w:rPr>
        <w:t xml:space="preserve"> local sustainability initiatives. </w:t>
      </w:r>
    </w:p>
    <w:p w14:paraId="1120662C" w14:textId="77777777" w:rsidR="00144F10" w:rsidRPr="00DF3A95" w:rsidRDefault="00144F10" w:rsidP="00144F10">
      <w:pPr>
        <w:spacing w:line="360" w:lineRule="auto"/>
      </w:pPr>
    </w:p>
    <w:p w14:paraId="22FC63BA" w14:textId="77777777" w:rsidR="00144F10" w:rsidRDefault="00144F10" w:rsidP="00144F10">
      <w:pPr>
        <w:pStyle w:val="Heading1"/>
        <w:spacing w:line="360" w:lineRule="auto"/>
      </w:pPr>
      <w:bookmarkStart w:id="1" w:name="_Toc231412538"/>
      <w:r w:rsidRPr="007806E5">
        <w:t>Understanding Sustainable Development, Health and Wellbeing</w:t>
      </w:r>
      <w:bookmarkEnd w:id="1"/>
    </w:p>
    <w:p w14:paraId="478AA3D2"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The term 'sustainable development' was formally defined in the Brundtland report as "development that meets the needs of the present without impairing the needs of the future" (Kumar, 2026). This concept takes into consideration the link between environmental sustainability, economic stability, social wellbeing and public health. Air quality, sanitation, and climate stability have a huge impact on disease prevention and life expectancy; economic sustainability on employment, investment in healthcare and living standards. Social wellbeing is also significant as inclusive communities, education, and social protection systems are linked to better mental and physical health outcomes. Case and </w:t>
      </w:r>
      <w:proofErr w:type="spellStart"/>
      <w:r w:rsidRPr="00144F10">
        <w:rPr>
          <w:rFonts w:ascii="Arial" w:hAnsi="Arial" w:cs="Arial"/>
          <w:sz w:val="22"/>
        </w:rPr>
        <w:t>Kraftman</w:t>
      </w:r>
      <w:proofErr w:type="spellEnd"/>
      <w:r w:rsidRPr="00144F10">
        <w:rPr>
          <w:rFonts w:ascii="Arial" w:hAnsi="Arial" w:cs="Arial"/>
          <w:sz w:val="22"/>
        </w:rPr>
        <w:t xml:space="preserve"> (2024) suggest that health inequalities are closely tied with other social and economic inequalities, especially within the most deprived populations.</w:t>
      </w:r>
    </w:p>
    <w:p w14:paraId="2CBB938B" w14:textId="77777777" w:rsidR="00144F10" w:rsidRPr="00144F10" w:rsidRDefault="00144F10" w:rsidP="00144F10">
      <w:pPr>
        <w:spacing w:line="360" w:lineRule="auto"/>
        <w:rPr>
          <w:rFonts w:ascii="Arial" w:hAnsi="Arial" w:cs="Arial"/>
          <w:sz w:val="22"/>
        </w:rPr>
      </w:pPr>
      <w:r w:rsidRPr="00144F10">
        <w:rPr>
          <w:rFonts w:ascii="Arial" w:hAnsi="Arial" w:cs="Arial"/>
          <w:sz w:val="22"/>
        </w:rPr>
        <w:lastRenderedPageBreak/>
        <w:t>Social determinants of health include access to healthcare services, education, employment opportunities, income, housing quality, and sanitation. Poor sanitation schedules waterborne diseases, inadequate hygiene outcomes, and overcrowding will raise respiratory and infectious diseases (Dunga, 2026). Overall, low education levels and income are also linked to health-related behaviours and reduced uptake of preventive health services. International bodies like the World Health Organisation and the United Nations contribute significantly to setting international public health priorities and sustainability goals, like Sustainable Development Goals (SDGs) (World Health Organisation, 2022). In the UK, there are organisations like the NHS and the Office for Health Improvement and Disparities that promote national public health strategies (Hunter et al., 2022).</w:t>
      </w:r>
    </w:p>
    <w:p w14:paraId="331816AF" w14:textId="77777777" w:rsidR="00144F10" w:rsidRPr="00DF3A95" w:rsidRDefault="00144F10" w:rsidP="00144F10">
      <w:pPr>
        <w:spacing w:line="360" w:lineRule="auto"/>
      </w:pPr>
    </w:p>
    <w:p w14:paraId="3E2B1396" w14:textId="77777777" w:rsidR="00144F10" w:rsidRDefault="00144F10" w:rsidP="00144F10">
      <w:pPr>
        <w:pStyle w:val="Heading1"/>
        <w:spacing w:line="360" w:lineRule="auto"/>
      </w:pPr>
      <w:bookmarkStart w:id="2" w:name="_Toc231412539"/>
      <w:r w:rsidRPr="007806E5">
        <w:t>Analysis of SDG 3: Good Health and Wellbeing</w:t>
      </w:r>
      <w:bookmarkEnd w:id="2"/>
    </w:p>
    <w:p w14:paraId="159B3D6F" w14:textId="77777777" w:rsidR="00144F10" w:rsidRPr="00144F10" w:rsidRDefault="00144F10" w:rsidP="00144F10">
      <w:pPr>
        <w:spacing w:line="360" w:lineRule="auto"/>
        <w:rPr>
          <w:rFonts w:ascii="Arial" w:hAnsi="Arial" w:cs="Arial"/>
          <w:sz w:val="22"/>
        </w:rPr>
      </w:pPr>
      <w:r w:rsidRPr="00144F10">
        <w:rPr>
          <w:rFonts w:ascii="Arial" w:hAnsi="Arial" w:cs="Arial"/>
          <w:sz w:val="22"/>
        </w:rPr>
        <w:t>Sustainable Development Goal 3 (SDG 3) will help meet the goal of ensuring healthy lives and promoting wellbeing for all by reducing maternal mortality and ending preventable deaths, enhancing mental health provision and services, combating communicable and non-communicable diseases, and ensuring universal health coverage (World Health Organisation, 2024). One notable programme that intersected with SDG 3 was Gavi's Expanded Immunisation Programme from 2000–2023, which was rolled out in sub-Saharan Africa and South Asia. World Health Organisation (2023) noted the under-5 mortality rates fell from 76 neonatal deaths per 1,000 live births globally in 2000 to 38 in 2021, highlighting measurable progress in child survival in recent years. Amendola (2023) reported that the programme has helped immunise more than 1 billion children, preventing approximately 17.3 million deaths from measles, polio, and other preventable diseases.</w:t>
      </w:r>
    </w:p>
    <w:p w14:paraId="7F9079ED"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Farmer (2020), on the other hand, questions the sustainability of global health efforts, particularly </w:t>
      </w:r>
      <w:proofErr w:type="gramStart"/>
      <w:r w:rsidRPr="00144F10">
        <w:rPr>
          <w:rFonts w:ascii="Arial" w:hAnsi="Arial" w:cs="Arial"/>
          <w:sz w:val="22"/>
        </w:rPr>
        <w:t>in regard to</w:t>
      </w:r>
      <w:proofErr w:type="gramEnd"/>
      <w:r w:rsidRPr="00144F10">
        <w:rPr>
          <w:rFonts w:ascii="Arial" w:hAnsi="Arial" w:cs="Arial"/>
          <w:sz w:val="22"/>
        </w:rPr>
        <w:t xml:space="preserve"> continued disparities in healthcare resources and workforce capacity in poorer nations, which rely on international donors to sustain programs for the foreseeable future. In the UK, SDG 3 is expressed as the NHS Long Term Plan, which pledged to invest £2.3 billion each year in increasing public services for mental health by 2023/24 (England, 2023). All mental health awareness campaigns since 2019 that Public Health England has rolled out have been focused on enhancing mental wellbeing through digital self-help resources and early help interventions (Fenton et al., 2023). NHS England (2024) was quoted as stating that </w:t>
      </w:r>
      <w:r w:rsidRPr="00144F10">
        <w:rPr>
          <w:rFonts w:ascii="Arial" w:hAnsi="Arial" w:cs="Arial"/>
          <w:sz w:val="22"/>
        </w:rPr>
        <w:lastRenderedPageBreak/>
        <w:t>over 3.8 million people sought mental health services from the NHS in 2023, a significant rise from pre-pandemic numbers.</w:t>
      </w:r>
    </w:p>
    <w:p w14:paraId="64A2788C"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In addition, the Change4Life campaign focused on tackling childhood obesity through encouraging healthy eating and increasing physical activity. While the schemes have shown progress, Case and </w:t>
      </w:r>
      <w:proofErr w:type="spellStart"/>
      <w:r w:rsidRPr="00144F10">
        <w:rPr>
          <w:rFonts w:ascii="Arial" w:hAnsi="Arial" w:cs="Arial"/>
          <w:sz w:val="22"/>
        </w:rPr>
        <w:t>Kraftman</w:t>
      </w:r>
      <w:proofErr w:type="spellEnd"/>
      <w:r w:rsidRPr="00144F10">
        <w:rPr>
          <w:rFonts w:ascii="Arial" w:hAnsi="Arial" w:cs="Arial"/>
          <w:sz w:val="22"/>
        </w:rPr>
        <w:t xml:space="preserve"> (2022) suggest health inequalities in England are serious, especially in Northern areas where life expectancy is shorter than in Essex and London. This criticism is echoed by Kirkbride et al. (2022), who have identified that a range of socioeconomic disadvantage factors remains detrimental to health, even when the national policy level provides interventions. In addition, in 2023 there have been over 112,000 vacancies in the UK health service workforce, leading to service delays and shortfalls of staff created during the pandemic which would compromise the ability to deliver effective SDG 3 within the healthcare system going forward (Causa et al., 2025).</w:t>
      </w:r>
    </w:p>
    <w:p w14:paraId="47F79203" w14:textId="77777777" w:rsidR="00144F10" w:rsidRPr="00144F10" w:rsidRDefault="00144F10" w:rsidP="00144F10">
      <w:pPr>
        <w:spacing w:line="360" w:lineRule="auto"/>
        <w:rPr>
          <w:rFonts w:ascii="Arial" w:hAnsi="Arial" w:cs="Arial"/>
          <w:sz w:val="22"/>
        </w:rPr>
      </w:pPr>
    </w:p>
    <w:p w14:paraId="7FA9604B" w14:textId="77777777" w:rsidR="00144F10" w:rsidRDefault="00144F10" w:rsidP="00144F10">
      <w:pPr>
        <w:pStyle w:val="Heading1"/>
        <w:spacing w:line="360" w:lineRule="auto"/>
      </w:pPr>
      <w:bookmarkStart w:id="3" w:name="_Toc231412540"/>
      <w:r w:rsidRPr="007806E5">
        <w:t>Analysis of SDG 6: Clean Water and Sanitation</w:t>
      </w:r>
      <w:bookmarkEnd w:id="3"/>
    </w:p>
    <w:p w14:paraId="1FE009F8" w14:textId="77777777" w:rsidR="00144F10" w:rsidRPr="00144F10" w:rsidRDefault="00144F10" w:rsidP="00144F10">
      <w:pPr>
        <w:spacing w:line="360" w:lineRule="auto"/>
        <w:rPr>
          <w:rFonts w:ascii="Arial" w:hAnsi="Arial" w:cs="Arial"/>
          <w:sz w:val="22"/>
        </w:rPr>
      </w:pPr>
      <w:r w:rsidRPr="00144F10">
        <w:rPr>
          <w:rFonts w:ascii="Arial" w:hAnsi="Arial" w:cs="Arial"/>
          <w:sz w:val="22"/>
        </w:rPr>
        <w:t>Sustainable Development Goal 6 ensures access to and management of clean water and sanitation for all; ensures that water and sanitation are available and better managed by all people. Public access to safe drinking water, effective sanitation, hygiene, and sustainable wastewater management is highlighted in the goal, given that polluted water sources are directly linked to outbreaks of infectious disease, malnutrition, and death. WHO estimated that around 2.2 billion people worldwide continued to have unsafe drinking water services, and 3.5 billion people continued to have poor sanitation services (World Health Organisation, 2026). Poor sanitation has been a key factor in the occurrence of cholera, diarrhoeal, and typhoid epidemics in developing countries. For instance, UNICEF WASH interventions in Bangladesh from 2018 to 2022 reached more than 6.3 million people, covering both hygiene promotion in communities and water infrastructure development (UNICEF, 2013).</w:t>
      </w:r>
    </w:p>
    <w:p w14:paraId="70EB3825"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In areas where the programme was implemented in rural districts, Amadi et al. 2024) reported that it helped to lower rates of open defecation and waterborne diseases. </w:t>
      </w:r>
      <w:proofErr w:type="spellStart"/>
      <w:r w:rsidRPr="00144F10">
        <w:rPr>
          <w:rFonts w:ascii="Arial" w:hAnsi="Arial" w:cs="Arial"/>
          <w:sz w:val="22"/>
        </w:rPr>
        <w:t>Neaemeka</w:t>
      </w:r>
      <w:proofErr w:type="spellEnd"/>
      <w:r w:rsidRPr="00144F10">
        <w:rPr>
          <w:rFonts w:ascii="Arial" w:hAnsi="Arial" w:cs="Arial"/>
          <w:sz w:val="22"/>
        </w:rPr>
        <w:t xml:space="preserve"> and </w:t>
      </w:r>
      <w:proofErr w:type="spellStart"/>
      <w:r w:rsidRPr="00144F10">
        <w:rPr>
          <w:rFonts w:ascii="Arial" w:hAnsi="Arial" w:cs="Arial"/>
          <w:sz w:val="22"/>
        </w:rPr>
        <w:t>Dikwa</w:t>
      </w:r>
      <w:proofErr w:type="spellEnd"/>
      <w:r w:rsidRPr="00144F10">
        <w:rPr>
          <w:rFonts w:ascii="Arial" w:hAnsi="Arial" w:cs="Arial"/>
          <w:sz w:val="22"/>
        </w:rPr>
        <w:t xml:space="preserve"> (2025) note, however, that sanitation programmes in low-income countries have ignored behavioural, educational, and poverty-related challenges to hygiene and have paid too much attention to the need to build and install sanitation infrastructure. Unsafe water and poor sanitation also help to account for child deaths and child malnutrition. Following this, Tekin </w:t>
      </w:r>
      <w:r w:rsidRPr="00144F10">
        <w:rPr>
          <w:rFonts w:ascii="Arial" w:hAnsi="Arial" w:cs="Arial"/>
          <w:sz w:val="22"/>
        </w:rPr>
        <w:lastRenderedPageBreak/>
        <w:t xml:space="preserve">(2022) identified diarrheal diseases associated with contaminated water as a leading cause of mortality, responsible for an estimated 485,000 deaths each year, mainly among children under 5, in sub-Saharan Africa and South Asia. According to Paul (2024), the impact of poor water quality on nutrition is adverse due to interrupted nutrient absorption, repeated gastrointestinal infections and an increased likelihood of long-term developmental issues in children. </w:t>
      </w:r>
    </w:p>
    <w:p w14:paraId="0AD5E778"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In the UK, SDG 6 is facilitated by the Water Industry Act 1991, the Environmental Protection Act 1990 and environmental policies like the UK Environmental Improvement Plan 2023 (GOV.UK, 2023). These policies have enhanced the drinking water quality standards and wastewater regulations. The Drinking Water Inspectorate (2023) has said that 99.97% of public water supplies across England have been compliant with safety standards (GOV.UK, 2023). Despite this, there are still many problems that need to be addressed, such as sewage pollution, ageing facilities, flood risks, and climate change risks. Surfers Against Sewage (SAS) reported more than 300,000 sewage discharge events along the UK's waterways in 2022, posing challenges for environmental sustainability and public health. Access to clean water thus directly contributes to SDG 3 by preventing diseases, enhancing mental health and boosting public health. </w:t>
      </w:r>
    </w:p>
    <w:p w14:paraId="4B1D9C2B" w14:textId="77777777" w:rsidR="00144F10" w:rsidRPr="007806E5" w:rsidRDefault="00144F10" w:rsidP="00144F10">
      <w:pPr>
        <w:spacing w:line="360" w:lineRule="auto"/>
      </w:pPr>
    </w:p>
    <w:p w14:paraId="49FCF297" w14:textId="77777777" w:rsidR="00144F10" w:rsidRDefault="00144F10" w:rsidP="00144F10">
      <w:pPr>
        <w:pStyle w:val="Heading1"/>
        <w:spacing w:line="360" w:lineRule="auto"/>
      </w:pPr>
      <w:bookmarkStart w:id="4" w:name="_Toc231412541"/>
      <w:r w:rsidRPr="007806E5">
        <w:t>Evaluation of National Health, Wellbeing and Sustainability Initiatives</w:t>
      </w:r>
      <w:bookmarkEnd w:id="4"/>
    </w:p>
    <w:p w14:paraId="07F363F3"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NHS Long Term Plan, launched in 2019 in England, is one of the most significant national projects in the UK relating to SDG 3 based on the pillars of preventative healthcare, increased mental health support, digital innovations in healthcare and earlier disease diagnosis. By 2023/24, the plan made an extra £33.9 billion per year funding settlement to improve patient outcomes and relieve strain on the acute health services (Causa et al., 2025). There is some indication that positive outcomes have been achieved, specifically in the delivery of mental health services, with </w:t>
      </w:r>
      <w:proofErr w:type="spellStart"/>
      <w:r w:rsidRPr="00144F10">
        <w:rPr>
          <w:rFonts w:ascii="Arial" w:hAnsi="Arial" w:cs="Arial"/>
          <w:sz w:val="22"/>
        </w:rPr>
        <w:t>ELNahas</w:t>
      </w:r>
      <w:proofErr w:type="spellEnd"/>
      <w:r w:rsidRPr="00144F10">
        <w:rPr>
          <w:rFonts w:ascii="Arial" w:hAnsi="Arial" w:cs="Arial"/>
          <w:sz w:val="22"/>
        </w:rPr>
        <w:t xml:space="preserve"> and Thibaut (2023) stating that more than 380,000 more adults have been using mental health services than before 2019. Brindley (2024), however, challenges the plan for its failure to provide a sufficient response to the workforce issues and regional inequalities, noting that long waiting lists and staffing gaps persist to continue to harm the accessibility of services, especially in poorer communities. </w:t>
      </w:r>
    </w:p>
    <w:p w14:paraId="1F4E13A2" w14:textId="77777777" w:rsidR="00144F10" w:rsidRPr="00144F10" w:rsidRDefault="00144F10" w:rsidP="00144F10">
      <w:pPr>
        <w:spacing w:line="360" w:lineRule="auto"/>
        <w:rPr>
          <w:rFonts w:ascii="Arial" w:hAnsi="Arial" w:cs="Arial"/>
          <w:sz w:val="22"/>
        </w:rPr>
      </w:pPr>
      <w:r w:rsidRPr="00144F10">
        <w:rPr>
          <w:rFonts w:ascii="Arial" w:hAnsi="Arial" w:cs="Arial"/>
          <w:sz w:val="22"/>
        </w:rPr>
        <w:lastRenderedPageBreak/>
        <w:t xml:space="preserve">The UK Clean Air Strategy 2019 is also a major project focused on lowering air pollution and enhancing environmental health benefits associated with respiratory and cardiovascular disease. The strategy implemented more stringent emission limits, domestic solid fuel burn restrictions and incentives for cleaner transport options. Emissions of fine particulate matter (PM2.5) dropped by around 18% from 2010 to 2022 (Based on the Department for Environment, Food and Rural Affairs; Pastorino et al., 2024). In some urban regions, Sorouri et al. (2025) stated that they detected air quality improvements that had led to fewer hospital admissions due to pollution. However, Domínguez et al. (2025) note that the pace of progress has been uneven, with monitoring being weak on the local level and inequalities regarding pollution exposure </w:t>
      </w:r>
      <w:proofErr w:type="gramStart"/>
      <w:r w:rsidRPr="00144F10">
        <w:rPr>
          <w:rFonts w:ascii="Arial" w:hAnsi="Arial" w:cs="Arial"/>
          <w:sz w:val="22"/>
        </w:rPr>
        <w:t>still persisting</w:t>
      </w:r>
      <w:proofErr w:type="gramEnd"/>
      <w:r w:rsidRPr="00144F10">
        <w:rPr>
          <w:rFonts w:ascii="Arial" w:hAnsi="Arial" w:cs="Arial"/>
          <w:sz w:val="22"/>
        </w:rPr>
        <w:t xml:space="preserve"> in cities. Moreover, with economic pressures and political shifts, long-term environmental investment has been hampered, reducing the sustainability of these efforts. </w:t>
      </w:r>
    </w:p>
    <w:p w14:paraId="1153E3BA" w14:textId="77777777" w:rsidR="00144F10" w:rsidRPr="00B44A76" w:rsidRDefault="00144F10" w:rsidP="00144F10">
      <w:pPr>
        <w:spacing w:line="360" w:lineRule="auto"/>
      </w:pPr>
    </w:p>
    <w:p w14:paraId="5A54210C" w14:textId="77777777" w:rsidR="00144F10" w:rsidRDefault="00144F10" w:rsidP="00144F10">
      <w:pPr>
        <w:pStyle w:val="Heading1"/>
        <w:spacing w:line="360" w:lineRule="auto"/>
      </w:pPr>
      <w:bookmarkStart w:id="5" w:name="_Toc231412542"/>
      <w:r w:rsidRPr="007806E5">
        <w:t xml:space="preserve">Evaluation of </w:t>
      </w:r>
      <w:r>
        <w:t>Scotland’s Cleaner Air Initiative</w:t>
      </w:r>
      <w:bookmarkEnd w:id="5"/>
    </w:p>
    <w:p w14:paraId="6884B853" w14:textId="77777777" w:rsidR="00144F10" w:rsidRPr="00144F10" w:rsidRDefault="00144F10" w:rsidP="00144F10">
      <w:pPr>
        <w:spacing w:line="360" w:lineRule="auto"/>
        <w:rPr>
          <w:rFonts w:ascii="Arial" w:hAnsi="Arial" w:cs="Arial"/>
          <w:sz w:val="22"/>
        </w:rPr>
      </w:pPr>
      <w:r w:rsidRPr="00144F10">
        <w:rPr>
          <w:rFonts w:ascii="Arial" w:hAnsi="Arial" w:cs="Arial"/>
          <w:sz w:val="22"/>
        </w:rPr>
        <w:t>The national Cleaner Air for Scotland 2 (CAFS2) strategy was introduced in 2021 to help improve air quality and lower the health risks of air pollution in Scottish communities. The initiative contributes to SDG 3 through addressing diseases associated with poor air quality, such as asthma, cardiovascular disease and respiratory infections, and indirectly to environmental sustainability goals related to SDG 6. This included the implementation of Low Emission Zones (LEZs) in Glasgow, Edinburgh, Dundee and Aberdeen from 2022 to 2024, as well as vehicle emission regulations that are becoming tighter across the board and greater visibility and promotion of sustainable public transport. Since the introduction of LEZs, levels of NO2 in the Glasgow city centre have fallen by around 20% (Meighan, 2024).</w:t>
      </w:r>
    </w:p>
    <w:p w14:paraId="46A048BB" w14:textId="77777777" w:rsidR="00144F10" w:rsidRPr="00144F10" w:rsidRDefault="00144F10" w:rsidP="00144F10">
      <w:pPr>
        <w:spacing w:line="360" w:lineRule="auto"/>
        <w:rPr>
          <w:rFonts w:ascii="Arial" w:hAnsi="Arial" w:cs="Arial"/>
          <w:sz w:val="22"/>
        </w:rPr>
      </w:pPr>
      <w:r w:rsidRPr="00144F10">
        <w:rPr>
          <w:rFonts w:ascii="Arial" w:hAnsi="Arial" w:cs="Arial"/>
          <w:sz w:val="22"/>
        </w:rPr>
        <w:t>Catalano and Congreve (2025) estimated that air pollution is responsible for almost 2,500 early deaths each year in Scotland, especially those in deprived urban areas. The findings reinforce the case for better air quality policies to improve public health and alleviate pressures on the NHS in the longer term. Eiser et al. (2022) suggest, however, that Scottish environmental strategies have paid more attention to targets for regulation than wider socio-economic inequalities that affect health outcomes. There has also been a lack of funds and access to the initiative. David et al. (2023) admitted that some local authorities were not well resourced enough to turn around infrastructure and monitoring systems in a timely fashion. In addition, lower-income families will have a hard time adhering to LEZ rules as the exchange of non-</w:t>
      </w:r>
      <w:r w:rsidRPr="00144F10">
        <w:rPr>
          <w:rFonts w:ascii="Arial" w:hAnsi="Arial" w:cs="Arial"/>
          <w:sz w:val="22"/>
        </w:rPr>
        <w:lastRenderedPageBreak/>
        <w:t xml:space="preserve">compliant cars is expensive. Overall, CAFS2 scores well on sustainability goals; however, disparities in environmental exposures and economic resources remain that limit effectiveness. </w:t>
      </w:r>
    </w:p>
    <w:p w14:paraId="0E12FC16" w14:textId="77777777" w:rsidR="00144F10" w:rsidRPr="00DE335C" w:rsidRDefault="00144F10" w:rsidP="00144F10">
      <w:pPr>
        <w:spacing w:line="360" w:lineRule="auto"/>
      </w:pPr>
    </w:p>
    <w:p w14:paraId="095D9CC8" w14:textId="77777777" w:rsidR="00144F10" w:rsidRDefault="00144F10" w:rsidP="00144F10">
      <w:pPr>
        <w:pStyle w:val="Heading1"/>
        <w:spacing w:line="360" w:lineRule="auto"/>
      </w:pPr>
      <w:bookmarkStart w:id="6" w:name="_Toc231412543"/>
      <w:r w:rsidRPr="007806E5">
        <w:t>Recommendations for Improvement</w:t>
      </w:r>
      <w:bookmarkEnd w:id="6"/>
    </w:p>
    <w:p w14:paraId="67544E64"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To enhance the effectiveness of health, wellbeing and sustainability measures that are associated with SDG 3 and SDG 6 in the UK, several improvements are required. More funding must be given to public health to tackle staffing issues, delayed access to care and inequity in health services. Phillips et al. (2026) have expressed concern that services have not been sufficiently built up, especially in deprived areas, due to chronic underinvestment. Further investment in preventative health and wellbeing and supports to community mental health services may decrease hospital admissions and will enhance long-term wellbeing outcomes. Secondly, we need better environmental protection policies for sewage pollution, flooding and air quality issues. The UK's sewage infrastructure and environmental regulation are deficient, with more than 300,000 sewage discharges reported in waterways across the country during 2022 (Battersby, 2023). </w:t>
      </w:r>
    </w:p>
    <w:p w14:paraId="285032D6"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Expanding investment in sustainable water systems and climate-resilient infrastructure would enhance protection of public health and environmental sustainability. Greater links between local authorities, healthcare and environmental agencies are also needed to decrease inequalities in the region. Social determinants of health such as housing, employment, and environment have a strong impact on health outcomes, as stated by Bentley et al. (2025). Integrated policymaking using local health data along with this might then yield better resource allocation and better targeting of vulnerable populations. Lastly, more widespread public education programs on hygiene, pollution, diet and mental health could improve preventative healthcare practices and promote better long-term public health gains in communities. </w:t>
      </w:r>
    </w:p>
    <w:p w14:paraId="27BB13C9" w14:textId="77777777" w:rsidR="00144F10" w:rsidRPr="00473B23" w:rsidRDefault="00144F10" w:rsidP="00144F10">
      <w:pPr>
        <w:spacing w:line="360" w:lineRule="auto"/>
      </w:pPr>
    </w:p>
    <w:p w14:paraId="4EF2C9E7" w14:textId="77777777" w:rsidR="00144F10" w:rsidRDefault="00144F10" w:rsidP="00144F10">
      <w:pPr>
        <w:pStyle w:val="Heading1"/>
        <w:spacing w:line="360" w:lineRule="auto"/>
      </w:pPr>
      <w:bookmarkStart w:id="7" w:name="_Toc231412544"/>
      <w:r w:rsidRPr="007806E5">
        <w:t>Conclusion</w:t>
      </w:r>
      <w:bookmarkEnd w:id="7"/>
    </w:p>
    <w:p w14:paraId="5338927C" w14:textId="77777777" w:rsidR="00144F10" w:rsidRPr="00144F10" w:rsidRDefault="00144F10" w:rsidP="00144F10">
      <w:pPr>
        <w:spacing w:line="360" w:lineRule="auto"/>
        <w:rPr>
          <w:rFonts w:ascii="Arial" w:hAnsi="Arial" w:cs="Arial"/>
          <w:sz w:val="22"/>
        </w:rPr>
      </w:pPr>
      <w:r w:rsidRPr="00144F10">
        <w:rPr>
          <w:rFonts w:ascii="Arial" w:hAnsi="Arial" w:cs="Arial"/>
          <w:sz w:val="22"/>
        </w:rPr>
        <w:t xml:space="preserve">To conclude, SDG 3 and SDG 6 are key SDGs to improve health and wellbeing globally and nationally by ensuring access to healthcare, disease prevention, clean water, sanitation and </w:t>
      </w:r>
      <w:r w:rsidRPr="00144F10">
        <w:rPr>
          <w:rFonts w:ascii="Arial" w:hAnsi="Arial" w:cs="Arial"/>
          <w:sz w:val="22"/>
        </w:rPr>
        <w:lastRenderedPageBreak/>
        <w:t xml:space="preserve">environmental sustainability. The report has shown that sustainability policies and actions have a significant impact on public health via preventative healthcare approaches, environmental protection and conditions. There have been some measurable improvements in health promotion and environmental management </w:t>
      </w:r>
      <w:proofErr w:type="gramStart"/>
      <w:r w:rsidRPr="00144F10">
        <w:rPr>
          <w:rFonts w:ascii="Arial" w:hAnsi="Arial" w:cs="Arial"/>
          <w:sz w:val="22"/>
        </w:rPr>
        <w:t>as a result of</w:t>
      </w:r>
      <w:proofErr w:type="gramEnd"/>
      <w:r w:rsidRPr="00144F10">
        <w:rPr>
          <w:rFonts w:ascii="Arial" w:hAnsi="Arial" w:cs="Arial"/>
          <w:sz w:val="22"/>
        </w:rPr>
        <w:t xml:space="preserve"> global programmes, as well as UK national policies and local initiatives, including Scotland's Cleaner Air for Scotland strategy. But the disparities in access to healthcare, financial constraints, environmental hazards, and socio-economic differences remain a hindrance to </w:t>
      </w:r>
      <w:proofErr w:type="gramStart"/>
      <w:r w:rsidRPr="00144F10">
        <w:rPr>
          <w:rFonts w:ascii="Arial" w:hAnsi="Arial" w:cs="Arial"/>
          <w:sz w:val="22"/>
        </w:rPr>
        <w:t>effectiveness as a whole</w:t>
      </w:r>
      <w:proofErr w:type="gramEnd"/>
      <w:r w:rsidRPr="00144F10">
        <w:rPr>
          <w:rFonts w:ascii="Arial" w:hAnsi="Arial" w:cs="Arial"/>
          <w:sz w:val="22"/>
        </w:rPr>
        <w:t xml:space="preserve">. Thus, the need of the hour is to have an integrated and sustainable policy approach to achieve better long-term public health outcomes and to alleviate health disparities among communities. </w:t>
      </w:r>
    </w:p>
    <w:p w14:paraId="3C588AA5" w14:textId="77777777" w:rsidR="00144F10" w:rsidRDefault="00144F10" w:rsidP="00144F10">
      <w:pPr>
        <w:spacing w:line="360" w:lineRule="auto"/>
      </w:pPr>
    </w:p>
    <w:p w14:paraId="2BCBAF7D" w14:textId="77777777" w:rsidR="00144F10" w:rsidRDefault="00144F10" w:rsidP="00144F10">
      <w:pPr>
        <w:spacing w:line="360" w:lineRule="auto"/>
      </w:pPr>
      <w:r>
        <w:br w:type="page"/>
      </w:r>
    </w:p>
    <w:p w14:paraId="40181631" w14:textId="77777777" w:rsidR="00144F10" w:rsidRDefault="00144F10" w:rsidP="00144F10">
      <w:pPr>
        <w:pStyle w:val="Heading1"/>
        <w:spacing w:line="360" w:lineRule="auto"/>
      </w:pPr>
      <w:bookmarkStart w:id="8" w:name="_Toc231412545"/>
      <w:r>
        <w:lastRenderedPageBreak/>
        <w:t>References</w:t>
      </w:r>
      <w:bookmarkEnd w:id="8"/>
      <w:r>
        <w:t xml:space="preserve"> </w:t>
      </w:r>
    </w:p>
    <w:p w14:paraId="77183016" w14:textId="77777777" w:rsidR="00144F10" w:rsidRDefault="00144F10" w:rsidP="00144F10">
      <w:pPr>
        <w:spacing w:line="360" w:lineRule="auto"/>
        <w:ind w:left="720" w:hanging="720"/>
      </w:pPr>
      <w:r w:rsidRPr="003D6CD7">
        <w:t xml:space="preserve">Amadi, E.C., Ike, A.C., Eze, E.A. and </w:t>
      </w:r>
      <w:proofErr w:type="spellStart"/>
      <w:r w:rsidRPr="003D6CD7">
        <w:t>Imanyikwa</w:t>
      </w:r>
      <w:proofErr w:type="spellEnd"/>
      <w:r w:rsidRPr="003D6CD7">
        <w:t xml:space="preserve">, I.O. </w:t>
      </w:r>
      <w:r>
        <w:t>(</w:t>
      </w:r>
      <w:r w:rsidRPr="003D6CD7">
        <w:t>2024</w:t>
      </w:r>
      <w:r>
        <w:t>)</w:t>
      </w:r>
      <w:r w:rsidRPr="003D6CD7">
        <w:t>. Open defecation and water-related parasitic diseases burden: Case study in Nigeria—A review. </w:t>
      </w:r>
      <w:r w:rsidRPr="003D6CD7">
        <w:rPr>
          <w:i/>
          <w:iCs/>
        </w:rPr>
        <w:t>Innovation in Science and Technology</w:t>
      </w:r>
      <w:r w:rsidRPr="003D6CD7">
        <w:t>, </w:t>
      </w:r>
      <w:r w:rsidRPr="003D6CD7">
        <w:rPr>
          <w:i/>
          <w:iCs/>
        </w:rPr>
        <w:t>3</w:t>
      </w:r>
      <w:r w:rsidRPr="003D6CD7">
        <w:t>(5), pp.1-14</w:t>
      </w:r>
      <w:r>
        <w:t>.</w:t>
      </w:r>
    </w:p>
    <w:p w14:paraId="75F9B779" w14:textId="77777777" w:rsidR="00144F10" w:rsidRDefault="00144F10" w:rsidP="00144F10">
      <w:pPr>
        <w:spacing w:line="360" w:lineRule="auto"/>
        <w:ind w:left="720" w:hanging="720"/>
      </w:pPr>
      <w:r w:rsidRPr="003D6CD7">
        <w:t xml:space="preserve">Amendola, A. and </w:t>
      </w:r>
      <w:proofErr w:type="spellStart"/>
      <w:r w:rsidRPr="003D6CD7">
        <w:t>Canuti</w:t>
      </w:r>
      <w:proofErr w:type="spellEnd"/>
      <w:r w:rsidRPr="003D6CD7">
        <w:t xml:space="preserve">, M. </w:t>
      </w:r>
      <w:r>
        <w:t>(</w:t>
      </w:r>
      <w:r w:rsidRPr="003D6CD7">
        <w:t>2023</w:t>
      </w:r>
      <w:r>
        <w:t>)</w:t>
      </w:r>
      <w:r w:rsidRPr="003D6CD7">
        <w:t>. Vaccine-preventable diseases. In </w:t>
      </w:r>
      <w:r w:rsidRPr="003D6CD7">
        <w:rPr>
          <w:i/>
          <w:iCs/>
        </w:rPr>
        <w:t>Global Health Essentials</w:t>
      </w:r>
      <w:r w:rsidRPr="003D6CD7">
        <w:t> (pp. 117-127). Cham: Springer International Publishing.</w:t>
      </w:r>
    </w:p>
    <w:p w14:paraId="080083FD" w14:textId="77777777" w:rsidR="00144F10" w:rsidRDefault="00144F10" w:rsidP="00144F10">
      <w:pPr>
        <w:spacing w:line="360" w:lineRule="auto"/>
        <w:ind w:left="720" w:hanging="720"/>
      </w:pPr>
      <w:r w:rsidRPr="003D6CD7">
        <w:t xml:space="preserve">Arora, N.K. and Mishra, I. </w:t>
      </w:r>
      <w:r>
        <w:t>(</w:t>
      </w:r>
      <w:r w:rsidRPr="003D6CD7">
        <w:t>2022</w:t>
      </w:r>
      <w:r>
        <w:t>)</w:t>
      </w:r>
      <w:r w:rsidRPr="003D6CD7">
        <w:t>. Sustainable development goal 6: global water security. </w:t>
      </w:r>
      <w:r w:rsidRPr="003D6CD7">
        <w:rPr>
          <w:i/>
          <w:iCs/>
        </w:rPr>
        <w:t>Environmental Sustainability</w:t>
      </w:r>
      <w:r w:rsidRPr="003D6CD7">
        <w:t>, </w:t>
      </w:r>
      <w:r w:rsidRPr="003D6CD7">
        <w:rPr>
          <w:i/>
          <w:iCs/>
        </w:rPr>
        <w:t>5</w:t>
      </w:r>
      <w:r w:rsidRPr="003D6CD7">
        <w:t>(3), pp.271-275.</w:t>
      </w:r>
    </w:p>
    <w:p w14:paraId="16D42B19" w14:textId="77777777" w:rsidR="00144F10" w:rsidRPr="002F1940" w:rsidRDefault="00144F10" w:rsidP="00144F10">
      <w:pPr>
        <w:spacing w:line="360" w:lineRule="auto"/>
        <w:ind w:left="720" w:hanging="720"/>
      </w:pPr>
      <w:r w:rsidRPr="002F1940">
        <w:t xml:space="preserve">Battersby, S. </w:t>
      </w:r>
      <w:r>
        <w:t>(</w:t>
      </w:r>
      <w:r w:rsidRPr="002F1940">
        <w:t>2023</w:t>
      </w:r>
      <w:r>
        <w:t>)</w:t>
      </w:r>
      <w:r w:rsidRPr="002F1940">
        <w:t>. </w:t>
      </w:r>
      <w:r w:rsidRPr="002F1940">
        <w:rPr>
          <w:i/>
          <w:iCs/>
        </w:rPr>
        <w:t>Sewerage and sewage as an environmental health issue</w:t>
      </w:r>
      <w:r w:rsidRPr="002F1940">
        <w:t>. Routledge.</w:t>
      </w:r>
    </w:p>
    <w:p w14:paraId="64861BAC" w14:textId="77777777" w:rsidR="00144F10" w:rsidRDefault="00144F10" w:rsidP="00144F10">
      <w:pPr>
        <w:spacing w:line="360" w:lineRule="auto"/>
        <w:ind w:left="720" w:hanging="720"/>
      </w:pPr>
      <w:r w:rsidRPr="002F1940">
        <w:t xml:space="preserve">Brindley, C. </w:t>
      </w:r>
      <w:r>
        <w:t>(</w:t>
      </w:r>
      <w:r w:rsidRPr="002F1940">
        <w:t>2024</w:t>
      </w:r>
      <w:r>
        <w:t>)</w:t>
      </w:r>
      <w:r w:rsidRPr="002F1940">
        <w:t>. Health inequalities, healthcare demand and waiting times.</w:t>
      </w:r>
    </w:p>
    <w:p w14:paraId="07E07B2A" w14:textId="77777777" w:rsidR="00144F10" w:rsidRDefault="00144F10" w:rsidP="00144F10">
      <w:pPr>
        <w:spacing w:line="360" w:lineRule="auto"/>
        <w:ind w:left="720" w:hanging="720"/>
      </w:pPr>
      <w:r w:rsidRPr="003D6CD7">
        <w:t xml:space="preserve">Case, A. and </w:t>
      </w:r>
      <w:proofErr w:type="spellStart"/>
      <w:r w:rsidRPr="003D6CD7">
        <w:t>Kraftman</w:t>
      </w:r>
      <w:proofErr w:type="spellEnd"/>
      <w:r w:rsidRPr="003D6CD7">
        <w:t xml:space="preserve">, L. </w:t>
      </w:r>
      <w:r>
        <w:t>(</w:t>
      </w:r>
      <w:r w:rsidRPr="003D6CD7">
        <w:t>2022</w:t>
      </w:r>
      <w:r>
        <w:t>)</w:t>
      </w:r>
      <w:r w:rsidRPr="003D6CD7">
        <w:t>. </w:t>
      </w:r>
      <w:r w:rsidRPr="003D6CD7">
        <w:rPr>
          <w:i/>
          <w:iCs/>
        </w:rPr>
        <w:t>Health inequalities</w:t>
      </w:r>
      <w:r w:rsidRPr="003D6CD7">
        <w:t> (No. R227). IFS Report.</w:t>
      </w:r>
    </w:p>
    <w:p w14:paraId="49E1C064" w14:textId="77777777" w:rsidR="00144F10" w:rsidRDefault="00144F10" w:rsidP="00144F10">
      <w:pPr>
        <w:spacing w:line="360" w:lineRule="auto"/>
        <w:ind w:left="720" w:hanging="720"/>
      </w:pPr>
      <w:r w:rsidRPr="003D6CD7">
        <w:t xml:space="preserve">Case, A. and </w:t>
      </w:r>
      <w:proofErr w:type="spellStart"/>
      <w:r w:rsidRPr="003D6CD7">
        <w:t>Kraftman</w:t>
      </w:r>
      <w:proofErr w:type="spellEnd"/>
      <w:r w:rsidRPr="003D6CD7">
        <w:t xml:space="preserve">, L. </w:t>
      </w:r>
      <w:r>
        <w:t>(</w:t>
      </w:r>
      <w:r w:rsidRPr="003D6CD7">
        <w:t>2024</w:t>
      </w:r>
      <w:r>
        <w:t>)</w:t>
      </w:r>
      <w:r w:rsidRPr="003D6CD7">
        <w:t>. Health inequalities. </w:t>
      </w:r>
      <w:r w:rsidRPr="003D6CD7">
        <w:rPr>
          <w:i/>
          <w:iCs/>
        </w:rPr>
        <w:t>Oxford Open Economics</w:t>
      </w:r>
      <w:r w:rsidRPr="003D6CD7">
        <w:t>, </w:t>
      </w:r>
      <w:r w:rsidRPr="003D6CD7">
        <w:rPr>
          <w:i/>
          <w:iCs/>
        </w:rPr>
        <w:t>3</w:t>
      </w:r>
      <w:r w:rsidRPr="003D6CD7">
        <w:t xml:space="preserve">(Supplement_1), </w:t>
      </w:r>
      <w:proofErr w:type="gramStart"/>
      <w:r w:rsidRPr="003D6CD7">
        <w:t>pp.i</w:t>
      </w:r>
      <w:proofErr w:type="gramEnd"/>
      <w:r w:rsidRPr="003D6CD7">
        <w:t>499-i528.</w:t>
      </w:r>
    </w:p>
    <w:p w14:paraId="749E96C4" w14:textId="77777777" w:rsidR="00144F10" w:rsidRDefault="00144F10" w:rsidP="00144F10">
      <w:pPr>
        <w:spacing w:line="360" w:lineRule="auto"/>
        <w:ind w:left="720" w:hanging="720"/>
      </w:pPr>
      <w:r w:rsidRPr="002F1940">
        <w:t xml:space="preserve">Catalano, A. and Congreve, E. </w:t>
      </w:r>
      <w:r>
        <w:t>(</w:t>
      </w:r>
      <w:r w:rsidRPr="002F1940">
        <w:t>2025</w:t>
      </w:r>
      <w:r>
        <w:t>)</w:t>
      </w:r>
      <w:r w:rsidRPr="002F1940">
        <w:t>. Air Pollution and Inequality in Scotland.</w:t>
      </w:r>
    </w:p>
    <w:p w14:paraId="030AC043" w14:textId="77777777" w:rsidR="00144F10" w:rsidRDefault="00144F10" w:rsidP="00144F10">
      <w:pPr>
        <w:spacing w:line="360" w:lineRule="auto"/>
        <w:ind w:left="720" w:hanging="720"/>
      </w:pPr>
      <w:r w:rsidRPr="003D6CD7">
        <w:t xml:space="preserve">Causa, O., Soldani, E., Nguyen, M. and Tanaka, T. </w:t>
      </w:r>
      <w:r>
        <w:t>(</w:t>
      </w:r>
      <w:r w:rsidRPr="003D6CD7">
        <w:t>2025</w:t>
      </w:r>
      <w:r>
        <w:t>)</w:t>
      </w:r>
      <w:r w:rsidRPr="003D6CD7">
        <w:t>. Labour shortages and labour market inequalities. </w:t>
      </w:r>
      <w:r w:rsidRPr="003D6CD7">
        <w:rPr>
          <w:i/>
          <w:iCs/>
        </w:rPr>
        <w:t xml:space="preserve">Documents de travail du Département des Affaires </w:t>
      </w:r>
      <w:proofErr w:type="spellStart"/>
      <w:r w:rsidRPr="003D6CD7">
        <w:rPr>
          <w:i/>
          <w:iCs/>
        </w:rPr>
        <w:t>économiques</w:t>
      </w:r>
      <w:proofErr w:type="spellEnd"/>
      <w:r w:rsidRPr="003D6CD7">
        <w:rPr>
          <w:i/>
          <w:iCs/>
        </w:rPr>
        <w:t xml:space="preserve"> de </w:t>
      </w:r>
      <w:proofErr w:type="spellStart"/>
      <w:r w:rsidRPr="003D6CD7">
        <w:rPr>
          <w:i/>
          <w:iCs/>
        </w:rPr>
        <w:t>l'OCDE</w:t>
      </w:r>
      <w:proofErr w:type="spellEnd"/>
      <w:r w:rsidRPr="003D6CD7">
        <w:t>.</w:t>
      </w:r>
    </w:p>
    <w:p w14:paraId="4E7E82E9" w14:textId="77777777" w:rsidR="00144F10" w:rsidRDefault="00144F10" w:rsidP="00144F10">
      <w:pPr>
        <w:spacing w:line="360" w:lineRule="auto"/>
        <w:ind w:left="720" w:hanging="720"/>
      </w:pPr>
      <w:r w:rsidRPr="002F1940">
        <w:t xml:space="preserve">David, A., </w:t>
      </w:r>
      <w:proofErr w:type="spellStart"/>
      <w:r w:rsidRPr="002F1940">
        <w:t>Yigitcanlar</w:t>
      </w:r>
      <w:proofErr w:type="spellEnd"/>
      <w:r w:rsidRPr="002F1940">
        <w:t xml:space="preserve">, T., Li, R.Y.M., Corchado, J.M., Cheong, P.H., Mossberger, K. and Mehmood, R. </w:t>
      </w:r>
      <w:r>
        <w:t>(</w:t>
      </w:r>
      <w:r w:rsidRPr="002F1940">
        <w:t>2023</w:t>
      </w:r>
      <w:r>
        <w:t>)</w:t>
      </w:r>
      <w:r w:rsidRPr="002F1940">
        <w:t>. Understanding local government digital technology adoption strategies: A PRISMA review. </w:t>
      </w:r>
      <w:r w:rsidRPr="002F1940">
        <w:rPr>
          <w:i/>
          <w:iCs/>
        </w:rPr>
        <w:t>Sustainability</w:t>
      </w:r>
      <w:r w:rsidRPr="002F1940">
        <w:t>, </w:t>
      </w:r>
      <w:r w:rsidRPr="002F1940">
        <w:rPr>
          <w:i/>
          <w:iCs/>
        </w:rPr>
        <w:t>15</w:t>
      </w:r>
      <w:r w:rsidRPr="002F1940">
        <w:t>(12), p.9645.</w:t>
      </w:r>
    </w:p>
    <w:p w14:paraId="667103CE" w14:textId="77777777" w:rsidR="00144F10" w:rsidRDefault="00144F10" w:rsidP="00144F10">
      <w:pPr>
        <w:spacing w:line="360" w:lineRule="auto"/>
        <w:ind w:left="720" w:hanging="720"/>
      </w:pPr>
      <w:r w:rsidRPr="002F1940">
        <w:t xml:space="preserve">Domínguez, P., Hoffmann, B. and Medina, M.P. </w:t>
      </w:r>
      <w:r>
        <w:t>(</w:t>
      </w:r>
      <w:r w:rsidRPr="002F1940">
        <w:t>2025</w:t>
      </w:r>
      <w:r>
        <w:t>)</w:t>
      </w:r>
      <w:r w:rsidRPr="002F1940">
        <w:t>. Inequality in Air Pollution Monitoring and Exposure: Evidence from Four Latin American Cities.</w:t>
      </w:r>
    </w:p>
    <w:p w14:paraId="18ABDA8B" w14:textId="77777777" w:rsidR="00144F10" w:rsidRDefault="00144F10" w:rsidP="00144F10">
      <w:pPr>
        <w:spacing w:line="360" w:lineRule="auto"/>
        <w:ind w:left="720" w:hanging="720"/>
      </w:pPr>
      <w:r w:rsidRPr="003D6CD7">
        <w:t xml:space="preserve">Dunga, K.E. </w:t>
      </w:r>
      <w:r>
        <w:t>(</w:t>
      </w:r>
      <w:r w:rsidRPr="003D6CD7">
        <w:t>2026</w:t>
      </w:r>
      <w:r>
        <w:t>)</w:t>
      </w:r>
      <w:r w:rsidRPr="003D6CD7">
        <w:t>. Waterborne Diseases and Public Health: Risks and Interventions. In </w:t>
      </w:r>
      <w:r w:rsidRPr="003D6CD7">
        <w:rPr>
          <w:i/>
          <w:iCs/>
        </w:rPr>
        <w:t>Water Quality and Safety in the Global South: Challenges, Solutions and Future Directions</w:t>
      </w:r>
      <w:r w:rsidRPr="003D6CD7">
        <w:t> (pp. 87-112). Cham: Springer Nature Switzerland.</w:t>
      </w:r>
    </w:p>
    <w:p w14:paraId="13EBBEC5" w14:textId="77777777" w:rsidR="00144F10" w:rsidRDefault="00144F10" w:rsidP="00144F10">
      <w:pPr>
        <w:spacing w:line="360" w:lineRule="auto"/>
        <w:ind w:left="720" w:hanging="720"/>
      </w:pPr>
      <w:r w:rsidRPr="002F1940">
        <w:t xml:space="preserve">Eiser, D., Congreve, E., Crummey, C. and Catalano, A. </w:t>
      </w:r>
      <w:r>
        <w:t>(</w:t>
      </w:r>
      <w:r w:rsidRPr="002F1940">
        <w:t>2022</w:t>
      </w:r>
      <w:r>
        <w:t>)</w:t>
      </w:r>
      <w:r w:rsidRPr="002F1940">
        <w:t>. Health Inequalities in Scotland: Trends in the socio-economic determinants of health in Scotland.</w:t>
      </w:r>
    </w:p>
    <w:p w14:paraId="56024EDA" w14:textId="77777777" w:rsidR="00144F10" w:rsidRDefault="00144F10" w:rsidP="00144F10">
      <w:pPr>
        <w:spacing w:line="360" w:lineRule="auto"/>
        <w:ind w:left="720" w:hanging="720"/>
      </w:pPr>
      <w:proofErr w:type="spellStart"/>
      <w:r w:rsidRPr="002F1940">
        <w:lastRenderedPageBreak/>
        <w:t>ELNahas</w:t>
      </w:r>
      <w:proofErr w:type="spellEnd"/>
      <w:r w:rsidRPr="002F1940">
        <w:t xml:space="preserve">, G. and Thibaut, F. </w:t>
      </w:r>
      <w:r>
        <w:t>(</w:t>
      </w:r>
      <w:r w:rsidRPr="002F1940">
        <w:t>2023</w:t>
      </w:r>
      <w:r>
        <w:t>)</w:t>
      </w:r>
      <w:r w:rsidRPr="002F1940">
        <w:t>. Perinatal psychoactive substances use: a rising perinatal mental health concern. </w:t>
      </w:r>
      <w:r w:rsidRPr="002F1940">
        <w:rPr>
          <w:i/>
          <w:iCs/>
        </w:rPr>
        <w:t>Journal of Clinical Medicine</w:t>
      </w:r>
      <w:r w:rsidRPr="002F1940">
        <w:t>, </w:t>
      </w:r>
      <w:r w:rsidRPr="002F1940">
        <w:rPr>
          <w:i/>
          <w:iCs/>
        </w:rPr>
        <w:t>12</w:t>
      </w:r>
      <w:r w:rsidRPr="002F1940">
        <w:t>(6), p.2175.</w:t>
      </w:r>
    </w:p>
    <w:p w14:paraId="3197DF62" w14:textId="77777777" w:rsidR="00144F10" w:rsidRDefault="00144F10" w:rsidP="00144F10">
      <w:pPr>
        <w:spacing w:line="360" w:lineRule="auto"/>
        <w:ind w:left="720" w:hanging="720"/>
      </w:pPr>
      <w:r w:rsidRPr="003D6CD7">
        <w:t xml:space="preserve">England, N.H.S. </w:t>
      </w:r>
      <w:r>
        <w:t>(</w:t>
      </w:r>
      <w:r w:rsidRPr="003D6CD7">
        <w:t>2023</w:t>
      </w:r>
      <w:r>
        <w:t>)</w:t>
      </w:r>
      <w:r w:rsidRPr="003D6CD7">
        <w:t>. </w:t>
      </w:r>
      <w:r w:rsidRPr="003D6CD7">
        <w:rPr>
          <w:i/>
          <w:iCs/>
        </w:rPr>
        <w:t>NHS long-term workforce plan</w:t>
      </w:r>
      <w:r w:rsidRPr="003D6CD7">
        <w:t> [online]</w:t>
      </w:r>
    </w:p>
    <w:p w14:paraId="2A617271" w14:textId="77777777" w:rsidR="00144F10" w:rsidRDefault="00144F10" w:rsidP="00144F10">
      <w:pPr>
        <w:spacing w:line="360" w:lineRule="auto"/>
        <w:ind w:left="720" w:hanging="720"/>
      </w:pPr>
      <w:r w:rsidRPr="003D6CD7">
        <w:t xml:space="preserve">Fenton, C., Attwell, L., </w:t>
      </w:r>
      <w:proofErr w:type="spellStart"/>
      <w:r w:rsidRPr="003D6CD7">
        <w:t>Standley</w:t>
      </w:r>
      <w:proofErr w:type="spellEnd"/>
      <w:r w:rsidRPr="003D6CD7">
        <w:t xml:space="preserve">, E. and Holmes, J. </w:t>
      </w:r>
      <w:r>
        <w:t>(</w:t>
      </w:r>
      <w:r w:rsidRPr="003D6CD7">
        <w:t>2023</w:t>
      </w:r>
      <w:r>
        <w:t>)</w:t>
      </w:r>
      <w:r w:rsidRPr="003D6CD7">
        <w:t>. Exploring the content of self‐help toolkits as an intervention for non‐suicidal self‐injury in young people in England. </w:t>
      </w:r>
      <w:r w:rsidRPr="003D6CD7">
        <w:rPr>
          <w:i/>
          <w:iCs/>
        </w:rPr>
        <w:t>International journal of mental health nursing</w:t>
      </w:r>
      <w:r w:rsidRPr="003D6CD7">
        <w:t>, </w:t>
      </w:r>
      <w:r w:rsidRPr="003D6CD7">
        <w:rPr>
          <w:i/>
          <w:iCs/>
        </w:rPr>
        <w:t>32</w:t>
      </w:r>
      <w:r w:rsidRPr="003D6CD7">
        <w:t>(5), pp.1326-1334.</w:t>
      </w:r>
    </w:p>
    <w:p w14:paraId="77702998" w14:textId="77777777" w:rsidR="00144F10" w:rsidRDefault="00144F10" w:rsidP="00144F10">
      <w:pPr>
        <w:spacing w:line="360" w:lineRule="auto"/>
        <w:ind w:left="720" w:hanging="720"/>
        <w:rPr>
          <w:lang w:val="en-US"/>
        </w:rPr>
      </w:pPr>
      <w:r w:rsidRPr="002F1940">
        <w:rPr>
          <w:lang w:val="en-US"/>
        </w:rPr>
        <w:t xml:space="preserve">GOV.UK. (2023). Environmental improvement plan 2023 first revision of the. </w:t>
      </w:r>
      <w:hyperlink r:id="rId9" w:history="1">
        <w:r w:rsidRPr="0049494F">
          <w:rPr>
            <w:rStyle w:val="Hyperlink"/>
            <w:lang w:val="en-US"/>
          </w:rPr>
          <w:t>https://assets.publishing.service.gov.uk/media/64a6d9c1c531eb000c64fffa/environmental-improvement-plan-2023.pdf</w:t>
        </w:r>
      </w:hyperlink>
      <w:r>
        <w:rPr>
          <w:lang w:val="en-US"/>
        </w:rPr>
        <w:t xml:space="preserve"> </w:t>
      </w:r>
    </w:p>
    <w:p w14:paraId="24F8B68A" w14:textId="77777777" w:rsidR="00144F10" w:rsidRDefault="00144F10" w:rsidP="00144F10">
      <w:pPr>
        <w:spacing w:line="360" w:lineRule="auto"/>
        <w:ind w:left="720" w:hanging="720"/>
        <w:rPr>
          <w:lang w:val="en-US"/>
        </w:rPr>
      </w:pPr>
      <w:r w:rsidRPr="002F1940">
        <w:rPr>
          <w:lang w:val="en-US"/>
        </w:rPr>
        <w:t xml:space="preserve">GOV.UK. (2023). Drinking water 2023 public supplies England www.dwi.gov.uk. </w:t>
      </w:r>
      <w:hyperlink r:id="rId10" w:history="1">
        <w:r w:rsidRPr="0049494F">
          <w:rPr>
            <w:rStyle w:val="Hyperlink"/>
            <w:lang w:val="en-US"/>
          </w:rPr>
          <w:t>https://dwi-production-files.s3.eu-west-2.amazonaws.com/wp-content/uploads/2024/08/07103814/E03067866_DWI-Public-water-supplies-in-England-2023_Accessible_v2-1.pdf</w:t>
        </w:r>
      </w:hyperlink>
      <w:r>
        <w:rPr>
          <w:lang w:val="en-US"/>
        </w:rPr>
        <w:t xml:space="preserve"> </w:t>
      </w:r>
    </w:p>
    <w:p w14:paraId="747F8B98" w14:textId="77777777" w:rsidR="00144F10" w:rsidRDefault="00144F10" w:rsidP="00144F10">
      <w:pPr>
        <w:spacing w:line="360" w:lineRule="auto"/>
        <w:ind w:left="720" w:hanging="720"/>
      </w:pPr>
      <w:r w:rsidRPr="003D6CD7">
        <w:t xml:space="preserve">Hunter, D.J., </w:t>
      </w:r>
      <w:proofErr w:type="spellStart"/>
      <w:r w:rsidRPr="003D6CD7">
        <w:t>Littlejohns</w:t>
      </w:r>
      <w:proofErr w:type="spellEnd"/>
      <w:r w:rsidRPr="003D6CD7">
        <w:t xml:space="preserve">, P. and Weale, A. </w:t>
      </w:r>
      <w:r>
        <w:t>(</w:t>
      </w:r>
      <w:r w:rsidRPr="003D6CD7">
        <w:t>2022</w:t>
      </w:r>
      <w:r>
        <w:t>)</w:t>
      </w:r>
      <w:r w:rsidRPr="003D6CD7">
        <w:t>. Reforming the public health system in England. </w:t>
      </w:r>
      <w:r w:rsidRPr="003D6CD7">
        <w:rPr>
          <w:i/>
          <w:iCs/>
        </w:rPr>
        <w:t>The Lancet Public Health</w:t>
      </w:r>
      <w:r w:rsidRPr="003D6CD7">
        <w:t>, </w:t>
      </w:r>
      <w:r w:rsidRPr="003D6CD7">
        <w:rPr>
          <w:i/>
          <w:iCs/>
        </w:rPr>
        <w:t>7</w:t>
      </w:r>
      <w:r w:rsidRPr="003D6CD7">
        <w:t xml:space="preserve">(9), </w:t>
      </w:r>
      <w:proofErr w:type="gramStart"/>
      <w:r w:rsidRPr="003D6CD7">
        <w:t>pp.e</w:t>
      </w:r>
      <w:proofErr w:type="gramEnd"/>
      <w:r w:rsidRPr="003D6CD7">
        <w:t>797-e800.</w:t>
      </w:r>
    </w:p>
    <w:p w14:paraId="5C1B40A6" w14:textId="77777777" w:rsidR="00144F10" w:rsidRDefault="00144F10" w:rsidP="00144F10">
      <w:pPr>
        <w:spacing w:line="360" w:lineRule="auto"/>
        <w:ind w:left="720" w:hanging="720"/>
      </w:pPr>
      <w:r w:rsidRPr="003D6CD7">
        <w:t xml:space="preserve">Kirkbride, J.B., Anglin, D.M., Colman, I., </w:t>
      </w:r>
      <w:proofErr w:type="spellStart"/>
      <w:r w:rsidRPr="003D6CD7">
        <w:t>Dykxhoorn</w:t>
      </w:r>
      <w:proofErr w:type="spellEnd"/>
      <w:r w:rsidRPr="003D6CD7">
        <w:t xml:space="preserve">, J., Jones, P.B., </w:t>
      </w:r>
      <w:proofErr w:type="spellStart"/>
      <w:r w:rsidRPr="003D6CD7">
        <w:t>Patalay</w:t>
      </w:r>
      <w:proofErr w:type="spellEnd"/>
      <w:r w:rsidRPr="003D6CD7">
        <w:t xml:space="preserve">, P., Pitman, A., Soneson, E., </w:t>
      </w:r>
      <w:proofErr w:type="spellStart"/>
      <w:r w:rsidRPr="003D6CD7">
        <w:t>Steare</w:t>
      </w:r>
      <w:proofErr w:type="spellEnd"/>
      <w:r w:rsidRPr="003D6CD7">
        <w:t xml:space="preserve">, T., Wright, T. and Griffiths, S.L. </w:t>
      </w:r>
      <w:r>
        <w:t>(</w:t>
      </w:r>
      <w:r w:rsidRPr="003D6CD7">
        <w:t>2024</w:t>
      </w:r>
      <w:r>
        <w:t>)</w:t>
      </w:r>
      <w:r w:rsidRPr="003D6CD7">
        <w:t>. The social determinants of mental health and disorder: evidence, prevention and recommendations. </w:t>
      </w:r>
      <w:r w:rsidRPr="003D6CD7">
        <w:rPr>
          <w:i/>
          <w:iCs/>
        </w:rPr>
        <w:t>World psychiatry</w:t>
      </w:r>
      <w:r w:rsidRPr="003D6CD7">
        <w:t>, </w:t>
      </w:r>
      <w:r w:rsidRPr="003D6CD7">
        <w:rPr>
          <w:i/>
          <w:iCs/>
        </w:rPr>
        <w:t>23</w:t>
      </w:r>
      <w:r w:rsidRPr="003D6CD7">
        <w:t>(1), pp.58-90.</w:t>
      </w:r>
    </w:p>
    <w:p w14:paraId="1C8C1904" w14:textId="77777777" w:rsidR="00144F10" w:rsidRDefault="00144F10" w:rsidP="00144F10">
      <w:pPr>
        <w:spacing w:line="360" w:lineRule="auto"/>
        <w:ind w:left="720" w:hanging="720"/>
      </w:pPr>
      <w:r w:rsidRPr="003D6CD7">
        <w:t xml:space="preserve">Kumar, D.J. </w:t>
      </w:r>
      <w:r>
        <w:t>(</w:t>
      </w:r>
      <w:r w:rsidRPr="003D6CD7">
        <w:t>2026</w:t>
      </w:r>
      <w:r>
        <w:t>)</w:t>
      </w:r>
      <w:r w:rsidRPr="003D6CD7">
        <w:t>. A Gandhian Alternative Vision of Sustainable Development. In </w:t>
      </w:r>
      <w:r w:rsidRPr="003D6CD7">
        <w:rPr>
          <w:i/>
          <w:iCs/>
        </w:rPr>
        <w:t>BETWEEN ECONOMY AND ECOLOGY: Policies and Practices of Sustainable Development</w:t>
      </w:r>
      <w:r w:rsidRPr="003D6CD7">
        <w:t> (pp. 223-237).</w:t>
      </w:r>
    </w:p>
    <w:p w14:paraId="45A879D5" w14:textId="77777777" w:rsidR="00144F10" w:rsidRDefault="00144F10" w:rsidP="00144F10">
      <w:pPr>
        <w:spacing w:line="360" w:lineRule="auto"/>
        <w:ind w:left="720" w:hanging="720"/>
      </w:pPr>
      <w:r w:rsidRPr="002F1940">
        <w:t xml:space="preserve">Meighan, M. </w:t>
      </w:r>
      <w:r>
        <w:t>(</w:t>
      </w:r>
      <w:r w:rsidRPr="002F1940">
        <w:t>2024</w:t>
      </w:r>
      <w:r>
        <w:t>)</w:t>
      </w:r>
      <w:r w:rsidRPr="002F1940">
        <w:t>. </w:t>
      </w:r>
      <w:r w:rsidRPr="002F1940">
        <w:rPr>
          <w:i/>
          <w:iCs/>
        </w:rPr>
        <w:t>Glasgow: A Transport History</w:t>
      </w:r>
      <w:r w:rsidRPr="002F1940">
        <w:t>. Amberley Publishing Limited.</w:t>
      </w:r>
    </w:p>
    <w:p w14:paraId="6B56AFE0" w14:textId="77777777" w:rsidR="00144F10" w:rsidRDefault="00144F10" w:rsidP="00144F10">
      <w:pPr>
        <w:spacing w:line="360" w:lineRule="auto"/>
        <w:ind w:left="720" w:hanging="720"/>
      </w:pPr>
      <w:proofErr w:type="spellStart"/>
      <w:r w:rsidRPr="003D6CD7">
        <w:t>Neaemeka</w:t>
      </w:r>
      <w:proofErr w:type="spellEnd"/>
      <w:r w:rsidRPr="003D6CD7">
        <w:t xml:space="preserve">, A.N. and </w:t>
      </w:r>
      <w:proofErr w:type="spellStart"/>
      <w:r w:rsidRPr="003D6CD7">
        <w:t>Dikwa</w:t>
      </w:r>
      <w:proofErr w:type="spellEnd"/>
      <w:r w:rsidRPr="003D6CD7">
        <w:t xml:space="preserve">, S.M. </w:t>
      </w:r>
      <w:r>
        <w:t>(</w:t>
      </w:r>
      <w:r w:rsidRPr="003D6CD7">
        <w:t>2025</w:t>
      </w:r>
      <w:r>
        <w:t>)</w:t>
      </w:r>
      <w:r w:rsidRPr="003D6CD7">
        <w:t>. Hygiene Services in Urban Administration and Management: Issues, Challenges and Realities of Community Health Management. </w:t>
      </w:r>
      <w:proofErr w:type="spellStart"/>
      <w:r w:rsidRPr="003D6CD7">
        <w:rPr>
          <w:i/>
          <w:iCs/>
        </w:rPr>
        <w:t>Kashere</w:t>
      </w:r>
      <w:proofErr w:type="spellEnd"/>
      <w:r w:rsidRPr="003D6CD7">
        <w:rPr>
          <w:i/>
          <w:iCs/>
        </w:rPr>
        <w:t xml:space="preserve"> Journal of Politics and International Relations</w:t>
      </w:r>
      <w:r w:rsidRPr="003D6CD7">
        <w:t>, </w:t>
      </w:r>
      <w:r w:rsidRPr="003D6CD7">
        <w:rPr>
          <w:i/>
          <w:iCs/>
        </w:rPr>
        <w:t>3</w:t>
      </w:r>
      <w:r w:rsidRPr="003D6CD7">
        <w:t>(3), pp.469-481</w:t>
      </w:r>
      <w:r>
        <w:t>.</w:t>
      </w:r>
    </w:p>
    <w:p w14:paraId="77A619DC" w14:textId="77777777" w:rsidR="00144F10" w:rsidRPr="003D6CD7" w:rsidRDefault="00144F10" w:rsidP="00144F10">
      <w:pPr>
        <w:spacing w:line="360" w:lineRule="auto"/>
        <w:ind w:left="720" w:hanging="720"/>
        <w:rPr>
          <w:lang w:val="en-US"/>
        </w:rPr>
      </w:pPr>
      <w:r w:rsidRPr="003D6CD7">
        <w:rPr>
          <w:lang w:val="en-US"/>
        </w:rPr>
        <w:lastRenderedPageBreak/>
        <w:t xml:space="preserve">NHS. (2024). NHS choices. </w:t>
      </w:r>
      <w:hyperlink r:id="rId11" w:history="1">
        <w:r w:rsidRPr="0049494F">
          <w:rPr>
            <w:rStyle w:val="Hyperlink"/>
            <w:lang w:val="en-US"/>
          </w:rPr>
          <w:t>https://www.england.nhs.uk/2024/10/englands-nhs-mental-health-services-treat-record-3-8-million-people-last-year/</w:t>
        </w:r>
      </w:hyperlink>
      <w:r>
        <w:rPr>
          <w:lang w:val="en-US"/>
        </w:rPr>
        <w:t xml:space="preserve"> </w:t>
      </w:r>
    </w:p>
    <w:p w14:paraId="3A3B05EF" w14:textId="77777777" w:rsidR="00144F10" w:rsidRDefault="00144F10" w:rsidP="00144F10">
      <w:pPr>
        <w:spacing w:line="360" w:lineRule="auto"/>
        <w:ind w:left="720" w:hanging="720"/>
      </w:pPr>
      <w:r w:rsidRPr="002F1940">
        <w:t xml:space="preserve">Pastorino, S., Milojevic, A., Green, R., Beck, R., Carnell, E., Colombo, P.E., </w:t>
      </w:r>
      <w:proofErr w:type="spellStart"/>
      <w:r w:rsidRPr="002F1940">
        <w:t>Misselbrook</w:t>
      </w:r>
      <w:proofErr w:type="spellEnd"/>
      <w:r w:rsidRPr="002F1940">
        <w:t xml:space="preserve">, T., Miller, M., Reis, S., Tomlinson, S. and Vieno, M. </w:t>
      </w:r>
      <w:r>
        <w:t>(</w:t>
      </w:r>
      <w:r w:rsidRPr="002F1940">
        <w:t>2024</w:t>
      </w:r>
      <w:r>
        <w:t>)</w:t>
      </w:r>
      <w:r w:rsidRPr="002F1940">
        <w:t>. Health impact of policies to reduce agriculture-related air pollutants in the UK: The relative contribution of change in PM2. 5 exposure and diets to morbidity and mortality. </w:t>
      </w:r>
      <w:r w:rsidRPr="002F1940">
        <w:rPr>
          <w:i/>
          <w:iCs/>
        </w:rPr>
        <w:t>Environmental Research</w:t>
      </w:r>
      <w:r w:rsidRPr="002F1940">
        <w:t>, </w:t>
      </w:r>
      <w:r w:rsidRPr="002F1940">
        <w:rPr>
          <w:i/>
          <w:iCs/>
        </w:rPr>
        <w:t>262</w:t>
      </w:r>
      <w:r w:rsidRPr="002F1940">
        <w:t>, p.119923.</w:t>
      </w:r>
    </w:p>
    <w:p w14:paraId="055F62CA" w14:textId="77777777" w:rsidR="00144F10" w:rsidRDefault="00144F10" w:rsidP="00144F10">
      <w:pPr>
        <w:spacing w:line="360" w:lineRule="auto"/>
        <w:ind w:left="720" w:hanging="720"/>
      </w:pPr>
      <w:r w:rsidRPr="002F1940">
        <w:t xml:space="preserve">Paul, J. </w:t>
      </w:r>
      <w:r>
        <w:t>(</w:t>
      </w:r>
      <w:r w:rsidRPr="002F1940">
        <w:t>2024</w:t>
      </w:r>
      <w:r>
        <w:t>)</w:t>
      </w:r>
      <w:r w:rsidRPr="002F1940">
        <w:t>. Gastrointestinal tract infections. In </w:t>
      </w:r>
      <w:r w:rsidRPr="002F1940">
        <w:rPr>
          <w:i/>
          <w:iCs/>
        </w:rPr>
        <w:t>Disease causing microbes</w:t>
      </w:r>
      <w:r w:rsidRPr="002F1940">
        <w:t> (pp. 149-215). Cham: Springer International Publishing.</w:t>
      </w:r>
    </w:p>
    <w:p w14:paraId="375DA55E" w14:textId="77777777" w:rsidR="00144F10" w:rsidRDefault="00144F10" w:rsidP="00144F10">
      <w:pPr>
        <w:spacing w:line="360" w:lineRule="auto"/>
        <w:ind w:left="720" w:hanging="720"/>
      </w:pPr>
      <w:r w:rsidRPr="002F1940">
        <w:t xml:space="preserve">Phillips, R.L., Fisher, R., Jackson, C., Martin, D., Olde Hartman, T. and GOODYEAR‐SMITH, F.E.L.I.C.I.T.Y. </w:t>
      </w:r>
      <w:r>
        <w:t>(</w:t>
      </w:r>
      <w:r w:rsidRPr="002F1940">
        <w:t>2026</w:t>
      </w:r>
      <w:r>
        <w:t>)</w:t>
      </w:r>
      <w:r w:rsidRPr="002F1940">
        <w:t>. Sufficient and efficient spending on primary care benefits national health and health systems. </w:t>
      </w:r>
      <w:r w:rsidRPr="002F1940">
        <w:rPr>
          <w:i/>
          <w:iCs/>
        </w:rPr>
        <w:t>The Milbank Quarterly</w:t>
      </w:r>
      <w:r w:rsidRPr="002F1940">
        <w:t>.</w:t>
      </w:r>
    </w:p>
    <w:p w14:paraId="1E9DD3A7" w14:textId="77777777" w:rsidR="00144F10" w:rsidRDefault="00144F10" w:rsidP="00144F10">
      <w:pPr>
        <w:spacing w:line="360" w:lineRule="auto"/>
        <w:ind w:left="720" w:hanging="720"/>
      </w:pPr>
      <w:r w:rsidRPr="002F1940">
        <w:t xml:space="preserve">Sorouri, S., Ahmari Tehran, H., </w:t>
      </w:r>
      <w:proofErr w:type="spellStart"/>
      <w:r w:rsidRPr="002F1940">
        <w:t>Parhoon</w:t>
      </w:r>
      <w:proofErr w:type="spellEnd"/>
      <w:r w:rsidRPr="002F1940">
        <w:t xml:space="preserve">, M. and Saeidi, M. </w:t>
      </w:r>
      <w:r>
        <w:t>(</w:t>
      </w:r>
      <w:r w:rsidRPr="002F1940">
        <w:t>2025</w:t>
      </w:r>
      <w:r>
        <w:t>)</w:t>
      </w:r>
      <w:r w:rsidRPr="002F1940">
        <w:t>. Air pollution in hospitals: a critical public health emergency and strategies for improving indoor air quality and patient safety. </w:t>
      </w:r>
      <w:r w:rsidRPr="002F1940">
        <w:rPr>
          <w:i/>
          <w:iCs/>
        </w:rPr>
        <w:t>Health Providers</w:t>
      </w:r>
      <w:r w:rsidRPr="002F1940">
        <w:t>, </w:t>
      </w:r>
      <w:r w:rsidRPr="002F1940">
        <w:rPr>
          <w:i/>
          <w:iCs/>
        </w:rPr>
        <w:t>5</w:t>
      </w:r>
      <w:r w:rsidRPr="002F1940">
        <w:t>(1), pp.15-34.</w:t>
      </w:r>
    </w:p>
    <w:p w14:paraId="27CD729B" w14:textId="77777777" w:rsidR="00144F10" w:rsidRPr="00473B23" w:rsidRDefault="00144F10" w:rsidP="00144F10">
      <w:pPr>
        <w:spacing w:line="360" w:lineRule="auto"/>
        <w:ind w:left="720" w:hanging="720"/>
      </w:pPr>
      <w:r w:rsidRPr="003D6CD7">
        <w:t xml:space="preserve">Tekin, M. </w:t>
      </w:r>
      <w:r>
        <w:t>(</w:t>
      </w:r>
      <w:r w:rsidRPr="003D6CD7">
        <w:t>2022</w:t>
      </w:r>
      <w:r>
        <w:t>)</w:t>
      </w:r>
      <w:r w:rsidRPr="003D6CD7">
        <w:t>. Under-Five Mortality Causes. </w:t>
      </w:r>
      <w:r w:rsidRPr="003D6CD7">
        <w:rPr>
          <w:i/>
          <w:iCs/>
        </w:rPr>
        <w:t>Mortality rates in middle and low-income countries</w:t>
      </w:r>
      <w:r w:rsidRPr="003D6CD7">
        <w:t>, p.37.</w:t>
      </w:r>
    </w:p>
    <w:p w14:paraId="0FB25BFC" w14:textId="77777777" w:rsidR="00144F10" w:rsidRDefault="00144F10" w:rsidP="00144F10">
      <w:pPr>
        <w:spacing w:line="360" w:lineRule="auto"/>
        <w:ind w:left="720" w:hanging="720"/>
        <w:rPr>
          <w:lang w:val="en-US"/>
        </w:rPr>
      </w:pPr>
      <w:r w:rsidRPr="003D6CD7">
        <w:rPr>
          <w:lang w:val="en-US"/>
        </w:rPr>
        <w:t xml:space="preserve">UNICEF. (2013). Water, sanitation and hygiene | </w:t>
      </w:r>
      <w:proofErr w:type="spellStart"/>
      <w:r w:rsidRPr="003D6CD7">
        <w:rPr>
          <w:lang w:val="en-US"/>
        </w:rPr>
        <w:t>unicef</w:t>
      </w:r>
      <w:proofErr w:type="spellEnd"/>
      <w:r w:rsidRPr="003D6CD7">
        <w:rPr>
          <w:lang w:val="en-US"/>
        </w:rPr>
        <w:t xml:space="preserve"> </w:t>
      </w:r>
      <w:proofErr w:type="spellStart"/>
      <w:r w:rsidRPr="003D6CD7">
        <w:rPr>
          <w:lang w:val="en-US"/>
        </w:rPr>
        <w:t>bangladesh</w:t>
      </w:r>
      <w:proofErr w:type="spellEnd"/>
      <w:r w:rsidRPr="003D6CD7">
        <w:rPr>
          <w:lang w:val="en-US"/>
        </w:rPr>
        <w:t xml:space="preserve">. </w:t>
      </w:r>
      <w:hyperlink r:id="rId12" w:history="1">
        <w:r w:rsidRPr="0049494F">
          <w:rPr>
            <w:rStyle w:val="Hyperlink"/>
            <w:lang w:val="en-US"/>
          </w:rPr>
          <w:t>https://www.unicef.org/bangladesh/en/water-sanitation-and-hygiene</w:t>
        </w:r>
      </w:hyperlink>
      <w:r>
        <w:rPr>
          <w:lang w:val="en-US"/>
        </w:rPr>
        <w:t xml:space="preserve"> </w:t>
      </w:r>
    </w:p>
    <w:p w14:paraId="487F8473" w14:textId="77777777" w:rsidR="00144F10" w:rsidRDefault="00144F10" w:rsidP="00144F10">
      <w:pPr>
        <w:spacing w:line="360" w:lineRule="auto"/>
        <w:ind w:left="720" w:hanging="720"/>
      </w:pPr>
      <w:proofErr w:type="spellStart"/>
      <w:r w:rsidRPr="003D6CD7">
        <w:t>Uralovich</w:t>
      </w:r>
      <w:proofErr w:type="spellEnd"/>
      <w:r w:rsidRPr="003D6CD7">
        <w:t xml:space="preserve">, K.S., </w:t>
      </w:r>
      <w:proofErr w:type="spellStart"/>
      <w:r w:rsidRPr="003D6CD7">
        <w:t>Toshmamatovich</w:t>
      </w:r>
      <w:proofErr w:type="spellEnd"/>
      <w:r w:rsidRPr="003D6CD7">
        <w:t xml:space="preserve">, T.U., </w:t>
      </w:r>
      <w:proofErr w:type="spellStart"/>
      <w:r w:rsidRPr="003D6CD7">
        <w:t>Kubayevich</w:t>
      </w:r>
      <w:proofErr w:type="spellEnd"/>
      <w:r w:rsidRPr="003D6CD7">
        <w:t xml:space="preserve">, K.F., Sapaev, I.B., </w:t>
      </w:r>
      <w:proofErr w:type="spellStart"/>
      <w:r w:rsidRPr="003D6CD7">
        <w:t>Saylaubaevna</w:t>
      </w:r>
      <w:proofErr w:type="spellEnd"/>
      <w:r w:rsidRPr="003D6CD7">
        <w:t xml:space="preserve">, S.S., </w:t>
      </w:r>
      <w:proofErr w:type="spellStart"/>
      <w:r w:rsidRPr="003D6CD7">
        <w:t>Beknazarova</w:t>
      </w:r>
      <w:proofErr w:type="spellEnd"/>
      <w:r w:rsidRPr="003D6CD7">
        <w:t xml:space="preserve">, Z.F. and Khurramov, A. </w:t>
      </w:r>
      <w:r>
        <w:t>(</w:t>
      </w:r>
      <w:r w:rsidRPr="003D6CD7">
        <w:t>2023</w:t>
      </w:r>
      <w:r>
        <w:t>)</w:t>
      </w:r>
      <w:r w:rsidRPr="003D6CD7">
        <w:t>. A primary factor in sustainable development and environmental sustainability is environmental education. </w:t>
      </w:r>
      <w:r w:rsidRPr="003D6CD7">
        <w:rPr>
          <w:i/>
          <w:iCs/>
        </w:rPr>
        <w:t>Caspian Journal of Environmental Sciences</w:t>
      </w:r>
      <w:r w:rsidRPr="003D6CD7">
        <w:t>, </w:t>
      </w:r>
      <w:r w:rsidRPr="003D6CD7">
        <w:rPr>
          <w:i/>
          <w:iCs/>
        </w:rPr>
        <w:t>21</w:t>
      </w:r>
      <w:r w:rsidRPr="003D6CD7">
        <w:t>(4), pp.965-975.</w:t>
      </w:r>
    </w:p>
    <w:p w14:paraId="5F090891" w14:textId="77777777" w:rsidR="00144F10" w:rsidRDefault="00144F10" w:rsidP="00144F10">
      <w:pPr>
        <w:spacing w:line="360" w:lineRule="auto"/>
        <w:ind w:left="720" w:hanging="720"/>
      </w:pPr>
      <w:r w:rsidRPr="003D6CD7">
        <w:t xml:space="preserve">World Health Organization </w:t>
      </w:r>
      <w:r>
        <w:t>(</w:t>
      </w:r>
      <w:r w:rsidRPr="003D6CD7">
        <w:t>2022</w:t>
      </w:r>
      <w:r>
        <w:t>)</w:t>
      </w:r>
      <w:r w:rsidRPr="003D6CD7">
        <w:t>. World health statistics 2022: monitoring health for the SDGs, sustainable development goals.</w:t>
      </w:r>
    </w:p>
    <w:p w14:paraId="789A85E1" w14:textId="77777777" w:rsidR="00144F10" w:rsidRDefault="00144F10" w:rsidP="00144F10">
      <w:pPr>
        <w:spacing w:line="360" w:lineRule="auto"/>
        <w:ind w:left="720" w:hanging="720"/>
      </w:pPr>
      <w:r w:rsidRPr="003D6CD7">
        <w:t xml:space="preserve">World Health Organization </w:t>
      </w:r>
      <w:r>
        <w:t>(</w:t>
      </w:r>
      <w:r w:rsidRPr="003D6CD7">
        <w:t>2023</w:t>
      </w:r>
      <w:r>
        <w:t>)</w:t>
      </w:r>
      <w:r w:rsidRPr="003D6CD7">
        <w:t>. Burden of disease attributable to unsafe drinking-water, sanitation and hygiene.</w:t>
      </w:r>
    </w:p>
    <w:p w14:paraId="5B0EF575" w14:textId="77777777" w:rsidR="00144F10" w:rsidRDefault="00144F10" w:rsidP="00144F10">
      <w:pPr>
        <w:spacing w:line="360" w:lineRule="auto"/>
        <w:ind w:left="720" w:hanging="720"/>
      </w:pPr>
      <w:r w:rsidRPr="003D6CD7">
        <w:lastRenderedPageBreak/>
        <w:t>World Health Organization</w:t>
      </w:r>
      <w:r>
        <w:t xml:space="preserve"> (</w:t>
      </w:r>
      <w:r w:rsidRPr="003D6CD7">
        <w:t>2023</w:t>
      </w:r>
      <w:r>
        <w:t>)</w:t>
      </w:r>
      <w:r w:rsidRPr="003D6CD7">
        <w:t>. </w:t>
      </w:r>
      <w:r w:rsidRPr="003D6CD7">
        <w:rPr>
          <w:i/>
          <w:iCs/>
        </w:rPr>
        <w:t>Every newborn progress report 2019</w:t>
      </w:r>
      <w:r w:rsidRPr="003D6CD7">
        <w:t>. World Health Organization.</w:t>
      </w:r>
    </w:p>
    <w:p w14:paraId="67EB78EC" w14:textId="77777777" w:rsidR="00144F10" w:rsidRDefault="00144F10" w:rsidP="00144F10">
      <w:pPr>
        <w:spacing w:line="360" w:lineRule="auto"/>
        <w:ind w:left="720" w:hanging="720"/>
      </w:pPr>
      <w:r w:rsidRPr="003D6CD7">
        <w:t xml:space="preserve">World Health Organization </w:t>
      </w:r>
      <w:r>
        <w:t>(</w:t>
      </w:r>
      <w:r w:rsidRPr="003D6CD7">
        <w:t>2023</w:t>
      </w:r>
      <w:r>
        <w:t>)</w:t>
      </w:r>
      <w:r w:rsidRPr="003D6CD7">
        <w:t>. </w:t>
      </w:r>
      <w:r w:rsidRPr="003D6CD7">
        <w:rPr>
          <w:i/>
          <w:iCs/>
        </w:rPr>
        <w:t>Population health management in primary health care: a proactive approach to improve health and well-being: primary health care policy paper series</w:t>
      </w:r>
      <w:r w:rsidRPr="003D6CD7">
        <w:t> (No. WHO/EURO: 2023-7497-47264-69316). World Health Organization. Regional Office for Europe.</w:t>
      </w:r>
    </w:p>
    <w:p w14:paraId="4F8AD365" w14:textId="77777777" w:rsidR="00144F10" w:rsidRDefault="00144F10" w:rsidP="00144F10">
      <w:pPr>
        <w:spacing w:line="360" w:lineRule="auto"/>
        <w:ind w:left="720" w:hanging="720"/>
      </w:pPr>
      <w:r w:rsidRPr="003D6CD7">
        <w:t xml:space="preserve">World Health Organization </w:t>
      </w:r>
      <w:r>
        <w:t>(</w:t>
      </w:r>
      <w:r w:rsidRPr="003D6CD7">
        <w:t>2024</w:t>
      </w:r>
      <w:r>
        <w:t>)</w:t>
      </w:r>
      <w:r w:rsidRPr="003D6CD7">
        <w:t>. </w:t>
      </w:r>
      <w:r w:rsidRPr="003D6CD7">
        <w:rPr>
          <w:i/>
          <w:iCs/>
        </w:rPr>
        <w:t>Universal health coverage</w:t>
      </w:r>
      <w:r w:rsidRPr="003D6CD7">
        <w:t> (No. WHO: AFRO/ULC: 2024-12). World Health Organization. Regional Office for Africa.</w:t>
      </w:r>
    </w:p>
    <w:p w14:paraId="1BDCA57B" w14:textId="77777777" w:rsidR="00144F10" w:rsidRDefault="00144F10" w:rsidP="00144F10">
      <w:pPr>
        <w:spacing w:line="360" w:lineRule="auto"/>
        <w:ind w:left="720" w:hanging="720"/>
      </w:pPr>
      <w:r w:rsidRPr="003D6CD7">
        <w:t xml:space="preserve">World Health Organization </w:t>
      </w:r>
      <w:r>
        <w:t>(</w:t>
      </w:r>
      <w:r w:rsidRPr="003D6CD7">
        <w:t>2026</w:t>
      </w:r>
      <w:r>
        <w:t>)</w:t>
      </w:r>
      <w:r w:rsidRPr="003D6CD7">
        <w:t>. </w:t>
      </w:r>
      <w:r w:rsidRPr="003D6CD7">
        <w:rPr>
          <w:i/>
          <w:iCs/>
        </w:rPr>
        <w:t>State of systems for drinking-water, sanitation and hygiene: Global update 2025</w:t>
      </w:r>
      <w:r w:rsidRPr="003D6CD7">
        <w:t>. World Health Organization.</w:t>
      </w:r>
      <w:r>
        <w:t xml:space="preserve"> </w:t>
      </w:r>
    </w:p>
    <w:p w14:paraId="6F47E9CE" w14:textId="77777777" w:rsidR="008571E8" w:rsidRDefault="008571E8" w:rsidP="00144F10">
      <w:pPr>
        <w:spacing w:line="360" w:lineRule="auto"/>
      </w:pPr>
    </w:p>
    <w:sectPr w:rsidR="008571E8" w:rsidSect="00144F10">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60ED3" w14:textId="77777777" w:rsidR="00531D28" w:rsidRDefault="00531D28">
      <w:pPr>
        <w:spacing w:after="0" w:line="240" w:lineRule="auto"/>
      </w:pPr>
      <w:r>
        <w:separator/>
      </w:r>
    </w:p>
  </w:endnote>
  <w:endnote w:type="continuationSeparator" w:id="0">
    <w:p w14:paraId="7D0D317A" w14:textId="77777777" w:rsidR="00531D28" w:rsidRDefault="00531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3BEA2" w14:textId="77777777" w:rsidR="00144F10" w:rsidRDefault="00144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6CDFA" w14:textId="77777777" w:rsidR="00144F10" w:rsidRDefault="00144F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C3D90" w14:textId="77777777" w:rsidR="00144F10" w:rsidRDefault="00144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37D22" w14:textId="77777777" w:rsidR="00531D28" w:rsidRDefault="00531D28">
      <w:pPr>
        <w:spacing w:after="0" w:line="240" w:lineRule="auto"/>
      </w:pPr>
      <w:r>
        <w:separator/>
      </w:r>
    </w:p>
  </w:footnote>
  <w:footnote w:type="continuationSeparator" w:id="0">
    <w:p w14:paraId="06AC4C31" w14:textId="77777777" w:rsidR="00531D28" w:rsidRDefault="00531D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526B6" w14:textId="77777777" w:rsidR="00144F10" w:rsidRDefault="00144F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016D29B" w14:textId="77777777" w:rsidR="00144F10" w:rsidRDefault="00144F1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9A4845" w14:textId="77777777" w:rsidR="00144F10" w:rsidRDefault="00144F10"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7ACCBA" w14:textId="77777777" w:rsidR="00144F10" w:rsidRDefault="00144F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F10"/>
    <w:rsid w:val="00110A64"/>
    <w:rsid w:val="00144F10"/>
    <w:rsid w:val="00307282"/>
    <w:rsid w:val="005225D9"/>
    <w:rsid w:val="00531D28"/>
    <w:rsid w:val="0069331D"/>
    <w:rsid w:val="007F5CE5"/>
    <w:rsid w:val="008571E8"/>
    <w:rsid w:val="008A27D0"/>
    <w:rsid w:val="00C7248A"/>
    <w:rsid w:val="00CC5800"/>
    <w:rsid w:val="00F60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88E8E"/>
  <w15:chartTrackingRefBased/>
  <w15:docId w15:val="{7564D5BF-5144-4895-99BD-344B5FD0A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F10"/>
    <w:pPr>
      <w:spacing w:line="27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144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F10"/>
    <w:rPr>
      <w:rFonts w:eastAsiaTheme="majorEastAsia" w:cstheme="majorBidi"/>
      <w:color w:val="272727" w:themeColor="text1" w:themeTint="D8"/>
    </w:rPr>
  </w:style>
  <w:style w:type="paragraph" w:styleId="Title">
    <w:name w:val="Title"/>
    <w:basedOn w:val="Normal"/>
    <w:next w:val="Normal"/>
    <w:link w:val="TitleChar"/>
    <w:uiPriority w:val="10"/>
    <w:qFormat/>
    <w:rsid w:val="00144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F10"/>
    <w:pPr>
      <w:spacing w:before="160"/>
      <w:jc w:val="center"/>
    </w:pPr>
    <w:rPr>
      <w:i/>
      <w:iCs/>
      <w:color w:val="404040" w:themeColor="text1" w:themeTint="BF"/>
    </w:rPr>
  </w:style>
  <w:style w:type="character" w:customStyle="1" w:styleId="QuoteChar">
    <w:name w:val="Quote Char"/>
    <w:basedOn w:val="DefaultParagraphFont"/>
    <w:link w:val="Quote"/>
    <w:uiPriority w:val="29"/>
    <w:rsid w:val="00144F10"/>
    <w:rPr>
      <w:i/>
      <w:iCs/>
      <w:color w:val="404040" w:themeColor="text1" w:themeTint="BF"/>
    </w:rPr>
  </w:style>
  <w:style w:type="paragraph" w:styleId="ListParagraph">
    <w:name w:val="List Paragraph"/>
    <w:basedOn w:val="Normal"/>
    <w:uiPriority w:val="34"/>
    <w:qFormat/>
    <w:rsid w:val="00144F10"/>
    <w:pPr>
      <w:ind w:left="720"/>
      <w:contextualSpacing/>
    </w:pPr>
  </w:style>
  <w:style w:type="character" w:styleId="IntenseEmphasis">
    <w:name w:val="Intense Emphasis"/>
    <w:basedOn w:val="DefaultParagraphFont"/>
    <w:uiPriority w:val="21"/>
    <w:qFormat/>
    <w:rsid w:val="00144F10"/>
    <w:rPr>
      <w:i/>
      <w:iCs/>
      <w:color w:val="0F4761" w:themeColor="accent1" w:themeShade="BF"/>
    </w:rPr>
  </w:style>
  <w:style w:type="paragraph" w:styleId="IntenseQuote">
    <w:name w:val="Intense Quote"/>
    <w:basedOn w:val="Normal"/>
    <w:next w:val="Normal"/>
    <w:link w:val="IntenseQuoteChar"/>
    <w:uiPriority w:val="30"/>
    <w:qFormat/>
    <w:rsid w:val="00144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F10"/>
    <w:rPr>
      <w:i/>
      <w:iCs/>
      <w:color w:val="0F4761" w:themeColor="accent1" w:themeShade="BF"/>
    </w:rPr>
  </w:style>
  <w:style w:type="character" w:styleId="IntenseReference">
    <w:name w:val="Intense Reference"/>
    <w:basedOn w:val="DefaultParagraphFont"/>
    <w:uiPriority w:val="32"/>
    <w:qFormat/>
    <w:rsid w:val="00144F10"/>
    <w:rPr>
      <w:b/>
      <w:bCs/>
      <w:smallCaps/>
      <w:color w:val="0F4761" w:themeColor="accent1" w:themeShade="BF"/>
      <w:spacing w:val="5"/>
    </w:rPr>
  </w:style>
  <w:style w:type="paragraph" w:styleId="Header">
    <w:name w:val="header"/>
    <w:basedOn w:val="Normal"/>
    <w:link w:val="HeaderChar"/>
    <w:uiPriority w:val="99"/>
    <w:unhideWhenUsed/>
    <w:rsid w:val="00144F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4F10"/>
    <w:rPr>
      <w:rFonts w:ascii="Times New Roman" w:hAnsi="Times New Roman"/>
      <w:kern w:val="0"/>
      <w:sz w:val="24"/>
      <w14:ligatures w14:val="none"/>
    </w:rPr>
  </w:style>
  <w:style w:type="paragraph" w:styleId="Footer">
    <w:name w:val="footer"/>
    <w:basedOn w:val="Normal"/>
    <w:link w:val="FooterChar"/>
    <w:uiPriority w:val="99"/>
    <w:unhideWhenUsed/>
    <w:rsid w:val="00144F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4F10"/>
    <w:rPr>
      <w:rFonts w:ascii="Times New Roman" w:hAnsi="Times New Roman"/>
      <w:kern w:val="0"/>
      <w:sz w:val="24"/>
      <w14:ligatures w14:val="none"/>
    </w:rPr>
  </w:style>
  <w:style w:type="character" w:styleId="Hyperlink">
    <w:name w:val="Hyperlink"/>
    <w:basedOn w:val="DefaultParagraphFont"/>
    <w:uiPriority w:val="99"/>
    <w:unhideWhenUsed/>
    <w:rsid w:val="00144F10"/>
    <w:rPr>
      <w:color w:val="467886" w:themeColor="hyperlink"/>
      <w:u w:val="single"/>
    </w:rPr>
  </w:style>
  <w:style w:type="paragraph" w:styleId="TOCHeading">
    <w:name w:val="TOC Heading"/>
    <w:basedOn w:val="Heading1"/>
    <w:next w:val="Normal"/>
    <w:uiPriority w:val="39"/>
    <w:unhideWhenUsed/>
    <w:qFormat/>
    <w:rsid w:val="00144F10"/>
    <w:pPr>
      <w:spacing w:before="240" w:after="0"/>
      <w:outlineLvl w:val="9"/>
    </w:pPr>
    <w:rPr>
      <w:sz w:val="32"/>
      <w:szCs w:val="32"/>
      <w:lang w:val="en-US"/>
    </w:rPr>
  </w:style>
  <w:style w:type="paragraph" w:styleId="TOC1">
    <w:name w:val="toc 1"/>
    <w:basedOn w:val="Normal"/>
    <w:next w:val="Normal"/>
    <w:autoRedefine/>
    <w:uiPriority w:val="39"/>
    <w:unhideWhenUsed/>
    <w:rsid w:val="00144F1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unicef.org/bangladesh/en/water-sanitation-and-hygiene"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2024/10/englands-nhs-mental-health-services-treat-record-3-8-million-people-last-year/"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dwi-production-files.s3.eu-west-2.amazonaws.com/wp-content/uploads/2024/08/07103814/E03067866_DWI-Public-water-supplies-in-England-2023_Accessible_v2-1.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assets.publishing.service.gov.uk/media/64a6d9c1c531eb000c64fffa/environmental-improvement-plan-2023.pdf"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d93d77b8aa73f239757a69a7961c581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80f93b7bbfa6db6bf085bb6c66bf089"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6F006E4E-B095-46F8-BBB2-9E801AC17FF7}">
  <ds:schemaRefs>
    <ds:schemaRef ds:uri="http://schemas.microsoft.com/sharepoint/v3/contenttype/forms"/>
  </ds:schemaRefs>
</ds:datastoreItem>
</file>

<file path=customXml/itemProps2.xml><?xml version="1.0" encoding="utf-8"?>
<ds:datastoreItem xmlns:ds="http://schemas.openxmlformats.org/officeDocument/2006/customXml" ds:itemID="{0D2E2FDB-6FC7-494F-956E-569E09839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ABF651D-A222-4421-9188-2AC258B402A8}">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3506</Words>
  <Characters>19990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Sania Ullah (2314490)</dc:creator>
  <cp:keywords/>
  <dc:description/>
  <cp:lastModifiedBy>Sania Ullah (2314490)</cp:lastModifiedBy>
  <cp:revision>3</cp:revision>
  <dcterms:created xsi:type="dcterms:W3CDTF">2026-07-12T21:45:00Z</dcterms:created>
  <dcterms:modified xsi:type="dcterms:W3CDTF">2026-07-12T21:48:00Z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