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000001" w14:textId="77777777" w:rsidR="00107922" w:rsidRDefault="00107922" w:rsidP="003A71C6">
      <w:pPr>
        <w:pStyle w:val="Normal1"/>
        <w:spacing w:before="120" w:after="120" w:line="360" w:lineRule="auto"/>
        <w:jc w:val="center"/>
        <w:rPr>
          <w:rFonts w:ascii="Times New Roman" w:eastAsia="Times New Roman" w:hAnsi="Times New Roman" w:cs="Times New Roman"/>
          <w:b/>
          <w:sz w:val="32"/>
          <w:szCs w:val="32"/>
        </w:rPr>
      </w:pPr>
    </w:p>
    <w:p w14:paraId="00000002" w14:textId="77777777" w:rsidR="00107922" w:rsidRDefault="00107922" w:rsidP="003A71C6">
      <w:pPr>
        <w:pStyle w:val="Normal1"/>
        <w:spacing w:before="120" w:after="120" w:line="360" w:lineRule="auto"/>
        <w:jc w:val="center"/>
        <w:rPr>
          <w:rFonts w:ascii="Times New Roman" w:eastAsia="Times New Roman" w:hAnsi="Times New Roman" w:cs="Times New Roman"/>
          <w:b/>
          <w:sz w:val="32"/>
          <w:szCs w:val="32"/>
        </w:rPr>
      </w:pPr>
    </w:p>
    <w:p w14:paraId="00000003" w14:textId="77777777" w:rsidR="00107922" w:rsidRDefault="00107922" w:rsidP="003A71C6">
      <w:pPr>
        <w:pStyle w:val="Normal1"/>
        <w:spacing w:before="120" w:after="120" w:line="360" w:lineRule="auto"/>
        <w:jc w:val="center"/>
        <w:rPr>
          <w:rFonts w:ascii="Times New Roman" w:eastAsia="Times New Roman" w:hAnsi="Times New Roman" w:cs="Times New Roman"/>
          <w:b/>
          <w:sz w:val="32"/>
          <w:szCs w:val="32"/>
        </w:rPr>
      </w:pPr>
    </w:p>
    <w:p w14:paraId="00000004" w14:textId="77777777" w:rsidR="00107922" w:rsidRDefault="00107922" w:rsidP="003A71C6">
      <w:pPr>
        <w:pStyle w:val="Normal1"/>
        <w:spacing w:before="120" w:after="120" w:line="360" w:lineRule="auto"/>
        <w:jc w:val="center"/>
        <w:rPr>
          <w:rFonts w:ascii="Times New Roman" w:eastAsia="Times New Roman" w:hAnsi="Times New Roman" w:cs="Times New Roman"/>
          <w:b/>
          <w:sz w:val="32"/>
          <w:szCs w:val="32"/>
        </w:rPr>
      </w:pPr>
    </w:p>
    <w:p w14:paraId="00000005" w14:textId="77777777" w:rsidR="00107922" w:rsidRDefault="00107922" w:rsidP="003A71C6">
      <w:pPr>
        <w:pStyle w:val="Normal1"/>
        <w:spacing w:before="120" w:after="120" w:line="360" w:lineRule="auto"/>
        <w:jc w:val="center"/>
        <w:rPr>
          <w:rFonts w:ascii="Times New Roman" w:eastAsia="Times New Roman" w:hAnsi="Times New Roman" w:cs="Times New Roman"/>
          <w:b/>
          <w:sz w:val="32"/>
          <w:szCs w:val="32"/>
        </w:rPr>
      </w:pPr>
    </w:p>
    <w:p w14:paraId="7092066E" w14:textId="77777777" w:rsidR="003A71C6" w:rsidRDefault="00E21BC5" w:rsidP="003A71C6">
      <w:pPr>
        <w:pStyle w:val="Normal1"/>
        <w:spacing w:before="120" w:after="12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CRIMINAL LAW</w:t>
      </w:r>
    </w:p>
    <w:p w14:paraId="00799CAE" w14:textId="77777777" w:rsidR="003A71C6" w:rsidRDefault="003A71C6" w:rsidP="003A71C6">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Theme="majorBidi" w:hAnsiTheme="majorBidi"/>
          <w:color w:val="000000" w:themeColor="text1"/>
          <w:sz w:val="24"/>
          <w:szCs w:val="24"/>
        </w:rPr>
        <w:id w:val="-326595151"/>
        <w:docPartObj>
          <w:docPartGallery w:val="Table of Contents"/>
          <w:docPartUnique/>
        </w:docPartObj>
      </w:sdtPr>
      <w:sdtEndPr>
        <w:rPr>
          <w:rFonts w:eastAsia="Arial"/>
          <w:b/>
          <w:bCs/>
          <w:noProof/>
          <w:lang w:val="en"/>
        </w:rPr>
      </w:sdtEndPr>
      <w:sdtContent>
        <w:p w14:paraId="1FC1DC48" w14:textId="433F8100" w:rsidR="003A71C6" w:rsidRPr="003A71C6" w:rsidRDefault="003A71C6" w:rsidP="003A71C6">
          <w:pPr>
            <w:pStyle w:val="TOCHeading"/>
            <w:spacing w:line="360" w:lineRule="auto"/>
            <w:jc w:val="center"/>
            <w:rPr>
              <w:rFonts w:asciiTheme="majorBidi" w:hAnsiTheme="majorBidi"/>
              <w:b/>
              <w:bCs/>
              <w:color w:val="000000" w:themeColor="text1"/>
              <w:sz w:val="28"/>
              <w:szCs w:val="28"/>
            </w:rPr>
          </w:pPr>
          <w:r w:rsidRPr="003A71C6">
            <w:rPr>
              <w:rFonts w:asciiTheme="majorBidi" w:hAnsiTheme="majorBidi"/>
              <w:b/>
              <w:bCs/>
              <w:color w:val="000000" w:themeColor="text1"/>
              <w:sz w:val="28"/>
              <w:szCs w:val="28"/>
            </w:rPr>
            <w:t>Table of Contents</w:t>
          </w:r>
        </w:p>
        <w:p w14:paraId="74D95F06" w14:textId="77777777" w:rsidR="003A71C6" w:rsidRPr="003A71C6" w:rsidRDefault="003A71C6" w:rsidP="003A71C6">
          <w:pPr>
            <w:pStyle w:val="TOC1"/>
            <w:tabs>
              <w:tab w:val="right" w:leader="dot" w:pos="9350"/>
            </w:tabs>
            <w:spacing w:line="360" w:lineRule="auto"/>
            <w:jc w:val="center"/>
            <w:rPr>
              <w:rFonts w:asciiTheme="majorBidi" w:hAnsiTheme="majorBidi" w:cstheme="majorBidi"/>
              <w:noProof/>
              <w:color w:val="000000" w:themeColor="text1"/>
              <w:sz w:val="24"/>
              <w:szCs w:val="24"/>
            </w:rPr>
          </w:pPr>
          <w:r w:rsidRPr="003A71C6">
            <w:rPr>
              <w:rFonts w:asciiTheme="majorBidi" w:hAnsiTheme="majorBidi" w:cstheme="majorBidi"/>
              <w:color w:val="000000" w:themeColor="text1"/>
              <w:sz w:val="24"/>
              <w:szCs w:val="24"/>
            </w:rPr>
            <w:fldChar w:fldCharType="begin"/>
          </w:r>
          <w:r w:rsidRPr="003A71C6">
            <w:rPr>
              <w:rFonts w:asciiTheme="majorBidi" w:hAnsiTheme="majorBidi" w:cstheme="majorBidi"/>
              <w:color w:val="000000" w:themeColor="text1"/>
              <w:sz w:val="24"/>
              <w:szCs w:val="24"/>
            </w:rPr>
            <w:instrText xml:space="preserve"> TOC \o "1-3" \h \z \u </w:instrText>
          </w:r>
          <w:r w:rsidRPr="003A71C6">
            <w:rPr>
              <w:rFonts w:asciiTheme="majorBidi" w:hAnsiTheme="majorBidi" w:cstheme="majorBidi"/>
              <w:color w:val="000000" w:themeColor="text1"/>
              <w:sz w:val="24"/>
              <w:szCs w:val="24"/>
            </w:rPr>
            <w:fldChar w:fldCharType="separate"/>
          </w:r>
          <w:hyperlink w:anchor="_Toc139062108" w:history="1">
            <w:r w:rsidRPr="003A71C6">
              <w:rPr>
                <w:rStyle w:val="Hyperlink"/>
                <w:rFonts w:asciiTheme="majorBidi" w:hAnsiTheme="majorBidi" w:cstheme="majorBidi"/>
                <w:noProof/>
                <w:color w:val="000000" w:themeColor="text1"/>
                <w:sz w:val="24"/>
                <w:szCs w:val="24"/>
              </w:rPr>
              <w:t>Introduction</w:t>
            </w:r>
            <w:r w:rsidRPr="003A71C6">
              <w:rPr>
                <w:rFonts w:asciiTheme="majorBidi" w:hAnsiTheme="majorBidi" w:cstheme="majorBidi"/>
                <w:noProof/>
                <w:webHidden/>
                <w:color w:val="000000" w:themeColor="text1"/>
                <w:sz w:val="24"/>
                <w:szCs w:val="24"/>
              </w:rPr>
              <w:tab/>
            </w:r>
            <w:r w:rsidRPr="003A71C6">
              <w:rPr>
                <w:rFonts w:asciiTheme="majorBidi" w:hAnsiTheme="majorBidi" w:cstheme="majorBidi"/>
                <w:noProof/>
                <w:webHidden/>
                <w:color w:val="000000" w:themeColor="text1"/>
                <w:sz w:val="24"/>
                <w:szCs w:val="24"/>
              </w:rPr>
              <w:fldChar w:fldCharType="begin"/>
            </w:r>
            <w:r w:rsidRPr="003A71C6">
              <w:rPr>
                <w:rFonts w:asciiTheme="majorBidi" w:hAnsiTheme="majorBidi" w:cstheme="majorBidi"/>
                <w:noProof/>
                <w:webHidden/>
                <w:color w:val="000000" w:themeColor="text1"/>
                <w:sz w:val="24"/>
                <w:szCs w:val="24"/>
              </w:rPr>
              <w:instrText xml:space="preserve"> PAGEREF _Toc139062108 \h </w:instrText>
            </w:r>
            <w:r w:rsidRPr="003A71C6">
              <w:rPr>
                <w:rFonts w:asciiTheme="majorBidi" w:hAnsiTheme="majorBidi" w:cstheme="majorBidi"/>
                <w:noProof/>
                <w:webHidden/>
                <w:color w:val="000000" w:themeColor="text1"/>
                <w:sz w:val="24"/>
                <w:szCs w:val="24"/>
              </w:rPr>
            </w:r>
            <w:r w:rsidRPr="003A71C6">
              <w:rPr>
                <w:rFonts w:asciiTheme="majorBidi" w:hAnsiTheme="majorBidi" w:cstheme="majorBidi"/>
                <w:noProof/>
                <w:webHidden/>
                <w:color w:val="000000" w:themeColor="text1"/>
                <w:sz w:val="24"/>
                <w:szCs w:val="24"/>
              </w:rPr>
              <w:fldChar w:fldCharType="separate"/>
            </w:r>
            <w:r w:rsidRPr="003A71C6">
              <w:rPr>
                <w:rFonts w:asciiTheme="majorBidi" w:hAnsiTheme="majorBidi" w:cstheme="majorBidi"/>
                <w:noProof/>
                <w:webHidden/>
                <w:color w:val="000000" w:themeColor="text1"/>
                <w:sz w:val="24"/>
                <w:szCs w:val="24"/>
              </w:rPr>
              <w:t>3</w:t>
            </w:r>
            <w:r w:rsidRPr="003A71C6">
              <w:rPr>
                <w:rFonts w:asciiTheme="majorBidi" w:hAnsiTheme="majorBidi" w:cstheme="majorBidi"/>
                <w:noProof/>
                <w:webHidden/>
                <w:color w:val="000000" w:themeColor="text1"/>
                <w:sz w:val="24"/>
                <w:szCs w:val="24"/>
              </w:rPr>
              <w:fldChar w:fldCharType="end"/>
            </w:r>
          </w:hyperlink>
        </w:p>
        <w:p w14:paraId="521F512E" w14:textId="77777777" w:rsidR="003A71C6" w:rsidRPr="003A71C6" w:rsidRDefault="003A71C6" w:rsidP="003A71C6">
          <w:pPr>
            <w:pStyle w:val="TOC1"/>
            <w:tabs>
              <w:tab w:val="right" w:leader="dot" w:pos="9350"/>
            </w:tabs>
            <w:spacing w:line="360" w:lineRule="auto"/>
            <w:jc w:val="center"/>
            <w:rPr>
              <w:rFonts w:asciiTheme="majorBidi" w:hAnsiTheme="majorBidi" w:cstheme="majorBidi"/>
              <w:noProof/>
              <w:color w:val="000000" w:themeColor="text1"/>
              <w:sz w:val="24"/>
              <w:szCs w:val="24"/>
            </w:rPr>
          </w:pPr>
          <w:hyperlink w:anchor="_Toc139062109" w:history="1">
            <w:r w:rsidRPr="003A71C6">
              <w:rPr>
                <w:rStyle w:val="Hyperlink"/>
                <w:rFonts w:asciiTheme="majorBidi" w:hAnsiTheme="majorBidi" w:cstheme="majorBidi"/>
                <w:noProof/>
                <w:color w:val="000000" w:themeColor="text1"/>
                <w:sz w:val="24"/>
                <w:szCs w:val="24"/>
              </w:rPr>
              <w:t>Overview of the issues</w:t>
            </w:r>
            <w:r w:rsidRPr="003A71C6">
              <w:rPr>
                <w:rFonts w:asciiTheme="majorBidi" w:hAnsiTheme="majorBidi" w:cstheme="majorBidi"/>
                <w:noProof/>
                <w:webHidden/>
                <w:color w:val="000000" w:themeColor="text1"/>
                <w:sz w:val="24"/>
                <w:szCs w:val="24"/>
              </w:rPr>
              <w:tab/>
            </w:r>
            <w:r w:rsidRPr="003A71C6">
              <w:rPr>
                <w:rFonts w:asciiTheme="majorBidi" w:hAnsiTheme="majorBidi" w:cstheme="majorBidi"/>
                <w:noProof/>
                <w:webHidden/>
                <w:color w:val="000000" w:themeColor="text1"/>
                <w:sz w:val="24"/>
                <w:szCs w:val="24"/>
              </w:rPr>
              <w:fldChar w:fldCharType="begin"/>
            </w:r>
            <w:r w:rsidRPr="003A71C6">
              <w:rPr>
                <w:rFonts w:asciiTheme="majorBidi" w:hAnsiTheme="majorBidi" w:cstheme="majorBidi"/>
                <w:noProof/>
                <w:webHidden/>
                <w:color w:val="000000" w:themeColor="text1"/>
                <w:sz w:val="24"/>
                <w:szCs w:val="24"/>
              </w:rPr>
              <w:instrText xml:space="preserve"> PAGEREF _Toc139062109 \h </w:instrText>
            </w:r>
            <w:r w:rsidRPr="003A71C6">
              <w:rPr>
                <w:rFonts w:asciiTheme="majorBidi" w:hAnsiTheme="majorBidi" w:cstheme="majorBidi"/>
                <w:noProof/>
                <w:webHidden/>
                <w:color w:val="000000" w:themeColor="text1"/>
                <w:sz w:val="24"/>
                <w:szCs w:val="24"/>
              </w:rPr>
            </w:r>
            <w:r w:rsidRPr="003A71C6">
              <w:rPr>
                <w:rFonts w:asciiTheme="majorBidi" w:hAnsiTheme="majorBidi" w:cstheme="majorBidi"/>
                <w:noProof/>
                <w:webHidden/>
                <w:color w:val="000000" w:themeColor="text1"/>
                <w:sz w:val="24"/>
                <w:szCs w:val="24"/>
              </w:rPr>
              <w:fldChar w:fldCharType="separate"/>
            </w:r>
            <w:r w:rsidRPr="003A71C6">
              <w:rPr>
                <w:rFonts w:asciiTheme="majorBidi" w:hAnsiTheme="majorBidi" w:cstheme="majorBidi"/>
                <w:noProof/>
                <w:webHidden/>
                <w:color w:val="000000" w:themeColor="text1"/>
                <w:sz w:val="24"/>
                <w:szCs w:val="24"/>
              </w:rPr>
              <w:t>3</w:t>
            </w:r>
            <w:r w:rsidRPr="003A71C6">
              <w:rPr>
                <w:rFonts w:asciiTheme="majorBidi" w:hAnsiTheme="majorBidi" w:cstheme="majorBidi"/>
                <w:noProof/>
                <w:webHidden/>
                <w:color w:val="000000" w:themeColor="text1"/>
                <w:sz w:val="24"/>
                <w:szCs w:val="24"/>
              </w:rPr>
              <w:fldChar w:fldCharType="end"/>
            </w:r>
          </w:hyperlink>
        </w:p>
        <w:p w14:paraId="167A300C" w14:textId="77777777" w:rsidR="003A71C6" w:rsidRPr="003A71C6" w:rsidRDefault="003A71C6" w:rsidP="003A71C6">
          <w:pPr>
            <w:pStyle w:val="TOC1"/>
            <w:tabs>
              <w:tab w:val="right" w:leader="dot" w:pos="9350"/>
            </w:tabs>
            <w:spacing w:line="360" w:lineRule="auto"/>
            <w:jc w:val="center"/>
            <w:rPr>
              <w:rFonts w:asciiTheme="majorBidi" w:hAnsiTheme="majorBidi" w:cstheme="majorBidi"/>
              <w:noProof/>
              <w:color w:val="000000" w:themeColor="text1"/>
              <w:sz w:val="24"/>
              <w:szCs w:val="24"/>
            </w:rPr>
          </w:pPr>
          <w:hyperlink w:anchor="_Toc139062110" w:history="1">
            <w:r w:rsidRPr="003A71C6">
              <w:rPr>
                <w:rStyle w:val="Hyperlink"/>
                <w:rFonts w:asciiTheme="majorBidi" w:hAnsiTheme="majorBidi" w:cstheme="majorBidi"/>
                <w:noProof/>
                <w:color w:val="000000" w:themeColor="text1"/>
                <w:sz w:val="24"/>
                <w:szCs w:val="24"/>
              </w:rPr>
              <w:t>Issue 1: Case of Harriet and advice</w:t>
            </w:r>
            <w:r w:rsidRPr="003A71C6">
              <w:rPr>
                <w:rFonts w:asciiTheme="majorBidi" w:hAnsiTheme="majorBidi" w:cstheme="majorBidi"/>
                <w:noProof/>
                <w:webHidden/>
                <w:color w:val="000000" w:themeColor="text1"/>
                <w:sz w:val="24"/>
                <w:szCs w:val="24"/>
              </w:rPr>
              <w:tab/>
            </w:r>
            <w:r w:rsidRPr="003A71C6">
              <w:rPr>
                <w:rFonts w:asciiTheme="majorBidi" w:hAnsiTheme="majorBidi" w:cstheme="majorBidi"/>
                <w:noProof/>
                <w:webHidden/>
                <w:color w:val="000000" w:themeColor="text1"/>
                <w:sz w:val="24"/>
                <w:szCs w:val="24"/>
              </w:rPr>
              <w:fldChar w:fldCharType="begin"/>
            </w:r>
            <w:r w:rsidRPr="003A71C6">
              <w:rPr>
                <w:rFonts w:asciiTheme="majorBidi" w:hAnsiTheme="majorBidi" w:cstheme="majorBidi"/>
                <w:noProof/>
                <w:webHidden/>
                <w:color w:val="000000" w:themeColor="text1"/>
                <w:sz w:val="24"/>
                <w:szCs w:val="24"/>
              </w:rPr>
              <w:instrText xml:space="preserve"> PAGEREF _Toc139062110 \h </w:instrText>
            </w:r>
            <w:r w:rsidRPr="003A71C6">
              <w:rPr>
                <w:rFonts w:asciiTheme="majorBidi" w:hAnsiTheme="majorBidi" w:cstheme="majorBidi"/>
                <w:noProof/>
                <w:webHidden/>
                <w:color w:val="000000" w:themeColor="text1"/>
                <w:sz w:val="24"/>
                <w:szCs w:val="24"/>
              </w:rPr>
            </w:r>
            <w:r w:rsidRPr="003A71C6">
              <w:rPr>
                <w:rFonts w:asciiTheme="majorBidi" w:hAnsiTheme="majorBidi" w:cstheme="majorBidi"/>
                <w:noProof/>
                <w:webHidden/>
                <w:color w:val="000000" w:themeColor="text1"/>
                <w:sz w:val="24"/>
                <w:szCs w:val="24"/>
              </w:rPr>
              <w:fldChar w:fldCharType="separate"/>
            </w:r>
            <w:r w:rsidRPr="003A71C6">
              <w:rPr>
                <w:rFonts w:asciiTheme="majorBidi" w:hAnsiTheme="majorBidi" w:cstheme="majorBidi"/>
                <w:noProof/>
                <w:webHidden/>
                <w:color w:val="000000" w:themeColor="text1"/>
                <w:sz w:val="24"/>
                <w:szCs w:val="24"/>
              </w:rPr>
              <w:t>3</w:t>
            </w:r>
            <w:r w:rsidRPr="003A71C6">
              <w:rPr>
                <w:rFonts w:asciiTheme="majorBidi" w:hAnsiTheme="majorBidi" w:cstheme="majorBidi"/>
                <w:noProof/>
                <w:webHidden/>
                <w:color w:val="000000" w:themeColor="text1"/>
                <w:sz w:val="24"/>
                <w:szCs w:val="24"/>
              </w:rPr>
              <w:fldChar w:fldCharType="end"/>
            </w:r>
          </w:hyperlink>
        </w:p>
        <w:p w14:paraId="68920A22" w14:textId="77777777" w:rsidR="003A71C6" w:rsidRPr="003A71C6" w:rsidRDefault="003A71C6" w:rsidP="003A71C6">
          <w:pPr>
            <w:pStyle w:val="TOC1"/>
            <w:tabs>
              <w:tab w:val="right" w:leader="dot" w:pos="9350"/>
            </w:tabs>
            <w:spacing w:line="360" w:lineRule="auto"/>
            <w:jc w:val="center"/>
            <w:rPr>
              <w:rFonts w:asciiTheme="majorBidi" w:hAnsiTheme="majorBidi" w:cstheme="majorBidi"/>
              <w:noProof/>
              <w:color w:val="000000" w:themeColor="text1"/>
              <w:sz w:val="24"/>
              <w:szCs w:val="24"/>
            </w:rPr>
          </w:pPr>
          <w:hyperlink w:anchor="_Toc139062111" w:history="1">
            <w:r w:rsidRPr="003A71C6">
              <w:rPr>
                <w:rStyle w:val="Hyperlink"/>
                <w:rFonts w:asciiTheme="majorBidi" w:hAnsiTheme="majorBidi" w:cstheme="majorBidi"/>
                <w:noProof/>
                <w:color w:val="000000" w:themeColor="text1"/>
                <w:sz w:val="24"/>
                <w:szCs w:val="24"/>
              </w:rPr>
              <w:t>Issue 2: Case of Paula and advise</w:t>
            </w:r>
            <w:r w:rsidRPr="003A71C6">
              <w:rPr>
                <w:rFonts w:asciiTheme="majorBidi" w:hAnsiTheme="majorBidi" w:cstheme="majorBidi"/>
                <w:noProof/>
                <w:webHidden/>
                <w:color w:val="000000" w:themeColor="text1"/>
                <w:sz w:val="24"/>
                <w:szCs w:val="24"/>
              </w:rPr>
              <w:tab/>
            </w:r>
            <w:r w:rsidRPr="003A71C6">
              <w:rPr>
                <w:rFonts w:asciiTheme="majorBidi" w:hAnsiTheme="majorBidi" w:cstheme="majorBidi"/>
                <w:noProof/>
                <w:webHidden/>
                <w:color w:val="000000" w:themeColor="text1"/>
                <w:sz w:val="24"/>
                <w:szCs w:val="24"/>
              </w:rPr>
              <w:fldChar w:fldCharType="begin"/>
            </w:r>
            <w:r w:rsidRPr="003A71C6">
              <w:rPr>
                <w:rFonts w:asciiTheme="majorBidi" w:hAnsiTheme="majorBidi" w:cstheme="majorBidi"/>
                <w:noProof/>
                <w:webHidden/>
                <w:color w:val="000000" w:themeColor="text1"/>
                <w:sz w:val="24"/>
                <w:szCs w:val="24"/>
              </w:rPr>
              <w:instrText xml:space="preserve"> PAGEREF _Toc139062111 \h </w:instrText>
            </w:r>
            <w:r w:rsidRPr="003A71C6">
              <w:rPr>
                <w:rFonts w:asciiTheme="majorBidi" w:hAnsiTheme="majorBidi" w:cstheme="majorBidi"/>
                <w:noProof/>
                <w:webHidden/>
                <w:color w:val="000000" w:themeColor="text1"/>
                <w:sz w:val="24"/>
                <w:szCs w:val="24"/>
              </w:rPr>
            </w:r>
            <w:r w:rsidRPr="003A71C6">
              <w:rPr>
                <w:rFonts w:asciiTheme="majorBidi" w:hAnsiTheme="majorBidi" w:cstheme="majorBidi"/>
                <w:noProof/>
                <w:webHidden/>
                <w:color w:val="000000" w:themeColor="text1"/>
                <w:sz w:val="24"/>
                <w:szCs w:val="24"/>
              </w:rPr>
              <w:fldChar w:fldCharType="separate"/>
            </w:r>
            <w:r w:rsidRPr="003A71C6">
              <w:rPr>
                <w:rFonts w:asciiTheme="majorBidi" w:hAnsiTheme="majorBidi" w:cstheme="majorBidi"/>
                <w:noProof/>
                <w:webHidden/>
                <w:color w:val="000000" w:themeColor="text1"/>
                <w:sz w:val="24"/>
                <w:szCs w:val="24"/>
              </w:rPr>
              <w:t>4</w:t>
            </w:r>
            <w:r w:rsidRPr="003A71C6">
              <w:rPr>
                <w:rFonts w:asciiTheme="majorBidi" w:hAnsiTheme="majorBidi" w:cstheme="majorBidi"/>
                <w:noProof/>
                <w:webHidden/>
                <w:color w:val="000000" w:themeColor="text1"/>
                <w:sz w:val="24"/>
                <w:szCs w:val="24"/>
              </w:rPr>
              <w:fldChar w:fldCharType="end"/>
            </w:r>
          </w:hyperlink>
        </w:p>
        <w:p w14:paraId="459BA905" w14:textId="77777777" w:rsidR="003A71C6" w:rsidRPr="003A71C6" w:rsidRDefault="003A71C6" w:rsidP="003A71C6">
          <w:pPr>
            <w:pStyle w:val="TOC1"/>
            <w:tabs>
              <w:tab w:val="right" w:leader="dot" w:pos="9350"/>
            </w:tabs>
            <w:spacing w:line="360" w:lineRule="auto"/>
            <w:jc w:val="center"/>
            <w:rPr>
              <w:rFonts w:asciiTheme="majorBidi" w:hAnsiTheme="majorBidi" w:cstheme="majorBidi"/>
              <w:noProof/>
              <w:color w:val="000000" w:themeColor="text1"/>
              <w:sz w:val="24"/>
              <w:szCs w:val="24"/>
            </w:rPr>
          </w:pPr>
          <w:hyperlink w:anchor="_Toc139062112" w:history="1">
            <w:r w:rsidRPr="003A71C6">
              <w:rPr>
                <w:rStyle w:val="Hyperlink"/>
                <w:rFonts w:asciiTheme="majorBidi" w:hAnsiTheme="majorBidi" w:cstheme="majorBidi"/>
                <w:noProof/>
                <w:color w:val="000000" w:themeColor="text1"/>
                <w:sz w:val="24"/>
                <w:szCs w:val="24"/>
              </w:rPr>
              <w:t>Conclusion</w:t>
            </w:r>
            <w:r w:rsidRPr="003A71C6">
              <w:rPr>
                <w:rFonts w:asciiTheme="majorBidi" w:hAnsiTheme="majorBidi" w:cstheme="majorBidi"/>
                <w:noProof/>
                <w:webHidden/>
                <w:color w:val="000000" w:themeColor="text1"/>
                <w:sz w:val="24"/>
                <w:szCs w:val="24"/>
              </w:rPr>
              <w:tab/>
            </w:r>
            <w:r w:rsidRPr="003A71C6">
              <w:rPr>
                <w:rFonts w:asciiTheme="majorBidi" w:hAnsiTheme="majorBidi" w:cstheme="majorBidi"/>
                <w:noProof/>
                <w:webHidden/>
                <w:color w:val="000000" w:themeColor="text1"/>
                <w:sz w:val="24"/>
                <w:szCs w:val="24"/>
              </w:rPr>
              <w:fldChar w:fldCharType="begin"/>
            </w:r>
            <w:r w:rsidRPr="003A71C6">
              <w:rPr>
                <w:rFonts w:asciiTheme="majorBidi" w:hAnsiTheme="majorBidi" w:cstheme="majorBidi"/>
                <w:noProof/>
                <w:webHidden/>
                <w:color w:val="000000" w:themeColor="text1"/>
                <w:sz w:val="24"/>
                <w:szCs w:val="24"/>
              </w:rPr>
              <w:instrText xml:space="preserve"> PAGEREF _Toc139062112 \h </w:instrText>
            </w:r>
            <w:r w:rsidRPr="003A71C6">
              <w:rPr>
                <w:rFonts w:asciiTheme="majorBidi" w:hAnsiTheme="majorBidi" w:cstheme="majorBidi"/>
                <w:noProof/>
                <w:webHidden/>
                <w:color w:val="000000" w:themeColor="text1"/>
                <w:sz w:val="24"/>
                <w:szCs w:val="24"/>
              </w:rPr>
            </w:r>
            <w:r w:rsidRPr="003A71C6">
              <w:rPr>
                <w:rFonts w:asciiTheme="majorBidi" w:hAnsiTheme="majorBidi" w:cstheme="majorBidi"/>
                <w:noProof/>
                <w:webHidden/>
                <w:color w:val="000000" w:themeColor="text1"/>
                <w:sz w:val="24"/>
                <w:szCs w:val="24"/>
              </w:rPr>
              <w:fldChar w:fldCharType="separate"/>
            </w:r>
            <w:r w:rsidRPr="003A71C6">
              <w:rPr>
                <w:rFonts w:asciiTheme="majorBidi" w:hAnsiTheme="majorBidi" w:cstheme="majorBidi"/>
                <w:noProof/>
                <w:webHidden/>
                <w:color w:val="000000" w:themeColor="text1"/>
                <w:sz w:val="24"/>
                <w:szCs w:val="24"/>
              </w:rPr>
              <w:t>5</w:t>
            </w:r>
            <w:r w:rsidRPr="003A71C6">
              <w:rPr>
                <w:rFonts w:asciiTheme="majorBidi" w:hAnsiTheme="majorBidi" w:cstheme="majorBidi"/>
                <w:noProof/>
                <w:webHidden/>
                <w:color w:val="000000" w:themeColor="text1"/>
                <w:sz w:val="24"/>
                <w:szCs w:val="24"/>
              </w:rPr>
              <w:fldChar w:fldCharType="end"/>
            </w:r>
          </w:hyperlink>
        </w:p>
        <w:p w14:paraId="7FB00984" w14:textId="77777777" w:rsidR="003A71C6" w:rsidRPr="003A71C6" w:rsidRDefault="003A71C6" w:rsidP="003A71C6">
          <w:pPr>
            <w:pStyle w:val="TOC1"/>
            <w:tabs>
              <w:tab w:val="right" w:leader="dot" w:pos="9350"/>
            </w:tabs>
            <w:spacing w:line="360" w:lineRule="auto"/>
            <w:jc w:val="center"/>
            <w:rPr>
              <w:rFonts w:asciiTheme="majorBidi" w:hAnsiTheme="majorBidi" w:cstheme="majorBidi"/>
              <w:noProof/>
              <w:color w:val="000000" w:themeColor="text1"/>
              <w:sz w:val="24"/>
              <w:szCs w:val="24"/>
            </w:rPr>
          </w:pPr>
          <w:hyperlink w:anchor="_Toc139062113" w:history="1">
            <w:r w:rsidRPr="003A71C6">
              <w:rPr>
                <w:rStyle w:val="Hyperlink"/>
                <w:rFonts w:asciiTheme="majorBidi" w:hAnsiTheme="majorBidi" w:cstheme="majorBidi"/>
                <w:noProof/>
                <w:color w:val="000000" w:themeColor="text1"/>
                <w:sz w:val="24"/>
                <w:szCs w:val="24"/>
              </w:rPr>
              <w:t>Reference list</w:t>
            </w:r>
            <w:r w:rsidRPr="003A71C6">
              <w:rPr>
                <w:rFonts w:asciiTheme="majorBidi" w:hAnsiTheme="majorBidi" w:cstheme="majorBidi"/>
                <w:noProof/>
                <w:webHidden/>
                <w:color w:val="000000" w:themeColor="text1"/>
                <w:sz w:val="24"/>
                <w:szCs w:val="24"/>
              </w:rPr>
              <w:tab/>
            </w:r>
            <w:r w:rsidRPr="003A71C6">
              <w:rPr>
                <w:rFonts w:asciiTheme="majorBidi" w:hAnsiTheme="majorBidi" w:cstheme="majorBidi"/>
                <w:noProof/>
                <w:webHidden/>
                <w:color w:val="000000" w:themeColor="text1"/>
                <w:sz w:val="24"/>
                <w:szCs w:val="24"/>
              </w:rPr>
              <w:fldChar w:fldCharType="begin"/>
            </w:r>
            <w:r w:rsidRPr="003A71C6">
              <w:rPr>
                <w:rFonts w:asciiTheme="majorBidi" w:hAnsiTheme="majorBidi" w:cstheme="majorBidi"/>
                <w:noProof/>
                <w:webHidden/>
                <w:color w:val="000000" w:themeColor="text1"/>
                <w:sz w:val="24"/>
                <w:szCs w:val="24"/>
              </w:rPr>
              <w:instrText xml:space="preserve"> PAGEREF _Toc139062113 \h </w:instrText>
            </w:r>
            <w:r w:rsidRPr="003A71C6">
              <w:rPr>
                <w:rFonts w:asciiTheme="majorBidi" w:hAnsiTheme="majorBidi" w:cstheme="majorBidi"/>
                <w:noProof/>
                <w:webHidden/>
                <w:color w:val="000000" w:themeColor="text1"/>
                <w:sz w:val="24"/>
                <w:szCs w:val="24"/>
              </w:rPr>
            </w:r>
            <w:r w:rsidRPr="003A71C6">
              <w:rPr>
                <w:rFonts w:asciiTheme="majorBidi" w:hAnsiTheme="majorBidi" w:cstheme="majorBidi"/>
                <w:noProof/>
                <w:webHidden/>
                <w:color w:val="000000" w:themeColor="text1"/>
                <w:sz w:val="24"/>
                <w:szCs w:val="24"/>
              </w:rPr>
              <w:fldChar w:fldCharType="separate"/>
            </w:r>
            <w:r w:rsidRPr="003A71C6">
              <w:rPr>
                <w:rFonts w:asciiTheme="majorBidi" w:hAnsiTheme="majorBidi" w:cstheme="majorBidi"/>
                <w:noProof/>
                <w:webHidden/>
                <w:color w:val="000000" w:themeColor="text1"/>
                <w:sz w:val="24"/>
                <w:szCs w:val="24"/>
              </w:rPr>
              <w:t>6</w:t>
            </w:r>
            <w:r w:rsidRPr="003A71C6">
              <w:rPr>
                <w:rFonts w:asciiTheme="majorBidi" w:hAnsiTheme="majorBidi" w:cstheme="majorBidi"/>
                <w:noProof/>
                <w:webHidden/>
                <w:color w:val="000000" w:themeColor="text1"/>
                <w:sz w:val="24"/>
                <w:szCs w:val="24"/>
              </w:rPr>
              <w:fldChar w:fldCharType="end"/>
            </w:r>
          </w:hyperlink>
        </w:p>
        <w:p w14:paraId="6B2C7385" w14:textId="1F6A11F4" w:rsidR="003A71C6" w:rsidRPr="003A71C6" w:rsidRDefault="003A71C6" w:rsidP="003A71C6">
          <w:pPr>
            <w:spacing w:line="360" w:lineRule="auto"/>
            <w:jc w:val="center"/>
            <w:rPr>
              <w:rFonts w:asciiTheme="majorBidi" w:hAnsiTheme="majorBidi" w:cstheme="majorBidi"/>
              <w:color w:val="000000" w:themeColor="text1"/>
              <w:sz w:val="24"/>
              <w:szCs w:val="24"/>
            </w:rPr>
          </w:pPr>
          <w:r w:rsidRPr="003A71C6">
            <w:rPr>
              <w:rFonts w:asciiTheme="majorBidi" w:hAnsiTheme="majorBidi" w:cstheme="majorBidi"/>
              <w:b/>
              <w:bCs/>
              <w:noProof/>
              <w:color w:val="000000" w:themeColor="text1"/>
              <w:sz w:val="24"/>
              <w:szCs w:val="24"/>
            </w:rPr>
            <w:fldChar w:fldCharType="end"/>
          </w:r>
        </w:p>
      </w:sdtContent>
    </w:sdt>
    <w:p w14:paraId="00000006" w14:textId="2D0DAB83" w:rsidR="00107922" w:rsidRDefault="00E21BC5" w:rsidP="003A71C6">
      <w:pPr>
        <w:pStyle w:val="Normal1"/>
        <w:spacing w:before="120" w:after="120" w:line="360" w:lineRule="auto"/>
        <w:jc w:val="center"/>
        <w:rPr>
          <w:rFonts w:ascii="Times New Roman" w:eastAsia="Times New Roman" w:hAnsi="Times New Roman" w:cs="Times New Roman"/>
          <w:b/>
          <w:sz w:val="32"/>
          <w:szCs w:val="32"/>
        </w:rPr>
      </w:pPr>
      <w:bookmarkStart w:id="0" w:name="_GoBack"/>
      <w:bookmarkEnd w:id="0"/>
      <w:r>
        <w:br w:type="page"/>
      </w:r>
    </w:p>
    <w:p w14:paraId="00000007" w14:textId="77777777" w:rsidR="00107922" w:rsidRDefault="00E21BC5" w:rsidP="003A71C6">
      <w:pPr>
        <w:pStyle w:val="Heading1"/>
        <w:spacing w:line="360" w:lineRule="auto"/>
      </w:pPr>
      <w:bookmarkStart w:id="1" w:name="_Toc139062108"/>
      <w:r>
        <w:lastRenderedPageBreak/>
        <w:t>Introduction</w:t>
      </w:r>
      <w:bookmarkEnd w:id="1"/>
      <w:r>
        <w:t xml:space="preserve"> </w:t>
      </w:r>
    </w:p>
    <w:p w14:paraId="00000008" w14:textId="77777777" w:rsidR="00107922" w:rsidRDefault="00E21BC5" w:rsidP="003A71C6">
      <w:pPr>
        <w:pStyle w:val="Normal1"/>
        <w:spacing w:before="120" w:after="12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Criminal law is important for lowering criminalisation in society and the understanding of criminal liabilities is also required to get rid of the legal punishments. Criminal laws and criminal defence laws both are important legal instruments for giving le</w:t>
      </w:r>
      <w:r>
        <w:rPr>
          <w:rFonts w:ascii="Times New Roman" w:eastAsia="Times New Roman" w:hAnsi="Times New Roman" w:cs="Times New Roman"/>
          <w:sz w:val="24"/>
          <w:szCs w:val="24"/>
        </w:rPr>
        <w:t xml:space="preserve">gal justice to all citizens equally. Criminal laws can be stated as the laws that deal with criminal offences that can be raised due to disputes between organizations or individuals ( Bokovnya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The case study of the incidents at Christine's bi</w:t>
      </w:r>
      <w:r>
        <w:rPr>
          <w:rFonts w:ascii="Times New Roman" w:eastAsia="Times New Roman" w:hAnsi="Times New Roman" w:cs="Times New Roman"/>
          <w:sz w:val="24"/>
          <w:szCs w:val="24"/>
        </w:rPr>
        <w:t>rthday party is going to be analyzed for the understanding of the general principles of criminal liabilities in the UK and the defence laws. The advice for Harriet and Paula is going to be mentioned in the study based on the existing UK criminal laws and t</w:t>
      </w:r>
      <w:r>
        <w:rPr>
          <w:rFonts w:ascii="Times New Roman" w:eastAsia="Times New Roman" w:hAnsi="Times New Roman" w:cs="Times New Roman"/>
          <w:sz w:val="24"/>
          <w:szCs w:val="24"/>
        </w:rPr>
        <w:t xml:space="preserve">he case study analysis. </w:t>
      </w:r>
    </w:p>
    <w:p w14:paraId="00000009" w14:textId="77777777" w:rsidR="00107922" w:rsidRDefault="00E21BC5" w:rsidP="003A71C6">
      <w:pPr>
        <w:pStyle w:val="Heading1"/>
        <w:spacing w:line="360" w:lineRule="auto"/>
      </w:pPr>
      <w:bookmarkStart w:id="2" w:name="_Toc139062109"/>
      <w:r>
        <w:t>Overview of the issues</w:t>
      </w:r>
      <w:bookmarkEnd w:id="2"/>
      <w:r>
        <w:t xml:space="preserve"> </w:t>
      </w:r>
    </w:p>
    <w:p w14:paraId="0000000A" w14:textId="77777777" w:rsidR="00107922" w:rsidRDefault="00E21BC5" w:rsidP="003A71C6">
      <w:pPr>
        <w:pStyle w:val="Normal1"/>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place of the case incident was the birthday party of Christine where many guests gathered for the party purpose. The two incidents have been shown in the case study where Paula and Harriet are criminally</w:t>
      </w:r>
      <w:r>
        <w:rPr>
          <w:rFonts w:ascii="Times New Roman" w:eastAsia="Times New Roman" w:hAnsi="Times New Roman" w:cs="Times New Roman"/>
          <w:sz w:val="24"/>
          <w:szCs w:val="24"/>
        </w:rPr>
        <w:t xml:space="preserve"> liable for their work. In this regard, it can be said that legal advice can be required for both of them to defend themselves legally. </w:t>
      </w:r>
    </w:p>
    <w:p w14:paraId="0000000B" w14:textId="77777777" w:rsidR="00107922" w:rsidRDefault="00E21BC5" w:rsidP="003A71C6">
      <w:pPr>
        <w:pStyle w:val="Normal1"/>
        <w:numPr>
          <w:ilvl w:val="0"/>
          <w:numId w:val="1"/>
        </w:numPr>
        <w:spacing w:before="120" w:after="12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Issues related to Harriet </w:t>
      </w:r>
    </w:p>
    <w:p w14:paraId="0000000C" w14:textId="77777777" w:rsidR="00107922" w:rsidRDefault="00E21BC5" w:rsidP="003A71C6">
      <w:pPr>
        <w:pStyle w:val="Normal1"/>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Harriet and Leon were also two invitees to the birthday party of Christine and they did not </w:t>
      </w:r>
      <w:r>
        <w:rPr>
          <w:rFonts w:ascii="Times New Roman" w:eastAsia="Times New Roman" w:hAnsi="Times New Roman" w:cs="Times New Roman"/>
          <w:sz w:val="24"/>
          <w:szCs w:val="24"/>
        </w:rPr>
        <w:t xml:space="preserve">know each other before the party. Harriet was not willing to take alcohol as she was allergic to the alcohol. In the absence of Harriet, Leon spiked the vodka with her drink which was a big issue. The factor happened without the consent of Harriet and she </w:t>
      </w:r>
      <w:r>
        <w:rPr>
          <w:rFonts w:ascii="Times New Roman" w:eastAsia="Times New Roman" w:hAnsi="Times New Roman" w:cs="Times New Roman"/>
          <w:sz w:val="24"/>
          <w:szCs w:val="24"/>
        </w:rPr>
        <w:t>drank the drinks. She lost her control after drinking it and she did some serious criminal activities in that situation. She has damaged the house assets of Christine by smashing the kitchen door glass. In addition to these factors, she also attacked anoth</w:t>
      </w:r>
      <w:r>
        <w:rPr>
          <w:rFonts w:ascii="Times New Roman" w:eastAsia="Times New Roman" w:hAnsi="Times New Roman" w:cs="Times New Roman"/>
          <w:sz w:val="24"/>
          <w:szCs w:val="24"/>
        </w:rPr>
        <w:t xml:space="preserve">er guest and broke her cheekbones by hitting him. In this situation, the physical and material damage has been caused by Harriet at Christine's birthday party. </w:t>
      </w:r>
    </w:p>
    <w:p w14:paraId="0000000D" w14:textId="77777777" w:rsidR="00107922" w:rsidRDefault="00E21BC5" w:rsidP="003A71C6">
      <w:pPr>
        <w:pStyle w:val="Normal1"/>
        <w:numPr>
          <w:ilvl w:val="0"/>
          <w:numId w:val="1"/>
        </w:numPr>
        <w:spacing w:before="120" w:after="12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Issues related to Paula </w:t>
      </w:r>
    </w:p>
    <w:p w14:paraId="0000000E" w14:textId="77777777" w:rsidR="00107922" w:rsidRDefault="00E21BC5" w:rsidP="003A71C6">
      <w:pPr>
        <w:pStyle w:val="Normal1"/>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Christine was happy to show her gift items to the guests and Paula was</w:t>
      </w:r>
      <w:r>
        <w:rPr>
          <w:rFonts w:ascii="Times New Roman" w:eastAsia="Times New Roman" w:hAnsi="Times New Roman" w:cs="Times New Roman"/>
          <w:sz w:val="24"/>
          <w:szCs w:val="24"/>
        </w:rPr>
        <w:t xml:space="preserve"> also present at that birthday party as one of Christine's friends. Paula was jealous and she stole a well-designed handbag from the gift items of Christine. Apart from the factor, the incident happened intentionally and Paula was stealing cases intentiona</w:t>
      </w:r>
      <w:r>
        <w:rPr>
          <w:rFonts w:ascii="Times New Roman" w:eastAsia="Times New Roman" w:hAnsi="Times New Roman" w:cs="Times New Roman"/>
          <w:sz w:val="24"/>
          <w:szCs w:val="24"/>
        </w:rPr>
        <w:t xml:space="preserve">lly at the birthday party. In the case study of Paula, it can be analyzed </w:t>
      </w:r>
      <w:r>
        <w:rPr>
          <w:rFonts w:ascii="Times New Roman" w:eastAsia="Times New Roman" w:hAnsi="Times New Roman" w:cs="Times New Roman"/>
          <w:sz w:val="24"/>
          <w:szCs w:val="24"/>
        </w:rPr>
        <w:lastRenderedPageBreak/>
        <w:t xml:space="preserve">that she has stolen the design handbag from her jealousy with the intention. The factor is important to consider during the time of advice to Paula in the defence of criminal law. </w:t>
      </w:r>
    </w:p>
    <w:p w14:paraId="0000000F" w14:textId="77777777" w:rsidR="00107922" w:rsidRDefault="00E21BC5" w:rsidP="003A71C6">
      <w:pPr>
        <w:pStyle w:val="Heading1"/>
        <w:spacing w:line="360" w:lineRule="auto"/>
      </w:pPr>
      <w:bookmarkStart w:id="3" w:name="_Toc139062110"/>
      <w:r>
        <w:t>I</w:t>
      </w:r>
      <w:r>
        <w:t>ssue 1: Case of Harriet and advice</w:t>
      </w:r>
      <w:bookmarkEnd w:id="3"/>
      <w:r>
        <w:t xml:space="preserve"> </w:t>
      </w:r>
    </w:p>
    <w:p w14:paraId="00000010" w14:textId="77777777" w:rsidR="00107922" w:rsidRDefault="00E21BC5" w:rsidP="003A71C6">
      <w:pPr>
        <w:pStyle w:val="Normal1"/>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analysis of the case study regarding the issues with Harriet has shown that Harriet is criminally liable in a general sense. She is liable for the serious physical injury of another guest which is a crime. The victim</w:t>
      </w:r>
      <w:r>
        <w:rPr>
          <w:rFonts w:ascii="Times New Roman" w:eastAsia="Times New Roman" w:hAnsi="Times New Roman" w:cs="Times New Roman"/>
          <w:sz w:val="24"/>
          <w:szCs w:val="24"/>
        </w:rPr>
        <w:t xml:space="preserve"> can take legal support against Harriet for the reason that can make a legal threat to Harriet. As stated by de Vocht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drunk and disorderly law in the UK applies to disruptive public behaviour cases with the influence of alcohol. In this condi</w:t>
      </w:r>
      <w:r>
        <w:rPr>
          <w:rFonts w:ascii="Times New Roman" w:eastAsia="Times New Roman" w:hAnsi="Times New Roman" w:cs="Times New Roman"/>
          <w:sz w:val="24"/>
          <w:szCs w:val="24"/>
        </w:rPr>
        <w:t>tion, it can be stated that Section 91 of the Criminal Justice Act 1967 shows that drunkenness in public places and disorderly behaviour belong in the criminal liability of the individual. The fact is that Leon mixed the vodka with her drinks without her c</w:t>
      </w:r>
      <w:r>
        <w:rPr>
          <w:rFonts w:ascii="Times New Roman" w:eastAsia="Times New Roman" w:hAnsi="Times New Roman" w:cs="Times New Roman"/>
          <w:sz w:val="24"/>
          <w:szCs w:val="24"/>
        </w:rPr>
        <w:t xml:space="preserve">onsent and her presence. Harriet was allergic to alcohol and she was not willing to take the alcohol for being drunk. Involuntary intoxication has been held in the case where Harriet has become the cause of the injury of another person being drunk without </w:t>
      </w:r>
      <w:r>
        <w:rPr>
          <w:rFonts w:ascii="Times New Roman" w:eastAsia="Times New Roman" w:hAnsi="Times New Roman" w:cs="Times New Roman"/>
          <w:sz w:val="24"/>
          <w:szCs w:val="24"/>
        </w:rPr>
        <w:t xml:space="preserve">intention. General defences are applicable in this case due to the mistakes in the situation unintentionally without knowledge  (Paris, 2019). Harriet can advantage of the situation for the unintentional alcohol intake and attack the guest losing control. </w:t>
      </w:r>
    </w:p>
    <w:p w14:paraId="00000011" w14:textId="77777777" w:rsidR="00107922" w:rsidRDefault="00E21BC5" w:rsidP="003A71C6">
      <w:pPr>
        <w:pStyle w:val="Normal1"/>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Harriet has smashed the glasses off the door of the kitchen in the house Christina being drunk. Property damage is a criminal offence in the UK and legal advice is important here for safeguarding from legal complications. On the other hand, the criminal d</w:t>
      </w:r>
      <w:r>
        <w:rPr>
          <w:rFonts w:ascii="Times New Roman" w:eastAsia="Times New Roman" w:hAnsi="Times New Roman" w:cs="Times New Roman"/>
          <w:sz w:val="24"/>
          <w:szCs w:val="24"/>
        </w:rPr>
        <w:t>amage act 1971 can also be applied by the family of Christine for the property damage in their house due to their behaviour toward Harriet. In this case, the general defence laws in the UK strongly advised Harriet to get rid of the legal issues. On the con</w:t>
      </w:r>
      <w:r>
        <w:rPr>
          <w:rFonts w:ascii="Times New Roman" w:eastAsia="Times New Roman" w:hAnsi="Times New Roman" w:cs="Times New Roman"/>
          <w:sz w:val="24"/>
          <w:szCs w:val="24"/>
        </w:rPr>
        <w:t>trary, Lee and Bao (2020) stated that Automatism can be a strong element in the defence law in criminal laws that</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consciousness and mind control of the accused person during the crime. Harriet Lost her mind control and did criminal activities due to a lack</w:t>
      </w:r>
      <w:r>
        <w:rPr>
          <w:rFonts w:ascii="Times New Roman" w:eastAsia="Times New Roman" w:hAnsi="Times New Roman" w:cs="Times New Roman"/>
          <w:sz w:val="24"/>
          <w:szCs w:val="24"/>
        </w:rPr>
        <w:t xml:space="preserve"> of mental consciousness.  On the other hand, insanity is another element in the general defence law in the UK that focuses on mental illness. Harriet was allergic to alcohol and the issue of mental health can occur after taking the alcohol unintentionally</w:t>
      </w:r>
      <w:r>
        <w:rPr>
          <w:rFonts w:ascii="Times New Roman" w:eastAsia="Times New Roman" w:hAnsi="Times New Roman" w:cs="Times New Roman"/>
          <w:sz w:val="24"/>
          <w:szCs w:val="24"/>
        </w:rPr>
        <w:t xml:space="preserve"> by Harriet. The term 'mistake' and self-defence in the general defence law can also apply to Harriet in the criminal liability cases. </w:t>
      </w:r>
    </w:p>
    <w:p w14:paraId="00000012" w14:textId="77777777" w:rsidR="00107922" w:rsidRDefault="00E21BC5" w:rsidP="003A71C6">
      <w:pPr>
        <w:pStyle w:val="Normal1"/>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case summary of R v Woolin has shown the importance of mental health in the criminal law judgment where a 3-month-ol</w:t>
      </w:r>
      <w:r>
        <w:rPr>
          <w:rFonts w:ascii="Times New Roman" w:eastAsia="Times New Roman" w:hAnsi="Times New Roman" w:cs="Times New Roman"/>
          <w:sz w:val="24"/>
          <w:szCs w:val="24"/>
        </w:rPr>
        <w:t>d son was thrown from frustration. The words like intention and recklessness were related in the case that can be valuable for the case of Harriet. On the other hand, the R v Hardie case is another valuable instrument in the situation where involuntary int</w:t>
      </w:r>
      <w:r>
        <w:rPr>
          <w:rFonts w:ascii="Times New Roman" w:eastAsia="Times New Roman" w:hAnsi="Times New Roman" w:cs="Times New Roman"/>
          <w:sz w:val="24"/>
          <w:szCs w:val="24"/>
        </w:rPr>
        <w:t>oxication has been mentioned for the property damage issue against the criminal damage act 1971 (Hardie, 2020). The intention of Hardie was also evaluated in the judgment for the allegation against Hardie on the property damage issue. The case study is als</w:t>
      </w:r>
      <w:r>
        <w:rPr>
          <w:rFonts w:ascii="Times New Roman" w:eastAsia="Times New Roman" w:hAnsi="Times New Roman" w:cs="Times New Roman"/>
          <w:sz w:val="24"/>
          <w:szCs w:val="24"/>
        </w:rPr>
        <w:t>o an important factor in the legal issues with Harriet in the case study. In this regard, it can be said that Harriet can get full legal support in the situation under the general defence law in the UK. The case observation of the situation and the previou</w:t>
      </w:r>
      <w:r>
        <w:rPr>
          <w:rFonts w:ascii="Times New Roman" w:eastAsia="Times New Roman" w:hAnsi="Times New Roman" w:cs="Times New Roman"/>
          <w:sz w:val="24"/>
          <w:szCs w:val="24"/>
        </w:rPr>
        <w:t>s analysis of the cases along with the criminal liabilities in the UK can give huge support to Harriet in the situation. She has done activities related to criminal activities unintentionally. Leon is also responsible here for their behaviour of Harriet in</w:t>
      </w:r>
      <w:r>
        <w:rPr>
          <w:rFonts w:ascii="Times New Roman" w:eastAsia="Times New Roman" w:hAnsi="Times New Roman" w:cs="Times New Roman"/>
          <w:sz w:val="24"/>
          <w:szCs w:val="24"/>
        </w:rPr>
        <w:t xml:space="preserve"> the party. </w:t>
      </w:r>
    </w:p>
    <w:p w14:paraId="00000013" w14:textId="77777777" w:rsidR="00107922" w:rsidRDefault="00E21BC5" w:rsidP="003A71C6">
      <w:pPr>
        <w:pStyle w:val="Heading1"/>
        <w:spacing w:line="360" w:lineRule="auto"/>
      </w:pPr>
      <w:bookmarkStart w:id="4" w:name="_Toc139062111"/>
      <w:r>
        <w:t>Issue 2: Case of Paula and advise</w:t>
      </w:r>
      <w:bookmarkEnd w:id="4"/>
      <w:r>
        <w:t xml:space="preserve"> </w:t>
      </w:r>
    </w:p>
    <w:p w14:paraId="00000014" w14:textId="77777777" w:rsidR="00107922" w:rsidRDefault="00E21BC5" w:rsidP="003A71C6">
      <w:pPr>
        <w:pStyle w:val="Normal1"/>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Paula has stolen the designed handbag of Christine which can arise legal complications regarding the criminal liability of theft cases. She has done it out of jealousy and most importantly she has stolen the </w:t>
      </w:r>
      <w:r>
        <w:rPr>
          <w:rFonts w:ascii="Times New Roman" w:eastAsia="Times New Roman" w:hAnsi="Times New Roman" w:cs="Times New Roman"/>
          <w:sz w:val="24"/>
          <w:szCs w:val="24"/>
        </w:rPr>
        <w:t xml:space="preserve">bag intentionally. </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The case shows the importance of proving the intentional theft cases by the accused person (Dehaghani and Newman, 2021). Paula Can claim that she has been caught by mistake and mistaken identity on the accused person can be applicable i</w:t>
      </w:r>
      <w:r>
        <w:rPr>
          <w:rFonts w:ascii="Times New Roman" w:eastAsia="Times New Roman" w:hAnsi="Times New Roman" w:cs="Times New Roman"/>
          <w:sz w:val="24"/>
          <w:szCs w:val="24"/>
        </w:rPr>
        <w:t>n this case as the general defence law in the UK.  Self-defense can be done in the situation of getting read from the criminal liability on theft issue. As stated by Newman and Welsh (2019) R v Cahill's 1993 case summary has shown the importance of the eye</w:t>
      </w:r>
      <w:r>
        <w:rPr>
          <w:rFonts w:ascii="Times New Roman" w:eastAsia="Times New Roman" w:hAnsi="Times New Roman" w:cs="Times New Roman"/>
          <w:sz w:val="24"/>
          <w:szCs w:val="24"/>
        </w:rPr>
        <w:t xml:space="preserve"> witness in the theft cases. The case summary has shown that the accused person stole the bundle of newspapers and later claimed that he planned to use it for prank purposes. The witness becomes vital in the situation and the case summary can support Paula</w:t>
      </w:r>
      <w:r>
        <w:rPr>
          <w:rFonts w:ascii="Times New Roman" w:eastAsia="Times New Roman" w:hAnsi="Times New Roman" w:cs="Times New Roman"/>
          <w:sz w:val="24"/>
          <w:szCs w:val="24"/>
        </w:rPr>
        <w:t xml:space="preserve"> in the defence of criminal liability. </w:t>
      </w:r>
    </w:p>
    <w:p w14:paraId="00000015" w14:textId="77777777" w:rsidR="00107922" w:rsidRDefault="00E21BC5" w:rsidP="003A71C6">
      <w:pPr>
        <w:pStyle w:val="Normal1"/>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case summary of Ivey v Genting Casinos (UK) Ltd [2017] is another situation where the test of dishonesty becomes important for the criminal liability judgment in the UK (Pivaty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The realization of th</w:t>
      </w:r>
      <w:r>
        <w:rPr>
          <w:rFonts w:ascii="Times New Roman" w:eastAsia="Times New Roman" w:hAnsi="Times New Roman" w:cs="Times New Roman"/>
          <w:sz w:val="24"/>
          <w:szCs w:val="24"/>
        </w:rPr>
        <w:t>e defendant that he has done dishonest activity in the criminal law has value in the judgment. The factors can be highly valuable for Paula in the general defence law in the UK in the theft case of the handbag. On the other hand R v Ghosh 1982 has also sho</w:t>
      </w:r>
      <w:r>
        <w:rPr>
          <w:rFonts w:ascii="Times New Roman" w:eastAsia="Times New Roman" w:hAnsi="Times New Roman" w:cs="Times New Roman"/>
          <w:sz w:val="24"/>
          <w:szCs w:val="24"/>
        </w:rPr>
        <w:t xml:space="preserve">wn the importance </w:t>
      </w:r>
      <w:r>
        <w:rPr>
          <w:rFonts w:ascii="Times New Roman" w:eastAsia="Times New Roman" w:hAnsi="Times New Roman" w:cs="Times New Roman"/>
          <w:sz w:val="24"/>
          <w:szCs w:val="24"/>
        </w:rPr>
        <w:lastRenderedPageBreak/>
        <w:t xml:space="preserve">of the dishonesty test for criminal law. Ghosh, the defendant in the case claimed money for a surgical operation falsely and dishonest conduct becomes important in this case. In this situation, it can be said that Paula can also take the </w:t>
      </w:r>
      <w:r>
        <w:rPr>
          <w:rFonts w:ascii="Times New Roman" w:eastAsia="Times New Roman" w:hAnsi="Times New Roman" w:cs="Times New Roman"/>
          <w:sz w:val="24"/>
          <w:szCs w:val="24"/>
        </w:rPr>
        <w:t xml:space="preserve">strategy to meet effectively with these on the dishonesty test in the criminal law for the defence against what she has done. </w:t>
      </w:r>
    </w:p>
    <w:p w14:paraId="00000016" w14:textId="77777777" w:rsidR="00107922" w:rsidRDefault="00E21BC5" w:rsidP="003A71C6">
      <w:pPr>
        <w:pStyle w:val="Heading1"/>
        <w:spacing w:line="360" w:lineRule="auto"/>
      </w:pPr>
      <w:bookmarkStart w:id="5" w:name="_Toc139062112"/>
      <w:r>
        <w:t>Conclusion</w:t>
      </w:r>
      <w:bookmarkEnd w:id="5"/>
      <w:r>
        <w:t xml:space="preserve"> </w:t>
      </w:r>
    </w:p>
    <w:p w14:paraId="00000017" w14:textId="77777777" w:rsidR="00107922" w:rsidRDefault="00E21BC5" w:rsidP="003A71C6">
      <w:pPr>
        <w:pStyle w:val="Normal1"/>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above study, it can be concluded that a brief understanding of criminal liabilities is important for all citizens to avoid legal complications.  The general defence law in the UK is a strong instrument for legal defence and getting rid of legal is</w:t>
      </w:r>
      <w:r>
        <w:rPr>
          <w:rFonts w:ascii="Times New Roman" w:eastAsia="Times New Roman" w:hAnsi="Times New Roman" w:cs="Times New Roman"/>
          <w:sz w:val="24"/>
          <w:szCs w:val="24"/>
        </w:rPr>
        <w:t>sues.  The case study has shown two simultaneous issues in the birthday party case. Two cases of Paula and Harriet have been shown in the case study that is related to criminal liabilities in the UK. In this situation, the legal advice for Harriet and Paul</w:t>
      </w:r>
      <w:r>
        <w:rPr>
          <w:rFonts w:ascii="Times New Roman" w:eastAsia="Times New Roman" w:hAnsi="Times New Roman" w:cs="Times New Roman"/>
          <w:sz w:val="24"/>
          <w:szCs w:val="24"/>
        </w:rPr>
        <w:t xml:space="preserve">a has been discussed in the study in detail.  The different relevant case scenarios and the summaries related to the legal defence law in the UK have also been mentioned. </w:t>
      </w:r>
      <w:r>
        <w:br w:type="page"/>
      </w:r>
    </w:p>
    <w:p w14:paraId="00000018" w14:textId="77777777" w:rsidR="00107922" w:rsidRDefault="00E21BC5" w:rsidP="003A71C6">
      <w:pPr>
        <w:pStyle w:val="Heading1"/>
        <w:spacing w:line="360" w:lineRule="auto"/>
      </w:pPr>
      <w:bookmarkStart w:id="6" w:name="_Toc139062113"/>
      <w:r>
        <w:lastRenderedPageBreak/>
        <w:t>Reference list</w:t>
      </w:r>
      <w:bookmarkEnd w:id="6"/>
    </w:p>
    <w:p w14:paraId="00000019" w14:textId="77777777" w:rsidR="00107922" w:rsidRDefault="00E21BC5" w:rsidP="003A71C6">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Bokovnya, A.Y., Khisamova, Z.I. and Begishev, I.R., (2019). Study of Russian and the UK Legislations in Combating Digital Crimes. </w:t>
      </w:r>
      <w:r>
        <w:rPr>
          <w:rFonts w:ascii="Times New Roman" w:eastAsia="Times New Roman" w:hAnsi="Times New Roman" w:cs="Times New Roman"/>
          <w:i/>
          <w:sz w:val="24"/>
          <w:szCs w:val="24"/>
        </w:rPr>
        <w:t>Helix</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w:t>
      </w:r>
      <w:r>
        <w:rPr>
          <w:rFonts w:ascii="Times New Roman" w:eastAsia="Times New Roman" w:hAnsi="Times New Roman" w:cs="Times New Roman"/>
          <w:sz w:val="24"/>
          <w:szCs w:val="24"/>
        </w:rPr>
        <w:t>(5), pp.5458-5461.</w:t>
      </w:r>
    </w:p>
    <w:p w14:paraId="0000001A" w14:textId="77777777" w:rsidR="00107922" w:rsidRDefault="00E21BC5" w:rsidP="003A71C6">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 Vocht, F., McQuire, C., Brennan, A., Egan, M., Angus, C., Kaner, E., Beard, E., Brown, J., De An</w:t>
      </w:r>
      <w:r>
        <w:rPr>
          <w:rFonts w:ascii="Times New Roman" w:eastAsia="Times New Roman" w:hAnsi="Times New Roman" w:cs="Times New Roman"/>
          <w:sz w:val="24"/>
          <w:szCs w:val="24"/>
        </w:rPr>
        <w:t xml:space="preserve">gelis, D., Carter, N. and Murray, B., (2020). Evaluating the causal impact of individual alcohol licensing decisions on local health and crime using natural experiments with synthetic controls. </w:t>
      </w:r>
      <w:r>
        <w:rPr>
          <w:rFonts w:ascii="Times New Roman" w:eastAsia="Times New Roman" w:hAnsi="Times New Roman" w:cs="Times New Roman"/>
          <w:i/>
          <w:sz w:val="24"/>
          <w:szCs w:val="24"/>
        </w:rPr>
        <w:t>Addiction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115</w:t>
      </w:r>
      <w:r>
        <w:rPr>
          <w:rFonts w:ascii="Times New Roman" w:eastAsia="Times New Roman" w:hAnsi="Times New Roman" w:cs="Times New Roman"/>
          <w:sz w:val="24"/>
          <w:szCs w:val="24"/>
        </w:rPr>
        <w:t>(11), pp.2021-2031.</w:t>
      </w:r>
    </w:p>
    <w:p w14:paraId="0000001B" w14:textId="77777777" w:rsidR="00107922" w:rsidRDefault="00E21BC5" w:rsidP="003A71C6">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Dehaghani, R. and Newman, D.</w:t>
      </w:r>
      <w:r>
        <w:rPr>
          <w:rFonts w:ascii="Times New Roman" w:eastAsia="Times New Roman" w:hAnsi="Times New Roman" w:cs="Times New Roman"/>
          <w:sz w:val="24"/>
          <w:szCs w:val="24"/>
        </w:rPr>
        <w:t xml:space="preserve">, (2021). The crisis in legally aided criminal defence in Wales: bringing Wales into discussions of England and Wales. </w:t>
      </w:r>
      <w:r>
        <w:rPr>
          <w:rFonts w:ascii="Times New Roman" w:eastAsia="Times New Roman" w:hAnsi="Times New Roman" w:cs="Times New Roman"/>
          <w:i/>
          <w:sz w:val="24"/>
          <w:szCs w:val="24"/>
        </w:rPr>
        <w:t>Legal Studies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41</w:t>
      </w:r>
      <w:r>
        <w:rPr>
          <w:rFonts w:ascii="Times New Roman" w:eastAsia="Times New Roman" w:hAnsi="Times New Roman" w:cs="Times New Roman"/>
          <w:sz w:val="24"/>
          <w:szCs w:val="24"/>
        </w:rPr>
        <w:t>(2), pp.234-251.</w:t>
      </w:r>
    </w:p>
    <w:p w14:paraId="0000001C" w14:textId="77777777" w:rsidR="00107922" w:rsidRDefault="00E21BC5" w:rsidP="003A71C6">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Hardie, B., (2020). </w:t>
      </w:r>
      <w:r>
        <w:rPr>
          <w:rFonts w:ascii="Times New Roman" w:eastAsia="Times New Roman" w:hAnsi="Times New Roman" w:cs="Times New Roman"/>
          <w:i/>
          <w:sz w:val="24"/>
          <w:szCs w:val="24"/>
        </w:rPr>
        <w:t>Studying situational interaction: Explaining behaviour by analysing person-environm</w:t>
      </w:r>
      <w:r>
        <w:rPr>
          <w:rFonts w:ascii="Times New Roman" w:eastAsia="Times New Roman" w:hAnsi="Times New Roman" w:cs="Times New Roman"/>
          <w:i/>
          <w:sz w:val="24"/>
          <w:szCs w:val="24"/>
        </w:rPr>
        <w:t>ent convergence</w:t>
      </w:r>
      <w:r>
        <w:rPr>
          <w:rFonts w:ascii="Times New Roman" w:eastAsia="Times New Roman" w:hAnsi="Times New Roman" w:cs="Times New Roman"/>
          <w:sz w:val="24"/>
          <w:szCs w:val="24"/>
        </w:rPr>
        <w:t>. Springer Nature.</w:t>
      </w:r>
    </w:p>
    <w:p w14:paraId="0000001D" w14:textId="77777777" w:rsidR="00107922" w:rsidRDefault="00E21BC5" w:rsidP="003A71C6">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Lee, J. and Bao, Y., (2020). The prospect of regulatory alignment for an interconnected capital market between the United Kingdom and China: a takeover law perspective. </w:t>
      </w:r>
      <w:r>
        <w:rPr>
          <w:rFonts w:ascii="Times New Roman" w:eastAsia="Times New Roman" w:hAnsi="Times New Roman" w:cs="Times New Roman"/>
          <w:i/>
          <w:sz w:val="24"/>
          <w:szCs w:val="24"/>
        </w:rPr>
        <w:t>The Chinese Journal of Comparative Law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w:t>
      </w:r>
      <w:r>
        <w:rPr>
          <w:rFonts w:ascii="Times New Roman" w:eastAsia="Times New Roman" w:hAnsi="Times New Roman" w:cs="Times New Roman"/>
          <w:sz w:val="24"/>
          <w:szCs w:val="24"/>
        </w:rPr>
        <w:t>(2), pp.450-</w:t>
      </w:r>
      <w:r>
        <w:rPr>
          <w:rFonts w:ascii="Times New Roman" w:eastAsia="Times New Roman" w:hAnsi="Times New Roman" w:cs="Times New Roman"/>
          <w:sz w:val="24"/>
          <w:szCs w:val="24"/>
        </w:rPr>
        <w:t>484.</w:t>
      </w:r>
    </w:p>
    <w:p w14:paraId="0000001E" w14:textId="77777777" w:rsidR="00107922" w:rsidRDefault="00E21BC5" w:rsidP="003A71C6">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Newman, D. and Welsh, L., (2019). The practices of modern criminal defence lawyers: Alienation and its implications for access to justice. </w:t>
      </w:r>
      <w:r>
        <w:rPr>
          <w:rFonts w:ascii="Times New Roman" w:eastAsia="Times New Roman" w:hAnsi="Times New Roman" w:cs="Times New Roman"/>
          <w:i/>
          <w:sz w:val="24"/>
          <w:szCs w:val="24"/>
        </w:rPr>
        <w:t>Common law world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48</w:t>
      </w:r>
      <w:r>
        <w:rPr>
          <w:rFonts w:ascii="Times New Roman" w:eastAsia="Times New Roman" w:hAnsi="Times New Roman" w:cs="Times New Roman"/>
          <w:sz w:val="24"/>
          <w:szCs w:val="24"/>
        </w:rPr>
        <w:t>(1-2), pp.64-89.</w:t>
      </w:r>
    </w:p>
    <w:p w14:paraId="0000001F" w14:textId="77777777" w:rsidR="00107922" w:rsidRDefault="00E21BC5" w:rsidP="003A71C6">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Paris, J., (2019)Dissociative identity disorder: validity and use in</w:t>
      </w:r>
      <w:r>
        <w:rPr>
          <w:rFonts w:ascii="Times New Roman" w:eastAsia="Times New Roman" w:hAnsi="Times New Roman" w:cs="Times New Roman"/>
          <w:sz w:val="24"/>
          <w:szCs w:val="24"/>
        </w:rPr>
        <w:t xml:space="preserve"> the criminal justice system. </w:t>
      </w:r>
      <w:r>
        <w:rPr>
          <w:rFonts w:ascii="Times New Roman" w:eastAsia="Times New Roman" w:hAnsi="Times New Roman" w:cs="Times New Roman"/>
          <w:i/>
          <w:sz w:val="24"/>
          <w:szCs w:val="24"/>
        </w:rPr>
        <w:t>BJPsych Advances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25</w:t>
      </w:r>
      <w:r>
        <w:rPr>
          <w:rFonts w:ascii="Times New Roman" w:eastAsia="Times New Roman" w:hAnsi="Times New Roman" w:cs="Times New Roman"/>
          <w:sz w:val="24"/>
          <w:szCs w:val="24"/>
        </w:rPr>
        <w:t>(5), pp.287-293.</w:t>
      </w:r>
    </w:p>
    <w:p w14:paraId="00000020" w14:textId="77777777" w:rsidR="00107922" w:rsidRDefault="00E21BC5" w:rsidP="003A71C6">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Pivaty, A., Vanderhallen, M., Daly, Y. and Conway, V., (2020). Contemporary criminal defence practice: importance of active involvement at the investigative stage and related training requi</w:t>
      </w:r>
      <w:r>
        <w:rPr>
          <w:rFonts w:ascii="Times New Roman" w:eastAsia="Times New Roman" w:hAnsi="Times New Roman" w:cs="Times New Roman"/>
          <w:sz w:val="24"/>
          <w:szCs w:val="24"/>
        </w:rPr>
        <w:t xml:space="preserve">rements. </w:t>
      </w:r>
      <w:r>
        <w:rPr>
          <w:rFonts w:ascii="Times New Roman" w:eastAsia="Times New Roman" w:hAnsi="Times New Roman" w:cs="Times New Roman"/>
          <w:i/>
          <w:sz w:val="24"/>
          <w:szCs w:val="24"/>
        </w:rPr>
        <w:t>International Journal of the Legal Profession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27</w:t>
      </w:r>
      <w:r>
        <w:rPr>
          <w:rFonts w:ascii="Times New Roman" w:eastAsia="Times New Roman" w:hAnsi="Times New Roman" w:cs="Times New Roman"/>
          <w:sz w:val="24"/>
          <w:szCs w:val="24"/>
        </w:rPr>
        <w:t>(1), pp.25-44.</w:t>
      </w:r>
    </w:p>
    <w:p w14:paraId="00000021" w14:textId="77777777" w:rsidR="00107922" w:rsidRDefault="00107922" w:rsidP="003A71C6">
      <w:pPr>
        <w:pStyle w:val="Normal1"/>
        <w:spacing w:before="120" w:after="120" w:line="360" w:lineRule="auto"/>
        <w:jc w:val="both"/>
        <w:rPr>
          <w:rFonts w:ascii="Times New Roman" w:eastAsia="Times New Roman" w:hAnsi="Times New Roman" w:cs="Times New Roman"/>
          <w:sz w:val="24"/>
          <w:szCs w:val="24"/>
        </w:rPr>
      </w:pPr>
    </w:p>
    <w:sectPr w:rsidR="00107922">
      <w:footerReference w:type="default" r:id="rId8"/>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D69DC3C" w14:textId="77777777" w:rsidR="00E21BC5" w:rsidRDefault="00E21BC5" w:rsidP="003A71C6">
      <w:pPr>
        <w:spacing w:line="240" w:lineRule="auto"/>
      </w:pPr>
      <w:r>
        <w:separator/>
      </w:r>
    </w:p>
  </w:endnote>
  <w:endnote w:type="continuationSeparator" w:id="0">
    <w:p w14:paraId="1EDC4BB0" w14:textId="77777777" w:rsidR="00E21BC5" w:rsidRDefault="00E21BC5" w:rsidP="003A71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83398118"/>
      <w:docPartObj>
        <w:docPartGallery w:val="Page Numbers (Bottom of Page)"/>
        <w:docPartUnique/>
      </w:docPartObj>
    </w:sdtPr>
    <w:sdtEndPr>
      <w:rPr>
        <w:noProof/>
      </w:rPr>
    </w:sdtEndPr>
    <w:sdtContent>
      <w:p w14:paraId="7F6CB80B" w14:textId="357B6E0D" w:rsidR="003A71C6" w:rsidRDefault="003A71C6">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39EC9A5D" w14:textId="77777777" w:rsidR="003A71C6" w:rsidRDefault="003A71C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C8E7118" w14:textId="77777777" w:rsidR="00E21BC5" w:rsidRDefault="00E21BC5" w:rsidP="003A71C6">
      <w:pPr>
        <w:spacing w:line="240" w:lineRule="auto"/>
      </w:pPr>
      <w:r>
        <w:separator/>
      </w:r>
    </w:p>
  </w:footnote>
  <w:footnote w:type="continuationSeparator" w:id="0">
    <w:p w14:paraId="409418F0" w14:textId="77777777" w:rsidR="00E21BC5" w:rsidRDefault="00E21BC5" w:rsidP="003A71C6">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BE10592"/>
    <w:multiLevelType w:val="hybridMultilevel"/>
    <w:tmpl w:val="00000000"/>
    <w:lvl w:ilvl="0" w:tplc="A01CD922">
      <w:start w:val="1"/>
      <w:numFmt w:val="bullet"/>
      <w:lvlText w:val="●"/>
      <w:lvlJc w:val="left"/>
      <w:pPr>
        <w:ind w:left="720" w:hanging="360"/>
      </w:pPr>
      <w:rPr>
        <w:u w:val="none"/>
      </w:rPr>
    </w:lvl>
    <w:lvl w:ilvl="1" w:tplc="AEEC4A3E">
      <w:start w:val="1"/>
      <w:numFmt w:val="bullet"/>
      <w:lvlText w:val="○"/>
      <w:lvlJc w:val="left"/>
      <w:pPr>
        <w:ind w:left="1440" w:hanging="360"/>
      </w:pPr>
      <w:rPr>
        <w:u w:val="none"/>
      </w:rPr>
    </w:lvl>
    <w:lvl w:ilvl="2" w:tplc="B9602A36">
      <w:start w:val="1"/>
      <w:numFmt w:val="bullet"/>
      <w:lvlText w:val="■"/>
      <w:lvlJc w:val="left"/>
      <w:pPr>
        <w:ind w:left="2160" w:hanging="360"/>
      </w:pPr>
      <w:rPr>
        <w:u w:val="none"/>
      </w:rPr>
    </w:lvl>
    <w:lvl w:ilvl="3" w:tplc="C642577E">
      <w:start w:val="1"/>
      <w:numFmt w:val="bullet"/>
      <w:lvlText w:val="●"/>
      <w:lvlJc w:val="left"/>
      <w:pPr>
        <w:ind w:left="2880" w:hanging="360"/>
      </w:pPr>
      <w:rPr>
        <w:u w:val="none"/>
      </w:rPr>
    </w:lvl>
    <w:lvl w:ilvl="4" w:tplc="01BE39DE">
      <w:start w:val="1"/>
      <w:numFmt w:val="bullet"/>
      <w:lvlText w:val="○"/>
      <w:lvlJc w:val="left"/>
      <w:pPr>
        <w:ind w:left="3600" w:hanging="360"/>
      </w:pPr>
      <w:rPr>
        <w:u w:val="none"/>
      </w:rPr>
    </w:lvl>
    <w:lvl w:ilvl="5" w:tplc="6C0EC8D6">
      <w:start w:val="1"/>
      <w:numFmt w:val="bullet"/>
      <w:lvlText w:val="■"/>
      <w:lvlJc w:val="left"/>
      <w:pPr>
        <w:ind w:left="4320" w:hanging="360"/>
      </w:pPr>
      <w:rPr>
        <w:u w:val="none"/>
      </w:rPr>
    </w:lvl>
    <w:lvl w:ilvl="6" w:tplc="4AFC2BE8">
      <w:start w:val="1"/>
      <w:numFmt w:val="bullet"/>
      <w:lvlText w:val="●"/>
      <w:lvlJc w:val="left"/>
      <w:pPr>
        <w:ind w:left="5040" w:hanging="360"/>
      </w:pPr>
      <w:rPr>
        <w:u w:val="none"/>
      </w:rPr>
    </w:lvl>
    <w:lvl w:ilvl="7" w:tplc="BD84EC1A">
      <w:start w:val="1"/>
      <w:numFmt w:val="bullet"/>
      <w:lvlText w:val="○"/>
      <w:lvlJc w:val="left"/>
      <w:pPr>
        <w:ind w:left="5760" w:hanging="360"/>
      </w:pPr>
      <w:rPr>
        <w:u w:val="none"/>
      </w:rPr>
    </w:lvl>
    <w:lvl w:ilvl="8" w:tplc="34147440">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7922"/>
    <w:rsid w:val="00107922"/>
    <w:rsid w:val="003A71C6"/>
    <w:rsid w:val="00E21BC5"/>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27ABE20-F3EF-4EE5-9C54-EBEEC4030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77B5"/>
  </w:style>
  <w:style w:type="paragraph" w:styleId="Heading1">
    <w:name w:val="heading 1"/>
    <w:basedOn w:val="Normal1"/>
    <w:next w:val="Normal1"/>
    <w:autoRedefine/>
    <w:rsid w:val="003A71C6"/>
    <w:pPr>
      <w:keepNext/>
      <w:keepLines/>
      <w:spacing w:before="400" w:after="120"/>
      <w:outlineLvl w:val="0"/>
    </w:pPr>
    <w:rPr>
      <w:rFonts w:asciiTheme="majorBidi" w:hAnsiTheme="majorBidi"/>
      <w:b/>
      <w:color w:val="000000" w:themeColor="text1"/>
      <w:sz w:val="28"/>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3A71C6"/>
    <w:pPr>
      <w:tabs>
        <w:tab w:val="center" w:pos="4513"/>
        <w:tab w:val="right" w:pos="9026"/>
      </w:tabs>
      <w:spacing w:line="240" w:lineRule="auto"/>
    </w:pPr>
  </w:style>
  <w:style w:type="character" w:customStyle="1" w:styleId="HeaderChar">
    <w:name w:val="Header Char"/>
    <w:basedOn w:val="DefaultParagraphFont"/>
    <w:link w:val="Header"/>
    <w:uiPriority w:val="99"/>
    <w:rsid w:val="003A71C6"/>
  </w:style>
  <w:style w:type="paragraph" w:styleId="Footer">
    <w:name w:val="footer"/>
    <w:basedOn w:val="Normal"/>
    <w:link w:val="FooterChar"/>
    <w:uiPriority w:val="99"/>
    <w:unhideWhenUsed/>
    <w:rsid w:val="003A71C6"/>
    <w:pPr>
      <w:tabs>
        <w:tab w:val="center" w:pos="4513"/>
        <w:tab w:val="right" w:pos="9026"/>
      </w:tabs>
      <w:spacing w:line="240" w:lineRule="auto"/>
    </w:pPr>
  </w:style>
  <w:style w:type="character" w:customStyle="1" w:styleId="FooterChar">
    <w:name w:val="Footer Char"/>
    <w:basedOn w:val="DefaultParagraphFont"/>
    <w:link w:val="Footer"/>
    <w:uiPriority w:val="99"/>
    <w:rsid w:val="003A71C6"/>
  </w:style>
  <w:style w:type="paragraph" w:styleId="TOCHeading">
    <w:name w:val="TOC Heading"/>
    <w:basedOn w:val="Heading1"/>
    <w:next w:val="Normal"/>
    <w:uiPriority w:val="39"/>
    <w:unhideWhenUsed/>
    <w:qFormat/>
    <w:rsid w:val="003A71C6"/>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A71C6"/>
    <w:pPr>
      <w:spacing w:after="100"/>
    </w:pPr>
  </w:style>
  <w:style w:type="character" w:styleId="Hyperlink">
    <w:name w:val="Hyperlink"/>
    <w:basedOn w:val="DefaultParagraphFont"/>
    <w:uiPriority w:val="99"/>
    <w:unhideWhenUsed/>
    <w:rsid w:val="003A71C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14EF-D2F0-4B1F-AC50-FF8AC4154A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1641</Words>
  <Characters>9355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2023-06-30T18:32:00Z</dcterms:created>
  <dcterms:modified xsi:type="dcterms:W3CDTF">2023-06-30T18:32:00Z</dcterms:modified>
</cp:coreProperties>
</file>