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796CB5" w14:textId="77777777" w:rsidR="00F74358" w:rsidRPr="00F74358" w:rsidRDefault="00F74358" w:rsidP="00F74358">
      <w:pPr>
        <w:spacing w:line="240" w:lineRule="auto"/>
        <w:jc w:val="right"/>
      </w:pPr>
      <w:r w:rsidRPr="00F74358">
        <w:t xml:space="preserve">Yordanka Ivanova </w:t>
      </w:r>
    </w:p>
    <w:p w14:paraId="6F99CEC9" w14:textId="77777777" w:rsidR="00F74358" w:rsidRPr="00F74358" w:rsidRDefault="00F74358" w:rsidP="00F74358">
      <w:pPr>
        <w:spacing w:line="240" w:lineRule="auto"/>
        <w:jc w:val="right"/>
      </w:pPr>
      <w:r w:rsidRPr="00F74358">
        <w:t>2022864</w:t>
      </w:r>
    </w:p>
    <w:p w14:paraId="373E3A50" w14:textId="7A9EEB1A" w:rsidR="00F74358" w:rsidRPr="00F74358" w:rsidRDefault="00F74358" w:rsidP="008E18D5">
      <w:pPr>
        <w:rPr>
          <w:sz w:val="32"/>
          <w:szCs w:val="32"/>
        </w:rPr>
      </w:pPr>
      <w:r w:rsidRPr="00F74358">
        <w:rPr>
          <w:sz w:val="32"/>
          <w:szCs w:val="32"/>
        </w:rPr>
        <w:t>Question 1</w:t>
      </w:r>
    </w:p>
    <w:p w14:paraId="7927EBED" w14:textId="096101D5" w:rsidR="00846603" w:rsidRPr="00F74358" w:rsidRDefault="00846603" w:rsidP="00F74358">
      <w:pPr>
        <w:jc w:val="both"/>
      </w:pPr>
      <w:r w:rsidRPr="00F74358">
        <w:t xml:space="preserve">An easement allows one landowner to use another's land. Legal easements are property interests, not personal rights. Section 1 (2) (a) of the Law of Property Act allows an easement </w:t>
      </w:r>
      <w:r w:rsidR="0080559D">
        <w:t xml:space="preserve">  </w:t>
      </w:r>
      <w:r w:rsidRPr="00F74358">
        <w:t xml:space="preserve"> </w:t>
      </w:r>
      <w:proofErr w:type="gramStart"/>
      <w:r w:rsidRPr="00F74358">
        <w:t>be</w:t>
      </w:r>
      <w:proofErr w:type="gramEnd"/>
      <w:r w:rsidRPr="00F74358">
        <w:t xml:space="preserve"> legal if conditions are met</w:t>
      </w:r>
      <w:r w:rsidR="00E85224" w:rsidRPr="00F74358">
        <w:t xml:space="preserve">. </w:t>
      </w:r>
      <w:r w:rsidRPr="00F74358">
        <w:t xml:space="preserve">Deeds create legal easements (s 52(1) LPA 1925). The deed must meet LPMPA 1989 section 1 requirements. Legal easements can be created without a deed. </w:t>
      </w:r>
      <w:proofErr w:type="gramStart"/>
      <w:r w:rsidR="00E85224" w:rsidRPr="00F74358">
        <w:t xml:space="preserve">Section </w:t>
      </w:r>
      <w:r w:rsidRPr="00F74358">
        <w:t xml:space="preserve"> 2</w:t>
      </w:r>
      <w:proofErr w:type="gramEnd"/>
      <w:r w:rsidRPr="00F74358">
        <w:t xml:space="preserve"> </w:t>
      </w:r>
      <w:r w:rsidR="00E85224" w:rsidRPr="00F74358">
        <w:t xml:space="preserve">of </w:t>
      </w:r>
      <w:r w:rsidRPr="00F74358">
        <w:t>LPMPA 1989</w:t>
      </w:r>
      <w:r w:rsidR="00E85224" w:rsidRPr="00F74358">
        <w:t xml:space="preserve"> state that</w:t>
      </w:r>
      <w:r w:rsidRPr="00F74358">
        <w:t xml:space="preserve"> easement agreements </w:t>
      </w:r>
      <w:r w:rsidR="000A091D" w:rsidRPr="00F74358">
        <w:t xml:space="preserve">are </w:t>
      </w:r>
      <w:r w:rsidRPr="00F74358">
        <w:t>equitabl</w:t>
      </w:r>
      <w:r w:rsidR="00E85224" w:rsidRPr="00F74358">
        <w:t>e like in the case of Walsh v. Lonsdale</w:t>
      </w:r>
    </w:p>
    <w:p w14:paraId="3DE917F0" w14:textId="1B63871A" w:rsidR="00220B2B" w:rsidRPr="00F74358" w:rsidRDefault="00846603" w:rsidP="00F74358">
      <w:pPr>
        <w:jc w:val="both"/>
      </w:pPr>
      <w:r w:rsidRPr="00F74358">
        <w:t xml:space="preserve">  </w:t>
      </w:r>
      <w:r w:rsidR="00220B2B" w:rsidRPr="00F74358">
        <w:t xml:space="preserve">The case of Re Ellenborough Park is considered a seminal legal precedent that exerted a substantial influence on the evolution of property law in the United Kingdom. The Court of Appeal was required to deliberate on a privilege that certain </w:t>
      </w:r>
      <w:proofErr w:type="gramStart"/>
      <w:r w:rsidR="00220B2B" w:rsidRPr="00F74358">
        <w:t>home owners</w:t>
      </w:r>
      <w:proofErr w:type="gramEnd"/>
      <w:r w:rsidR="00220B2B" w:rsidRPr="00F74358">
        <w:t xml:space="preserve"> had to utilise a garden or park in the </w:t>
      </w:r>
      <w:r w:rsidR="00F851DB" w:rsidRPr="00F74358">
        <w:t>vicinity. It</w:t>
      </w:r>
      <w:r w:rsidR="00220B2B" w:rsidRPr="00F74358">
        <w:t xml:space="preserve"> was determined that the park usage right could function as an easement. The key features of an easement were delineated by the judges of the Court of Appeal in their decision, thereby establishing the criterion for an easement. The following constitute the test's components:</w:t>
      </w:r>
    </w:p>
    <w:p w14:paraId="324822D0" w14:textId="6560F3B1" w:rsidR="00220B2B" w:rsidRPr="00F74358" w:rsidRDefault="00220B2B" w:rsidP="00F74358">
      <w:pPr>
        <w:jc w:val="both"/>
      </w:pPr>
      <w:r w:rsidRPr="00F74358">
        <w:t>1.Tenements must consist of both dominant and submissive tenants.</w:t>
      </w:r>
    </w:p>
    <w:p w14:paraId="146C4A20" w14:textId="77777777" w:rsidR="00220B2B" w:rsidRPr="00F74358" w:rsidRDefault="00220B2B" w:rsidP="00F74358">
      <w:pPr>
        <w:jc w:val="both"/>
      </w:pPr>
      <w:r w:rsidRPr="00F74358">
        <w:t>2. The dominant tenement must be accommodated within the easement.</w:t>
      </w:r>
    </w:p>
    <w:p w14:paraId="18614F43" w14:textId="77777777" w:rsidR="00662515" w:rsidRPr="00F74358" w:rsidRDefault="00220B2B" w:rsidP="00F74358">
      <w:pPr>
        <w:jc w:val="both"/>
      </w:pPr>
      <w:r w:rsidRPr="00F74358">
        <w:t>3. It is necessary for the dominant and servient owners to be distinct individuals.</w:t>
      </w:r>
    </w:p>
    <w:p w14:paraId="3C1606CC" w14:textId="4307AC14" w:rsidR="00220B2B" w:rsidRPr="00F74358" w:rsidRDefault="00220B2B" w:rsidP="00F74358">
      <w:pPr>
        <w:jc w:val="both"/>
      </w:pPr>
      <w:r w:rsidRPr="00F74358">
        <w:t xml:space="preserve">4. </w:t>
      </w:r>
      <w:proofErr w:type="gramStart"/>
      <w:r w:rsidRPr="00F74358">
        <w:t>In order to</w:t>
      </w:r>
      <w:proofErr w:type="gramEnd"/>
      <w:r w:rsidRPr="00F74358">
        <w:t xml:space="preserve"> qualify as an easement, an obligation over land must have the capacity to be the subject of a grant.</w:t>
      </w:r>
    </w:p>
    <w:p w14:paraId="750A2BC0" w14:textId="3B1535B2" w:rsidR="00846603" w:rsidRPr="00F74358" w:rsidRDefault="003551EB" w:rsidP="00F74358">
      <w:pPr>
        <w:jc w:val="both"/>
      </w:pPr>
      <w:r w:rsidRPr="00F74358">
        <w:t xml:space="preserve">   The Copeland v </w:t>
      </w:r>
      <w:proofErr w:type="spellStart"/>
      <w:r w:rsidRPr="00F74358">
        <w:t>Greenhalf</w:t>
      </w:r>
      <w:proofErr w:type="spellEnd"/>
      <w:r w:rsidRPr="00F74358">
        <w:t xml:space="preserve"> case highlights the likelihood of issues arising in the domain of storage and parking, which can be considered a distinct variant of storage. Nevertheless, although the claim was dismissed on the grounds that the right asserted by the claimant was excessively broad to qualify as an easement, it is evident from other cases that this kind of easement can indeed be recognised.</w:t>
      </w:r>
      <w:r w:rsidR="00846603" w:rsidRPr="00F74358">
        <w:t xml:space="preserve"> In Wright v. Macadam</w:t>
      </w:r>
      <w:r w:rsidR="00662515" w:rsidRPr="00F74358">
        <w:t xml:space="preserve"> an </w:t>
      </w:r>
      <w:r w:rsidR="00846603" w:rsidRPr="00F74358">
        <w:t xml:space="preserve">easement for storage was </w:t>
      </w:r>
      <w:r w:rsidR="00662515" w:rsidRPr="00F74358">
        <w:t xml:space="preserve">valid. </w:t>
      </w:r>
      <w:r w:rsidR="00846603" w:rsidRPr="00F74358">
        <w:t xml:space="preserve">It is expected to be an argument of degree and fact, </w:t>
      </w:r>
      <w:proofErr w:type="gramStart"/>
      <w:r w:rsidR="00846603" w:rsidRPr="00F74358">
        <w:t>similar to</w:t>
      </w:r>
      <w:proofErr w:type="gramEnd"/>
      <w:r w:rsidR="00846603" w:rsidRPr="00F74358">
        <w:t xml:space="preserve"> parking. The issue of parking rights has garnered significant attention, as they bear some resemblance to the rights asserted in the Copeland case. Several cases have addressed this </w:t>
      </w:r>
      <w:proofErr w:type="gramStart"/>
      <w:r w:rsidR="00846603" w:rsidRPr="00F74358">
        <w:t>subject,</w:t>
      </w:r>
      <w:proofErr w:type="gramEnd"/>
      <w:r w:rsidR="00846603" w:rsidRPr="00F74358">
        <w:t xml:space="preserve"> however, the earlier ones carry little weight and are reported in a concise manner. All three English law lords in the Moncrieff case, which originated in Scotland, unanimously acknowledged that a right to park can indeed be classified as an easement. This legal principle is now widely accepted and established. It aligns appropriately with the right to retain and is applicable to cases such as Miller v </w:t>
      </w:r>
      <w:proofErr w:type="spellStart"/>
      <w:r w:rsidR="00846603" w:rsidRPr="00F74358">
        <w:t>Emcer</w:t>
      </w:r>
      <w:proofErr w:type="spellEnd"/>
      <w:r w:rsidR="00846603" w:rsidRPr="00F74358">
        <w:t xml:space="preserve"> Products Ltd.</w:t>
      </w:r>
    </w:p>
    <w:p w14:paraId="4CCF2A95" w14:textId="59DEBFEF" w:rsidR="00E85224" w:rsidRPr="00F74358" w:rsidRDefault="00846603" w:rsidP="00F74358">
      <w:pPr>
        <w:jc w:val="both"/>
      </w:pPr>
      <w:r w:rsidRPr="00F74358">
        <w:t xml:space="preserve">The sole noteworthy issue at present pertains to the scope of parking rights. Prior to Moncrieff, Judge Baker QC had acknowledged the entitlement to park vehicles on a designated parking area in London &amp; Blenheim. The scope of the right was explicitly specified and did not violate the concern that it would deprive the owner of the land from any practical use, such as parking or other </w:t>
      </w:r>
      <w:r w:rsidR="00662515" w:rsidRPr="00F74358">
        <w:t>activities. The</w:t>
      </w:r>
      <w:r w:rsidRPr="00F74358">
        <w:t xml:space="preserve"> privilege to park in London &amp; Blenheim was applicable to a seemingly extensive parking area. Additionally, it appears that the right to park in designated areas, shared with </w:t>
      </w:r>
      <w:proofErr w:type="gramStart"/>
      <w:r w:rsidRPr="00F74358">
        <w:t>others</w:t>
      </w:r>
      <w:proofErr w:type="gramEnd"/>
      <w:r w:rsidRPr="00F74358">
        <w:t xml:space="preserve"> residents, can be classified as an easement. Although the owner may be effectively excluded, this exclusion is not due to a right held by any specific claimant. Is it possible for an individual's entitlement to park in a specific location, particularly within a typical residential garage, to be classified as an easement? Indeed, certain rights could potentially be expressed as a lease or fee simple. The issue at hand emerged in Batchelor, where there was a proposition to reserve space for six cars on the side of a road, thereby preventing anyone </w:t>
      </w:r>
      <w:r w:rsidRPr="00F74358">
        <w:lastRenderedPageBreak/>
        <w:t>else from parking there. The Court of Appeal unequivocally determined that this situation rendered the servient owner incapable of making any practical use of the land. The court found the claim's limitation to nine and a half hours per day (daytime) on weekdays (Monday to Friday) to be unimpressive. This was considered to deprive the owner of the servient property of any practical or reasonable use.</w:t>
      </w:r>
    </w:p>
    <w:p w14:paraId="216C49CC" w14:textId="28D82430" w:rsidR="00846603" w:rsidRPr="00F74358" w:rsidRDefault="00846603" w:rsidP="00F74358">
      <w:pPr>
        <w:jc w:val="both"/>
      </w:pPr>
      <w:r w:rsidRPr="00F74358">
        <w:t>The refusal of the easement in Batchelor should also invalidate a request to utilise a typical residential garage. An alternative counter argument could be that the servient owner possesses the entitlement to store personal belongings in the garage, as it is frequently observed that garages often accommodate more than just vehicles, even in cases where space is limited. This implies that the owner of the property is only able to utilise the garage to a certain extent, although the usability is still considered reasonable. Ultimately, it can be assumed that having the right to park one car in a double garage would be acceptable, as there is no exclusive ownership of the entire garage. This conclusion is derived from the principles established by easements for storage purposes.</w:t>
      </w:r>
    </w:p>
    <w:p w14:paraId="235EAE21" w14:textId="120DAD9A" w:rsidR="00E85224" w:rsidRPr="00F74358" w:rsidRDefault="00E85224" w:rsidP="00F74358">
      <w:pPr>
        <w:jc w:val="both"/>
      </w:pPr>
      <w:r w:rsidRPr="00F74358">
        <w:t>The acceptance of the easement in Hair v Gillman involved the privilege of parking one vehicle on a parcel of land with sufficient space for four vehicles. The decision rendered by the House of Lords in Moncrieff v. Jamieson presents noteworthy arguments concerning the classification of the right to park as an easement. Only persuasive in nature, the case in question was an appeal from a Scottish court. Nonetheless, similarities exist between the Scottish law of servitudes and the English law of easements, and English authorities were referenced in the case. Waterman v</w:t>
      </w:r>
      <w:r w:rsidR="00F54A49" w:rsidRPr="00F74358">
        <w:t xml:space="preserve"> </w:t>
      </w:r>
      <w:r w:rsidRPr="00F74358">
        <w:t xml:space="preserve">Boyle, which followed, examined the precedent set by </w:t>
      </w:r>
      <w:proofErr w:type="spellStart"/>
      <w:r w:rsidRPr="00F74358">
        <w:t>Monreiff</w:t>
      </w:r>
      <w:proofErr w:type="spellEnd"/>
      <w:r w:rsidRPr="00F74358">
        <w:t xml:space="preserve"> v</w:t>
      </w:r>
      <w:r w:rsidR="00912333" w:rsidRPr="00F74358">
        <w:t xml:space="preserve"> </w:t>
      </w:r>
      <w:r w:rsidRPr="00F74358">
        <w:t>Jameson. The Court of Appeal ruled that it is not easily possible to infer a right to park into an easement of way. The decision in the Moncrieff case was reached solely on account of the completely exceptional circumstances.</w:t>
      </w:r>
    </w:p>
    <w:p w14:paraId="78F37C4C" w14:textId="334ABB82" w:rsidR="000A091D" w:rsidRPr="00F74358" w:rsidRDefault="00E85224" w:rsidP="00F74358">
      <w:pPr>
        <w:jc w:val="both"/>
      </w:pPr>
      <w:r w:rsidRPr="00F74358">
        <w:t xml:space="preserve">In Virdi v </w:t>
      </w:r>
      <w:proofErr w:type="gramStart"/>
      <w:r w:rsidRPr="00F74358">
        <w:t>Chana  Judge</w:t>
      </w:r>
      <w:proofErr w:type="gramEnd"/>
      <w:r w:rsidRPr="00F74358">
        <w:t xml:space="preserve"> Purle QC determined that the case was not overturned and continues to be a binding precedent, notwithstanding the criticisms levelled against Batchelor v</w:t>
      </w:r>
      <w:r w:rsidR="00F54A49" w:rsidRPr="00F74358">
        <w:t xml:space="preserve"> </w:t>
      </w:r>
      <w:r w:rsidRPr="00F74358">
        <w:t>Marlow in Moncrieff v</w:t>
      </w:r>
      <w:r w:rsidR="00F54A49" w:rsidRPr="00F74358">
        <w:t xml:space="preserve"> </w:t>
      </w:r>
      <w:r w:rsidRPr="00F74358">
        <w:t>Jameson. However, the claimant's right to park one vehicle on a strip of land that was partially in their ownership was upheld, as the land had no other practical purpose and the defendant did not obstruct the claimant's use of it.</w:t>
      </w:r>
    </w:p>
    <w:p w14:paraId="7D9476C4" w14:textId="07593535" w:rsidR="000A091D" w:rsidRPr="00F74358" w:rsidRDefault="000A091D" w:rsidP="00F74358">
      <w:pPr>
        <w:jc w:val="both"/>
      </w:pPr>
      <w:r w:rsidRPr="00F74358">
        <w:t>In conclusion, based on what we have seen through case law, it is difficult to establish a right to park.</w:t>
      </w:r>
      <w:r w:rsidR="00912333" w:rsidRPr="00F74358">
        <w:t xml:space="preserve"> Establishing a right to park is a contentious matter, as the judiciary may not perceive it as sufficiently broad.</w:t>
      </w:r>
    </w:p>
    <w:p w14:paraId="72F35D78" w14:textId="77777777" w:rsidR="00F74358" w:rsidRPr="00F74358" w:rsidRDefault="00F74358" w:rsidP="00F74358">
      <w:pPr>
        <w:spacing w:after="240" w:line="360" w:lineRule="auto"/>
        <w:outlineLvl w:val="0"/>
        <w:rPr>
          <w:rFonts w:ascii="Times New Roman" w:eastAsia="Times New Roman" w:hAnsi="Times New Roman" w:cs="Times New Roman"/>
          <w:b/>
          <w:bCs/>
          <w:kern w:val="36"/>
          <w:sz w:val="36"/>
          <w:szCs w:val="36"/>
          <w:lang w:eastAsia="en-GB"/>
          <w14:ligatures w14:val="none"/>
        </w:rPr>
      </w:pPr>
      <w:r w:rsidRPr="00F74358">
        <w:rPr>
          <w:rFonts w:ascii="Times New Roman" w:eastAsia="Times New Roman" w:hAnsi="Times New Roman" w:cs="Times New Roman"/>
          <w:b/>
          <w:bCs/>
          <w:kern w:val="36"/>
          <w:sz w:val="36"/>
          <w:szCs w:val="36"/>
          <w:lang w:eastAsia="en-GB"/>
          <w14:ligatures w14:val="none"/>
        </w:rPr>
        <w:t>Reference list</w:t>
      </w:r>
    </w:p>
    <w:p w14:paraId="7D55C3E5" w14:textId="77777777" w:rsidR="00F74358" w:rsidRPr="00F74358" w:rsidRDefault="00F74358" w:rsidP="00F74358">
      <w:pPr>
        <w:pStyle w:val="ListParagraph"/>
        <w:numPr>
          <w:ilvl w:val="0"/>
          <w:numId w:val="4"/>
        </w:numPr>
        <w:spacing w:after="240" w:line="360" w:lineRule="auto"/>
        <w:rPr>
          <w:rFonts w:ascii="Times New Roman" w:eastAsia="Times New Roman" w:hAnsi="Times New Roman" w:cs="Times New Roman"/>
          <w:kern w:val="0"/>
          <w:sz w:val="24"/>
          <w:szCs w:val="24"/>
          <w:lang w:eastAsia="en-GB"/>
          <w14:ligatures w14:val="none"/>
        </w:rPr>
      </w:pPr>
      <w:r w:rsidRPr="00F74358">
        <w:rPr>
          <w:rFonts w:ascii="Times New Roman" w:eastAsia="Times New Roman" w:hAnsi="Times New Roman" w:cs="Times New Roman"/>
          <w:i/>
          <w:iCs/>
          <w:kern w:val="0"/>
          <w:sz w:val="24"/>
          <w:szCs w:val="24"/>
          <w:lang w:eastAsia="en-GB"/>
          <w14:ligatures w14:val="none"/>
        </w:rPr>
        <w:t>Batchelor v Marlow</w:t>
      </w:r>
      <w:r w:rsidRPr="00F74358">
        <w:rPr>
          <w:rFonts w:ascii="Times New Roman" w:eastAsia="Times New Roman" w:hAnsi="Times New Roman" w:cs="Times New Roman"/>
          <w:kern w:val="0"/>
          <w:sz w:val="24"/>
          <w:szCs w:val="24"/>
          <w:lang w:eastAsia="en-GB"/>
          <w14:ligatures w14:val="none"/>
        </w:rPr>
        <w:t xml:space="preserve"> [2003] (Court of Appeal, Civil Division) Available at: https://plus-lexis-com.ezproxy.uwtsd.ac.uk/uk/cases-uk/batchelor-v-marlow?crid=16945e2d-8b77-401c-977c-85f365b9e847 [Accessed 15 Dec. 2023].</w:t>
      </w:r>
    </w:p>
    <w:p w14:paraId="5E491968" w14:textId="77777777" w:rsidR="00F74358" w:rsidRPr="00F74358" w:rsidRDefault="00F74358" w:rsidP="00F74358">
      <w:pPr>
        <w:pStyle w:val="ListParagraph"/>
        <w:numPr>
          <w:ilvl w:val="0"/>
          <w:numId w:val="4"/>
        </w:numPr>
        <w:spacing w:after="240" w:line="360" w:lineRule="auto"/>
        <w:rPr>
          <w:rFonts w:ascii="Times New Roman" w:eastAsia="Times New Roman" w:hAnsi="Times New Roman" w:cs="Times New Roman"/>
          <w:kern w:val="0"/>
          <w:sz w:val="24"/>
          <w:szCs w:val="24"/>
          <w:lang w:eastAsia="en-GB"/>
          <w14:ligatures w14:val="none"/>
        </w:rPr>
      </w:pPr>
      <w:r w:rsidRPr="00F74358">
        <w:rPr>
          <w:rFonts w:ascii="Times New Roman" w:eastAsia="Times New Roman" w:hAnsi="Times New Roman" w:cs="Times New Roman"/>
          <w:kern w:val="0"/>
          <w:sz w:val="24"/>
          <w:szCs w:val="24"/>
          <w:lang w:eastAsia="en-GB"/>
          <w14:ligatures w14:val="none"/>
        </w:rPr>
        <w:t xml:space="preserve">Clarke, S. and Greer, S. (2012). </w:t>
      </w:r>
      <w:r w:rsidRPr="00F74358">
        <w:rPr>
          <w:rFonts w:ascii="Times New Roman" w:eastAsia="Times New Roman" w:hAnsi="Times New Roman" w:cs="Times New Roman"/>
          <w:i/>
          <w:iCs/>
          <w:kern w:val="0"/>
          <w:sz w:val="24"/>
          <w:szCs w:val="24"/>
          <w:lang w:eastAsia="en-GB"/>
          <w14:ligatures w14:val="none"/>
        </w:rPr>
        <w:t>Land law</w:t>
      </w:r>
      <w:r w:rsidRPr="00F74358">
        <w:rPr>
          <w:rFonts w:ascii="Times New Roman" w:eastAsia="Times New Roman" w:hAnsi="Times New Roman" w:cs="Times New Roman"/>
          <w:kern w:val="0"/>
          <w:sz w:val="24"/>
          <w:szCs w:val="24"/>
          <w:lang w:eastAsia="en-GB"/>
          <w14:ligatures w14:val="none"/>
        </w:rPr>
        <w:t>. Oxford, U.K.: Oxford University Press.</w:t>
      </w:r>
    </w:p>
    <w:p w14:paraId="3560964E" w14:textId="77777777" w:rsidR="00F74358" w:rsidRPr="00F74358" w:rsidRDefault="00F74358" w:rsidP="00F74358">
      <w:pPr>
        <w:pStyle w:val="ListParagraph"/>
        <w:numPr>
          <w:ilvl w:val="0"/>
          <w:numId w:val="4"/>
        </w:numPr>
        <w:spacing w:after="240" w:line="360" w:lineRule="auto"/>
        <w:rPr>
          <w:rFonts w:ascii="Times New Roman" w:eastAsia="Times New Roman" w:hAnsi="Times New Roman" w:cs="Times New Roman"/>
          <w:kern w:val="0"/>
          <w:sz w:val="24"/>
          <w:szCs w:val="24"/>
          <w:lang w:eastAsia="en-GB"/>
          <w14:ligatures w14:val="none"/>
        </w:rPr>
      </w:pPr>
      <w:r w:rsidRPr="00F74358">
        <w:rPr>
          <w:rFonts w:ascii="Times New Roman" w:eastAsia="Times New Roman" w:hAnsi="Times New Roman" w:cs="Times New Roman"/>
          <w:i/>
          <w:iCs/>
          <w:kern w:val="0"/>
          <w:sz w:val="24"/>
          <w:szCs w:val="24"/>
          <w:lang w:eastAsia="en-GB"/>
          <w14:ligatures w14:val="none"/>
        </w:rPr>
        <w:t xml:space="preserve">Copeland v </w:t>
      </w:r>
      <w:proofErr w:type="spellStart"/>
      <w:r w:rsidRPr="00F74358">
        <w:rPr>
          <w:rFonts w:ascii="Times New Roman" w:eastAsia="Times New Roman" w:hAnsi="Times New Roman" w:cs="Times New Roman"/>
          <w:i/>
          <w:iCs/>
          <w:kern w:val="0"/>
          <w:sz w:val="24"/>
          <w:szCs w:val="24"/>
          <w:lang w:eastAsia="en-GB"/>
          <w14:ligatures w14:val="none"/>
        </w:rPr>
        <w:t>Greenhalf</w:t>
      </w:r>
      <w:proofErr w:type="spellEnd"/>
      <w:r w:rsidRPr="00F74358">
        <w:rPr>
          <w:rFonts w:ascii="Times New Roman" w:eastAsia="Times New Roman" w:hAnsi="Times New Roman" w:cs="Times New Roman"/>
          <w:i/>
          <w:iCs/>
          <w:kern w:val="0"/>
          <w:sz w:val="24"/>
          <w:szCs w:val="24"/>
          <w:lang w:eastAsia="en-GB"/>
          <w14:ligatures w14:val="none"/>
        </w:rPr>
        <w:t xml:space="preserve"> </w:t>
      </w:r>
      <w:r w:rsidRPr="00F74358">
        <w:rPr>
          <w:rFonts w:ascii="Times New Roman" w:eastAsia="Times New Roman" w:hAnsi="Times New Roman" w:cs="Times New Roman"/>
          <w:kern w:val="0"/>
          <w:sz w:val="24"/>
          <w:szCs w:val="24"/>
          <w:lang w:eastAsia="en-GB"/>
          <w14:ligatures w14:val="none"/>
        </w:rPr>
        <w:t>[1952] (Chancery Division) Available at: https://plus-lexis-com.ezproxy.uwtsd.ac.uk/uk/cases-uk/copeland-v-greenhalf?crid=a4868de7-7d9a-4b5c-8a65-1879fd19db58 [Accessed 15 Dec. 2023].</w:t>
      </w:r>
    </w:p>
    <w:p w14:paraId="5572FAE9" w14:textId="77777777" w:rsidR="00F74358" w:rsidRPr="00F74358" w:rsidRDefault="00F74358" w:rsidP="00F74358">
      <w:pPr>
        <w:pStyle w:val="ListParagraph"/>
        <w:numPr>
          <w:ilvl w:val="0"/>
          <w:numId w:val="4"/>
        </w:numPr>
        <w:spacing w:after="240" w:line="360" w:lineRule="auto"/>
        <w:rPr>
          <w:rFonts w:ascii="Times New Roman" w:eastAsia="Times New Roman" w:hAnsi="Times New Roman" w:cs="Times New Roman"/>
          <w:kern w:val="0"/>
          <w:sz w:val="24"/>
          <w:szCs w:val="24"/>
          <w:lang w:eastAsia="en-GB"/>
          <w14:ligatures w14:val="none"/>
        </w:rPr>
      </w:pPr>
      <w:r w:rsidRPr="00F74358">
        <w:rPr>
          <w:rFonts w:ascii="Times New Roman" w:eastAsia="Times New Roman" w:hAnsi="Times New Roman" w:cs="Times New Roman"/>
          <w:i/>
          <w:iCs/>
          <w:kern w:val="0"/>
          <w:sz w:val="24"/>
          <w:szCs w:val="24"/>
          <w:lang w:eastAsia="en-GB"/>
          <w14:ligatures w14:val="none"/>
        </w:rPr>
        <w:lastRenderedPageBreak/>
        <w:t xml:space="preserve">Hair v Gillman </w:t>
      </w:r>
      <w:r w:rsidRPr="00F74358">
        <w:rPr>
          <w:rFonts w:ascii="Times New Roman" w:eastAsia="Times New Roman" w:hAnsi="Times New Roman" w:cs="Times New Roman"/>
          <w:kern w:val="0"/>
          <w:sz w:val="24"/>
          <w:szCs w:val="24"/>
          <w:lang w:eastAsia="en-GB"/>
          <w14:ligatures w14:val="none"/>
        </w:rPr>
        <w:t>[2000] (court of appeal) Available at: https://plus-lexis-com.ezproxy.uwtsd.ac.uk/uk/cases-uk/hair-v-gillman?crid=c9f578fb-7a65-4b49-9353-aca5f8588ae3 [Accessed 15 Dec. 2023].</w:t>
      </w:r>
    </w:p>
    <w:p w14:paraId="3710AEE9" w14:textId="77777777" w:rsidR="00F74358" w:rsidRPr="00F74358" w:rsidRDefault="00F74358" w:rsidP="00F74358">
      <w:pPr>
        <w:pStyle w:val="ListParagraph"/>
        <w:numPr>
          <w:ilvl w:val="0"/>
          <w:numId w:val="4"/>
        </w:numPr>
        <w:spacing w:after="240" w:line="360" w:lineRule="auto"/>
        <w:rPr>
          <w:rFonts w:ascii="Times New Roman" w:eastAsia="Times New Roman" w:hAnsi="Times New Roman" w:cs="Times New Roman"/>
          <w:kern w:val="0"/>
          <w:sz w:val="24"/>
          <w:szCs w:val="24"/>
          <w:lang w:eastAsia="en-GB"/>
          <w14:ligatures w14:val="none"/>
        </w:rPr>
      </w:pPr>
      <w:r w:rsidRPr="00F74358">
        <w:rPr>
          <w:rFonts w:ascii="Times New Roman" w:eastAsia="Times New Roman" w:hAnsi="Times New Roman" w:cs="Times New Roman"/>
          <w:i/>
          <w:iCs/>
          <w:kern w:val="0"/>
          <w:sz w:val="24"/>
          <w:szCs w:val="24"/>
          <w:lang w:eastAsia="en-GB"/>
          <w14:ligatures w14:val="none"/>
        </w:rPr>
        <w:t>Law of Property (Miscellaneous Provisions) Act 1989</w:t>
      </w:r>
      <w:r w:rsidRPr="00F74358">
        <w:rPr>
          <w:rFonts w:ascii="Times New Roman" w:eastAsia="Times New Roman" w:hAnsi="Times New Roman" w:cs="Times New Roman"/>
          <w:kern w:val="0"/>
          <w:sz w:val="24"/>
          <w:szCs w:val="24"/>
          <w:lang w:eastAsia="en-GB"/>
          <w14:ligatures w14:val="none"/>
        </w:rPr>
        <w:t>. Available at: https://www.legislation.gov.uk/ukpga/1989/34/contents [Accessed 15 Dec. 2023].</w:t>
      </w:r>
    </w:p>
    <w:p w14:paraId="1612FA90" w14:textId="77777777" w:rsidR="00F74358" w:rsidRPr="00F74358" w:rsidRDefault="00F74358" w:rsidP="00F74358">
      <w:pPr>
        <w:pStyle w:val="ListParagraph"/>
        <w:numPr>
          <w:ilvl w:val="0"/>
          <w:numId w:val="4"/>
        </w:numPr>
        <w:spacing w:after="240" w:line="360" w:lineRule="auto"/>
        <w:rPr>
          <w:rFonts w:ascii="Times New Roman" w:eastAsia="Times New Roman" w:hAnsi="Times New Roman" w:cs="Times New Roman"/>
          <w:kern w:val="0"/>
          <w:sz w:val="24"/>
          <w:szCs w:val="24"/>
          <w:lang w:eastAsia="en-GB"/>
          <w14:ligatures w14:val="none"/>
        </w:rPr>
      </w:pPr>
      <w:r w:rsidRPr="00F74358">
        <w:rPr>
          <w:rFonts w:ascii="Times New Roman" w:eastAsia="Times New Roman" w:hAnsi="Times New Roman" w:cs="Times New Roman"/>
          <w:i/>
          <w:iCs/>
          <w:kern w:val="0"/>
          <w:sz w:val="24"/>
          <w:szCs w:val="24"/>
          <w:lang w:eastAsia="en-GB"/>
          <w14:ligatures w14:val="none"/>
        </w:rPr>
        <w:t>Law of Property Act 1925</w:t>
      </w:r>
      <w:r w:rsidRPr="00F74358">
        <w:rPr>
          <w:rFonts w:ascii="Times New Roman" w:eastAsia="Times New Roman" w:hAnsi="Times New Roman" w:cs="Times New Roman"/>
          <w:kern w:val="0"/>
          <w:sz w:val="24"/>
          <w:szCs w:val="24"/>
          <w:lang w:eastAsia="en-GB"/>
          <w14:ligatures w14:val="none"/>
        </w:rPr>
        <w:t>. Available at: https://www.legislation.gov.uk/ukpga/Geo5/15-16/20 [Accessed 15 Dec. 2023].</w:t>
      </w:r>
    </w:p>
    <w:p w14:paraId="71231896" w14:textId="77777777" w:rsidR="00F74358" w:rsidRPr="00F74358" w:rsidRDefault="00F74358" w:rsidP="00F74358">
      <w:pPr>
        <w:pStyle w:val="ListParagraph"/>
        <w:numPr>
          <w:ilvl w:val="0"/>
          <w:numId w:val="4"/>
        </w:numPr>
        <w:spacing w:after="240" w:line="360" w:lineRule="auto"/>
        <w:rPr>
          <w:rFonts w:ascii="Times New Roman" w:eastAsia="Times New Roman" w:hAnsi="Times New Roman" w:cs="Times New Roman"/>
          <w:kern w:val="0"/>
          <w:sz w:val="24"/>
          <w:szCs w:val="24"/>
          <w:lang w:eastAsia="en-GB"/>
          <w14:ligatures w14:val="none"/>
        </w:rPr>
      </w:pPr>
      <w:r w:rsidRPr="00F74358">
        <w:rPr>
          <w:rFonts w:ascii="Times New Roman" w:eastAsia="Times New Roman" w:hAnsi="Times New Roman" w:cs="Times New Roman"/>
          <w:i/>
          <w:iCs/>
          <w:kern w:val="0"/>
          <w:sz w:val="24"/>
          <w:szCs w:val="24"/>
          <w:lang w:eastAsia="en-GB"/>
          <w14:ligatures w14:val="none"/>
        </w:rPr>
        <w:t xml:space="preserve">London and Blenheim Estates Ltd v Ladbroke Retail Parks Ltd </w:t>
      </w:r>
      <w:r w:rsidRPr="00F74358">
        <w:rPr>
          <w:rFonts w:ascii="Times New Roman" w:eastAsia="Times New Roman" w:hAnsi="Times New Roman" w:cs="Times New Roman"/>
          <w:kern w:val="0"/>
          <w:sz w:val="24"/>
          <w:szCs w:val="24"/>
          <w:lang w:eastAsia="en-GB"/>
          <w14:ligatures w14:val="none"/>
        </w:rPr>
        <w:t xml:space="preserve">[1992] (chancery </w:t>
      </w:r>
      <w:proofErr w:type="spellStart"/>
      <w:r w:rsidRPr="00F74358">
        <w:rPr>
          <w:rFonts w:ascii="Times New Roman" w:eastAsia="Times New Roman" w:hAnsi="Times New Roman" w:cs="Times New Roman"/>
          <w:kern w:val="0"/>
          <w:sz w:val="24"/>
          <w:szCs w:val="24"/>
          <w:lang w:eastAsia="en-GB"/>
          <w14:ligatures w14:val="none"/>
        </w:rPr>
        <w:t>devision</w:t>
      </w:r>
      <w:proofErr w:type="spellEnd"/>
      <w:r w:rsidRPr="00F74358">
        <w:rPr>
          <w:rFonts w:ascii="Times New Roman" w:eastAsia="Times New Roman" w:hAnsi="Times New Roman" w:cs="Times New Roman"/>
          <w:kern w:val="0"/>
          <w:sz w:val="24"/>
          <w:szCs w:val="24"/>
          <w:lang w:eastAsia="en-GB"/>
          <w14:ligatures w14:val="none"/>
        </w:rPr>
        <w:t>) Available at: https://plus-lexis-com.ezproxy.uwtsd.ac.uk/uk/cases-uk/london-and-blenheim-estates-ltd-v-ladbroke-re_4?crid=29f59048-cdbd-44f8-8b21-141c32e97620 [Accessed 15 Dec. 2023].</w:t>
      </w:r>
    </w:p>
    <w:p w14:paraId="6A732E1F" w14:textId="77777777" w:rsidR="00F74358" w:rsidRPr="00F74358" w:rsidRDefault="00F74358" w:rsidP="00F74358">
      <w:pPr>
        <w:pStyle w:val="ListParagraph"/>
        <w:numPr>
          <w:ilvl w:val="0"/>
          <w:numId w:val="4"/>
        </w:numPr>
        <w:spacing w:after="240" w:line="360" w:lineRule="auto"/>
        <w:rPr>
          <w:rFonts w:ascii="Times New Roman" w:eastAsia="Times New Roman" w:hAnsi="Times New Roman" w:cs="Times New Roman"/>
          <w:kern w:val="0"/>
          <w:sz w:val="24"/>
          <w:szCs w:val="24"/>
          <w:lang w:eastAsia="en-GB"/>
          <w14:ligatures w14:val="none"/>
        </w:rPr>
      </w:pPr>
      <w:proofErr w:type="spellStart"/>
      <w:r w:rsidRPr="00F74358">
        <w:rPr>
          <w:rFonts w:ascii="Times New Roman" w:eastAsia="Times New Roman" w:hAnsi="Times New Roman" w:cs="Times New Roman"/>
          <w:kern w:val="0"/>
          <w:sz w:val="24"/>
          <w:szCs w:val="24"/>
          <w:lang w:eastAsia="en-GB"/>
          <w14:ligatures w14:val="none"/>
        </w:rPr>
        <w:t>Mcfarlane</w:t>
      </w:r>
      <w:proofErr w:type="spellEnd"/>
      <w:r w:rsidRPr="00F74358">
        <w:rPr>
          <w:rFonts w:ascii="Times New Roman" w:eastAsia="Times New Roman" w:hAnsi="Times New Roman" w:cs="Times New Roman"/>
          <w:kern w:val="0"/>
          <w:sz w:val="24"/>
          <w:szCs w:val="24"/>
          <w:lang w:eastAsia="en-GB"/>
          <w14:ligatures w14:val="none"/>
        </w:rPr>
        <w:t xml:space="preserve">, B., Hopkins, N. and Nield, S. (2018). </w:t>
      </w:r>
      <w:r w:rsidRPr="00F74358">
        <w:rPr>
          <w:rFonts w:ascii="Times New Roman" w:eastAsia="Times New Roman" w:hAnsi="Times New Roman" w:cs="Times New Roman"/>
          <w:i/>
          <w:iCs/>
          <w:kern w:val="0"/>
          <w:sz w:val="24"/>
          <w:szCs w:val="24"/>
          <w:lang w:eastAsia="en-GB"/>
          <w14:ligatures w14:val="none"/>
        </w:rPr>
        <w:t xml:space="preserve">Land </w:t>
      </w:r>
      <w:proofErr w:type="gramStart"/>
      <w:r w:rsidRPr="00F74358">
        <w:rPr>
          <w:rFonts w:ascii="Times New Roman" w:eastAsia="Times New Roman" w:hAnsi="Times New Roman" w:cs="Times New Roman"/>
          <w:i/>
          <w:iCs/>
          <w:kern w:val="0"/>
          <w:sz w:val="24"/>
          <w:szCs w:val="24"/>
          <w:lang w:eastAsia="en-GB"/>
          <w14:ligatures w14:val="none"/>
        </w:rPr>
        <w:t>law :</w:t>
      </w:r>
      <w:proofErr w:type="gramEnd"/>
      <w:r w:rsidRPr="00F74358">
        <w:rPr>
          <w:rFonts w:ascii="Times New Roman" w:eastAsia="Times New Roman" w:hAnsi="Times New Roman" w:cs="Times New Roman"/>
          <w:i/>
          <w:iCs/>
          <w:kern w:val="0"/>
          <w:sz w:val="24"/>
          <w:szCs w:val="24"/>
          <w:lang w:eastAsia="en-GB"/>
          <w14:ligatures w14:val="none"/>
        </w:rPr>
        <w:t xml:space="preserve"> text, cases, and materials</w:t>
      </w:r>
      <w:r w:rsidRPr="00F74358">
        <w:rPr>
          <w:rFonts w:ascii="Times New Roman" w:eastAsia="Times New Roman" w:hAnsi="Times New Roman" w:cs="Times New Roman"/>
          <w:kern w:val="0"/>
          <w:sz w:val="24"/>
          <w:szCs w:val="24"/>
          <w:lang w:eastAsia="en-GB"/>
          <w14:ligatures w14:val="none"/>
        </w:rPr>
        <w:t xml:space="preserve">. </w:t>
      </w:r>
      <w:proofErr w:type="gramStart"/>
      <w:r w:rsidRPr="00F74358">
        <w:rPr>
          <w:rFonts w:ascii="Times New Roman" w:eastAsia="Times New Roman" w:hAnsi="Times New Roman" w:cs="Times New Roman"/>
          <w:kern w:val="0"/>
          <w:sz w:val="24"/>
          <w:szCs w:val="24"/>
          <w:lang w:eastAsia="en-GB"/>
          <w14:ligatures w14:val="none"/>
        </w:rPr>
        <w:t>Oxford ;</w:t>
      </w:r>
      <w:proofErr w:type="gramEnd"/>
      <w:r w:rsidRPr="00F74358">
        <w:rPr>
          <w:rFonts w:ascii="Times New Roman" w:eastAsia="Times New Roman" w:hAnsi="Times New Roman" w:cs="Times New Roman"/>
          <w:kern w:val="0"/>
          <w:sz w:val="24"/>
          <w:szCs w:val="24"/>
          <w:lang w:eastAsia="en-GB"/>
          <w14:ligatures w14:val="none"/>
        </w:rPr>
        <w:t xml:space="preserve"> New York, Ny: Oxford University Press.</w:t>
      </w:r>
    </w:p>
    <w:p w14:paraId="5FBD505F" w14:textId="77777777" w:rsidR="00F74358" w:rsidRPr="00F74358" w:rsidRDefault="00F74358" w:rsidP="00F74358">
      <w:pPr>
        <w:pStyle w:val="ListParagraph"/>
        <w:numPr>
          <w:ilvl w:val="0"/>
          <w:numId w:val="4"/>
        </w:numPr>
        <w:spacing w:after="240" w:line="360" w:lineRule="auto"/>
        <w:rPr>
          <w:rFonts w:ascii="Times New Roman" w:eastAsia="Times New Roman" w:hAnsi="Times New Roman" w:cs="Times New Roman"/>
          <w:kern w:val="0"/>
          <w:sz w:val="24"/>
          <w:szCs w:val="24"/>
          <w:lang w:eastAsia="en-GB"/>
          <w14:ligatures w14:val="none"/>
        </w:rPr>
      </w:pPr>
      <w:r w:rsidRPr="00F74358">
        <w:rPr>
          <w:rFonts w:ascii="Times New Roman" w:eastAsia="Times New Roman" w:hAnsi="Times New Roman" w:cs="Times New Roman"/>
          <w:i/>
          <w:iCs/>
          <w:kern w:val="0"/>
          <w:sz w:val="24"/>
          <w:szCs w:val="24"/>
          <w:lang w:eastAsia="en-GB"/>
          <w14:ligatures w14:val="none"/>
        </w:rPr>
        <w:t xml:space="preserve">Miller v </w:t>
      </w:r>
      <w:proofErr w:type="spellStart"/>
      <w:r w:rsidRPr="00F74358">
        <w:rPr>
          <w:rFonts w:ascii="Times New Roman" w:eastAsia="Times New Roman" w:hAnsi="Times New Roman" w:cs="Times New Roman"/>
          <w:i/>
          <w:iCs/>
          <w:kern w:val="0"/>
          <w:sz w:val="24"/>
          <w:szCs w:val="24"/>
          <w:lang w:eastAsia="en-GB"/>
          <w14:ligatures w14:val="none"/>
        </w:rPr>
        <w:t>Emcer</w:t>
      </w:r>
      <w:proofErr w:type="spellEnd"/>
      <w:r w:rsidRPr="00F74358">
        <w:rPr>
          <w:rFonts w:ascii="Times New Roman" w:eastAsia="Times New Roman" w:hAnsi="Times New Roman" w:cs="Times New Roman"/>
          <w:i/>
          <w:iCs/>
          <w:kern w:val="0"/>
          <w:sz w:val="24"/>
          <w:szCs w:val="24"/>
          <w:lang w:eastAsia="en-GB"/>
          <w14:ligatures w14:val="none"/>
        </w:rPr>
        <w:t xml:space="preserve"> Products Ltd</w:t>
      </w:r>
      <w:r w:rsidRPr="00F74358">
        <w:rPr>
          <w:rFonts w:ascii="Times New Roman" w:eastAsia="Times New Roman" w:hAnsi="Times New Roman" w:cs="Times New Roman"/>
          <w:kern w:val="0"/>
          <w:sz w:val="24"/>
          <w:szCs w:val="24"/>
          <w:lang w:eastAsia="en-GB"/>
          <w14:ligatures w14:val="none"/>
        </w:rPr>
        <w:t xml:space="preserve"> [1955] (court of appeal) Available at: https://plus-lexis-com.ezproxy.uwtsd.ac.uk/uk/cases-uk/miller-v-emcer-products-ltd?crid=a25e3986-0ba3-4f2a-a438-b7081e8207bf [Accessed 15 Dec. 2023].</w:t>
      </w:r>
    </w:p>
    <w:p w14:paraId="7CC1490A" w14:textId="77777777" w:rsidR="00F74358" w:rsidRPr="00F74358" w:rsidRDefault="00F74358" w:rsidP="00F74358">
      <w:pPr>
        <w:pStyle w:val="ListParagraph"/>
        <w:numPr>
          <w:ilvl w:val="0"/>
          <w:numId w:val="4"/>
        </w:numPr>
        <w:spacing w:after="240" w:line="360" w:lineRule="auto"/>
        <w:rPr>
          <w:rFonts w:ascii="Times New Roman" w:eastAsia="Times New Roman" w:hAnsi="Times New Roman" w:cs="Times New Roman"/>
          <w:kern w:val="0"/>
          <w:sz w:val="24"/>
          <w:szCs w:val="24"/>
          <w:lang w:eastAsia="en-GB"/>
          <w14:ligatures w14:val="none"/>
        </w:rPr>
      </w:pPr>
      <w:r w:rsidRPr="00F74358">
        <w:rPr>
          <w:rFonts w:ascii="Times New Roman" w:eastAsia="Times New Roman" w:hAnsi="Times New Roman" w:cs="Times New Roman"/>
          <w:i/>
          <w:iCs/>
          <w:kern w:val="0"/>
          <w:sz w:val="24"/>
          <w:szCs w:val="24"/>
          <w:lang w:eastAsia="en-GB"/>
          <w14:ligatures w14:val="none"/>
        </w:rPr>
        <w:t>Moncrieff v Jamieson</w:t>
      </w:r>
      <w:r w:rsidRPr="00F74358">
        <w:rPr>
          <w:rFonts w:ascii="Times New Roman" w:eastAsia="Times New Roman" w:hAnsi="Times New Roman" w:cs="Times New Roman"/>
          <w:kern w:val="0"/>
          <w:sz w:val="24"/>
          <w:szCs w:val="24"/>
          <w:lang w:eastAsia="en-GB"/>
          <w14:ligatures w14:val="none"/>
        </w:rPr>
        <w:t xml:space="preserve"> [2007] (House of Lords) Available at: https://plus-lexis-com.ezproxy.uwtsd.ac.uk/uk/cases-uk/moncrieff-v-jamieson_2?crid=2df825cc-160c-4beb-b882-683c63e51dc9 [Accessed 15 Dec. 2023].</w:t>
      </w:r>
    </w:p>
    <w:p w14:paraId="1E1C007E" w14:textId="77777777" w:rsidR="00F74358" w:rsidRPr="00F74358" w:rsidRDefault="00F74358" w:rsidP="00F74358">
      <w:pPr>
        <w:pStyle w:val="ListParagraph"/>
        <w:numPr>
          <w:ilvl w:val="0"/>
          <w:numId w:val="4"/>
        </w:numPr>
        <w:spacing w:after="240" w:line="360" w:lineRule="auto"/>
        <w:rPr>
          <w:rFonts w:ascii="Times New Roman" w:eastAsia="Times New Roman" w:hAnsi="Times New Roman" w:cs="Times New Roman"/>
          <w:kern w:val="0"/>
          <w:sz w:val="24"/>
          <w:szCs w:val="24"/>
          <w:lang w:eastAsia="en-GB"/>
          <w14:ligatures w14:val="none"/>
        </w:rPr>
      </w:pPr>
      <w:r w:rsidRPr="00F74358">
        <w:rPr>
          <w:rFonts w:ascii="Times New Roman" w:eastAsia="Times New Roman" w:hAnsi="Times New Roman" w:cs="Times New Roman"/>
          <w:i/>
          <w:iCs/>
          <w:kern w:val="0"/>
          <w:sz w:val="24"/>
          <w:szCs w:val="24"/>
          <w:lang w:eastAsia="en-GB"/>
          <w14:ligatures w14:val="none"/>
        </w:rPr>
        <w:t>Re Ellenborough Park 1956</w:t>
      </w:r>
      <w:r w:rsidRPr="00F74358">
        <w:rPr>
          <w:rFonts w:ascii="Times New Roman" w:eastAsia="Times New Roman" w:hAnsi="Times New Roman" w:cs="Times New Roman"/>
          <w:kern w:val="0"/>
          <w:sz w:val="24"/>
          <w:szCs w:val="24"/>
          <w:lang w:eastAsia="en-GB"/>
          <w14:ligatures w14:val="none"/>
        </w:rPr>
        <w:t xml:space="preserve"> [1955] (THE SUPREME COURT OF JUDICATURE COURT OF APPEAL) Available at: https://www.bailii.org/cgi-bin/format.cgi?doc=/ew/cases/EWCA/Civ/1955/4.html&amp;query=(Re)+AND+(Ellenborough) [Accessed 15 Dec. 2023].</w:t>
      </w:r>
    </w:p>
    <w:p w14:paraId="334B9EFE" w14:textId="77777777" w:rsidR="00F74358" w:rsidRPr="00F74358" w:rsidRDefault="00F74358" w:rsidP="00F74358">
      <w:pPr>
        <w:pStyle w:val="ListParagraph"/>
        <w:numPr>
          <w:ilvl w:val="0"/>
          <w:numId w:val="4"/>
        </w:numPr>
        <w:spacing w:after="240" w:line="360" w:lineRule="auto"/>
        <w:rPr>
          <w:rFonts w:ascii="Times New Roman" w:eastAsia="Times New Roman" w:hAnsi="Times New Roman" w:cs="Times New Roman"/>
          <w:kern w:val="0"/>
          <w:sz w:val="24"/>
          <w:szCs w:val="24"/>
          <w:lang w:eastAsia="en-GB"/>
          <w14:ligatures w14:val="none"/>
        </w:rPr>
      </w:pPr>
      <w:r w:rsidRPr="00F74358">
        <w:rPr>
          <w:rFonts w:ascii="Times New Roman" w:eastAsia="Times New Roman" w:hAnsi="Times New Roman" w:cs="Times New Roman"/>
          <w:kern w:val="0"/>
          <w:sz w:val="24"/>
          <w:szCs w:val="24"/>
          <w:lang w:eastAsia="en-GB"/>
          <w14:ligatures w14:val="none"/>
        </w:rPr>
        <w:t xml:space="preserve">Royle, R. (2003). </w:t>
      </w:r>
      <w:r w:rsidRPr="00F74358">
        <w:rPr>
          <w:rFonts w:ascii="Times New Roman" w:eastAsia="Times New Roman" w:hAnsi="Times New Roman" w:cs="Times New Roman"/>
          <w:i/>
          <w:iCs/>
          <w:kern w:val="0"/>
          <w:sz w:val="24"/>
          <w:szCs w:val="24"/>
          <w:lang w:eastAsia="en-GB"/>
          <w14:ligatures w14:val="none"/>
        </w:rPr>
        <w:t>Briefcase on Land Law</w:t>
      </w:r>
      <w:r w:rsidRPr="00F74358">
        <w:rPr>
          <w:rFonts w:ascii="Times New Roman" w:eastAsia="Times New Roman" w:hAnsi="Times New Roman" w:cs="Times New Roman"/>
          <w:kern w:val="0"/>
          <w:sz w:val="24"/>
          <w:szCs w:val="24"/>
          <w:lang w:eastAsia="en-GB"/>
          <w14:ligatures w14:val="none"/>
        </w:rPr>
        <w:t>. 4th ed.</w:t>
      </w:r>
    </w:p>
    <w:p w14:paraId="771F391B" w14:textId="77777777" w:rsidR="00F74358" w:rsidRPr="00F74358" w:rsidRDefault="00F74358" w:rsidP="00F74358">
      <w:pPr>
        <w:pStyle w:val="ListParagraph"/>
        <w:numPr>
          <w:ilvl w:val="0"/>
          <w:numId w:val="4"/>
        </w:numPr>
        <w:spacing w:after="240" w:line="360" w:lineRule="auto"/>
        <w:rPr>
          <w:rFonts w:ascii="Times New Roman" w:eastAsia="Times New Roman" w:hAnsi="Times New Roman" w:cs="Times New Roman"/>
          <w:kern w:val="0"/>
          <w:sz w:val="24"/>
          <w:szCs w:val="24"/>
          <w:lang w:eastAsia="en-GB"/>
          <w14:ligatures w14:val="none"/>
        </w:rPr>
      </w:pPr>
      <w:r w:rsidRPr="00F74358">
        <w:rPr>
          <w:rFonts w:ascii="Times New Roman" w:eastAsia="Times New Roman" w:hAnsi="Times New Roman" w:cs="Times New Roman"/>
          <w:kern w:val="0"/>
          <w:sz w:val="24"/>
          <w:szCs w:val="24"/>
          <w:lang w:eastAsia="en-GB"/>
          <w14:ligatures w14:val="none"/>
        </w:rPr>
        <w:t xml:space="preserve">Smith, R. (2008). </w:t>
      </w:r>
      <w:r w:rsidRPr="00F74358">
        <w:rPr>
          <w:rFonts w:ascii="Times New Roman" w:eastAsia="Times New Roman" w:hAnsi="Times New Roman" w:cs="Times New Roman"/>
          <w:i/>
          <w:iCs/>
          <w:kern w:val="0"/>
          <w:sz w:val="24"/>
          <w:szCs w:val="24"/>
          <w:lang w:eastAsia="en-GB"/>
          <w14:ligatures w14:val="none"/>
        </w:rPr>
        <w:t>Property Law</w:t>
      </w:r>
      <w:r w:rsidRPr="00F74358">
        <w:rPr>
          <w:rFonts w:ascii="Times New Roman" w:eastAsia="Times New Roman" w:hAnsi="Times New Roman" w:cs="Times New Roman"/>
          <w:kern w:val="0"/>
          <w:sz w:val="24"/>
          <w:szCs w:val="24"/>
          <w:lang w:eastAsia="en-GB"/>
          <w14:ligatures w14:val="none"/>
        </w:rPr>
        <w:t>. sixth edition ed.</w:t>
      </w:r>
    </w:p>
    <w:p w14:paraId="03DEC1EA" w14:textId="77777777" w:rsidR="00F74358" w:rsidRPr="00F74358" w:rsidRDefault="00F74358" w:rsidP="00F74358">
      <w:pPr>
        <w:pStyle w:val="ListParagraph"/>
        <w:numPr>
          <w:ilvl w:val="0"/>
          <w:numId w:val="4"/>
        </w:numPr>
        <w:spacing w:after="240" w:line="360" w:lineRule="auto"/>
        <w:rPr>
          <w:rFonts w:ascii="Times New Roman" w:eastAsia="Times New Roman" w:hAnsi="Times New Roman" w:cs="Times New Roman"/>
          <w:kern w:val="0"/>
          <w:sz w:val="24"/>
          <w:szCs w:val="24"/>
          <w:lang w:eastAsia="en-GB"/>
          <w14:ligatures w14:val="none"/>
        </w:rPr>
      </w:pPr>
      <w:r w:rsidRPr="00F74358">
        <w:rPr>
          <w:rFonts w:ascii="Times New Roman" w:eastAsia="Times New Roman" w:hAnsi="Times New Roman" w:cs="Times New Roman"/>
          <w:kern w:val="0"/>
          <w:sz w:val="24"/>
          <w:szCs w:val="24"/>
          <w:lang w:eastAsia="en-GB"/>
          <w14:ligatures w14:val="none"/>
        </w:rPr>
        <w:t xml:space="preserve">The new Law Journal, H.W. (2023). </w:t>
      </w:r>
      <w:r w:rsidRPr="00F74358">
        <w:rPr>
          <w:rFonts w:ascii="Times New Roman" w:eastAsia="Times New Roman" w:hAnsi="Times New Roman" w:cs="Times New Roman"/>
          <w:i/>
          <w:iCs/>
          <w:kern w:val="0"/>
          <w:sz w:val="24"/>
          <w:szCs w:val="24"/>
          <w:lang w:eastAsia="en-GB"/>
          <w14:ligatures w14:val="none"/>
        </w:rPr>
        <w:t>The right to park</w:t>
      </w:r>
      <w:r w:rsidRPr="00F74358">
        <w:rPr>
          <w:rFonts w:ascii="Times New Roman" w:eastAsia="Times New Roman" w:hAnsi="Times New Roman" w:cs="Times New Roman"/>
          <w:kern w:val="0"/>
          <w:sz w:val="24"/>
          <w:szCs w:val="24"/>
          <w:lang w:eastAsia="en-GB"/>
          <w14:ligatures w14:val="none"/>
        </w:rPr>
        <w:t>. [online] Uwtsd.ac.uk. Available at: https://plus-lexis-com.ezproxy.uwtsd.ac.uk/uk/analytical-materials-uk/the-right-to-park-144-nlj-579?crid=68f3ae33-2d81-4899-b282-4780a0ee0257 [Accessed 15 Dec. 2023].</w:t>
      </w:r>
    </w:p>
    <w:p w14:paraId="13C1E04A" w14:textId="77777777" w:rsidR="00F74358" w:rsidRPr="00F74358" w:rsidRDefault="00F74358" w:rsidP="00F74358">
      <w:pPr>
        <w:pStyle w:val="ListParagraph"/>
        <w:numPr>
          <w:ilvl w:val="0"/>
          <w:numId w:val="4"/>
        </w:numPr>
        <w:spacing w:after="240" w:line="360" w:lineRule="auto"/>
        <w:rPr>
          <w:rFonts w:ascii="Times New Roman" w:eastAsia="Times New Roman" w:hAnsi="Times New Roman" w:cs="Times New Roman"/>
          <w:kern w:val="0"/>
          <w:sz w:val="24"/>
          <w:szCs w:val="24"/>
          <w:lang w:eastAsia="en-GB"/>
          <w14:ligatures w14:val="none"/>
        </w:rPr>
      </w:pPr>
      <w:r w:rsidRPr="00F74358">
        <w:rPr>
          <w:rFonts w:ascii="Times New Roman" w:eastAsia="Times New Roman" w:hAnsi="Times New Roman" w:cs="Times New Roman"/>
          <w:kern w:val="0"/>
          <w:sz w:val="24"/>
          <w:szCs w:val="24"/>
          <w:lang w:eastAsia="en-GB"/>
          <w14:ligatures w14:val="none"/>
        </w:rPr>
        <w:t xml:space="preserve">Thomas, M. (2021). </w:t>
      </w:r>
      <w:r w:rsidRPr="00F74358">
        <w:rPr>
          <w:rFonts w:ascii="Times New Roman" w:eastAsia="Times New Roman" w:hAnsi="Times New Roman" w:cs="Times New Roman"/>
          <w:i/>
          <w:iCs/>
          <w:kern w:val="0"/>
          <w:sz w:val="24"/>
          <w:szCs w:val="24"/>
          <w:lang w:eastAsia="en-GB"/>
          <w14:ligatures w14:val="none"/>
        </w:rPr>
        <w:t xml:space="preserve">Blackstone’s Statutes </w:t>
      </w:r>
      <w:proofErr w:type="gramStart"/>
      <w:r w:rsidRPr="00F74358">
        <w:rPr>
          <w:rFonts w:ascii="Times New Roman" w:eastAsia="Times New Roman" w:hAnsi="Times New Roman" w:cs="Times New Roman"/>
          <w:i/>
          <w:iCs/>
          <w:kern w:val="0"/>
          <w:sz w:val="24"/>
          <w:szCs w:val="24"/>
          <w:lang w:eastAsia="en-GB"/>
          <w14:ligatures w14:val="none"/>
        </w:rPr>
        <w:t>On</w:t>
      </w:r>
      <w:proofErr w:type="gramEnd"/>
      <w:r w:rsidRPr="00F74358">
        <w:rPr>
          <w:rFonts w:ascii="Times New Roman" w:eastAsia="Times New Roman" w:hAnsi="Times New Roman" w:cs="Times New Roman"/>
          <w:i/>
          <w:iCs/>
          <w:kern w:val="0"/>
          <w:sz w:val="24"/>
          <w:szCs w:val="24"/>
          <w:lang w:eastAsia="en-GB"/>
          <w14:ligatures w14:val="none"/>
        </w:rPr>
        <w:t xml:space="preserve"> Property Law 2021-2022.</w:t>
      </w:r>
      <w:r w:rsidRPr="00F74358">
        <w:rPr>
          <w:rFonts w:ascii="Times New Roman" w:eastAsia="Times New Roman" w:hAnsi="Times New Roman" w:cs="Times New Roman"/>
          <w:kern w:val="0"/>
          <w:sz w:val="24"/>
          <w:szCs w:val="24"/>
          <w:lang w:eastAsia="en-GB"/>
          <w14:ligatures w14:val="none"/>
        </w:rPr>
        <w:t xml:space="preserve"> S.L.: Oxford </w:t>
      </w:r>
      <w:proofErr w:type="spellStart"/>
      <w:r w:rsidRPr="00F74358">
        <w:rPr>
          <w:rFonts w:ascii="Times New Roman" w:eastAsia="Times New Roman" w:hAnsi="Times New Roman" w:cs="Times New Roman"/>
          <w:kern w:val="0"/>
          <w:sz w:val="24"/>
          <w:szCs w:val="24"/>
          <w:lang w:eastAsia="en-GB"/>
          <w14:ligatures w14:val="none"/>
        </w:rPr>
        <w:t>Univ</w:t>
      </w:r>
      <w:proofErr w:type="spellEnd"/>
      <w:r w:rsidRPr="00F74358">
        <w:rPr>
          <w:rFonts w:ascii="Times New Roman" w:eastAsia="Times New Roman" w:hAnsi="Times New Roman" w:cs="Times New Roman"/>
          <w:kern w:val="0"/>
          <w:sz w:val="24"/>
          <w:szCs w:val="24"/>
          <w:lang w:eastAsia="en-GB"/>
          <w14:ligatures w14:val="none"/>
        </w:rPr>
        <w:t xml:space="preserve"> Press.</w:t>
      </w:r>
    </w:p>
    <w:p w14:paraId="0FC625CB" w14:textId="77777777" w:rsidR="00F74358" w:rsidRPr="00F74358" w:rsidRDefault="00F74358" w:rsidP="00F74358">
      <w:pPr>
        <w:pStyle w:val="ListParagraph"/>
        <w:numPr>
          <w:ilvl w:val="0"/>
          <w:numId w:val="4"/>
        </w:numPr>
        <w:spacing w:after="240" w:line="360" w:lineRule="auto"/>
        <w:rPr>
          <w:rFonts w:ascii="Times New Roman" w:eastAsia="Times New Roman" w:hAnsi="Times New Roman" w:cs="Times New Roman"/>
          <w:kern w:val="0"/>
          <w:sz w:val="24"/>
          <w:szCs w:val="24"/>
          <w:lang w:eastAsia="en-GB"/>
          <w14:ligatures w14:val="none"/>
        </w:rPr>
      </w:pPr>
      <w:r w:rsidRPr="00F74358">
        <w:rPr>
          <w:rFonts w:ascii="Times New Roman" w:eastAsia="Times New Roman" w:hAnsi="Times New Roman" w:cs="Times New Roman"/>
          <w:kern w:val="0"/>
          <w:sz w:val="24"/>
          <w:szCs w:val="24"/>
          <w:lang w:eastAsia="en-GB"/>
          <w14:ligatures w14:val="none"/>
        </w:rPr>
        <w:t xml:space="preserve">Thompson, M.P. (2009). </w:t>
      </w:r>
      <w:r w:rsidRPr="00F74358">
        <w:rPr>
          <w:rFonts w:ascii="Times New Roman" w:eastAsia="Times New Roman" w:hAnsi="Times New Roman" w:cs="Times New Roman"/>
          <w:i/>
          <w:iCs/>
          <w:kern w:val="0"/>
          <w:sz w:val="24"/>
          <w:szCs w:val="24"/>
          <w:lang w:eastAsia="en-GB"/>
          <w14:ligatures w14:val="none"/>
        </w:rPr>
        <w:t>Modern land law</w:t>
      </w:r>
      <w:r w:rsidRPr="00F74358">
        <w:rPr>
          <w:rFonts w:ascii="Times New Roman" w:eastAsia="Times New Roman" w:hAnsi="Times New Roman" w:cs="Times New Roman"/>
          <w:kern w:val="0"/>
          <w:sz w:val="24"/>
          <w:szCs w:val="24"/>
          <w:lang w:eastAsia="en-GB"/>
          <w14:ligatures w14:val="none"/>
        </w:rPr>
        <w:t>. fourth ed.</w:t>
      </w:r>
    </w:p>
    <w:p w14:paraId="3FA484FC" w14:textId="77777777" w:rsidR="00F74358" w:rsidRPr="00F74358" w:rsidRDefault="00F74358" w:rsidP="00F74358">
      <w:pPr>
        <w:pStyle w:val="ListParagraph"/>
        <w:numPr>
          <w:ilvl w:val="0"/>
          <w:numId w:val="4"/>
        </w:numPr>
        <w:spacing w:after="240" w:line="360" w:lineRule="auto"/>
        <w:rPr>
          <w:rFonts w:ascii="Times New Roman" w:eastAsia="Times New Roman" w:hAnsi="Times New Roman" w:cs="Times New Roman"/>
          <w:kern w:val="0"/>
          <w:sz w:val="24"/>
          <w:szCs w:val="24"/>
          <w:lang w:eastAsia="en-GB"/>
          <w14:ligatures w14:val="none"/>
        </w:rPr>
      </w:pPr>
      <w:r w:rsidRPr="00F74358">
        <w:rPr>
          <w:rFonts w:ascii="Times New Roman" w:eastAsia="Times New Roman" w:hAnsi="Times New Roman" w:cs="Times New Roman"/>
          <w:kern w:val="0"/>
          <w:sz w:val="24"/>
          <w:szCs w:val="24"/>
          <w:lang w:eastAsia="en-GB"/>
          <w14:ligatures w14:val="none"/>
        </w:rPr>
        <w:t xml:space="preserve">Uwtsd.ac.uk. (2023). </w:t>
      </w:r>
      <w:r w:rsidRPr="00F74358">
        <w:rPr>
          <w:rFonts w:ascii="Times New Roman" w:eastAsia="Times New Roman" w:hAnsi="Times New Roman" w:cs="Times New Roman"/>
          <w:i/>
          <w:iCs/>
          <w:kern w:val="0"/>
          <w:sz w:val="24"/>
          <w:szCs w:val="24"/>
          <w:lang w:eastAsia="en-GB"/>
          <w14:ligatures w14:val="none"/>
        </w:rPr>
        <w:t>Circumstances in which right to park vehicles cannot be an easement.</w:t>
      </w:r>
      <w:r w:rsidRPr="00F74358">
        <w:rPr>
          <w:rFonts w:ascii="Times New Roman" w:eastAsia="Times New Roman" w:hAnsi="Times New Roman" w:cs="Times New Roman"/>
          <w:kern w:val="0"/>
          <w:sz w:val="24"/>
          <w:szCs w:val="24"/>
          <w:lang w:eastAsia="en-GB"/>
          <w14:ligatures w14:val="none"/>
        </w:rPr>
        <w:t xml:space="preserve"> [online] Available at: https://plus-lexis-</w:t>
      </w:r>
      <w:r w:rsidRPr="00F74358">
        <w:rPr>
          <w:rFonts w:ascii="Times New Roman" w:eastAsia="Times New Roman" w:hAnsi="Times New Roman" w:cs="Times New Roman"/>
          <w:kern w:val="0"/>
          <w:sz w:val="24"/>
          <w:szCs w:val="24"/>
          <w:lang w:eastAsia="en-GB"/>
          <w14:ligatures w14:val="none"/>
        </w:rPr>
        <w:lastRenderedPageBreak/>
        <w:t>com.ezproxy.uwtsd.ac.uk/uk/analytical-materials-uk/969-easement-of-air?crid=a102620d-ba79-4a84-ad3c-da61220ba2e9 [Accessed 15 Dec. 2023].</w:t>
      </w:r>
    </w:p>
    <w:p w14:paraId="258E7FC8" w14:textId="77777777" w:rsidR="00F74358" w:rsidRPr="00F74358" w:rsidRDefault="00F74358" w:rsidP="00F74358">
      <w:pPr>
        <w:pStyle w:val="ListParagraph"/>
        <w:numPr>
          <w:ilvl w:val="0"/>
          <w:numId w:val="4"/>
        </w:numPr>
        <w:spacing w:after="240" w:line="360" w:lineRule="auto"/>
        <w:rPr>
          <w:rFonts w:ascii="Times New Roman" w:eastAsia="Times New Roman" w:hAnsi="Times New Roman" w:cs="Times New Roman"/>
          <w:kern w:val="0"/>
          <w:sz w:val="24"/>
          <w:szCs w:val="24"/>
          <w:lang w:eastAsia="en-GB"/>
          <w14:ligatures w14:val="none"/>
        </w:rPr>
      </w:pPr>
      <w:r w:rsidRPr="00F74358">
        <w:rPr>
          <w:rFonts w:ascii="Times New Roman" w:eastAsia="Times New Roman" w:hAnsi="Times New Roman" w:cs="Times New Roman"/>
          <w:i/>
          <w:iCs/>
          <w:kern w:val="0"/>
          <w:sz w:val="24"/>
          <w:szCs w:val="24"/>
          <w:lang w:eastAsia="en-GB"/>
          <w14:ligatures w14:val="none"/>
        </w:rPr>
        <w:t xml:space="preserve">Virdi v Chana </w:t>
      </w:r>
      <w:r w:rsidRPr="00F74358">
        <w:rPr>
          <w:rFonts w:ascii="Times New Roman" w:eastAsia="Times New Roman" w:hAnsi="Times New Roman" w:cs="Times New Roman"/>
          <w:kern w:val="0"/>
          <w:sz w:val="24"/>
          <w:szCs w:val="24"/>
          <w:lang w:eastAsia="en-GB"/>
          <w14:ligatures w14:val="none"/>
        </w:rPr>
        <w:t xml:space="preserve">[2008] (chancery </w:t>
      </w:r>
      <w:proofErr w:type="spellStart"/>
      <w:r w:rsidRPr="00F74358">
        <w:rPr>
          <w:rFonts w:ascii="Times New Roman" w:eastAsia="Times New Roman" w:hAnsi="Times New Roman" w:cs="Times New Roman"/>
          <w:kern w:val="0"/>
          <w:sz w:val="24"/>
          <w:szCs w:val="24"/>
          <w:lang w:eastAsia="en-GB"/>
          <w14:ligatures w14:val="none"/>
        </w:rPr>
        <w:t>divison</w:t>
      </w:r>
      <w:proofErr w:type="spellEnd"/>
      <w:r w:rsidRPr="00F74358">
        <w:rPr>
          <w:rFonts w:ascii="Times New Roman" w:eastAsia="Times New Roman" w:hAnsi="Times New Roman" w:cs="Times New Roman"/>
          <w:kern w:val="0"/>
          <w:sz w:val="24"/>
          <w:szCs w:val="24"/>
          <w:lang w:eastAsia="en-GB"/>
          <w14:ligatures w14:val="none"/>
        </w:rPr>
        <w:t>) Available at: https://plus-lexis-com.ezproxy.uwtsd.ac.uk/uk/cases-uk/virdi-v-chana?crid=be5f2ad0-4676-4088-aa1e-fc4db4662e90 [Accessed 15 Dec. 2023].</w:t>
      </w:r>
    </w:p>
    <w:p w14:paraId="66C8D307" w14:textId="77777777" w:rsidR="00F74358" w:rsidRPr="00F74358" w:rsidRDefault="00F74358" w:rsidP="00F74358">
      <w:pPr>
        <w:pStyle w:val="ListParagraph"/>
        <w:numPr>
          <w:ilvl w:val="0"/>
          <w:numId w:val="4"/>
        </w:numPr>
        <w:spacing w:after="240" w:line="360" w:lineRule="auto"/>
        <w:rPr>
          <w:rFonts w:ascii="Times New Roman" w:eastAsia="Times New Roman" w:hAnsi="Times New Roman" w:cs="Times New Roman"/>
          <w:kern w:val="0"/>
          <w:sz w:val="24"/>
          <w:szCs w:val="24"/>
          <w:lang w:eastAsia="en-GB"/>
          <w14:ligatures w14:val="none"/>
        </w:rPr>
      </w:pPr>
      <w:r w:rsidRPr="00F74358">
        <w:rPr>
          <w:rFonts w:ascii="Times New Roman" w:eastAsia="Times New Roman" w:hAnsi="Times New Roman" w:cs="Times New Roman"/>
          <w:i/>
          <w:iCs/>
          <w:kern w:val="0"/>
          <w:sz w:val="24"/>
          <w:szCs w:val="24"/>
          <w:lang w:eastAsia="en-GB"/>
          <w14:ligatures w14:val="none"/>
        </w:rPr>
        <w:t>Walsh v Lonsdale (1882)</w:t>
      </w:r>
      <w:r w:rsidRPr="00F74358">
        <w:rPr>
          <w:rFonts w:ascii="Times New Roman" w:eastAsia="Times New Roman" w:hAnsi="Times New Roman" w:cs="Times New Roman"/>
          <w:kern w:val="0"/>
          <w:sz w:val="24"/>
          <w:szCs w:val="24"/>
          <w:lang w:eastAsia="en-GB"/>
          <w14:ligatures w14:val="none"/>
        </w:rPr>
        <w:t xml:space="preserve"> [1982] Available at: https://www.lawteacher.net/cases/walsh-v-lonsdale-1882.php [Accessed 15 Dec. 2023].</w:t>
      </w:r>
    </w:p>
    <w:p w14:paraId="4154964C" w14:textId="77777777" w:rsidR="00F74358" w:rsidRPr="00F74358" w:rsidRDefault="00F74358" w:rsidP="00F74358">
      <w:pPr>
        <w:pStyle w:val="ListParagraph"/>
        <w:numPr>
          <w:ilvl w:val="0"/>
          <w:numId w:val="4"/>
        </w:numPr>
        <w:spacing w:after="240" w:line="360" w:lineRule="auto"/>
        <w:rPr>
          <w:rFonts w:ascii="Times New Roman" w:eastAsia="Times New Roman" w:hAnsi="Times New Roman" w:cs="Times New Roman"/>
          <w:kern w:val="0"/>
          <w:sz w:val="24"/>
          <w:szCs w:val="24"/>
          <w:lang w:eastAsia="en-GB"/>
          <w14:ligatures w14:val="none"/>
        </w:rPr>
      </w:pPr>
      <w:r w:rsidRPr="00F74358">
        <w:rPr>
          <w:rFonts w:ascii="Times New Roman" w:eastAsia="Times New Roman" w:hAnsi="Times New Roman" w:cs="Times New Roman"/>
          <w:i/>
          <w:iCs/>
          <w:kern w:val="0"/>
          <w:sz w:val="24"/>
          <w:szCs w:val="24"/>
          <w:lang w:eastAsia="en-GB"/>
          <w14:ligatures w14:val="none"/>
        </w:rPr>
        <w:t>Waterman v Boyle</w:t>
      </w:r>
      <w:r w:rsidRPr="00F74358">
        <w:rPr>
          <w:rFonts w:ascii="Times New Roman" w:eastAsia="Times New Roman" w:hAnsi="Times New Roman" w:cs="Times New Roman"/>
          <w:kern w:val="0"/>
          <w:sz w:val="24"/>
          <w:szCs w:val="24"/>
          <w:lang w:eastAsia="en-GB"/>
          <w14:ligatures w14:val="none"/>
        </w:rPr>
        <w:t xml:space="preserve"> [2009] (court of appeal) Available at: https://plus-lexis-com.ezproxy.uwtsd.ac.uk/uk/cases-uk/waterman-v-boyle?crid=3d4fde25-66d0-4084-ab4e-e52ad61ecc57 [Accessed 15 Dec. 2023].</w:t>
      </w:r>
    </w:p>
    <w:p w14:paraId="452A7597" w14:textId="5257EAF4" w:rsidR="00220B2B" w:rsidRPr="00F74358" w:rsidRDefault="00220B2B" w:rsidP="00143783">
      <w:pPr>
        <w:rPr>
          <w:sz w:val="32"/>
          <w:szCs w:val="32"/>
        </w:rPr>
      </w:pPr>
    </w:p>
    <w:p w14:paraId="6279DC1D" w14:textId="337F2FB3" w:rsidR="00143783" w:rsidRPr="00F74358" w:rsidRDefault="00F74358" w:rsidP="00143783">
      <w:pPr>
        <w:rPr>
          <w:sz w:val="32"/>
          <w:szCs w:val="32"/>
        </w:rPr>
      </w:pPr>
      <w:r w:rsidRPr="00F74358">
        <w:rPr>
          <w:sz w:val="32"/>
          <w:szCs w:val="32"/>
        </w:rPr>
        <w:t>Question 2</w:t>
      </w:r>
    </w:p>
    <w:p w14:paraId="772432A6" w14:textId="3DA2FBE0" w:rsidR="00FF39D0" w:rsidRPr="00F74358" w:rsidRDefault="008E18D5" w:rsidP="00F74358">
      <w:pPr>
        <w:jc w:val="both"/>
      </w:pPr>
      <w:r w:rsidRPr="00F74358">
        <w:t>In certain situations, it is crucial to distinguish between fixtures and chattels, for instance in situations involving the transfer or sale of land without a written contract, the classification of an item as either a fixture or chattel is determined in accordance with common law principles. Fixtures shall be transferred to the purchaser and, in accordance with section 62 of the LA 1925, shall automatically pass with the land upon its sale. Items identified as chattels shall not pass and shall remain the property of the vendor (individual selling the land). A dispute may ensue if the items are of significant value, as the newly acquired landowner may seek to assert that the items were transferred to them along with the land.</w:t>
      </w:r>
      <w:r w:rsidR="00FF39D0" w:rsidRPr="00F74358">
        <w:t xml:space="preserve"> Fixtures are classified as personal property, in contrast to chattels which retain their inherent nature as such. The conventional principle for differentiating fixtures and chattels is based on the Latin maxim </w:t>
      </w:r>
      <w:proofErr w:type="spellStart"/>
      <w:r w:rsidR="00FF39D0" w:rsidRPr="00F74358">
        <w:t>quicquid</w:t>
      </w:r>
      <w:proofErr w:type="spellEnd"/>
      <w:r w:rsidR="00FF39D0" w:rsidRPr="00F74358">
        <w:t xml:space="preserve"> </w:t>
      </w:r>
      <w:proofErr w:type="spellStart"/>
      <w:r w:rsidR="00FF39D0" w:rsidRPr="00F74358">
        <w:t>plantatur</w:t>
      </w:r>
      <w:proofErr w:type="spellEnd"/>
      <w:r w:rsidR="00FF39D0" w:rsidRPr="00F74358">
        <w:t xml:space="preserve"> solo, solo edit, which roughly translates to "everything affixed to the soil becomes an integral part of it."</w:t>
      </w:r>
    </w:p>
    <w:p w14:paraId="63571BA6" w14:textId="379AA157" w:rsidR="004E6ACB" w:rsidRPr="00F74358" w:rsidRDefault="00FF39D0" w:rsidP="00F74358">
      <w:pPr>
        <w:jc w:val="both"/>
      </w:pPr>
      <w:r w:rsidRPr="00F74358">
        <w:t xml:space="preserve">An initial step would be to examine the two seminal cases in this field, namely </w:t>
      </w:r>
      <w:proofErr w:type="spellStart"/>
      <w:r w:rsidRPr="00F74358">
        <w:t>Elitestone</w:t>
      </w:r>
      <w:proofErr w:type="spellEnd"/>
      <w:r w:rsidRPr="00F74358">
        <w:t xml:space="preserve"> Ltd. v Morris (1997) and Holland v Hodgson (1872</w:t>
      </w:r>
      <w:proofErr w:type="gramStart"/>
      <w:r w:rsidRPr="00F74358">
        <w:t>).In</w:t>
      </w:r>
      <w:proofErr w:type="gramEnd"/>
      <w:r w:rsidRPr="00F74358">
        <w:t xml:space="preserve"> </w:t>
      </w:r>
      <w:proofErr w:type="spellStart"/>
      <w:r w:rsidRPr="00F74358">
        <w:t>Elitestone</w:t>
      </w:r>
      <w:proofErr w:type="spellEnd"/>
      <w:r w:rsidRPr="00F74358">
        <w:t xml:space="preserve"> Ltd v Morris, the House of Lords reexamine the demarcation between fixtures and chattels. When analysed collectively, the Holland and </w:t>
      </w:r>
      <w:proofErr w:type="spellStart"/>
      <w:r w:rsidRPr="00F74358">
        <w:t>Elitestone</w:t>
      </w:r>
      <w:proofErr w:type="spellEnd"/>
      <w:r w:rsidRPr="00F74358">
        <w:t xml:space="preserve"> cases illuminate </w:t>
      </w:r>
      <w:proofErr w:type="gramStart"/>
      <w:r w:rsidRPr="00F74358">
        <w:t>a number of</w:t>
      </w:r>
      <w:proofErr w:type="gramEnd"/>
      <w:r w:rsidRPr="00F74358">
        <w:t xml:space="preserve"> crucial principles for traversing the line separating chattel and fixtures. The court will ascertain the classification of an item based on two crucial criteria: (a) the degree of annexation and (b) the purpose of annexation, which is referred to as the stage test.</w:t>
      </w:r>
      <w:r w:rsidR="00DD483F" w:rsidRPr="00F74358">
        <w:t xml:space="preserve"> The annexation test at hand focuses on two fundamental inquiries: Does the item remain on the land solely due to its own gravitational force? Furthermore, is it feasible to remove the item without incurring any harm to either the item itself or the surrounding environment? The principle of degree of annexation can be summarised as follows: the level of attachment and permanence of an item to the land determines the difficulty of its removal. If removing the item would result in demolition and damage, it is more likely to be considered a fixture. In the past, the degree of annexation test was considered highly significant. Nevertheless, this approach resulted in severe and inequitable outcomes, particularly for individuals who had attached highly valuable possessions to their property and subsequently lost them due to the emphasis on attachment. Consequently, the annexation test was developed </w:t>
      </w:r>
      <w:proofErr w:type="gramStart"/>
      <w:r w:rsidR="00DD483F" w:rsidRPr="00F74358">
        <w:t>as a means to</w:t>
      </w:r>
      <w:proofErr w:type="gramEnd"/>
      <w:r w:rsidR="00DD483F" w:rsidRPr="00F74358">
        <w:t xml:space="preserve"> alleviate this situation. Furthermore, as elucidated by Scarman LJ in Berkley. What factors does the </w:t>
      </w:r>
      <w:r w:rsidR="00DD483F" w:rsidRPr="00F74358">
        <w:lastRenderedPageBreak/>
        <w:t xml:space="preserve">court </w:t>
      </w:r>
      <w:proofErr w:type="gramStart"/>
      <w:r w:rsidR="00DD483F" w:rsidRPr="00F74358">
        <w:t>take into account</w:t>
      </w:r>
      <w:proofErr w:type="gramEnd"/>
      <w:r w:rsidR="00DD483F" w:rsidRPr="00F74358">
        <w:t xml:space="preserve"> when examining the 'purpose of </w:t>
      </w:r>
      <w:r w:rsidR="00D7643C" w:rsidRPr="00F74358">
        <w:t>annexation’? The</w:t>
      </w:r>
      <w:r w:rsidR="00DD483F" w:rsidRPr="00F74358">
        <w:t xml:space="preserve"> test entails determining whether the item was attached to the land temporarily or for the purpose of enhancing the item's enjoyment, in which case it would be considered a chattel. Alternatively, if the item was affixed to the land to permanently improve it, then it would be classified as a fixture. </w:t>
      </w:r>
      <w:proofErr w:type="spellStart"/>
      <w:r w:rsidR="00DD483F" w:rsidRPr="00F74358">
        <w:t>Hellawell</w:t>
      </w:r>
      <w:proofErr w:type="spellEnd"/>
      <w:r w:rsidR="00DD483F" w:rsidRPr="00F74358">
        <w:t xml:space="preserve"> v Eastwood (1851) is a legal case.</w:t>
      </w:r>
    </w:p>
    <w:p w14:paraId="086E98A8" w14:textId="08F75A3A" w:rsidR="00DD483F" w:rsidRPr="00F74358" w:rsidRDefault="00DD483F" w:rsidP="00F74358">
      <w:pPr>
        <w:jc w:val="both"/>
      </w:pPr>
      <w:r w:rsidRPr="00F74358">
        <w:t xml:space="preserve"> </w:t>
      </w:r>
      <w:r w:rsidR="009C3E38" w:rsidRPr="00F74358">
        <w:t xml:space="preserve">The absence of any mention of fixtures and fittings in the contract may result in uncertainty and possible conflicts. Under such circumstances, it is recommended for the parties involved to endeavour to achieve a consensus through the process of negotiation or mediation. </w:t>
      </w:r>
      <w:proofErr w:type="gramStart"/>
      <w:r w:rsidR="009C3E38" w:rsidRPr="00F74358">
        <w:t>In the event that</w:t>
      </w:r>
      <w:proofErr w:type="gramEnd"/>
      <w:r w:rsidR="009C3E38" w:rsidRPr="00F74358">
        <w:t xml:space="preserve"> a consensus cannot be reached, the determination of fixtures and fittings may be contingent upon factors such as the parties' intention and the level of attachment. </w:t>
      </w:r>
    </w:p>
    <w:p w14:paraId="4FD18706" w14:textId="43CCD82D" w:rsidR="00DD483F" w:rsidRPr="00F74358" w:rsidRDefault="00DD483F" w:rsidP="00F74358">
      <w:pPr>
        <w:pStyle w:val="ListParagraph"/>
        <w:numPr>
          <w:ilvl w:val="0"/>
          <w:numId w:val="2"/>
        </w:numPr>
        <w:jc w:val="both"/>
      </w:pPr>
      <w:r w:rsidRPr="00F74358">
        <w:rPr>
          <w:color w:val="000000"/>
        </w:rPr>
        <w:t>A large marble statue of Adonis</w:t>
      </w:r>
    </w:p>
    <w:p w14:paraId="5C1E6857" w14:textId="47826871" w:rsidR="009C3E38" w:rsidRPr="00F74358" w:rsidRDefault="009C3E38" w:rsidP="00F74358">
      <w:pPr>
        <w:ind w:left="150"/>
        <w:jc w:val="both"/>
      </w:pPr>
      <w:r w:rsidRPr="00F74358">
        <w:t xml:space="preserve">The classification of a major marble statue as either a fixture or a fitting is contingent upon its method of attachment and intended function. A statue that is firmly attached to the property with the intention of improving the functionality or pleasure of the area may be classified as a fixture. Although easily removable and not permanently affixed, it may nonetheless be deemed as a fitting.  We can infer that it is substantial and difficult to manipulate based on its size and composition of marble. The potential of the massive marble statue being classified as a fixture increases when its base is firmly affixed to the property. The cementing process creates a strong bond, which signifies the intention to incorporate the item permanently into the property. The legal matter of whether statues qualify as fixtures or fittings was the subject of the Holland v Hodgson 1872 case. The court deliberated in this instance on whether a statue, a lion statue made of marble, constituted a fixture or a fitting. The statue was classified as a fixture by the court on the grounds that it was affixed to a stone plinth, which was subsequently secured to the ground. This case illustrates the significance of the statue's connection to the land in establishing its classification. </w:t>
      </w:r>
    </w:p>
    <w:p w14:paraId="0663D312" w14:textId="31C81ACD" w:rsidR="008043E0" w:rsidRPr="00F74358" w:rsidRDefault="008043E0" w:rsidP="00F74358">
      <w:pPr>
        <w:pStyle w:val="ListParagraph"/>
        <w:numPr>
          <w:ilvl w:val="0"/>
          <w:numId w:val="2"/>
        </w:numPr>
        <w:jc w:val="both"/>
      </w:pPr>
      <w:r w:rsidRPr="00F74358">
        <w:t xml:space="preserve">The terracotta </w:t>
      </w:r>
      <w:proofErr w:type="gramStart"/>
      <w:r w:rsidRPr="00F74358">
        <w:t>pots</w:t>
      </w:r>
      <w:proofErr w:type="gramEnd"/>
    </w:p>
    <w:p w14:paraId="25BF8714" w14:textId="27F3FF0D" w:rsidR="008043E0" w:rsidRPr="00F74358" w:rsidRDefault="008043E0" w:rsidP="00F74358">
      <w:pPr>
        <w:ind w:left="150"/>
        <w:jc w:val="both"/>
      </w:pPr>
      <w:r w:rsidRPr="00F74358">
        <w:t xml:space="preserve">In general, terracotta pots are regarded as fittings as opposed to fixtures. They lack a permanent attachment to the property and are therefore movable. </w:t>
      </w:r>
      <w:proofErr w:type="gramStart"/>
      <w:r w:rsidRPr="00F74358">
        <w:t>In the event that</w:t>
      </w:r>
      <w:proofErr w:type="gramEnd"/>
      <w:r w:rsidRPr="00F74358">
        <w:t xml:space="preserve"> a terracotta pot accommodates aesthetically pleasing ivy, it is probable that it would be classified as a fixture. In determining its classification, the court would </w:t>
      </w:r>
      <w:proofErr w:type="gramStart"/>
      <w:r w:rsidRPr="00F74358">
        <w:t>take into account</w:t>
      </w:r>
      <w:proofErr w:type="gramEnd"/>
      <w:r w:rsidRPr="00F74358">
        <w:t xml:space="preserve"> various factors, including the extent of annexation, the intended purpose of the annexation, and the intentions of the parties concerned. The ivy that has developed within the terracotta pot is presumably classified as a fixture </w:t>
      </w:r>
      <w:proofErr w:type="gramStart"/>
      <w:r w:rsidRPr="00F74358">
        <w:t>due to the fact that</w:t>
      </w:r>
      <w:proofErr w:type="gramEnd"/>
      <w:r w:rsidRPr="00F74358">
        <w:t xml:space="preserve"> it has become an inseparable component and cannot be removed without inflicting damage.</w:t>
      </w:r>
    </w:p>
    <w:p w14:paraId="00B0AF4A" w14:textId="05D06AEE" w:rsidR="008043E0" w:rsidRPr="00F74358" w:rsidRDefault="008043E0" w:rsidP="00F74358">
      <w:pPr>
        <w:pStyle w:val="ListParagraph"/>
        <w:numPr>
          <w:ilvl w:val="0"/>
          <w:numId w:val="2"/>
        </w:numPr>
        <w:jc w:val="both"/>
        <w:rPr>
          <w:color w:val="000000"/>
        </w:rPr>
      </w:pPr>
      <w:r w:rsidRPr="00F74358">
        <w:rPr>
          <w:color w:val="000000"/>
        </w:rPr>
        <w:t>the summerhouse</w:t>
      </w:r>
    </w:p>
    <w:p w14:paraId="1298AA78" w14:textId="3A023505" w:rsidR="008043E0" w:rsidRPr="00F74358" w:rsidRDefault="00D7643C" w:rsidP="00F74358">
      <w:pPr>
        <w:ind w:left="150"/>
        <w:jc w:val="both"/>
      </w:pPr>
      <w:r w:rsidRPr="00F74358">
        <w:t>A summerhouse is more inclined to be classified as a fixture if it is secured to a concrete base using bolts. The bolting secures the component, indicating that it is intended to be a permanent fixture on the property.</w:t>
      </w:r>
    </w:p>
    <w:p w14:paraId="72FDB668" w14:textId="4645EC37" w:rsidR="00D7643C" w:rsidRPr="00F74358" w:rsidRDefault="00D7643C" w:rsidP="00F74358">
      <w:pPr>
        <w:pStyle w:val="ListParagraph"/>
        <w:numPr>
          <w:ilvl w:val="0"/>
          <w:numId w:val="2"/>
        </w:numPr>
        <w:jc w:val="both"/>
      </w:pPr>
      <w:r w:rsidRPr="00F74358">
        <w:t>Hot tub</w:t>
      </w:r>
    </w:p>
    <w:p w14:paraId="56133938" w14:textId="021687BF" w:rsidR="008043E0" w:rsidRPr="00F74358" w:rsidRDefault="009D46A8" w:rsidP="00F74358">
      <w:pPr>
        <w:ind w:left="150"/>
        <w:jc w:val="both"/>
      </w:pPr>
      <w:r w:rsidRPr="00F74358">
        <w:t>Given its mobile nature and lack of permanent attachment, the inflatable hot tub is more accurately classified as a fitting rather than a fixture. Typically, fittings are movable components that can be installed or removed from a structure.  The location of the inflatable hot tub within the summerhouse does not inherently alter its categorization as a fitting. Given that the hot tub retains its movability, it can be effortlessly extracted from the summerhouse.</w:t>
      </w:r>
    </w:p>
    <w:p w14:paraId="1AD44C29" w14:textId="2D428F4E" w:rsidR="009D46A8" w:rsidRPr="00F74358" w:rsidRDefault="009D46A8" w:rsidP="00F74358">
      <w:pPr>
        <w:pStyle w:val="ListParagraph"/>
        <w:numPr>
          <w:ilvl w:val="0"/>
          <w:numId w:val="2"/>
        </w:numPr>
        <w:jc w:val="both"/>
      </w:pPr>
      <w:r w:rsidRPr="00F74358">
        <w:rPr>
          <w:color w:val="000000"/>
        </w:rPr>
        <w:lastRenderedPageBreak/>
        <w:t>The tapestries</w:t>
      </w:r>
    </w:p>
    <w:p w14:paraId="71B162A9" w14:textId="78258787" w:rsidR="009D46A8" w:rsidRPr="00F74358" w:rsidRDefault="00253CC5" w:rsidP="00F74358">
      <w:pPr>
        <w:ind w:left="150"/>
        <w:jc w:val="both"/>
      </w:pPr>
      <w:r w:rsidRPr="00F74358">
        <w:t xml:space="preserve">In general, tapestries are regarded as fittings as opposed to fixtures. They are regarded as movable items because they are not permanently affixed to the property and can be removed easily for cleaning or relocation. Case example </w:t>
      </w:r>
      <w:r w:rsidR="00C5727C" w:rsidRPr="00F74358">
        <w:t>it’s Leigh</w:t>
      </w:r>
      <w:r w:rsidRPr="00F74358">
        <w:t xml:space="preserve"> v Taylor </w:t>
      </w:r>
      <w:r w:rsidR="001418A2" w:rsidRPr="00F74358">
        <w:t>[</w:t>
      </w:r>
      <w:r w:rsidRPr="00F74358">
        <w:t>1902</w:t>
      </w:r>
      <w:proofErr w:type="gramStart"/>
      <w:r w:rsidR="001418A2" w:rsidRPr="00F74358">
        <w:t>] .</w:t>
      </w:r>
      <w:proofErr w:type="gramEnd"/>
      <w:r w:rsidRPr="00F74358">
        <w:t xml:space="preserve"> In instances where the tapestries are affixed firmly to the walls or serve as ornamental elements, as was the case in Re Whaley [1908], they would be classified as fixtures.</w:t>
      </w:r>
    </w:p>
    <w:p w14:paraId="2504B234" w14:textId="05EFAE80" w:rsidR="00253CC5" w:rsidRPr="00F74358" w:rsidRDefault="00253CC5" w:rsidP="00F74358">
      <w:pPr>
        <w:pStyle w:val="ListParagraph"/>
        <w:numPr>
          <w:ilvl w:val="0"/>
          <w:numId w:val="2"/>
        </w:numPr>
        <w:jc w:val="both"/>
        <w:rPr>
          <w:color w:val="000000"/>
        </w:rPr>
      </w:pPr>
      <w:r w:rsidRPr="00F74358">
        <w:rPr>
          <w:color w:val="000000"/>
        </w:rPr>
        <w:t>the kitchen units and integrated appliances</w:t>
      </w:r>
    </w:p>
    <w:p w14:paraId="105AA07E" w14:textId="77777777" w:rsidR="00F74358" w:rsidRPr="00F74358" w:rsidRDefault="00547B9A" w:rsidP="00F74358">
      <w:pPr>
        <w:ind w:left="150"/>
        <w:jc w:val="both"/>
      </w:pPr>
      <w:r w:rsidRPr="00F74358">
        <w:t>In general, kitchen units that incorporate appliances would be classified as fixtures. The appliances' integration into the units indicates that they are designed to function as permanent components of the property.</w:t>
      </w:r>
    </w:p>
    <w:p w14:paraId="1C5E9E87" w14:textId="452607B9" w:rsidR="00F74358" w:rsidRPr="00F74358" w:rsidRDefault="00F74358" w:rsidP="00F74358">
      <w:pPr>
        <w:ind w:left="150"/>
        <w:jc w:val="both"/>
      </w:pPr>
      <w:r w:rsidRPr="00F74358">
        <w:t xml:space="preserve">   In conclusion, it is determined that Olivia shall retain possession of the following items, as they are deemed fixtures: the statue, the terracotta pots, the summerhouse, the kitchen units, and the integrated appliances. The hot tub and the tapestries shall be duly classified as chattels in accordance with property law.</w:t>
      </w:r>
    </w:p>
    <w:p w14:paraId="40809F8B" w14:textId="77777777" w:rsidR="00547B9A" w:rsidRPr="00F74358" w:rsidRDefault="00547B9A" w:rsidP="00F74358">
      <w:pPr>
        <w:ind w:left="150"/>
        <w:jc w:val="both"/>
      </w:pPr>
    </w:p>
    <w:p w14:paraId="61FA33B4" w14:textId="77777777" w:rsidR="00F74358" w:rsidRDefault="00F74358" w:rsidP="00F74358">
      <w:pPr>
        <w:pStyle w:val="Heading1"/>
        <w:spacing w:before="0" w:beforeAutospacing="0" w:after="240" w:afterAutospacing="0" w:line="360" w:lineRule="auto"/>
        <w:rPr>
          <w:sz w:val="36"/>
          <w:szCs w:val="36"/>
        </w:rPr>
      </w:pPr>
      <w:r>
        <w:rPr>
          <w:sz w:val="36"/>
          <w:szCs w:val="36"/>
        </w:rPr>
        <w:t>Reference list</w:t>
      </w:r>
    </w:p>
    <w:p w14:paraId="569E738E" w14:textId="77777777" w:rsidR="00F74358" w:rsidRDefault="00F74358" w:rsidP="00F74358">
      <w:pPr>
        <w:pStyle w:val="NormalWeb"/>
        <w:numPr>
          <w:ilvl w:val="0"/>
          <w:numId w:val="5"/>
        </w:numPr>
        <w:spacing w:before="0" w:beforeAutospacing="0" w:after="240" w:afterAutospacing="0" w:line="360" w:lineRule="auto"/>
      </w:pPr>
      <w:r>
        <w:t xml:space="preserve">Bevan, C. (2021). The Law of Fixtures and chattels: recalibration, Rationalisation and Reform. </w:t>
      </w:r>
      <w:r>
        <w:rPr>
          <w:i/>
          <w:iCs/>
        </w:rPr>
        <w:t>Legal Studies</w:t>
      </w:r>
      <w:r>
        <w:t xml:space="preserve">, 42(2), pp.1–18. </w:t>
      </w:r>
      <w:proofErr w:type="spellStart"/>
      <w:proofErr w:type="gramStart"/>
      <w:r>
        <w:t>doi:https</w:t>
      </w:r>
      <w:proofErr w:type="spellEnd"/>
      <w:r>
        <w:t>://doi.org/10.1017/lst.2021.56</w:t>
      </w:r>
      <w:proofErr w:type="gramEnd"/>
      <w:r>
        <w:t>.</w:t>
      </w:r>
    </w:p>
    <w:p w14:paraId="17C3EF65" w14:textId="77777777" w:rsidR="00F74358" w:rsidRDefault="00F74358" w:rsidP="00F74358">
      <w:pPr>
        <w:pStyle w:val="NormalWeb"/>
        <w:numPr>
          <w:ilvl w:val="0"/>
          <w:numId w:val="5"/>
        </w:numPr>
        <w:spacing w:before="0" w:beforeAutospacing="0" w:after="240" w:afterAutospacing="0" w:line="360" w:lineRule="auto"/>
      </w:pPr>
      <w:r>
        <w:t xml:space="preserve">Bevan, C. (2022). </w:t>
      </w:r>
      <w:r>
        <w:rPr>
          <w:i/>
          <w:iCs/>
        </w:rPr>
        <w:t>Land Law.</w:t>
      </w:r>
      <w:r>
        <w:t xml:space="preserve"> 3rd ed. S.L.: Oxford </w:t>
      </w:r>
      <w:proofErr w:type="spellStart"/>
      <w:r>
        <w:t>Univ</w:t>
      </w:r>
      <w:proofErr w:type="spellEnd"/>
      <w:r>
        <w:t xml:space="preserve"> Press.</w:t>
      </w:r>
    </w:p>
    <w:p w14:paraId="52C3C33E" w14:textId="77777777" w:rsidR="00F74358" w:rsidRDefault="00F74358" w:rsidP="00F74358">
      <w:pPr>
        <w:pStyle w:val="NormalWeb"/>
        <w:numPr>
          <w:ilvl w:val="0"/>
          <w:numId w:val="5"/>
        </w:numPr>
        <w:spacing w:before="0" w:beforeAutospacing="0" w:after="240" w:afterAutospacing="0" w:line="360" w:lineRule="auto"/>
      </w:pPr>
      <w:r>
        <w:t xml:space="preserve">Chappelle, D. (2008). </w:t>
      </w:r>
      <w:r>
        <w:rPr>
          <w:i/>
          <w:iCs/>
        </w:rPr>
        <w:t>Land law</w:t>
      </w:r>
      <w:r>
        <w:t>. Harlow: Pearson Longman.</w:t>
      </w:r>
    </w:p>
    <w:p w14:paraId="3B25FB4A" w14:textId="77777777" w:rsidR="00F74358" w:rsidRDefault="00F74358" w:rsidP="00F74358">
      <w:pPr>
        <w:pStyle w:val="NormalWeb"/>
        <w:numPr>
          <w:ilvl w:val="0"/>
          <w:numId w:val="5"/>
        </w:numPr>
        <w:spacing w:before="0" w:beforeAutospacing="0" w:after="240" w:afterAutospacing="0" w:line="360" w:lineRule="auto"/>
      </w:pPr>
      <w:r>
        <w:t xml:space="preserve">Clarke, A. and Kohler, P. (2009). </w:t>
      </w:r>
      <w:r>
        <w:rPr>
          <w:i/>
          <w:iCs/>
        </w:rPr>
        <w:t>Property law commentary and materials</w:t>
      </w:r>
      <w:r>
        <w:t>. Cambridge [Etc.] Cambridge Univ. Press.</w:t>
      </w:r>
    </w:p>
    <w:p w14:paraId="3B261096" w14:textId="77777777" w:rsidR="00F74358" w:rsidRDefault="00F74358" w:rsidP="00F74358">
      <w:pPr>
        <w:pStyle w:val="NormalWeb"/>
        <w:numPr>
          <w:ilvl w:val="0"/>
          <w:numId w:val="5"/>
        </w:numPr>
        <w:spacing w:before="0" w:beforeAutospacing="0" w:after="240" w:afterAutospacing="0" w:line="360" w:lineRule="auto"/>
      </w:pPr>
      <w:r>
        <w:t xml:space="preserve">Cooke, E. (2012). </w:t>
      </w:r>
      <w:r>
        <w:rPr>
          <w:i/>
          <w:iCs/>
        </w:rPr>
        <w:t>Land law</w:t>
      </w:r>
      <w:r>
        <w:t>. Oxford, U.K.: Oxford University Press.</w:t>
      </w:r>
    </w:p>
    <w:p w14:paraId="3E572801" w14:textId="77777777" w:rsidR="00F74358" w:rsidRDefault="00F74358" w:rsidP="00F74358">
      <w:pPr>
        <w:pStyle w:val="NormalWeb"/>
        <w:numPr>
          <w:ilvl w:val="0"/>
          <w:numId w:val="5"/>
        </w:numPr>
        <w:spacing w:before="0" w:beforeAutospacing="0" w:after="240" w:afterAutospacing="0" w:line="360" w:lineRule="auto"/>
      </w:pPr>
      <w:r>
        <w:t xml:space="preserve">Davys, M. (2019). </w:t>
      </w:r>
      <w:r>
        <w:rPr>
          <w:i/>
          <w:iCs/>
        </w:rPr>
        <w:t xml:space="preserve">Land </w:t>
      </w:r>
      <w:proofErr w:type="gramStart"/>
      <w:r>
        <w:rPr>
          <w:i/>
          <w:iCs/>
        </w:rPr>
        <w:t>law :</w:t>
      </w:r>
      <w:proofErr w:type="gramEnd"/>
      <w:r>
        <w:rPr>
          <w:i/>
          <w:iCs/>
        </w:rPr>
        <w:t xml:space="preserve"> Mark Davys.</w:t>
      </w:r>
      <w:r>
        <w:t xml:space="preserve"> London: Red Globe Press.</w:t>
      </w:r>
    </w:p>
    <w:p w14:paraId="30A67C37" w14:textId="77777777" w:rsidR="00F74358" w:rsidRDefault="00F74358" w:rsidP="00F74358">
      <w:pPr>
        <w:pStyle w:val="NormalWeb"/>
        <w:numPr>
          <w:ilvl w:val="0"/>
          <w:numId w:val="5"/>
        </w:numPr>
        <w:spacing w:before="0" w:beforeAutospacing="0" w:after="240" w:afterAutospacing="0" w:line="360" w:lineRule="auto"/>
      </w:pPr>
      <w:proofErr w:type="spellStart"/>
      <w:r>
        <w:rPr>
          <w:i/>
          <w:iCs/>
        </w:rPr>
        <w:t>Elitestone</w:t>
      </w:r>
      <w:proofErr w:type="spellEnd"/>
      <w:r>
        <w:rPr>
          <w:i/>
          <w:iCs/>
        </w:rPr>
        <w:t xml:space="preserve"> Ltd. v. Morris</w:t>
      </w:r>
      <w:r>
        <w:t xml:space="preserve"> [1997] (The Lords of Appeal) Available at: https://publications.parliament.uk/pa/ld199697/ldjudgmt/jd970501/elites01.htm [Accessed 15 Dec. 2023].</w:t>
      </w:r>
    </w:p>
    <w:p w14:paraId="7DF81940" w14:textId="77777777" w:rsidR="00F74358" w:rsidRDefault="00F74358" w:rsidP="00F74358">
      <w:pPr>
        <w:pStyle w:val="NormalWeb"/>
        <w:numPr>
          <w:ilvl w:val="0"/>
          <w:numId w:val="5"/>
        </w:numPr>
        <w:spacing w:before="0" w:beforeAutospacing="0" w:after="240" w:afterAutospacing="0" w:line="360" w:lineRule="auto"/>
      </w:pPr>
      <w:r>
        <w:t>Fixture and Fittings. (n.d.). Available at: https://plus-lexis-com.ezproxy.uwtsd.ac.uk/uk/document/?pdmfid=1001073&amp;crid=35a8e09c-ded3-495a-8ca5-3da50054e91b&amp;pddocfullpath=%2Fshared%2Fdocument%2Fpractical-guidance-uk%2Furn%3AcontentItem%3A55MK-MBW1-F18F-10XH-00000-</w:t>
      </w:r>
      <w:r>
        <w:lastRenderedPageBreak/>
        <w:t>00&amp;pdcontentcomponentid=128506&amp;pdteaserkey=&amp;pdislpamode=false&amp;pddocumentnumber=1&amp;ecomp=dt5k&amp;earg=sr0&amp;prid=df939a29-5748-4c0b-a7d4-e1138d869234 [Accessed 15 Dec. 2023].</w:t>
      </w:r>
    </w:p>
    <w:p w14:paraId="31EDB332" w14:textId="77777777" w:rsidR="00F74358" w:rsidRDefault="00F74358" w:rsidP="00F74358">
      <w:pPr>
        <w:pStyle w:val="NormalWeb"/>
        <w:numPr>
          <w:ilvl w:val="0"/>
          <w:numId w:val="5"/>
        </w:numPr>
        <w:spacing w:before="0" w:beforeAutospacing="0" w:after="240" w:afterAutospacing="0" w:line="360" w:lineRule="auto"/>
      </w:pPr>
      <w:r>
        <w:t xml:space="preserve">Gray, K.J. and Susan Francis Gray (2009). </w:t>
      </w:r>
      <w:r>
        <w:rPr>
          <w:i/>
          <w:iCs/>
        </w:rPr>
        <w:t>Elements of land law</w:t>
      </w:r>
      <w:r>
        <w:t xml:space="preserve">. </w:t>
      </w:r>
      <w:proofErr w:type="gramStart"/>
      <w:r>
        <w:t>Oxford ;</w:t>
      </w:r>
      <w:proofErr w:type="gramEnd"/>
      <w:r>
        <w:t xml:space="preserve"> New York: Oxford University Press.</w:t>
      </w:r>
    </w:p>
    <w:p w14:paraId="07006440" w14:textId="77777777" w:rsidR="00F74358" w:rsidRDefault="00F74358" w:rsidP="00F74358">
      <w:pPr>
        <w:pStyle w:val="NormalWeb"/>
        <w:numPr>
          <w:ilvl w:val="0"/>
          <w:numId w:val="5"/>
        </w:numPr>
        <w:spacing w:before="0" w:beforeAutospacing="0" w:after="240" w:afterAutospacing="0" w:line="360" w:lineRule="auto"/>
      </w:pPr>
      <w:r>
        <w:t xml:space="preserve">Greer, S. (2016). </w:t>
      </w:r>
      <w:r>
        <w:rPr>
          <w:i/>
          <w:iCs/>
        </w:rPr>
        <w:t>Land law directions.</w:t>
      </w:r>
      <w:r>
        <w:t xml:space="preserve"> Oxford University Press.</w:t>
      </w:r>
    </w:p>
    <w:p w14:paraId="3512B1FC" w14:textId="77777777" w:rsidR="00F74358" w:rsidRDefault="00F74358" w:rsidP="00F74358">
      <w:pPr>
        <w:pStyle w:val="NormalWeb"/>
        <w:numPr>
          <w:ilvl w:val="0"/>
          <w:numId w:val="5"/>
        </w:numPr>
        <w:spacing w:before="0" w:beforeAutospacing="0" w:after="240" w:afterAutospacing="0" w:line="360" w:lineRule="auto"/>
      </w:pPr>
      <w:r>
        <w:t>Halsbury's Laws of England (n.d.). 53.Fixtures and fittings. [online] Available at: https://plus-lexis-com.ezproxy.uwtsd.ac.uk/uk/document/?pdmfid=1001073&amp;crid=40df0ad8-6034-43ad-92bf-a54b9bdb1bfe&amp;pddocfullpath=%2Fshared%2Fdocument%2Fanalytical-materials-uk%2Furn%3AcontentItem%3A69C4-GHF3-RRKY-K0MB-00000-00&amp;pdcontentcomponentid=216360&amp;pdteaserkey=&amp;pdislpamode=false&amp;pddocumentnumber=2&amp;ecomp=dt5k&amp;earg=sr1&amp;prid=df939a29-5748-4c0b-a7d4-e1138d869234 [Accessed 15 Dec. 2023].</w:t>
      </w:r>
    </w:p>
    <w:p w14:paraId="2942D602" w14:textId="77777777" w:rsidR="00F74358" w:rsidRDefault="00F74358" w:rsidP="00F74358">
      <w:pPr>
        <w:pStyle w:val="NormalWeb"/>
        <w:numPr>
          <w:ilvl w:val="0"/>
          <w:numId w:val="5"/>
        </w:numPr>
        <w:spacing w:before="0" w:beforeAutospacing="0" w:after="240" w:afterAutospacing="0" w:line="360" w:lineRule="auto"/>
      </w:pPr>
      <w:r>
        <w:rPr>
          <w:i/>
          <w:iCs/>
        </w:rPr>
        <w:t xml:space="preserve">Law of Property </w:t>
      </w:r>
      <w:proofErr w:type="gramStart"/>
      <w:r>
        <w:rPr>
          <w:i/>
          <w:iCs/>
        </w:rPr>
        <w:t xml:space="preserve">Act </w:t>
      </w:r>
      <w:r>
        <w:t>.</w:t>
      </w:r>
      <w:proofErr w:type="gramEnd"/>
      <w:r>
        <w:t xml:space="preserve"> Available at: https://www.legislation.gov.uk/ukpga/Geo5/15-16/20/contents [Accessed 15 Dec. 2023].</w:t>
      </w:r>
    </w:p>
    <w:p w14:paraId="0418CCD1" w14:textId="77777777" w:rsidR="00F74358" w:rsidRDefault="00F74358" w:rsidP="00F74358">
      <w:pPr>
        <w:pStyle w:val="NormalWeb"/>
        <w:numPr>
          <w:ilvl w:val="0"/>
          <w:numId w:val="5"/>
        </w:numPr>
        <w:spacing w:before="0" w:beforeAutospacing="0" w:after="240" w:afterAutospacing="0" w:line="360" w:lineRule="auto"/>
      </w:pPr>
      <w:proofErr w:type="spellStart"/>
      <w:r>
        <w:t>Mcfarlane</w:t>
      </w:r>
      <w:proofErr w:type="spellEnd"/>
      <w:r>
        <w:t xml:space="preserve">, B., Hopkins, N. and Nield, S. (2018). </w:t>
      </w:r>
      <w:r>
        <w:rPr>
          <w:i/>
          <w:iCs/>
        </w:rPr>
        <w:t xml:space="preserve">Land </w:t>
      </w:r>
      <w:proofErr w:type="gramStart"/>
      <w:r>
        <w:rPr>
          <w:i/>
          <w:iCs/>
        </w:rPr>
        <w:t>law :</w:t>
      </w:r>
      <w:proofErr w:type="gramEnd"/>
      <w:r>
        <w:rPr>
          <w:i/>
          <w:iCs/>
        </w:rPr>
        <w:t xml:space="preserve"> text, cases, and materials</w:t>
      </w:r>
      <w:r>
        <w:t xml:space="preserve">. </w:t>
      </w:r>
      <w:proofErr w:type="gramStart"/>
      <w:r>
        <w:t>Oxford ;</w:t>
      </w:r>
      <w:proofErr w:type="gramEnd"/>
      <w:r>
        <w:t xml:space="preserve"> New York, Ny: Oxford University Press.</w:t>
      </w:r>
    </w:p>
    <w:p w14:paraId="46762958" w14:textId="77777777" w:rsidR="00F74358" w:rsidRDefault="00F74358" w:rsidP="00F74358">
      <w:pPr>
        <w:pStyle w:val="NormalWeb"/>
        <w:numPr>
          <w:ilvl w:val="0"/>
          <w:numId w:val="5"/>
        </w:numPr>
        <w:spacing w:before="0" w:beforeAutospacing="0" w:after="240" w:afterAutospacing="0" w:line="360" w:lineRule="auto"/>
      </w:pPr>
      <w:proofErr w:type="spellStart"/>
      <w:r>
        <w:t>Riddall</w:t>
      </w:r>
      <w:proofErr w:type="spellEnd"/>
      <w:r>
        <w:t xml:space="preserve">, J.G. (2003). </w:t>
      </w:r>
      <w:r>
        <w:rPr>
          <w:i/>
          <w:iCs/>
        </w:rPr>
        <w:t>Land Law</w:t>
      </w:r>
      <w:r>
        <w:t>.</w:t>
      </w:r>
    </w:p>
    <w:p w14:paraId="3E1CF062" w14:textId="77777777" w:rsidR="00F74358" w:rsidRDefault="00F74358" w:rsidP="00F74358">
      <w:pPr>
        <w:pStyle w:val="NormalWeb"/>
        <w:numPr>
          <w:ilvl w:val="0"/>
          <w:numId w:val="5"/>
        </w:numPr>
        <w:spacing w:before="0" w:beforeAutospacing="0" w:after="240" w:afterAutospacing="0" w:line="360" w:lineRule="auto"/>
      </w:pPr>
      <w:r>
        <w:t xml:space="preserve">Royle, R. (2003). </w:t>
      </w:r>
      <w:r>
        <w:rPr>
          <w:i/>
          <w:iCs/>
        </w:rPr>
        <w:t>Briefcase on Land Law</w:t>
      </w:r>
      <w:r>
        <w:t>. 4th ed.</w:t>
      </w:r>
    </w:p>
    <w:p w14:paraId="773EAA27" w14:textId="77777777" w:rsidR="00F74358" w:rsidRDefault="00F74358" w:rsidP="00F74358">
      <w:pPr>
        <w:pStyle w:val="NormalWeb"/>
        <w:numPr>
          <w:ilvl w:val="0"/>
          <w:numId w:val="5"/>
        </w:numPr>
        <w:spacing w:before="0" w:beforeAutospacing="0" w:after="240" w:afterAutospacing="0" w:line="360" w:lineRule="auto"/>
      </w:pPr>
      <w:r>
        <w:t xml:space="preserve">Smith, R. (2008). </w:t>
      </w:r>
      <w:r>
        <w:rPr>
          <w:i/>
          <w:iCs/>
        </w:rPr>
        <w:t>Property Law</w:t>
      </w:r>
      <w:r>
        <w:t>. sixth edition ed.</w:t>
      </w:r>
    </w:p>
    <w:p w14:paraId="3A12901B" w14:textId="77777777" w:rsidR="00F74358" w:rsidRDefault="00F74358" w:rsidP="00F74358">
      <w:pPr>
        <w:pStyle w:val="NormalWeb"/>
        <w:numPr>
          <w:ilvl w:val="0"/>
          <w:numId w:val="5"/>
        </w:numPr>
        <w:spacing w:before="0" w:beforeAutospacing="0" w:after="240" w:afterAutospacing="0" w:line="360" w:lineRule="auto"/>
      </w:pPr>
      <w:r>
        <w:t xml:space="preserve">Thompson, M.P. (2009). </w:t>
      </w:r>
      <w:r>
        <w:rPr>
          <w:i/>
          <w:iCs/>
        </w:rPr>
        <w:t>Modern land law</w:t>
      </w:r>
      <w:r>
        <w:t>. fourth ed.</w:t>
      </w:r>
    </w:p>
    <w:p w14:paraId="752F320C" w14:textId="77777777" w:rsidR="00F74358" w:rsidRDefault="00F74358" w:rsidP="00F74358">
      <w:pPr>
        <w:pStyle w:val="NormalWeb"/>
        <w:numPr>
          <w:ilvl w:val="0"/>
          <w:numId w:val="5"/>
        </w:numPr>
        <w:spacing w:before="0" w:beforeAutospacing="0" w:after="240" w:afterAutospacing="0" w:line="360" w:lineRule="auto"/>
      </w:pPr>
      <w:r>
        <w:rPr>
          <w:i/>
          <w:iCs/>
        </w:rPr>
        <w:t>Whaley, Re Whaley v Roehrich</w:t>
      </w:r>
      <w:r>
        <w:t xml:space="preserve"> (Chancery </w:t>
      </w:r>
      <w:proofErr w:type="spellStart"/>
      <w:r>
        <w:t>Devision</w:t>
      </w:r>
      <w:proofErr w:type="spellEnd"/>
      <w:r>
        <w:t>) Available at: https://plus-lexis-com.ezproxy.uwtsd.ac.uk/uk/cases-uk/whaley-re-whaley-v-roehrich?crid=f261163a-8e97-4ca7-b556-386819e68865 [Accessed 15 Dec. 2023].</w:t>
      </w:r>
    </w:p>
    <w:p w14:paraId="6B260F4E" w14:textId="4035363A" w:rsidR="00253CC5" w:rsidRPr="00F74358" w:rsidRDefault="00253CC5" w:rsidP="00F74358">
      <w:pPr>
        <w:ind w:left="150"/>
        <w:jc w:val="both"/>
      </w:pPr>
    </w:p>
    <w:sectPr w:rsidR="00253CC5" w:rsidRPr="00F7435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E063B1"/>
    <w:multiLevelType w:val="hybridMultilevel"/>
    <w:tmpl w:val="ACE6877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BBF4CA5"/>
    <w:multiLevelType w:val="hybridMultilevel"/>
    <w:tmpl w:val="10087AD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B494032"/>
    <w:multiLevelType w:val="hybridMultilevel"/>
    <w:tmpl w:val="1D1E9298"/>
    <w:lvl w:ilvl="0" w:tplc="E59C1B42">
      <w:start w:val="1"/>
      <w:numFmt w:val="upperLetter"/>
      <w:lvlText w:val="%1)"/>
      <w:lvlJc w:val="left"/>
      <w:pPr>
        <w:ind w:left="51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E8C3E6E"/>
    <w:multiLevelType w:val="hybridMultilevel"/>
    <w:tmpl w:val="31F4D336"/>
    <w:lvl w:ilvl="0" w:tplc="E59C1B42">
      <w:start w:val="1"/>
      <w:numFmt w:val="upperLetter"/>
      <w:lvlText w:val="%1)"/>
      <w:lvlJc w:val="left"/>
      <w:pPr>
        <w:ind w:left="510" w:hanging="360"/>
      </w:pPr>
      <w:rPr>
        <w:rFonts w:hint="default"/>
      </w:rPr>
    </w:lvl>
    <w:lvl w:ilvl="1" w:tplc="08090019" w:tentative="1">
      <w:start w:val="1"/>
      <w:numFmt w:val="lowerLetter"/>
      <w:lvlText w:val="%2."/>
      <w:lvlJc w:val="left"/>
      <w:pPr>
        <w:ind w:left="1230" w:hanging="360"/>
      </w:pPr>
    </w:lvl>
    <w:lvl w:ilvl="2" w:tplc="0809001B" w:tentative="1">
      <w:start w:val="1"/>
      <w:numFmt w:val="lowerRoman"/>
      <w:lvlText w:val="%3."/>
      <w:lvlJc w:val="right"/>
      <w:pPr>
        <w:ind w:left="1950" w:hanging="180"/>
      </w:pPr>
    </w:lvl>
    <w:lvl w:ilvl="3" w:tplc="0809000F" w:tentative="1">
      <w:start w:val="1"/>
      <w:numFmt w:val="decimal"/>
      <w:lvlText w:val="%4."/>
      <w:lvlJc w:val="left"/>
      <w:pPr>
        <w:ind w:left="2670" w:hanging="360"/>
      </w:pPr>
    </w:lvl>
    <w:lvl w:ilvl="4" w:tplc="08090019" w:tentative="1">
      <w:start w:val="1"/>
      <w:numFmt w:val="lowerLetter"/>
      <w:lvlText w:val="%5."/>
      <w:lvlJc w:val="left"/>
      <w:pPr>
        <w:ind w:left="3390" w:hanging="360"/>
      </w:pPr>
    </w:lvl>
    <w:lvl w:ilvl="5" w:tplc="0809001B" w:tentative="1">
      <w:start w:val="1"/>
      <w:numFmt w:val="lowerRoman"/>
      <w:lvlText w:val="%6."/>
      <w:lvlJc w:val="right"/>
      <w:pPr>
        <w:ind w:left="4110" w:hanging="180"/>
      </w:pPr>
    </w:lvl>
    <w:lvl w:ilvl="6" w:tplc="0809000F" w:tentative="1">
      <w:start w:val="1"/>
      <w:numFmt w:val="decimal"/>
      <w:lvlText w:val="%7."/>
      <w:lvlJc w:val="left"/>
      <w:pPr>
        <w:ind w:left="4830" w:hanging="360"/>
      </w:pPr>
    </w:lvl>
    <w:lvl w:ilvl="7" w:tplc="08090019" w:tentative="1">
      <w:start w:val="1"/>
      <w:numFmt w:val="lowerLetter"/>
      <w:lvlText w:val="%8."/>
      <w:lvlJc w:val="left"/>
      <w:pPr>
        <w:ind w:left="5550" w:hanging="360"/>
      </w:pPr>
    </w:lvl>
    <w:lvl w:ilvl="8" w:tplc="0809001B" w:tentative="1">
      <w:start w:val="1"/>
      <w:numFmt w:val="lowerRoman"/>
      <w:lvlText w:val="%9."/>
      <w:lvlJc w:val="right"/>
      <w:pPr>
        <w:ind w:left="6270" w:hanging="180"/>
      </w:pPr>
    </w:lvl>
  </w:abstractNum>
  <w:abstractNum w:abstractNumId="4" w15:restartNumberingAfterBreak="0">
    <w:nsid w:val="770F4EB2"/>
    <w:multiLevelType w:val="hybridMultilevel"/>
    <w:tmpl w:val="9DC41198"/>
    <w:lvl w:ilvl="0" w:tplc="E59C1B42">
      <w:start w:val="1"/>
      <w:numFmt w:val="upperLetter"/>
      <w:lvlText w:val="%1)"/>
      <w:lvlJc w:val="left"/>
      <w:pPr>
        <w:ind w:left="51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15471102">
    <w:abstractNumId w:val="3"/>
  </w:num>
  <w:num w:numId="2" w16cid:durableId="2144350230">
    <w:abstractNumId w:val="4"/>
  </w:num>
  <w:num w:numId="3" w16cid:durableId="517625131">
    <w:abstractNumId w:val="2"/>
  </w:num>
  <w:num w:numId="4" w16cid:durableId="1956404700">
    <w:abstractNumId w:val="0"/>
  </w:num>
  <w:num w:numId="5" w16cid:durableId="15803906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0A22"/>
    <w:rsid w:val="000472EA"/>
    <w:rsid w:val="000A091D"/>
    <w:rsid w:val="001418A2"/>
    <w:rsid w:val="00143783"/>
    <w:rsid w:val="00220B2B"/>
    <w:rsid w:val="00253CC5"/>
    <w:rsid w:val="003551EB"/>
    <w:rsid w:val="00460B1F"/>
    <w:rsid w:val="004E6ACB"/>
    <w:rsid w:val="005250A5"/>
    <w:rsid w:val="00547B9A"/>
    <w:rsid w:val="00662515"/>
    <w:rsid w:val="008043E0"/>
    <w:rsid w:val="0080559D"/>
    <w:rsid w:val="00846603"/>
    <w:rsid w:val="008E18D5"/>
    <w:rsid w:val="00912333"/>
    <w:rsid w:val="009C3E38"/>
    <w:rsid w:val="009D46A8"/>
    <w:rsid w:val="00C5727C"/>
    <w:rsid w:val="00CC0A22"/>
    <w:rsid w:val="00D7643C"/>
    <w:rsid w:val="00DD483F"/>
    <w:rsid w:val="00E85224"/>
    <w:rsid w:val="00F54A49"/>
    <w:rsid w:val="00F74358"/>
    <w:rsid w:val="00F851DB"/>
    <w:rsid w:val="00FF39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19B5E4"/>
  <w15:chartTrackingRefBased/>
  <w15:docId w15:val="{EE42CFDE-7595-4317-9976-BC50D83223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F74358"/>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E18D5"/>
    <w:pPr>
      <w:ind w:left="720"/>
      <w:contextualSpacing/>
    </w:pPr>
  </w:style>
  <w:style w:type="character" w:customStyle="1" w:styleId="Heading1Char">
    <w:name w:val="Heading 1 Char"/>
    <w:basedOn w:val="DefaultParagraphFont"/>
    <w:link w:val="Heading1"/>
    <w:uiPriority w:val="9"/>
    <w:rsid w:val="00F74358"/>
    <w:rPr>
      <w:rFonts w:ascii="Times New Roman" w:eastAsia="Times New Roman" w:hAnsi="Times New Roman" w:cs="Times New Roman"/>
      <w:b/>
      <w:bCs/>
      <w:kern w:val="36"/>
      <w:sz w:val="48"/>
      <w:szCs w:val="48"/>
      <w:lang w:eastAsia="en-GB"/>
      <w14:ligatures w14:val="none"/>
    </w:rPr>
  </w:style>
  <w:style w:type="paragraph" w:styleId="NormalWeb">
    <w:name w:val="Normal (Web)"/>
    <w:basedOn w:val="Normal"/>
    <w:uiPriority w:val="99"/>
    <w:semiHidden/>
    <w:unhideWhenUsed/>
    <w:rsid w:val="00F7435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9071266">
      <w:bodyDiv w:val="1"/>
      <w:marLeft w:val="0"/>
      <w:marRight w:val="0"/>
      <w:marTop w:val="0"/>
      <w:marBottom w:val="0"/>
      <w:divBdr>
        <w:top w:val="none" w:sz="0" w:space="0" w:color="auto"/>
        <w:left w:val="none" w:sz="0" w:space="0" w:color="auto"/>
        <w:bottom w:val="none" w:sz="0" w:space="0" w:color="auto"/>
        <w:right w:val="none" w:sz="0" w:space="0" w:color="auto"/>
      </w:divBdr>
      <w:divsChild>
        <w:div w:id="1450660597">
          <w:marLeft w:val="0"/>
          <w:marRight w:val="0"/>
          <w:marTop w:val="0"/>
          <w:marBottom w:val="0"/>
          <w:divBdr>
            <w:top w:val="none" w:sz="0" w:space="0" w:color="auto"/>
            <w:left w:val="none" w:sz="0" w:space="0" w:color="auto"/>
            <w:bottom w:val="none" w:sz="0" w:space="0" w:color="auto"/>
            <w:right w:val="none" w:sz="0" w:space="0" w:color="auto"/>
          </w:divBdr>
        </w:div>
      </w:divsChild>
    </w:div>
    <w:div w:id="660472126">
      <w:bodyDiv w:val="1"/>
      <w:marLeft w:val="0"/>
      <w:marRight w:val="0"/>
      <w:marTop w:val="0"/>
      <w:marBottom w:val="0"/>
      <w:divBdr>
        <w:top w:val="none" w:sz="0" w:space="0" w:color="auto"/>
        <w:left w:val="none" w:sz="0" w:space="0" w:color="auto"/>
        <w:bottom w:val="none" w:sz="0" w:space="0" w:color="auto"/>
        <w:right w:val="none" w:sz="0" w:space="0" w:color="auto"/>
      </w:divBdr>
      <w:divsChild>
        <w:div w:id="10565703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440</TotalTime>
  <Pages>7</Pages>
  <Words>2913</Words>
  <Characters>16608</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Yordanka Ivanova (2022864)</dc:creator>
  <cp:keywords/>
  <dc:description/>
  <cp:lastModifiedBy>Yordanka Ivanova (2022864)</cp:lastModifiedBy>
  <cp:revision>7</cp:revision>
  <dcterms:created xsi:type="dcterms:W3CDTF">2023-12-15T13:47:00Z</dcterms:created>
  <dcterms:modified xsi:type="dcterms:W3CDTF">2023-12-15T22:23:00Z</dcterms:modified>
</cp:coreProperties>
</file>