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248CE" w14:textId="3208EAE2" w:rsidR="009D1608" w:rsidRDefault="006C52D4" w:rsidP="009D1608">
      <w:pPr>
        <w:spacing w:line="360" w:lineRule="auto"/>
        <w:jc w:val="center"/>
        <w:rPr>
          <w:b/>
          <w:sz w:val="36"/>
          <w:szCs w:val="36"/>
        </w:rPr>
      </w:pPr>
      <w:r w:rsidRPr="00C03A91">
        <w:rPr>
          <w:rFonts w:ascii="Arial" w:hAnsi="Arial" w:cs="Arial"/>
          <w:noProof/>
          <w:szCs w:val="24"/>
        </w:rPr>
        <w:drawing>
          <wp:anchor distT="0" distB="0" distL="114300" distR="114300" simplePos="0" relativeHeight="251664384" behindDoc="0" locked="0" layoutInCell="1" allowOverlap="1" wp14:anchorId="2E9D72DB" wp14:editId="0FF605AE">
            <wp:simplePos x="0" y="0"/>
            <wp:positionH relativeFrom="column">
              <wp:posOffset>-350520</wp:posOffset>
            </wp:positionH>
            <wp:positionV relativeFrom="paragraph">
              <wp:posOffset>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47FF534" w14:textId="1A686575" w:rsidR="009D1608" w:rsidRDefault="009D1608" w:rsidP="009D1608">
      <w:pPr>
        <w:spacing w:line="360" w:lineRule="auto"/>
        <w:jc w:val="center"/>
        <w:rPr>
          <w:b/>
          <w:sz w:val="36"/>
          <w:szCs w:val="36"/>
        </w:rPr>
      </w:pPr>
    </w:p>
    <w:p w14:paraId="6BEEBB15" w14:textId="77777777" w:rsidR="009D1608" w:rsidRPr="00225D06" w:rsidRDefault="009D1608" w:rsidP="009D1608">
      <w:pPr>
        <w:spacing w:line="360" w:lineRule="auto"/>
        <w:jc w:val="center"/>
        <w:rPr>
          <w:b/>
          <w:sz w:val="32"/>
          <w:szCs w:val="32"/>
        </w:rPr>
      </w:pPr>
    </w:p>
    <w:p w14:paraId="0D3B45F7" w14:textId="5A0389CC" w:rsidR="006C52D4" w:rsidRPr="00225D06" w:rsidRDefault="006C52D4" w:rsidP="006C52D4">
      <w:pPr>
        <w:tabs>
          <w:tab w:val="left" w:pos="6540"/>
        </w:tabs>
        <w:spacing w:line="360" w:lineRule="auto"/>
        <w:rPr>
          <w:rFonts w:ascii="Arial" w:hAnsi="Arial" w:cs="Arial"/>
          <w:sz w:val="32"/>
          <w:szCs w:val="32"/>
          <w:lang w:val="nl-NL"/>
        </w:rPr>
      </w:pPr>
      <w:r w:rsidRPr="00225D06">
        <w:rPr>
          <w:rFonts w:ascii="Arial" w:hAnsi="Arial" w:cs="Arial"/>
          <w:b/>
          <w:bCs/>
          <w:sz w:val="32"/>
          <w:szCs w:val="32"/>
          <w:lang w:val="nl-NL"/>
        </w:rPr>
        <w:t>Student name</w:t>
      </w:r>
      <w:r w:rsidRPr="00225D06">
        <w:rPr>
          <w:rFonts w:ascii="Arial" w:hAnsi="Arial" w:cs="Arial"/>
          <w:sz w:val="32"/>
          <w:szCs w:val="32"/>
          <w:lang w:val="nl-NL"/>
        </w:rPr>
        <w:t>:</w:t>
      </w:r>
      <w:r w:rsidR="00E02434" w:rsidRPr="00225D06">
        <w:rPr>
          <w:rFonts w:ascii="Arial" w:hAnsi="Arial" w:cs="Arial"/>
          <w:sz w:val="32"/>
          <w:szCs w:val="32"/>
          <w:lang w:val="nl-NL"/>
        </w:rPr>
        <w:t xml:space="preserve"> Jose Paulino Carlos Ngonga</w:t>
      </w:r>
    </w:p>
    <w:p w14:paraId="35F7DBB0" w14:textId="2626D969" w:rsidR="006C52D4" w:rsidRPr="00225D06" w:rsidRDefault="006C52D4" w:rsidP="006C52D4">
      <w:pPr>
        <w:tabs>
          <w:tab w:val="left" w:pos="6540"/>
        </w:tabs>
        <w:spacing w:line="360" w:lineRule="auto"/>
        <w:rPr>
          <w:rFonts w:ascii="Arial" w:hAnsi="Arial" w:cs="Arial"/>
          <w:sz w:val="32"/>
          <w:szCs w:val="32"/>
          <w:lang w:val="nl-NL"/>
        </w:rPr>
      </w:pPr>
      <w:r w:rsidRPr="00225D06">
        <w:rPr>
          <w:rFonts w:ascii="Arial" w:hAnsi="Arial" w:cs="Arial"/>
          <w:b/>
          <w:bCs/>
          <w:sz w:val="32"/>
          <w:szCs w:val="32"/>
          <w:lang w:val="nl-NL"/>
        </w:rPr>
        <w:t>Student ID</w:t>
      </w:r>
      <w:r w:rsidRPr="00225D06">
        <w:rPr>
          <w:rFonts w:ascii="Arial" w:hAnsi="Arial" w:cs="Arial"/>
          <w:sz w:val="32"/>
          <w:szCs w:val="32"/>
          <w:lang w:val="nl-NL"/>
        </w:rPr>
        <w:t>:</w:t>
      </w:r>
      <w:r w:rsidR="00E02434" w:rsidRPr="00225D06">
        <w:rPr>
          <w:rFonts w:ascii="Arial" w:hAnsi="Arial" w:cs="Arial"/>
          <w:sz w:val="32"/>
          <w:szCs w:val="32"/>
          <w:lang w:val="nl-NL"/>
        </w:rPr>
        <w:t xml:space="preserve"> 2320803</w:t>
      </w:r>
    </w:p>
    <w:p w14:paraId="00B3C94E" w14:textId="77777777" w:rsidR="006C52D4" w:rsidRPr="00225D06" w:rsidRDefault="006C52D4" w:rsidP="006C52D4">
      <w:pPr>
        <w:tabs>
          <w:tab w:val="left" w:pos="6540"/>
        </w:tabs>
        <w:spacing w:line="360" w:lineRule="auto"/>
        <w:rPr>
          <w:rFonts w:ascii="Arial" w:hAnsi="Arial" w:cs="Arial"/>
          <w:sz w:val="32"/>
          <w:szCs w:val="32"/>
          <w:lang w:val="nl-NL"/>
        </w:rPr>
      </w:pPr>
    </w:p>
    <w:p w14:paraId="0C3E6B10" w14:textId="0354DD3D" w:rsidR="006C52D4" w:rsidRPr="00225D06" w:rsidRDefault="006C52D4" w:rsidP="006C52D4">
      <w:pPr>
        <w:tabs>
          <w:tab w:val="left" w:pos="6540"/>
        </w:tabs>
        <w:spacing w:line="360" w:lineRule="auto"/>
        <w:rPr>
          <w:rFonts w:ascii="Arial" w:hAnsi="Arial" w:cs="Arial"/>
          <w:sz w:val="32"/>
          <w:szCs w:val="32"/>
          <w:lang w:val="nl-NL"/>
        </w:rPr>
      </w:pPr>
      <w:r w:rsidRPr="00225D06">
        <w:rPr>
          <w:rFonts w:ascii="Arial" w:hAnsi="Arial" w:cs="Arial"/>
          <w:b/>
          <w:bCs/>
          <w:sz w:val="32"/>
          <w:szCs w:val="32"/>
          <w:lang w:val="nl-NL"/>
        </w:rPr>
        <w:t>Module name</w:t>
      </w:r>
      <w:r w:rsidRPr="00225D06">
        <w:rPr>
          <w:rFonts w:ascii="Arial" w:hAnsi="Arial" w:cs="Arial"/>
          <w:sz w:val="32"/>
          <w:szCs w:val="32"/>
          <w:lang w:val="nl-NL"/>
        </w:rPr>
        <w:t xml:space="preserve">: </w:t>
      </w:r>
      <w:r w:rsidR="00E02434" w:rsidRPr="00225D06">
        <w:rPr>
          <w:rFonts w:ascii="Arial" w:hAnsi="Arial" w:cs="Arial"/>
          <w:sz w:val="32"/>
          <w:szCs w:val="32"/>
        </w:rPr>
        <w:t xml:space="preserve">Introduction to Physiology </w:t>
      </w:r>
    </w:p>
    <w:p w14:paraId="519E015B" w14:textId="6217F4C6" w:rsidR="006C52D4" w:rsidRPr="00225D06" w:rsidRDefault="006C52D4" w:rsidP="006C52D4">
      <w:pPr>
        <w:tabs>
          <w:tab w:val="left" w:pos="6540"/>
        </w:tabs>
        <w:spacing w:line="360" w:lineRule="auto"/>
        <w:rPr>
          <w:rFonts w:ascii="Arial" w:hAnsi="Arial" w:cs="Arial"/>
          <w:sz w:val="32"/>
          <w:szCs w:val="32"/>
        </w:rPr>
      </w:pPr>
      <w:r w:rsidRPr="00225D06">
        <w:rPr>
          <w:rFonts w:ascii="Arial" w:hAnsi="Arial" w:cs="Arial"/>
          <w:b/>
          <w:bCs/>
          <w:sz w:val="32"/>
          <w:szCs w:val="32"/>
        </w:rPr>
        <w:t>Module code</w:t>
      </w:r>
      <w:r w:rsidRPr="00225D06">
        <w:rPr>
          <w:rFonts w:ascii="Arial" w:hAnsi="Arial" w:cs="Arial"/>
          <w:sz w:val="32"/>
          <w:szCs w:val="32"/>
        </w:rPr>
        <w:t>:</w:t>
      </w:r>
      <w:r w:rsidR="00E02434" w:rsidRPr="00225D06">
        <w:rPr>
          <w:rFonts w:ascii="Arial" w:hAnsi="Arial" w:cs="Arial"/>
          <w:sz w:val="32"/>
          <w:szCs w:val="32"/>
        </w:rPr>
        <w:t xml:space="preserve"> BMHP5023 </w:t>
      </w:r>
    </w:p>
    <w:p w14:paraId="35A6DC69" w14:textId="0CD05CD4" w:rsidR="006C52D4" w:rsidRPr="00225D06" w:rsidRDefault="006C52D4" w:rsidP="006C52D4">
      <w:pPr>
        <w:tabs>
          <w:tab w:val="left" w:pos="6540"/>
        </w:tabs>
        <w:spacing w:line="360" w:lineRule="auto"/>
        <w:rPr>
          <w:rFonts w:ascii="Arial" w:hAnsi="Arial" w:cs="Arial"/>
          <w:sz w:val="32"/>
          <w:szCs w:val="32"/>
        </w:rPr>
      </w:pPr>
      <w:r w:rsidRPr="00225D06">
        <w:rPr>
          <w:rFonts w:ascii="Arial" w:hAnsi="Arial" w:cs="Arial"/>
          <w:b/>
          <w:bCs/>
          <w:sz w:val="32"/>
          <w:szCs w:val="32"/>
        </w:rPr>
        <w:t>Lecturer name</w:t>
      </w:r>
      <w:r w:rsidRPr="00225D06">
        <w:rPr>
          <w:rFonts w:ascii="Arial" w:hAnsi="Arial" w:cs="Arial"/>
          <w:sz w:val="32"/>
          <w:szCs w:val="32"/>
        </w:rPr>
        <w:t>:</w:t>
      </w:r>
      <w:r w:rsidR="00E02434" w:rsidRPr="00225D06">
        <w:rPr>
          <w:rFonts w:ascii="Arial" w:hAnsi="Arial" w:cs="Arial"/>
          <w:sz w:val="32"/>
          <w:szCs w:val="32"/>
        </w:rPr>
        <w:t xml:space="preserve"> Shaila Hussain </w:t>
      </w:r>
    </w:p>
    <w:p w14:paraId="5D6269EE" w14:textId="77777777" w:rsidR="006C52D4" w:rsidRPr="00225D06" w:rsidRDefault="006C52D4" w:rsidP="006C52D4">
      <w:pPr>
        <w:tabs>
          <w:tab w:val="left" w:pos="6540"/>
        </w:tabs>
        <w:spacing w:line="360" w:lineRule="auto"/>
        <w:rPr>
          <w:rFonts w:ascii="Arial" w:hAnsi="Arial" w:cs="Arial"/>
          <w:b/>
          <w:bCs/>
          <w:sz w:val="32"/>
          <w:szCs w:val="32"/>
        </w:rPr>
      </w:pPr>
    </w:p>
    <w:p w14:paraId="520ED8AB" w14:textId="12380AA6" w:rsidR="006C52D4" w:rsidRPr="009D1608" w:rsidRDefault="006C52D4" w:rsidP="00225D06">
      <w:pPr>
        <w:tabs>
          <w:tab w:val="left" w:pos="6540"/>
        </w:tabs>
        <w:spacing w:line="360" w:lineRule="auto"/>
        <w:rPr>
          <w:rFonts w:ascii="Arial" w:hAnsi="Arial" w:cs="Arial"/>
          <w:b/>
          <w:sz w:val="36"/>
          <w:szCs w:val="36"/>
        </w:rPr>
      </w:pPr>
      <w:r w:rsidRPr="00225D06">
        <w:rPr>
          <w:rFonts w:ascii="Arial" w:hAnsi="Arial" w:cs="Arial"/>
          <w:b/>
          <w:bCs/>
          <w:sz w:val="32"/>
          <w:szCs w:val="32"/>
        </w:rPr>
        <w:t>Assessment:</w:t>
      </w:r>
      <w:r w:rsidRPr="00C03A91">
        <w:rPr>
          <w:rFonts w:ascii="Arial" w:hAnsi="Arial" w:cs="Arial"/>
          <w:b/>
          <w:bCs/>
          <w:sz w:val="28"/>
          <w:szCs w:val="28"/>
        </w:rPr>
        <w:t xml:space="preserve"> </w:t>
      </w:r>
      <w:r w:rsidRPr="00EC0083">
        <w:rPr>
          <w:rFonts w:ascii="Arial" w:hAnsi="Arial" w:cs="Arial"/>
          <w:bCs/>
          <w:sz w:val="32"/>
          <w:szCs w:val="32"/>
        </w:rPr>
        <w:t>Adolescent Asthma: Respiratory Physiology, Airway Inflammation, Monitoring and Evidence-Based Management</w:t>
      </w:r>
    </w:p>
    <w:p w14:paraId="1E9AEA3F" w14:textId="51593F8F" w:rsidR="00BB140C" w:rsidRDefault="00BB140C" w:rsidP="00BB140C">
      <w:pPr>
        <w:spacing w:line="360" w:lineRule="auto"/>
        <w:jc w:val="center"/>
      </w:pPr>
    </w:p>
    <w:p w14:paraId="6EB600BF" w14:textId="132C8E76" w:rsidR="009D1608" w:rsidRDefault="009D1608" w:rsidP="006C52D4">
      <w:pPr>
        <w:spacing w:line="360" w:lineRule="auto"/>
      </w:pPr>
    </w:p>
    <w:p w14:paraId="57478C08" w14:textId="77777777" w:rsidR="009D1608" w:rsidRDefault="009D1608" w:rsidP="009D1608">
      <w:pPr>
        <w:spacing w:line="360" w:lineRule="auto"/>
        <w:jc w:val="left"/>
        <w:rPr>
          <w:rFonts w:ascii="Arial" w:hAnsi="Arial" w:cs="Arial"/>
        </w:rPr>
      </w:pPr>
      <w:r>
        <w:rPr>
          <w:rFonts w:ascii="Arial" w:hAnsi="Arial" w:cs="Arial"/>
        </w:rPr>
        <w:br w:type="page"/>
      </w:r>
    </w:p>
    <w:p w14:paraId="68D856D7" w14:textId="77777777" w:rsidR="00C85668" w:rsidRDefault="00C85668" w:rsidP="009D1608">
      <w:pPr>
        <w:spacing w:line="360" w:lineRule="auto"/>
        <w:jc w:val="left"/>
        <w:rPr>
          <w:rFonts w:ascii="Arial" w:hAnsi="Arial" w:cs="Arial"/>
        </w:rPr>
      </w:pPr>
    </w:p>
    <w:sdt>
      <w:sdtPr>
        <w:rPr>
          <w:rFonts w:ascii="Times New Roman" w:eastAsiaTheme="minorHAnsi" w:hAnsi="Times New Roman" w:cstheme="minorBidi"/>
          <w:color w:val="000000" w:themeColor="text1"/>
          <w:sz w:val="24"/>
          <w:szCs w:val="22"/>
          <w:lang w:val="en-GB"/>
        </w:rPr>
        <w:id w:val="-949077033"/>
        <w:docPartObj>
          <w:docPartGallery w:val="Table of Contents"/>
          <w:docPartUnique/>
        </w:docPartObj>
      </w:sdtPr>
      <w:sdtEndPr>
        <w:rPr>
          <w:b/>
          <w:bCs/>
          <w:noProof/>
        </w:rPr>
      </w:sdtEndPr>
      <w:sdtContent>
        <w:p w14:paraId="3C5825C9" w14:textId="77777777" w:rsidR="00696468" w:rsidRPr="009D1608" w:rsidRDefault="00696468" w:rsidP="00696468">
          <w:pPr>
            <w:pStyle w:val="TOCHeading"/>
            <w:spacing w:line="360" w:lineRule="auto"/>
            <w:jc w:val="center"/>
            <w:rPr>
              <w:b/>
              <w:color w:val="auto"/>
            </w:rPr>
          </w:pPr>
          <w:r w:rsidRPr="009D1608">
            <w:rPr>
              <w:b/>
              <w:color w:val="auto"/>
            </w:rPr>
            <w:t>Table of Contents</w:t>
          </w:r>
        </w:p>
        <w:p w14:paraId="1CAE74A2" w14:textId="77777777" w:rsidR="00696468" w:rsidRDefault="00696468" w:rsidP="00696468">
          <w:pPr>
            <w:pStyle w:val="TOC1"/>
            <w:tabs>
              <w:tab w:val="right" w:leader="dot" w:pos="9016"/>
            </w:tabs>
            <w:spacing w:line="360" w:lineRule="auto"/>
            <w:rPr>
              <w:noProof/>
            </w:rPr>
          </w:pPr>
          <w:r>
            <w:fldChar w:fldCharType="begin"/>
          </w:r>
          <w:r>
            <w:instrText xml:space="preserve"> TOC \o "1-3" \h \z \u </w:instrText>
          </w:r>
          <w:r>
            <w:fldChar w:fldCharType="separate"/>
          </w:r>
          <w:hyperlink w:anchor="_Toc235211610" w:history="1">
            <w:r w:rsidRPr="00C96AE5">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_Toc235211610 \h </w:instrText>
            </w:r>
            <w:r>
              <w:rPr>
                <w:noProof/>
                <w:webHidden/>
              </w:rPr>
            </w:r>
            <w:r>
              <w:rPr>
                <w:noProof/>
                <w:webHidden/>
              </w:rPr>
              <w:fldChar w:fldCharType="separate"/>
            </w:r>
            <w:r>
              <w:rPr>
                <w:noProof/>
                <w:webHidden/>
              </w:rPr>
              <w:t>3</w:t>
            </w:r>
            <w:r>
              <w:rPr>
                <w:noProof/>
                <w:webHidden/>
              </w:rPr>
              <w:fldChar w:fldCharType="end"/>
            </w:r>
          </w:hyperlink>
        </w:p>
        <w:p w14:paraId="6BBD2405" w14:textId="77777777" w:rsidR="00696468" w:rsidRDefault="00696468" w:rsidP="00696468">
          <w:pPr>
            <w:pStyle w:val="TOC1"/>
            <w:tabs>
              <w:tab w:val="right" w:leader="dot" w:pos="9016"/>
            </w:tabs>
            <w:spacing w:line="360" w:lineRule="auto"/>
            <w:rPr>
              <w:noProof/>
            </w:rPr>
          </w:pPr>
          <w:hyperlink w:anchor="_Toc235211611" w:history="1">
            <w:r w:rsidRPr="00C96AE5">
              <w:rPr>
                <w:rStyle w:val="Hyperlink"/>
                <w:rFonts w:ascii="Arial" w:hAnsi="Arial" w:cs="Arial"/>
                <w:noProof/>
              </w:rPr>
              <w:t>2. Structure of the Respiratory System and Mechanical Respiration</w:t>
            </w:r>
            <w:r>
              <w:rPr>
                <w:noProof/>
                <w:webHidden/>
              </w:rPr>
              <w:tab/>
            </w:r>
            <w:r>
              <w:rPr>
                <w:noProof/>
                <w:webHidden/>
              </w:rPr>
              <w:fldChar w:fldCharType="begin"/>
            </w:r>
            <w:r>
              <w:rPr>
                <w:noProof/>
                <w:webHidden/>
              </w:rPr>
              <w:instrText xml:space="preserve"> PAGEREF _Toc235211611 \h </w:instrText>
            </w:r>
            <w:r>
              <w:rPr>
                <w:noProof/>
                <w:webHidden/>
              </w:rPr>
            </w:r>
            <w:r>
              <w:rPr>
                <w:noProof/>
                <w:webHidden/>
              </w:rPr>
              <w:fldChar w:fldCharType="separate"/>
            </w:r>
            <w:r>
              <w:rPr>
                <w:noProof/>
                <w:webHidden/>
              </w:rPr>
              <w:t>4</w:t>
            </w:r>
            <w:r>
              <w:rPr>
                <w:noProof/>
                <w:webHidden/>
              </w:rPr>
              <w:fldChar w:fldCharType="end"/>
            </w:r>
          </w:hyperlink>
        </w:p>
        <w:p w14:paraId="521BC45C" w14:textId="77777777" w:rsidR="00696468" w:rsidRDefault="00696468" w:rsidP="00696468">
          <w:pPr>
            <w:pStyle w:val="TOC1"/>
            <w:tabs>
              <w:tab w:val="right" w:leader="dot" w:pos="9016"/>
            </w:tabs>
            <w:spacing w:line="360" w:lineRule="auto"/>
            <w:rPr>
              <w:noProof/>
            </w:rPr>
          </w:pPr>
          <w:hyperlink w:anchor="_Toc235211612" w:history="1">
            <w:r w:rsidRPr="00C96AE5">
              <w:rPr>
                <w:rStyle w:val="Hyperlink"/>
                <w:rFonts w:ascii="Arial" w:hAnsi="Arial" w:cs="Arial"/>
                <w:noProof/>
              </w:rPr>
              <w:t>3. Gas Exchange in the Lungs</w:t>
            </w:r>
            <w:r>
              <w:rPr>
                <w:noProof/>
                <w:webHidden/>
              </w:rPr>
              <w:tab/>
            </w:r>
            <w:r>
              <w:rPr>
                <w:noProof/>
                <w:webHidden/>
              </w:rPr>
              <w:fldChar w:fldCharType="begin"/>
            </w:r>
            <w:r>
              <w:rPr>
                <w:noProof/>
                <w:webHidden/>
              </w:rPr>
              <w:instrText xml:space="preserve"> PAGEREF _Toc235211612 \h </w:instrText>
            </w:r>
            <w:r>
              <w:rPr>
                <w:noProof/>
                <w:webHidden/>
              </w:rPr>
            </w:r>
            <w:r>
              <w:rPr>
                <w:noProof/>
                <w:webHidden/>
              </w:rPr>
              <w:fldChar w:fldCharType="separate"/>
            </w:r>
            <w:r>
              <w:rPr>
                <w:noProof/>
                <w:webHidden/>
              </w:rPr>
              <w:t>5</w:t>
            </w:r>
            <w:r>
              <w:rPr>
                <w:noProof/>
                <w:webHidden/>
              </w:rPr>
              <w:fldChar w:fldCharType="end"/>
            </w:r>
          </w:hyperlink>
        </w:p>
        <w:p w14:paraId="0E48D0AC" w14:textId="77777777" w:rsidR="00696468" w:rsidRDefault="00696468" w:rsidP="00696468">
          <w:pPr>
            <w:pStyle w:val="TOC1"/>
            <w:tabs>
              <w:tab w:val="right" w:leader="dot" w:pos="9016"/>
            </w:tabs>
            <w:spacing w:line="360" w:lineRule="auto"/>
            <w:rPr>
              <w:noProof/>
            </w:rPr>
          </w:pPr>
          <w:hyperlink w:anchor="_Toc235211613" w:history="1">
            <w:r w:rsidRPr="00C96AE5">
              <w:rPr>
                <w:rStyle w:val="Hyperlink"/>
                <w:rFonts w:ascii="Arial" w:hAnsi="Arial" w:cs="Arial"/>
                <w:noProof/>
              </w:rPr>
              <w:t>4. How Irritants Cause Inflammation and Affect Breathing</w:t>
            </w:r>
            <w:r>
              <w:rPr>
                <w:noProof/>
                <w:webHidden/>
              </w:rPr>
              <w:tab/>
            </w:r>
            <w:r>
              <w:rPr>
                <w:noProof/>
                <w:webHidden/>
              </w:rPr>
              <w:fldChar w:fldCharType="begin"/>
            </w:r>
            <w:r>
              <w:rPr>
                <w:noProof/>
                <w:webHidden/>
              </w:rPr>
              <w:instrText xml:space="preserve"> PAGEREF _Toc235211613 \h </w:instrText>
            </w:r>
            <w:r>
              <w:rPr>
                <w:noProof/>
                <w:webHidden/>
              </w:rPr>
            </w:r>
            <w:r>
              <w:rPr>
                <w:noProof/>
                <w:webHidden/>
              </w:rPr>
              <w:fldChar w:fldCharType="separate"/>
            </w:r>
            <w:r>
              <w:rPr>
                <w:noProof/>
                <w:webHidden/>
              </w:rPr>
              <w:t>6</w:t>
            </w:r>
            <w:r>
              <w:rPr>
                <w:noProof/>
                <w:webHidden/>
              </w:rPr>
              <w:fldChar w:fldCharType="end"/>
            </w:r>
          </w:hyperlink>
        </w:p>
        <w:p w14:paraId="1A7A0265" w14:textId="77777777" w:rsidR="00696468" w:rsidRDefault="00696468" w:rsidP="00696468">
          <w:pPr>
            <w:pStyle w:val="TOC1"/>
            <w:tabs>
              <w:tab w:val="right" w:leader="dot" w:pos="9016"/>
            </w:tabs>
            <w:spacing w:line="360" w:lineRule="auto"/>
            <w:rPr>
              <w:noProof/>
            </w:rPr>
          </w:pPr>
          <w:hyperlink w:anchor="_Toc235211614" w:history="1">
            <w:r w:rsidRPr="00C96AE5">
              <w:rPr>
                <w:rStyle w:val="Hyperlink"/>
                <w:rFonts w:ascii="Arial" w:hAnsi="Arial" w:cs="Arial"/>
                <w:noProof/>
              </w:rPr>
              <w:t>5. Recording and Tracking Respiratory Function</w:t>
            </w:r>
            <w:r>
              <w:rPr>
                <w:noProof/>
                <w:webHidden/>
              </w:rPr>
              <w:tab/>
            </w:r>
            <w:r>
              <w:rPr>
                <w:noProof/>
                <w:webHidden/>
              </w:rPr>
              <w:fldChar w:fldCharType="begin"/>
            </w:r>
            <w:r>
              <w:rPr>
                <w:noProof/>
                <w:webHidden/>
              </w:rPr>
              <w:instrText xml:space="preserve"> PAGEREF _Toc235211614 \h </w:instrText>
            </w:r>
            <w:r>
              <w:rPr>
                <w:noProof/>
                <w:webHidden/>
              </w:rPr>
            </w:r>
            <w:r>
              <w:rPr>
                <w:noProof/>
                <w:webHidden/>
              </w:rPr>
              <w:fldChar w:fldCharType="separate"/>
            </w:r>
            <w:r>
              <w:rPr>
                <w:noProof/>
                <w:webHidden/>
              </w:rPr>
              <w:t>7</w:t>
            </w:r>
            <w:r>
              <w:rPr>
                <w:noProof/>
                <w:webHidden/>
              </w:rPr>
              <w:fldChar w:fldCharType="end"/>
            </w:r>
          </w:hyperlink>
        </w:p>
        <w:p w14:paraId="55BAA11A" w14:textId="77777777" w:rsidR="00696468" w:rsidRDefault="00696468" w:rsidP="00696468">
          <w:pPr>
            <w:pStyle w:val="TOC1"/>
            <w:tabs>
              <w:tab w:val="right" w:leader="dot" w:pos="9016"/>
            </w:tabs>
            <w:spacing w:line="360" w:lineRule="auto"/>
            <w:rPr>
              <w:noProof/>
            </w:rPr>
          </w:pPr>
          <w:hyperlink w:anchor="_Toc235211615" w:history="1">
            <w:r w:rsidRPr="00C96AE5">
              <w:rPr>
                <w:rStyle w:val="Hyperlink"/>
                <w:rFonts w:ascii="Arial" w:hAnsi="Arial" w:cs="Arial"/>
                <w:noProof/>
              </w:rPr>
              <w:t>6. Evidence-Based Lifestyle Recommendations</w:t>
            </w:r>
            <w:r>
              <w:rPr>
                <w:noProof/>
                <w:webHidden/>
              </w:rPr>
              <w:tab/>
            </w:r>
            <w:r>
              <w:rPr>
                <w:noProof/>
                <w:webHidden/>
              </w:rPr>
              <w:fldChar w:fldCharType="begin"/>
            </w:r>
            <w:r>
              <w:rPr>
                <w:noProof/>
                <w:webHidden/>
              </w:rPr>
              <w:instrText xml:space="preserve"> PAGEREF _Toc235211615 \h </w:instrText>
            </w:r>
            <w:r>
              <w:rPr>
                <w:noProof/>
                <w:webHidden/>
              </w:rPr>
            </w:r>
            <w:r>
              <w:rPr>
                <w:noProof/>
                <w:webHidden/>
              </w:rPr>
              <w:fldChar w:fldCharType="separate"/>
            </w:r>
            <w:r>
              <w:rPr>
                <w:noProof/>
                <w:webHidden/>
              </w:rPr>
              <w:t>8</w:t>
            </w:r>
            <w:r>
              <w:rPr>
                <w:noProof/>
                <w:webHidden/>
              </w:rPr>
              <w:fldChar w:fldCharType="end"/>
            </w:r>
          </w:hyperlink>
        </w:p>
        <w:p w14:paraId="73C33610" w14:textId="77777777" w:rsidR="00696468" w:rsidRDefault="00696468" w:rsidP="00696468">
          <w:pPr>
            <w:pStyle w:val="TOC1"/>
            <w:tabs>
              <w:tab w:val="right" w:leader="dot" w:pos="9016"/>
            </w:tabs>
            <w:spacing w:line="360" w:lineRule="auto"/>
            <w:rPr>
              <w:noProof/>
            </w:rPr>
          </w:pPr>
          <w:hyperlink w:anchor="_Toc235211616" w:history="1">
            <w:r w:rsidRPr="00C96AE5">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_Toc235211616 \h </w:instrText>
            </w:r>
            <w:r>
              <w:rPr>
                <w:noProof/>
                <w:webHidden/>
              </w:rPr>
            </w:r>
            <w:r>
              <w:rPr>
                <w:noProof/>
                <w:webHidden/>
              </w:rPr>
              <w:fldChar w:fldCharType="separate"/>
            </w:r>
            <w:r>
              <w:rPr>
                <w:noProof/>
                <w:webHidden/>
              </w:rPr>
              <w:t>9</w:t>
            </w:r>
            <w:r>
              <w:rPr>
                <w:noProof/>
                <w:webHidden/>
              </w:rPr>
              <w:fldChar w:fldCharType="end"/>
            </w:r>
          </w:hyperlink>
        </w:p>
        <w:p w14:paraId="22FDF8ED" w14:textId="77777777" w:rsidR="00696468" w:rsidRDefault="00696468" w:rsidP="00696468">
          <w:pPr>
            <w:pStyle w:val="TOC1"/>
            <w:tabs>
              <w:tab w:val="right" w:leader="dot" w:pos="9016"/>
            </w:tabs>
            <w:spacing w:line="360" w:lineRule="auto"/>
            <w:rPr>
              <w:noProof/>
            </w:rPr>
          </w:pPr>
          <w:hyperlink w:anchor="_Toc235211617" w:history="1">
            <w:r w:rsidRPr="00C96AE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_Toc235211617 \h </w:instrText>
            </w:r>
            <w:r>
              <w:rPr>
                <w:noProof/>
                <w:webHidden/>
              </w:rPr>
            </w:r>
            <w:r>
              <w:rPr>
                <w:noProof/>
                <w:webHidden/>
              </w:rPr>
              <w:fldChar w:fldCharType="separate"/>
            </w:r>
            <w:r>
              <w:rPr>
                <w:noProof/>
                <w:webHidden/>
              </w:rPr>
              <w:t>11</w:t>
            </w:r>
            <w:r>
              <w:rPr>
                <w:noProof/>
                <w:webHidden/>
              </w:rPr>
              <w:fldChar w:fldCharType="end"/>
            </w:r>
          </w:hyperlink>
        </w:p>
        <w:p w14:paraId="04437258" w14:textId="77777777" w:rsidR="00696468" w:rsidRDefault="00696468" w:rsidP="00696468">
          <w:pPr>
            <w:spacing w:line="360" w:lineRule="auto"/>
          </w:pPr>
          <w:r>
            <w:rPr>
              <w:b/>
              <w:bCs/>
              <w:noProof/>
            </w:rPr>
            <w:fldChar w:fldCharType="end"/>
          </w:r>
        </w:p>
      </w:sdtContent>
    </w:sdt>
    <w:p w14:paraId="2A865012" w14:textId="77777777" w:rsidR="00696468" w:rsidRDefault="00696468" w:rsidP="00696468">
      <w:pPr>
        <w:spacing w:line="360" w:lineRule="auto"/>
        <w:jc w:val="left"/>
        <w:rPr>
          <w:rFonts w:ascii="Arial" w:eastAsia="Calibri" w:hAnsi="Arial" w:cs="Arial"/>
          <w:b/>
          <w:bCs/>
          <w:iCs/>
          <w:sz w:val="32"/>
          <w:szCs w:val="34"/>
          <w:lang w:eastAsia="en-GB"/>
        </w:rPr>
      </w:pPr>
      <w:r>
        <w:rPr>
          <w:rFonts w:ascii="Arial" w:hAnsi="Arial" w:cs="Arial"/>
        </w:rPr>
        <w:br w:type="page"/>
      </w:r>
    </w:p>
    <w:p w14:paraId="6ED3F76E" w14:textId="3CDD87C3" w:rsidR="00A0799C" w:rsidRDefault="00A0799C" w:rsidP="00714CD4">
      <w:pPr>
        <w:pStyle w:val="Heading1"/>
        <w:numPr>
          <w:ilvl w:val="0"/>
          <w:numId w:val="1"/>
        </w:numPr>
        <w:spacing w:line="360" w:lineRule="auto"/>
        <w:rPr>
          <w:rFonts w:ascii="Arial" w:hAnsi="Arial" w:cs="Arial"/>
        </w:rPr>
      </w:pPr>
      <w:bookmarkStart w:id="0" w:name="_Toc235211610"/>
      <w:r w:rsidRPr="009D1608">
        <w:rPr>
          <w:rFonts w:ascii="Arial" w:hAnsi="Arial" w:cs="Arial"/>
        </w:rPr>
        <w:lastRenderedPageBreak/>
        <w:t>Introduction</w:t>
      </w:r>
      <w:bookmarkEnd w:id="0"/>
    </w:p>
    <w:p w14:paraId="54C81FB6" w14:textId="77777777" w:rsidR="00A0799C" w:rsidRPr="009D1608" w:rsidRDefault="00A0799C" w:rsidP="009D1608">
      <w:pPr>
        <w:spacing w:line="360" w:lineRule="auto"/>
        <w:ind w:firstLine="720"/>
        <w:rPr>
          <w:rFonts w:ascii="Arial" w:hAnsi="Arial" w:cs="Arial"/>
        </w:rPr>
      </w:pPr>
      <w:r w:rsidRPr="009D1608">
        <w:rPr>
          <w:rFonts w:ascii="Arial" w:hAnsi="Arial" w:cs="Arial"/>
        </w:rPr>
        <w:t>Asthma is a multifactorial and varying chronic lung disease with reversible obstructive defects in lung function. The exacerbation involves airway inflammation that leads to swelling of tissues, smooth-muscle contraction leading to bronchoconstriction, and increased secretion of mucus that will further commit the lumen. These interdependent mechanisms of immune and structural responses result in airway hyperresponsiveness, and as noted by Habib et al. (2022), symptom fluctuations can mask suboptimal underlying asthma control, as outlined by the Global Initiative for Asthma (GINA, 2025). Genetic predisposition to risk, family history, atopy, childhood respiratory infections, air pollution, and early exposure to cigarettes and to vaping aerosols, all have an effect on risk. However, it is important to distinguish risk factors from direct causes: inherited atopy can be a risk factor for an adolescent developing asthma, while exposure to smoke, infection or cold air can trigger an acute attack of asthma.</w:t>
      </w:r>
    </w:p>
    <w:p w14:paraId="1C756090" w14:textId="77777777" w:rsidR="00A0799C" w:rsidRPr="009D1608" w:rsidRDefault="00A0799C" w:rsidP="009D1608">
      <w:pPr>
        <w:spacing w:line="360" w:lineRule="auto"/>
        <w:ind w:firstLine="720"/>
        <w:rPr>
          <w:rFonts w:ascii="Arial" w:hAnsi="Arial" w:cs="Arial"/>
        </w:rPr>
      </w:pPr>
      <w:r w:rsidRPr="009D1608">
        <w:rPr>
          <w:rFonts w:ascii="Arial" w:hAnsi="Arial" w:cs="Arial"/>
        </w:rPr>
        <w:t>The case is about a practice nurse working with a group of adolescents who smokeless, vape and attend crowded venues, and who are having more and more exacerbations. This makes education rather clinically needed than informational. Poor asthma control among adolescents is linked to poor adherence, as shown by Ciprandi et al. (2022) and psychological and behavioural loads may lead to reduced self-management, as reported by Leonard et al. (2022). Teenagers can forget about taking the preventer medicine, use inhalers incorrectly and prefer to fit in with friends or look good instead of avoiding triggers. This collective account of airway changes followed by personalised airway risk and early warning signs can boost adherence without making them feel like they are in trouble with the doctor. The consultation should find out about the symptoms, night waking, activity limitation, reliever use and recent use of an urgent care using a practice-nurse consultation and differentiate between poor control and isolated symptoms. BTS, NICE and SIGN (2024) highlight the need for structure to review and Antonino et al. (2024) point out the need for continuity in the review during the adolescent years due to the transfer of responsibility from carers to the young person.</w:t>
      </w:r>
    </w:p>
    <w:p w14:paraId="5E0626D0" w14:textId="77777777" w:rsidR="00A0799C" w:rsidRPr="009D1608" w:rsidRDefault="00A0799C" w:rsidP="009D1608">
      <w:pPr>
        <w:pStyle w:val="Heading1"/>
        <w:spacing w:line="360" w:lineRule="auto"/>
        <w:rPr>
          <w:rFonts w:ascii="Arial" w:hAnsi="Arial" w:cs="Arial"/>
        </w:rPr>
      </w:pPr>
      <w:bookmarkStart w:id="1" w:name="_Toc235211611"/>
      <w:r w:rsidRPr="009D1608">
        <w:rPr>
          <w:rFonts w:ascii="Arial" w:hAnsi="Arial" w:cs="Arial"/>
        </w:rPr>
        <w:lastRenderedPageBreak/>
        <w:t>2. Structure of the Respiratory System and Mechanical Respiration</w:t>
      </w:r>
      <w:bookmarkEnd w:id="1"/>
    </w:p>
    <w:p w14:paraId="2D0BE3BD" w14:textId="77777777" w:rsidR="003F1CDF" w:rsidRDefault="003F1CDF" w:rsidP="009D1608">
      <w:pPr>
        <w:spacing w:line="360" w:lineRule="auto"/>
        <w:ind w:firstLine="720"/>
        <w:rPr>
          <w:rFonts w:ascii="Arial" w:hAnsi="Arial" w:cs="Arial"/>
        </w:rPr>
      </w:pPr>
      <w:r w:rsidRPr="003F1CDF">
        <w:rPr>
          <w:rFonts w:ascii="Arial" w:hAnsi="Arial" w:cs="Arial"/>
        </w:rPr>
        <w:t>Air enters into the body during inhalation by means of nose or mouth. The nasal cavity purifies, dries and warms the air that goes into the pharynx. The larynx keeps the airway open and prevents airway occlusion when the individual swallows and helps to protect the lower respiratory tract. Air is transported into the trachea supported by cartilaginous rings and lined by mucous and cilia cells. The trachea branches into the right bronchus and the left bronchus bronchio (singular) which deliver air into the lungs. These further branch into smaller bronchioles whose smooth muscle adjusts the flow of air through the bronchiole and then into alveolar ducts and alveoli. Betts et al. (2022) state that the primary gasexchange surfaces are the alveoli. During asthma, the airway narrowing in the smaller bronchioles can be significantly greater than that in the larger calibre airway, such as the trachea, due to inflammatory response and mucus and smooth muscle contractions (Habib et al., 2022). Inhaled air travels through smaller and smaller conducting airways and into the alveoli as shown in figure 1. This set-up is why the inflammation and narrowing of the bronchioles are important factors that can significantly compromise airflow in adolescents with asthma.</w:t>
      </w:r>
    </w:p>
    <w:p w14:paraId="3C2C8BE6" w14:textId="77777777" w:rsidR="00A0799C" w:rsidRPr="009D1608" w:rsidRDefault="00A0799C" w:rsidP="009D1608">
      <w:pPr>
        <w:spacing w:line="360" w:lineRule="auto"/>
        <w:ind w:firstLine="720"/>
        <w:rPr>
          <w:rFonts w:ascii="Arial" w:hAnsi="Arial" w:cs="Arial"/>
        </w:rPr>
      </w:pPr>
      <w:r w:rsidRPr="009D1608">
        <w:rPr>
          <w:rFonts w:ascii="Arial" w:hAnsi="Arial" w:cs="Arial"/>
        </w:rPr>
        <w:t>Inhalation is active. Diaphragm flattens and lowers, external intercostals raise ribs up and outwards. The thoracic volume will increase, the intrapulmonary pressure will be less than atmospheric pressure and so air will flow into the lungs. Exhalation, which is mainly passive is due to the relaxation of the diaphragm and intercostals, elastic recoil that causes a decrease in thoracic volume, an increase in thoracic pressure and thus the expulsion of air from the lungs (Betts et al., 2022). However, GINA (2025) says that the airways are narrowed and act as a resistance to airflow during expiration creating prolonged exhalation, wheeze and trapping of air in the lung as it is the case for asthma. Forced expiration involves the use of internal intercostal and abdominal muscles but even with these will not overcome severe bronchoconstriction.</w:t>
      </w:r>
    </w:p>
    <w:p w14:paraId="13FFBFEA" w14:textId="77777777" w:rsidR="003173FD" w:rsidRPr="009D1608" w:rsidRDefault="003173FD" w:rsidP="009D1608">
      <w:pPr>
        <w:keepNext/>
        <w:spacing w:line="360" w:lineRule="auto"/>
        <w:ind w:firstLine="720"/>
        <w:jc w:val="center"/>
        <w:rPr>
          <w:rFonts w:ascii="Arial" w:hAnsi="Arial" w:cs="Arial"/>
        </w:rPr>
      </w:pPr>
      <w:r w:rsidRPr="009D1608">
        <w:rPr>
          <w:rFonts w:ascii="Arial" w:hAnsi="Arial" w:cs="Arial"/>
          <w:noProof/>
          <w:lang w:eastAsia="en-GB"/>
        </w:rPr>
        <w:lastRenderedPageBreak/>
        <w:drawing>
          <wp:inline distT="0" distB="0" distL="0" distR="0" wp14:anchorId="38932CAA" wp14:editId="1375CCFD">
            <wp:extent cx="2806811" cy="2359580"/>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5760" cy="2383917"/>
                    </a:xfrm>
                    <a:prstGeom prst="rect">
                      <a:avLst/>
                    </a:prstGeom>
                    <a:noFill/>
                  </pic:spPr>
                </pic:pic>
              </a:graphicData>
            </a:graphic>
          </wp:inline>
        </w:drawing>
      </w:r>
    </w:p>
    <w:p w14:paraId="557220D0" w14:textId="77777777" w:rsidR="003173FD" w:rsidRPr="009D1608" w:rsidRDefault="003173FD" w:rsidP="009D1608">
      <w:pPr>
        <w:pStyle w:val="Caption"/>
        <w:spacing w:line="360" w:lineRule="auto"/>
        <w:jc w:val="center"/>
        <w:rPr>
          <w:rFonts w:ascii="Arial" w:hAnsi="Arial" w:cs="Arial"/>
        </w:rPr>
      </w:pPr>
      <w:r w:rsidRPr="009D1608">
        <w:rPr>
          <w:rFonts w:ascii="Arial" w:hAnsi="Arial" w:cs="Arial"/>
        </w:rPr>
        <w:t>Figure 1: Major structures of the human respiratory system</w:t>
      </w:r>
    </w:p>
    <w:p w14:paraId="1661BD3B" w14:textId="77777777" w:rsidR="003173FD" w:rsidRPr="009D1608" w:rsidRDefault="003173FD" w:rsidP="009D1608">
      <w:pPr>
        <w:pStyle w:val="Caption"/>
        <w:spacing w:line="360" w:lineRule="auto"/>
        <w:jc w:val="center"/>
        <w:rPr>
          <w:rFonts w:ascii="Arial" w:hAnsi="Arial" w:cs="Arial"/>
        </w:rPr>
      </w:pPr>
      <w:r w:rsidRPr="009D1608">
        <w:rPr>
          <w:rFonts w:ascii="Arial" w:hAnsi="Arial" w:cs="Arial"/>
        </w:rPr>
        <w:t>( adapted from Betts et al., 2022).</w:t>
      </w:r>
    </w:p>
    <w:p w14:paraId="3EA548F7" w14:textId="77777777" w:rsidR="00A0799C" w:rsidRPr="009D1608" w:rsidRDefault="00A0799C" w:rsidP="009D1608">
      <w:pPr>
        <w:pStyle w:val="Heading1"/>
        <w:tabs>
          <w:tab w:val="left" w:pos="5059"/>
        </w:tabs>
        <w:spacing w:line="360" w:lineRule="auto"/>
        <w:rPr>
          <w:rFonts w:ascii="Arial" w:hAnsi="Arial" w:cs="Arial"/>
        </w:rPr>
      </w:pPr>
      <w:bookmarkStart w:id="2" w:name="_Toc235211612"/>
      <w:r w:rsidRPr="009D1608">
        <w:rPr>
          <w:rFonts w:ascii="Arial" w:hAnsi="Arial" w:cs="Arial"/>
        </w:rPr>
        <w:t>3. Gas Exchange in the Lungs</w:t>
      </w:r>
      <w:bookmarkEnd w:id="2"/>
      <w:r w:rsidR="003173FD" w:rsidRPr="009D1608">
        <w:rPr>
          <w:rFonts w:ascii="Arial" w:hAnsi="Arial" w:cs="Arial"/>
        </w:rPr>
        <w:tab/>
      </w:r>
    </w:p>
    <w:p w14:paraId="65ECFEF9" w14:textId="77777777" w:rsidR="00A0799C" w:rsidRPr="009D1608" w:rsidRDefault="00A0799C" w:rsidP="009D1608">
      <w:pPr>
        <w:spacing w:line="360" w:lineRule="auto"/>
        <w:ind w:firstLine="720"/>
        <w:rPr>
          <w:rFonts w:ascii="Arial" w:hAnsi="Arial" w:cs="Arial"/>
        </w:rPr>
      </w:pPr>
      <w:r w:rsidRPr="009D1608">
        <w:rPr>
          <w:rFonts w:ascii="Arial" w:hAnsi="Arial" w:cs="Arial"/>
        </w:rPr>
        <w:t>Alveolar-capillary membrane is the location where gas exchange takes place. The one cell thick walls, moist lining, a large surface area combined together in alveoli and the large number of capillaries arranged around them reduce the distance over which diffusion has to occur. As oxygen pressure in the alveolar air is higher, than oxygen pressure in deoxygenated blood, oxygen diffuses into pulmonary capillaries and attaches to haemoglobin in red blood cells. The metabolic production of carbon dioxide is also transferred down its opposite gradient from the blood into the alveoli for exhalation (Betts et al., 2022). GINA (2025) states that it is important to remember that asthma itself is not the cause of the destruction of alveoli, but severe airway obstruction will cause inadequate ventilation of working alveoli. This results in a ventilation – perfusion mismatch and blood may circulate through poorly ventilated areas and not pick up any adequate amount of oxygen. So, when a breathing attack is serious, apparently local constriction of air passages results in the systemic hypoxaemia.</w:t>
      </w:r>
      <w:r w:rsidR="00F46393" w:rsidRPr="00F46393">
        <w:t xml:space="preserve"> </w:t>
      </w:r>
      <w:r w:rsidR="00F46393" w:rsidRPr="00F46393">
        <w:rPr>
          <w:rFonts w:ascii="Arial" w:hAnsi="Arial" w:cs="Arial"/>
        </w:rPr>
        <w:t>Figure 2 demonstrates that oxygen diffuses across the thin alveolar–capillary membrane from the alveoli into the blood, while carbon dioxide moves in the opposite direction into the alveoli for exhalation. In asthma, reduced airflow may limit ventilation of the alveoli and decrease the efficiency of this process.</w:t>
      </w:r>
    </w:p>
    <w:p w14:paraId="4FFE8F17" w14:textId="77777777" w:rsidR="003173FD" w:rsidRPr="009D1608" w:rsidRDefault="003173FD" w:rsidP="009D1608">
      <w:pPr>
        <w:keepNext/>
        <w:spacing w:line="360" w:lineRule="auto"/>
        <w:jc w:val="center"/>
        <w:rPr>
          <w:rFonts w:ascii="Arial" w:hAnsi="Arial" w:cs="Arial"/>
        </w:rPr>
      </w:pPr>
      <w:r w:rsidRPr="009D1608">
        <w:rPr>
          <w:rFonts w:ascii="Arial" w:hAnsi="Arial" w:cs="Arial"/>
          <w:noProof/>
          <w:lang w:eastAsia="en-GB"/>
        </w:rPr>
        <w:lastRenderedPageBreak/>
        <w:drawing>
          <wp:inline distT="0" distB="0" distL="0" distR="0" wp14:anchorId="54651A13" wp14:editId="2945C3CD">
            <wp:extent cx="4102873" cy="246044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31543" cy="2477635"/>
                    </a:xfrm>
                    <a:prstGeom prst="rect">
                      <a:avLst/>
                    </a:prstGeom>
                    <a:noFill/>
                  </pic:spPr>
                </pic:pic>
              </a:graphicData>
            </a:graphic>
          </wp:inline>
        </w:drawing>
      </w:r>
    </w:p>
    <w:p w14:paraId="73C45020" w14:textId="77777777" w:rsidR="003173FD" w:rsidRPr="009D1608" w:rsidRDefault="003173FD" w:rsidP="009D1608">
      <w:pPr>
        <w:pStyle w:val="Caption"/>
        <w:spacing w:line="360" w:lineRule="auto"/>
        <w:jc w:val="center"/>
        <w:rPr>
          <w:rFonts w:ascii="Arial" w:hAnsi="Arial" w:cs="Arial"/>
        </w:rPr>
      </w:pPr>
      <w:r w:rsidRPr="009D1608">
        <w:rPr>
          <w:rFonts w:ascii="Arial" w:hAnsi="Arial" w:cs="Arial"/>
        </w:rPr>
        <w:t>Figure 2: Oxygen and carbon dioxide diffusion across the alveolar-capillary membrane</w:t>
      </w:r>
    </w:p>
    <w:p w14:paraId="4D42D59C" w14:textId="77777777" w:rsidR="00A0799C" w:rsidRPr="009D1608" w:rsidRDefault="003173FD" w:rsidP="009D1608">
      <w:pPr>
        <w:pStyle w:val="Caption"/>
        <w:spacing w:line="360" w:lineRule="auto"/>
        <w:jc w:val="center"/>
        <w:rPr>
          <w:rFonts w:ascii="Arial" w:hAnsi="Arial" w:cs="Arial"/>
        </w:rPr>
      </w:pPr>
      <w:r w:rsidRPr="009D1608">
        <w:rPr>
          <w:rFonts w:ascii="Arial" w:hAnsi="Arial" w:cs="Arial"/>
        </w:rPr>
        <w:t>(adapted from Betts et al., 2022).</w:t>
      </w:r>
    </w:p>
    <w:p w14:paraId="1809906D" w14:textId="77777777" w:rsidR="00A0799C" w:rsidRPr="009D1608" w:rsidRDefault="00A0799C" w:rsidP="009D1608">
      <w:pPr>
        <w:pStyle w:val="Heading1"/>
        <w:spacing w:line="360" w:lineRule="auto"/>
        <w:rPr>
          <w:rFonts w:ascii="Arial" w:hAnsi="Arial" w:cs="Arial"/>
        </w:rPr>
      </w:pPr>
      <w:bookmarkStart w:id="3" w:name="_Toc235211613"/>
      <w:r w:rsidRPr="009D1608">
        <w:rPr>
          <w:rFonts w:ascii="Arial" w:hAnsi="Arial" w:cs="Arial"/>
        </w:rPr>
        <w:t>4. How Irritants Cause Inflammation and Affect Breathing</w:t>
      </w:r>
      <w:bookmarkEnd w:id="3"/>
    </w:p>
    <w:p w14:paraId="41F65567" w14:textId="77777777" w:rsidR="00A0799C" w:rsidRPr="009D1608" w:rsidRDefault="00A0799C" w:rsidP="009D1608">
      <w:pPr>
        <w:spacing w:line="360" w:lineRule="auto"/>
        <w:ind w:firstLine="720"/>
        <w:rPr>
          <w:rFonts w:ascii="Arial" w:hAnsi="Arial" w:cs="Arial"/>
        </w:rPr>
      </w:pPr>
      <w:r w:rsidRPr="009D1608">
        <w:rPr>
          <w:rFonts w:ascii="Arial" w:hAnsi="Arial" w:cs="Arial"/>
        </w:rPr>
        <w:t>The airway epithelium is exposed to cigarette smoke and vaping aerosols which activate epithelial cells and other immune pathways and/or mast cells. Released mediators increase the permeability of blood vessels, cause oedema of the mucosa, contraction of the smooth muscle and increase the production of mucus. Asthma is an interplay between inflammatory processes and remodelling of the airways (Habib et al., 2022), and Kurdyś-Bykowska et al. (2024) have reported associations between adolescent e-cigarette use and respiratory symptoms. Smoke also harms cilia causing a decreased mucociliary clearance, which means that mucous, particles, and pathogens are present in the airways for longer. We need to consider vaping separately, as it can lead to exposure to both nicotine and metals or flavouring chemicals and ultrafine particles. While vaping is likely to have fewer harmful substances than smoking tobacco, that difference does not imply reduced harm or make vaping a suitable way for an existing adult non-smoker to quit smoking or make it appropriate for adolescents with hyperreactive airway.</w:t>
      </w:r>
      <w:r w:rsidR="00795918" w:rsidRPr="009D1608">
        <w:rPr>
          <w:rFonts w:ascii="Arial" w:hAnsi="Arial" w:cs="Arial"/>
        </w:rPr>
        <w:t xml:space="preserve"> As illustrated in Figure 3, </w:t>
      </w:r>
      <w:r w:rsidR="00795918" w:rsidRPr="009D1608">
        <w:rPr>
          <w:rFonts w:ascii="Arial" w:hAnsi="Arial" w:cs="Arial"/>
        </w:rPr>
        <w:lastRenderedPageBreak/>
        <w:t xml:space="preserve">airway inflammation, smooth-muscle constriction and excess mucus narrow the </w:t>
      </w:r>
      <w:r w:rsidR="00F46393">
        <w:rPr>
          <w:noProof/>
          <w:lang w:eastAsia="en-GB"/>
        </w:rPr>
        <mc:AlternateContent>
          <mc:Choice Requires="wps">
            <w:drawing>
              <wp:anchor distT="0" distB="0" distL="114300" distR="114300" simplePos="0" relativeHeight="251662336" behindDoc="0" locked="0" layoutInCell="1" allowOverlap="1" wp14:anchorId="728406BB" wp14:editId="4E03333C">
                <wp:simplePos x="0" y="0"/>
                <wp:positionH relativeFrom="column">
                  <wp:posOffset>1417955</wp:posOffset>
                </wp:positionH>
                <wp:positionV relativeFrom="paragraph">
                  <wp:posOffset>3506470</wp:posOffset>
                </wp:positionV>
                <wp:extent cx="288607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2886075" cy="635"/>
                        </a:xfrm>
                        <a:prstGeom prst="rect">
                          <a:avLst/>
                        </a:prstGeom>
                        <a:solidFill>
                          <a:prstClr val="white"/>
                        </a:solidFill>
                        <a:ln>
                          <a:noFill/>
                        </a:ln>
                        <a:effectLst/>
                      </wps:spPr>
                      <wps:txbx>
                        <w:txbxContent>
                          <w:p w14:paraId="2678D837" w14:textId="77777777" w:rsidR="00F46393" w:rsidRPr="005F573A" w:rsidRDefault="00F46393" w:rsidP="00F46393">
                            <w:pPr>
                              <w:pStyle w:val="Caption"/>
                              <w:jc w:val="center"/>
                              <w:rPr>
                                <w:rFonts w:ascii="Arial" w:hAnsi="Arial" w:cs="Arial"/>
                                <w:color w:val="000000" w:themeColor="text1"/>
                                <w:sz w:val="24"/>
                              </w:rPr>
                            </w:pPr>
                            <w:r w:rsidRPr="00B5535C">
                              <w:t>Figure 3: Normal airway compared with an asthmatic airway showing inflammation, bronchoconstriction and excess mucus (Cleveland Clinic,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8406BB" id="_x0000_t202" coordsize="21600,21600" o:spt="202" path="m,l,21600r21600,l21600,xe">
                <v:stroke joinstyle="miter"/>
                <v:path gradientshapeok="t" o:connecttype="rect"/>
              </v:shapetype>
              <v:shape id="Text Box 2" o:spid="_x0000_s1026" type="#_x0000_t202" style="position:absolute;left:0;text-align:left;margin-left:111.65pt;margin-top:276.1pt;width:227.2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" stroked="f">
                <v:textbox style="mso-fit-shape-to-text:t" inset="0,0,0,0">
                  <w:txbxContent>
                    <w:p w14:paraId="2678D837" w14:textId="77777777" w:rsidR="00F46393" w:rsidRPr="005F573A" w:rsidRDefault="00F46393" w:rsidP="00F46393">
                      <w:pPr>
                        <w:pStyle w:val="Caption"/>
                        <w:jc w:val="center"/>
                        <w:rPr>
                          <w:rFonts w:ascii="Arial" w:hAnsi="Arial" w:cs="Arial"/>
                          <w:color w:val="000000" w:themeColor="text1"/>
                          <w:sz w:val="24"/>
                        </w:rPr>
                      </w:pPr>
                      <w:r w:rsidRPr="00B5535C">
                        <w:t>Figure 3: Normal airway compared with an asthmatic airway showing inflammation, bronchoconstriction and excess mucus (Cleveland Clinic, 2025).</w:t>
                      </w:r>
                    </w:p>
                  </w:txbxContent>
                </v:textbox>
                <w10:wrap type="topAndBottom"/>
              </v:shape>
            </w:pict>
          </mc:Fallback>
        </mc:AlternateContent>
      </w:r>
      <w:r w:rsidR="00F46393" w:rsidRPr="009D1608">
        <w:rPr>
          <w:rFonts w:ascii="Arial" w:hAnsi="Arial" w:cs="Arial"/>
          <w:noProof/>
          <w:lang w:eastAsia="en-GB"/>
        </w:rPr>
        <w:drawing>
          <wp:anchor distT="0" distB="0" distL="114300" distR="114300" simplePos="0" relativeHeight="251658240" behindDoc="0" locked="0" layoutInCell="1" allowOverlap="1" wp14:anchorId="1F744983" wp14:editId="4B34D8DE">
            <wp:simplePos x="0" y="0"/>
            <wp:positionH relativeFrom="margin">
              <wp:align>center</wp:align>
            </wp:positionH>
            <wp:positionV relativeFrom="paragraph">
              <wp:posOffset>563327</wp:posOffset>
            </wp:positionV>
            <wp:extent cx="2886075" cy="2886075"/>
            <wp:effectExtent l="0" t="0" r="9525" b="9525"/>
            <wp:wrapTopAndBottom/>
            <wp:docPr id="12" name="Picture 12" descr="Open airway versus airway during and asthma attack, which shows tightened muscles, inflammation and excess muc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Open airway versus airway during and asthma attack, which shows tightened muscles, inflammation and excess muc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6075" cy="2886075"/>
                    </a:xfrm>
                    <a:prstGeom prst="rect">
                      <a:avLst/>
                    </a:prstGeom>
                    <a:noFill/>
                    <a:ln>
                      <a:noFill/>
                    </a:ln>
                  </pic:spPr>
                </pic:pic>
              </a:graphicData>
            </a:graphic>
          </wp:anchor>
        </w:drawing>
      </w:r>
      <w:r w:rsidR="00795918" w:rsidRPr="009D1608">
        <w:rPr>
          <w:rFonts w:ascii="Arial" w:hAnsi="Arial" w:cs="Arial"/>
        </w:rPr>
        <w:t xml:space="preserve">airway lumen and restrict airflow (Cleveland Clinic, 2025). </w:t>
      </w:r>
    </w:p>
    <w:p w14:paraId="223725EA" w14:textId="77777777" w:rsidR="00A0799C" w:rsidRPr="009D1608" w:rsidRDefault="003F1CDF" w:rsidP="009D1608">
      <w:pPr>
        <w:spacing w:line="360" w:lineRule="auto"/>
        <w:ind w:firstLine="720"/>
        <w:rPr>
          <w:rFonts w:ascii="Arial" w:hAnsi="Arial" w:cs="Arial"/>
        </w:rPr>
      </w:pPr>
      <w:r w:rsidRPr="003F1CDF">
        <w:rPr>
          <w:rFonts w:ascii="Arial" w:hAnsi="Arial" w:cs="Arial"/>
        </w:rPr>
        <w:t>Respiratory viruses cause the inflammation in hyperactive airways. Virus-mediated epithelial damage and immune activation represent one of the main mechanisms of asthma exacerbations as reported by Bakakos et al. (2023); and viral exposure, and the role of tobacco smoking, are included as an important modifiable risk by the GINA 2025.</w:t>
      </w:r>
      <w:r w:rsidR="00A0799C" w:rsidRPr="009D1608">
        <w:rPr>
          <w:rFonts w:ascii="Arial" w:hAnsi="Arial" w:cs="Arial"/>
        </w:rPr>
        <w:t xml:space="preserve"> Damp, confined spaces such as bars and clubs can add on to bad air quality, outdoor exposure to infected persons, inhalation of smoke or aerosols, and late medication intake. The adolescents' increasing attacks are therefore not likely to be caused by one behaviour at a time, but rather as a result of the many behaviours they are exposed to and the inconsistent prevention. This analysis can be used to provide specific social environment education, and not unrealistic suggestions to avoid all social activity.</w:t>
      </w:r>
    </w:p>
    <w:p w14:paraId="38B63F26" w14:textId="77777777" w:rsidR="00A0799C" w:rsidRPr="009D1608" w:rsidRDefault="00A0799C" w:rsidP="009D1608">
      <w:pPr>
        <w:pStyle w:val="Heading1"/>
        <w:spacing w:line="360" w:lineRule="auto"/>
        <w:rPr>
          <w:rFonts w:ascii="Arial" w:hAnsi="Arial" w:cs="Arial"/>
        </w:rPr>
      </w:pPr>
      <w:bookmarkStart w:id="4" w:name="_Toc235211614"/>
      <w:r w:rsidRPr="009D1608">
        <w:rPr>
          <w:rFonts w:ascii="Arial" w:hAnsi="Arial" w:cs="Arial"/>
        </w:rPr>
        <w:t>5. Recording and Tracking Respiratory Function</w:t>
      </w:r>
      <w:bookmarkEnd w:id="4"/>
    </w:p>
    <w:p w14:paraId="42A17709" w14:textId="77777777" w:rsidR="00A0799C" w:rsidRPr="009D1608" w:rsidRDefault="00A0799C" w:rsidP="009D1608">
      <w:pPr>
        <w:spacing w:line="360" w:lineRule="auto"/>
        <w:ind w:firstLine="720"/>
        <w:rPr>
          <w:rFonts w:ascii="Arial" w:hAnsi="Arial" w:cs="Arial"/>
        </w:rPr>
      </w:pPr>
      <w:r w:rsidRPr="009D1608">
        <w:rPr>
          <w:rFonts w:ascii="Arial" w:hAnsi="Arial" w:cs="Arial"/>
        </w:rPr>
        <w:t xml:space="preserve">Peak expiratory flow rate (PEFR) is the fastest rate at which a person can breathe out (exhale) after taking a deep breath in. The meter should be set to lowest value, the adolescent should be standing or sitting up straight, take a deep breath in, put the mouthpiece to their lips and once should blow as fast and hard as they can. </w:t>
      </w:r>
      <w:r w:rsidRPr="009D1608">
        <w:rPr>
          <w:rFonts w:ascii="Arial" w:hAnsi="Arial" w:cs="Arial"/>
        </w:rPr>
        <w:lastRenderedPageBreak/>
        <w:t>This is repeated three times and the greatest technically acceptable reading is used. Evidence from Asthma + Lung UK (2022) highlights that it is trends rather than an individual result that are more valuable, while BTS, NICE, and SIGN (2024) advocate for objective monitoring in the context of personalised management. A diary can be a helpful way to demonstrate variations around the clock, variations that occur before symptoms, environmental factors, and the response to treatment. Numbers do need to be interpreted though, there should also be underlying meaning – by including the personal best, planned action thresholds and symptoms in a written asthma action plan. Asthma + Lung UK (2024) provides information about what this plan does, and how it turns monitoring into safer decision making for asthma, comprising of routine treatment, deterioration responses and emergency action.</w:t>
      </w:r>
    </w:p>
    <w:p w14:paraId="47607321" w14:textId="77777777" w:rsidR="00A0799C" w:rsidRPr="009D1608" w:rsidRDefault="00A0799C" w:rsidP="009D1608">
      <w:pPr>
        <w:pStyle w:val="Heading1"/>
        <w:spacing w:line="360" w:lineRule="auto"/>
        <w:rPr>
          <w:rFonts w:ascii="Arial" w:hAnsi="Arial" w:cs="Arial"/>
        </w:rPr>
      </w:pPr>
      <w:bookmarkStart w:id="5" w:name="_Toc235211615"/>
      <w:r w:rsidRPr="009D1608">
        <w:rPr>
          <w:rFonts w:ascii="Arial" w:hAnsi="Arial" w:cs="Arial"/>
        </w:rPr>
        <w:t>6. Evidence-Based Lifestyle Recommendations</w:t>
      </w:r>
      <w:bookmarkEnd w:id="5"/>
    </w:p>
    <w:p w14:paraId="5A2D912D" w14:textId="77777777" w:rsidR="00A0799C" w:rsidRPr="009D1608" w:rsidRDefault="00A0799C" w:rsidP="009D1608">
      <w:pPr>
        <w:spacing w:line="360" w:lineRule="auto"/>
        <w:ind w:firstLine="720"/>
        <w:rPr>
          <w:rFonts w:ascii="Arial" w:hAnsi="Arial" w:cs="Arial"/>
        </w:rPr>
      </w:pPr>
      <w:r w:rsidRPr="009D1608">
        <w:rPr>
          <w:rFonts w:ascii="Arial" w:hAnsi="Arial" w:cs="Arial"/>
        </w:rPr>
        <w:t>The first is to quit smoking and make sure you don't inhale second-hand smoke. Adolescents may have nicotine addiction and peer influence, which neither of which are likely to be resolved by simply asking them to quit tobacco; persistent airway inflammation is perpetuated by tobacco exposure, which leads to damage of cilia and increased exacerbation risk. NICE (2021) advises behavioural support for individuals over 12 years, and age appropriate pharmacotherapy to be discussed with a qualified clinician. Therefore, the practice nurse is advised not to leave it to warning alone but to assess readiness, agree a quit plan and provide a referral to NHS stop-smoking support. Vaping should also be avoided due to not being risk free and exacerbating respiratory symptoms in asthmatic adolescents (Kurdyś-Bykowska et al., 2024). This guidance should be nuanced: vaping can be part of adults in talking about reducing their tobacco use – should not be started by young non-smokers or marketed as safe for asthma.</w:t>
      </w:r>
    </w:p>
    <w:p w14:paraId="21276389" w14:textId="77777777" w:rsidR="00A0799C" w:rsidRPr="009D1608" w:rsidRDefault="00A0799C" w:rsidP="009D1608">
      <w:pPr>
        <w:spacing w:line="360" w:lineRule="auto"/>
        <w:ind w:firstLine="720"/>
        <w:rPr>
          <w:rFonts w:ascii="Arial" w:hAnsi="Arial" w:cs="Arial"/>
        </w:rPr>
      </w:pPr>
      <w:r w:rsidRPr="009D1608">
        <w:rPr>
          <w:rFonts w:ascii="Arial" w:hAnsi="Arial" w:cs="Arial"/>
        </w:rPr>
        <w:t>Medicine compliance and inhaler technique need to be reviewed at all appropriate touch points. While belief</w:t>
      </w:r>
      <w:r w:rsidR="008223E9">
        <w:rPr>
          <w:rFonts w:ascii="Arial" w:hAnsi="Arial" w:cs="Arial"/>
        </w:rPr>
        <w:t>s</w:t>
      </w:r>
      <w:r w:rsidRPr="009D1608">
        <w:rPr>
          <w:rFonts w:ascii="Arial" w:hAnsi="Arial" w:cs="Arial"/>
        </w:rPr>
        <w:t>, communication and practical factors influence adhere</w:t>
      </w:r>
      <w:r w:rsidR="00552308">
        <w:rPr>
          <w:rFonts w:ascii="Arial" w:hAnsi="Arial" w:cs="Arial"/>
        </w:rPr>
        <w:t>nce as reported by Zhang et al.</w:t>
      </w:r>
      <w:r w:rsidRPr="009D1608">
        <w:rPr>
          <w:rFonts w:ascii="Arial" w:hAnsi="Arial" w:cs="Arial"/>
        </w:rPr>
        <w:t xml:space="preserve"> (2023), McCrossan et al.</w:t>
      </w:r>
      <w:r w:rsidR="008223E9">
        <w:rPr>
          <w:rFonts w:ascii="Arial" w:hAnsi="Arial" w:cs="Arial"/>
        </w:rPr>
        <w:t xml:space="preserve"> (2024) emphasis</w:t>
      </w:r>
      <w:r w:rsidRPr="009D1608">
        <w:rPr>
          <w:rFonts w:ascii="Arial" w:hAnsi="Arial" w:cs="Arial"/>
        </w:rPr>
        <w:t xml:space="preserve">e the importance of adherence for preventing exacerbation and symptoms. The nurse should show the prescribed device and check return-demonstration, consider the use of a spacer when appropriate and link preventer use with the adolescent's own </w:t>
      </w:r>
      <w:r w:rsidRPr="009D1608">
        <w:rPr>
          <w:rFonts w:ascii="Arial" w:hAnsi="Arial" w:cs="Arial"/>
        </w:rPr>
        <w:lastRenderedPageBreak/>
        <w:t>objectives. Medication to be carried as clinically directed, individualised action plan available digitally or written on paper.</w:t>
      </w:r>
    </w:p>
    <w:p w14:paraId="7F223FBB" w14:textId="77777777" w:rsidR="00A0799C" w:rsidRPr="009D1608" w:rsidRDefault="00A0799C" w:rsidP="009D1608">
      <w:pPr>
        <w:spacing w:line="360" w:lineRule="auto"/>
        <w:ind w:firstLine="720"/>
        <w:rPr>
          <w:rFonts w:ascii="Arial" w:hAnsi="Arial" w:cs="Arial"/>
        </w:rPr>
      </w:pPr>
      <w:r w:rsidRPr="009D1608">
        <w:rPr>
          <w:rFonts w:ascii="Arial" w:hAnsi="Arial" w:cs="Arial"/>
        </w:rPr>
        <w:t>Other suggestions involve working out triggers from symptom and peak-flow diaries, keeping track of pollens and air quality, avoiding events with high levels of pollutants or lack of air replacement, and getting a flu vaccine every flu season (as per health advice). Where appropriate, where asthma is being controlled, encouragement to be active is more appropriate as it is unlikely that restricting exercise, unnecessarily, is actually going to increase the fitness of the person or improve their quality of life; and preparation, warm-up and prescribed treatment is more proportionate than avoidance. Antonino et al. (2024) state that youth require developmentally appropriate and coordinated support, and Leonard et al. (2022) point to the psychological context. This means that the process of sharing information in situations of confidentiality and no judgement will be more helpful in generating lasting behaviour, rather than a directive approach.</w:t>
      </w:r>
    </w:p>
    <w:p w14:paraId="5FF3D547" w14:textId="77777777" w:rsidR="00A0799C" w:rsidRPr="009D1608" w:rsidRDefault="00A0799C" w:rsidP="009D1608">
      <w:pPr>
        <w:pStyle w:val="Heading1"/>
        <w:spacing w:line="360" w:lineRule="auto"/>
        <w:rPr>
          <w:rFonts w:ascii="Arial" w:hAnsi="Arial" w:cs="Arial"/>
        </w:rPr>
      </w:pPr>
      <w:bookmarkStart w:id="6" w:name="_Toc235211616"/>
      <w:r w:rsidRPr="009D1608">
        <w:rPr>
          <w:rFonts w:ascii="Arial" w:hAnsi="Arial" w:cs="Arial"/>
        </w:rPr>
        <w:t>7. Conclusion</w:t>
      </w:r>
      <w:bookmarkEnd w:id="6"/>
    </w:p>
    <w:p w14:paraId="2849F7CF" w14:textId="77777777" w:rsidR="009D1608" w:rsidRDefault="00A0799C" w:rsidP="009D1608">
      <w:pPr>
        <w:spacing w:line="360" w:lineRule="auto"/>
        <w:ind w:firstLine="720"/>
        <w:rPr>
          <w:rFonts w:ascii="Arial" w:hAnsi="Arial" w:cs="Arial"/>
        </w:rPr>
      </w:pPr>
      <w:r w:rsidRPr="009D1608">
        <w:rPr>
          <w:rFonts w:ascii="Arial" w:hAnsi="Arial" w:cs="Arial"/>
        </w:rPr>
        <w:t>Asthma affects the function of breathing by inflammation, bronchoconstriction, the production of mucous and the constriction of bronchioles, especially during expiration. But, in the case of severe obstruction of the flow of air, although alveoli still provide the surface for the exchange of O2 and CO2, the ventilation of alveoli decreases and O2-transfer can be compromised. In this instance, smoking, vaping, infection and crowded settings add up—and when they're not followed everything that could be done, can fall into disrepair. Thus the effective practice-nurse intervention needs to be more than factual education. Link between physiology and day-to-day protection and safety through regular PEFR recording, inhaler technique, individualised asthma action plan and prompt action when PEFR is falling. Negotiation should be centred around smoking cessation, avoiding vaping and/or irritants, preventing infection and supported physical activity. The main message has been that asthma is often controllable and that asthma control is related to a number of factors which include recognising risks early, adherence with preventive treatment and allowing the adolescent to make decisions within their "real" social lives.</w:t>
      </w:r>
    </w:p>
    <w:p w14:paraId="38B49312" w14:textId="77777777" w:rsidR="00A0799C" w:rsidRPr="009D1608" w:rsidRDefault="009D1608" w:rsidP="009D1608">
      <w:pPr>
        <w:spacing w:line="360" w:lineRule="auto"/>
        <w:jc w:val="left"/>
        <w:rPr>
          <w:rFonts w:ascii="Arial" w:hAnsi="Arial" w:cs="Arial"/>
        </w:rPr>
      </w:pPr>
      <w:r>
        <w:rPr>
          <w:rFonts w:ascii="Arial" w:hAnsi="Arial" w:cs="Arial"/>
        </w:rPr>
        <w:br w:type="page"/>
      </w:r>
    </w:p>
    <w:p w14:paraId="027AEF56" w14:textId="4155FF85" w:rsidR="00A0799C" w:rsidRPr="009D1608" w:rsidRDefault="00A0799C" w:rsidP="009D1608">
      <w:pPr>
        <w:pStyle w:val="Heading1"/>
        <w:spacing w:line="360" w:lineRule="auto"/>
        <w:rPr>
          <w:rFonts w:ascii="Arial" w:hAnsi="Arial" w:cs="Arial"/>
          <w:color w:val="auto"/>
          <w:sz w:val="48"/>
        </w:rPr>
      </w:pPr>
      <w:bookmarkStart w:id="7" w:name="_Toc235211617"/>
      <w:r w:rsidRPr="009D1608">
        <w:rPr>
          <w:rFonts w:ascii="Arial" w:hAnsi="Arial" w:cs="Arial"/>
        </w:rPr>
        <w:lastRenderedPageBreak/>
        <w:t>Reference</w:t>
      </w:r>
      <w:bookmarkEnd w:id="7"/>
      <w:r w:rsidR="005D5D5A">
        <w:rPr>
          <w:rFonts w:ascii="Arial" w:hAnsi="Arial" w:cs="Arial"/>
        </w:rPr>
        <w:t>s</w:t>
      </w:r>
    </w:p>
    <w:p w14:paraId="413C68E5"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Antonino, L., Van Hoorenbeeck, K., van Olmen, J., Vanharen, Y., Janssens, N., Verhulst, S. and Goossens, E. (2024) ‘Breathing across ages: a systematic review on challenges and components of transitional care for young people with asthma’, </w:t>
      </w:r>
      <w:r w:rsidRPr="009D1608">
        <w:rPr>
          <w:rStyle w:val="Emphasis"/>
          <w:rFonts w:ascii="Arial" w:eastAsia="Calibri" w:hAnsi="Arial" w:cs="Arial"/>
        </w:rPr>
        <w:t>Frontiers in Pediatrics</w:t>
      </w:r>
      <w:r w:rsidRPr="009D1608">
        <w:rPr>
          <w:rFonts w:ascii="Arial" w:hAnsi="Arial" w:cs="Arial"/>
        </w:rPr>
        <w:t xml:space="preserve">, 12, article 1348963. Available at: </w:t>
      </w:r>
      <w:hyperlink r:id="rId13" w:history="1">
        <w:r w:rsidRPr="009D1608">
          <w:rPr>
            <w:rStyle w:val="Hyperlink"/>
            <w:rFonts w:ascii="Arial" w:eastAsiaTheme="majorEastAsia" w:hAnsi="Arial" w:cs="Arial"/>
          </w:rPr>
          <w:t>https://doi.org/10.3389/fped.2024.1348963</w:t>
        </w:r>
      </w:hyperlink>
    </w:p>
    <w:p w14:paraId="4590EAF1"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Asthma + Lung UK (2022) </w:t>
      </w:r>
      <w:r w:rsidRPr="009D1608">
        <w:rPr>
          <w:rStyle w:val="Emphasis"/>
          <w:rFonts w:ascii="Arial" w:eastAsia="Calibri" w:hAnsi="Arial" w:cs="Arial"/>
        </w:rPr>
        <w:t>Peak flow</w:t>
      </w:r>
      <w:r w:rsidRPr="009D1608">
        <w:rPr>
          <w:rFonts w:ascii="Arial" w:hAnsi="Arial" w:cs="Arial"/>
        </w:rPr>
        <w:t xml:space="preserve">. Available at: </w:t>
      </w:r>
      <w:hyperlink r:id="rId14" w:history="1">
        <w:r w:rsidRPr="009D1608">
          <w:rPr>
            <w:rStyle w:val="Hyperlink"/>
            <w:rFonts w:ascii="Arial" w:eastAsiaTheme="majorEastAsia" w:hAnsi="Arial" w:cs="Arial"/>
          </w:rPr>
          <w:t>https://www.asthmaandlung.org.uk/symptoms-tests-treatments/tests/peak-flow</w:t>
        </w:r>
      </w:hyperlink>
    </w:p>
    <w:p w14:paraId="6391F08C"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Asthma + Lung UK (2024) </w:t>
      </w:r>
      <w:r w:rsidRPr="009D1608">
        <w:rPr>
          <w:rStyle w:val="Emphasis"/>
          <w:rFonts w:ascii="Arial" w:eastAsia="Calibri" w:hAnsi="Arial" w:cs="Arial"/>
        </w:rPr>
        <w:t>Your child’s asthma action plan</w:t>
      </w:r>
      <w:r w:rsidRPr="009D1608">
        <w:rPr>
          <w:rFonts w:ascii="Arial" w:hAnsi="Arial" w:cs="Arial"/>
        </w:rPr>
        <w:t xml:space="preserve">. Available at: </w:t>
      </w:r>
      <w:hyperlink r:id="rId15" w:history="1">
        <w:r w:rsidRPr="009D1608">
          <w:rPr>
            <w:rStyle w:val="Hyperlink"/>
            <w:rFonts w:ascii="Arial" w:eastAsiaTheme="majorEastAsia" w:hAnsi="Arial" w:cs="Arial"/>
          </w:rPr>
          <w:t>https://www.asthmaandlung.org.uk/conditions/asthma/child/manage/action-plan</w:t>
        </w:r>
      </w:hyperlink>
    </w:p>
    <w:p w14:paraId="70C61242"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Bakakos, A., Sotiropoulou, Z., Vontetsianos, A., Zaneli, S., Papaioannou, A.I. and Bakakos, P. (2023) ‘Epidemiology and immunopathogenesis of virus-associated asthma exacerbations’, </w:t>
      </w:r>
      <w:r w:rsidRPr="009D1608">
        <w:rPr>
          <w:rStyle w:val="Emphasis"/>
          <w:rFonts w:ascii="Arial" w:eastAsia="Calibri" w:hAnsi="Arial" w:cs="Arial"/>
        </w:rPr>
        <w:t>Journal of Asthma and Allergy</w:t>
      </w:r>
      <w:r w:rsidRPr="009D1608">
        <w:rPr>
          <w:rFonts w:ascii="Arial" w:hAnsi="Arial" w:cs="Arial"/>
        </w:rPr>
        <w:t xml:space="preserve">, 16, pp. 1025–1040. Available at: </w:t>
      </w:r>
      <w:hyperlink r:id="rId16" w:history="1">
        <w:r w:rsidRPr="009D1608">
          <w:rPr>
            <w:rStyle w:val="Hyperlink"/>
            <w:rFonts w:ascii="Arial" w:eastAsiaTheme="majorEastAsia" w:hAnsi="Arial" w:cs="Arial"/>
          </w:rPr>
          <w:t>https://doi.org/10.2147/JAA.S277455</w:t>
        </w:r>
      </w:hyperlink>
    </w:p>
    <w:p w14:paraId="79B7614A"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Betts, J.G., Young, K.A., Wise, J.A., Johnson, E., Poe, B., Kruse, D.H., Korol, O., Johnson, J.E., Womble, M. and DeSaix, P. (2022) </w:t>
      </w:r>
      <w:r w:rsidRPr="009D1608">
        <w:rPr>
          <w:rStyle w:val="Emphasis"/>
          <w:rFonts w:ascii="Arial" w:eastAsia="Calibri" w:hAnsi="Arial" w:cs="Arial"/>
        </w:rPr>
        <w:t>Anatomy and Physiology 2e</w:t>
      </w:r>
      <w:r w:rsidRPr="009D1608">
        <w:rPr>
          <w:rFonts w:ascii="Arial" w:hAnsi="Arial" w:cs="Arial"/>
        </w:rPr>
        <w:t xml:space="preserve">. 2nd edn. Houston, TX: OpenStax. Available at: </w:t>
      </w:r>
      <w:hyperlink r:id="rId17" w:history="1">
        <w:r w:rsidRPr="009D1608">
          <w:rPr>
            <w:rStyle w:val="Hyperlink"/>
            <w:rFonts w:ascii="Arial" w:eastAsiaTheme="majorEastAsia" w:hAnsi="Arial" w:cs="Arial"/>
          </w:rPr>
          <w:t>https://openstax.org/details/books/anatomy-and-physiology-2e</w:t>
        </w:r>
      </w:hyperlink>
    </w:p>
    <w:p w14:paraId="0B1C42B5"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British Thoracic Society, National Institute for Health and Care Excellence and Scottish Intercollegiate Guidelines Network (2024) </w:t>
      </w:r>
      <w:r w:rsidRPr="009D1608">
        <w:rPr>
          <w:rStyle w:val="Emphasis"/>
          <w:rFonts w:ascii="Arial" w:eastAsia="Calibri" w:hAnsi="Arial" w:cs="Arial"/>
        </w:rPr>
        <w:t>Asthma: diagnosis, monitoring and chronic asthma management</w:t>
      </w:r>
      <w:r w:rsidRPr="009D1608">
        <w:rPr>
          <w:rFonts w:ascii="Arial" w:hAnsi="Arial" w:cs="Arial"/>
        </w:rPr>
        <w:t xml:space="preserve">. NICE guideline NG245. Available at: </w:t>
      </w:r>
      <w:hyperlink r:id="rId18" w:history="1">
        <w:r w:rsidRPr="009D1608">
          <w:rPr>
            <w:rStyle w:val="Hyperlink"/>
            <w:rFonts w:ascii="Arial" w:eastAsiaTheme="majorEastAsia" w:hAnsi="Arial" w:cs="Arial"/>
          </w:rPr>
          <w:t>https://www.nice.org.uk/guidance/ng245</w:t>
        </w:r>
      </w:hyperlink>
    </w:p>
    <w:p w14:paraId="5637BFBE"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Ciprandi, G., Licari, A., Castagnoli, R., Ciprandi, R. and Marseglia, G.L. (2022) ‘Asthma control in adolescents: the importance of assessing adherence’, </w:t>
      </w:r>
      <w:r w:rsidRPr="009D1608">
        <w:rPr>
          <w:rStyle w:val="Emphasis"/>
          <w:rFonts w:ascii="Arial" w:eastAsia="Calibri" w:hAnsi="Arial" w:cs="Arial"/>
        </w:rPr>
        <w:t>Acta Biomedica</w:t>
      </w:r>
      <w:r w:rsidRPr="009D1608">
        <w:rPr>
          <w:rFonts w:ascii="Arial" w:hAnsi="Arial" w:cs="Arial"/>
        </w:rPr>
        <w:t xml:space="preserve">, 93(4), article e2022264. Available at: </w:t>
      </w:r>
      <w:hyperlink r:id="rId19" w:history="1">
        <w:r w:rsidRPr="009D1608">
          <w:rPr>
            <w:rStyle w:val="Hyperlink"/>
            <w:rFonts w:ascii="Arial" w:eastAsiaTheme="majorEastAsia" w:hAnsi="Arial" w:cs="Arial"/>
          </w:rPr>
          <w:t>https://doi.org/10.23750/abm.v93i4.12448</w:t>
        </w:r>
      </w:hyperlink>
    </w:p>
    <w:p w14:paraId="33C3B963" w14:textId="77777777" w:rsidR="00795918" w:rsidRPr="009D1608" w:rsidRDefault="00795918" w:rsidP="009D1608">
      <w:pPr>
        <w:pStyle w:val="NormalWeb"/>
        <w:spacing w:line="360" w:lineRule="auto"/>
        <w:ind w:left="720" w:hanging="720"/>
        <w:rPr>
          <w:rFonts w:ascii="Arial" w:hAnsi="Arial" w:cs="Arial"/>
        </w:rPr>
      </w:pPr>
      <w:r w:rsidRPr="009D1608">
        <w:rPr>
          <w:rFonts w:ascii="Arial" w:hAnsi="Arial" w:cs="Arial"/>
        </w:rPr>
        <w:lastRenderedPageBreak/>
        <w:t xml:space="preserve">Cleveland Clinic (2025) Asthma. Available at: </w:t>
      </w:r>
      <w:hyperlink r:id="rId20" w:history="1">
        <w:r w:rsidRPr="009D1608">
          <w:rPr>
            <w:rStyle w:val="Hyperlink"/>
            <w:rFonts w:ascii="Arial" w:hAnsi="Arial" w:cs="Arial"/>
          </w:rPr>
          <w:t>https://my.clevelandclinic.org/health/diseases/6424-asthma</w:t>
        </w:r>
      </w:hyperlink>
      <w:r w:rsidRPr="009D1608">
        <w:rPr>
          <w:rFonts w:ascii="Arial" w:hAnsi="Arial" w:cs="Arial"/>
        </w:rPr>
        <w:t xml:space="preserve"> </w:t>
      </w:r>
    </w:p>
    <w:p w14:paraId="76ABCAE0"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Global Initiative for Asthma (2025) </w:t>
      </w:r>
      <w:r w:rsidRPr="009D1608">
        <w:rPr>
          <w:rStyle w:val="Emphasis"/>
          <w:rFonts w:ascii="Arial" w:eastAsia="Calibri" w:hAnsi="Arial" w:cs="Arial"/>
        </w:rPr>
        <w:t>Global strategy for asthma management and prevention</w:t>
      </w:r>
      <w:r w:rsidRPr="009D1608">
        <w:rPr>
          <w:rFonts w:ascii="Arial" w:hAnsi="Arial" w:cs="Arial"/>
        </w:rPr>
        <w:t xml:space="preserve">. Available at: </w:t>
      </w:r>
      <w:hyperlink r:id="rId21" w:history="1">
        <w:r w:rsidRPr="009D1608">
          <w:rPr>
            <w:rStyle w:val="Hyperlink"/>
            <w:rFonts w:ascii="Arial" w:eastAsiaTheme="majorEastAsia" w:hAnsi="Arial" w:cs="Arial"/>
          </w:rPr>
          <w:t>https://ginasthma.org/2025-gina-strategy-report/</w:t>
        </w:r>
      </w:hyperlink>
    </w:p>
    <w:p w14:paraId="3792F141"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Habib, N., Pasha, M.A. and Tang, D.D. (2022) ‘Current understanding of asthma pathogenesis and biomarkers’, </w:t>
      </w:r>
      <w:r w:rsidRPr="009D1608">
        <w:rPr>
          <w:rStyle w:val="Emphasis"/>
          <w:rFonts w:ascii="Arial" w:eastAsia="Calibri" w:hAnsi="Arial" w:cs="Arial"/>
        </w:rPr>
        <w:t>Cells</w:t>
      </w:r>
      <w:r w:rsidRPr="009D1608">
        <w:rPr>
          <w:rFonts w:ascii="Arial" w:hAnsi="Arial" w:cs="Arial"/>
        </w:rPr>
        <w:t xml:space="preserve">, 11(17), article 2764. Available at: </w:t>
      </w:r>
      <w:hyperlink r:id="rId22" w:history="1">
        <w:r w:rsidRPr="009D1608">
          <w:rPr>
            <w:rStyle w:val="Hyperlink"/>
            <w:rFonts w:ascii="Arial" w:eastAsiaTheme="majorEastAsia" w:hAnsi="Arial" w:cs="Arial"/>
          </w:rPr>
          <w:t>https://doi.org/10.3390/cells11172764</w:t>
        </w:r>
      </w:hyperlink>
    </w:p>
    <w:p w14:paraId="1B3E2A73"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Kurdyś-Bykowska, P., Kośmider, L., Konwant, D. and Stencel-Gabriel, K. (2024) ‘E-cigarettes use and respiratory symptoms in asthmatic and non-asthmatic adolescents: a systematic review’, </w:t>
      </w:r>
      <w:r w:rsidRPr="009D1608">
        <w:rPr>
          <w:rStyle w:val="Emphasis"/>
          <w:rFonts w:ascii="Arial" w:eastAsia="Calibri" w:hAnsi="Arial" w:cs="Arial"/>
        </w:rPr>
        <w:t>Pediatria i Medycyna Rodzinna</w:t>
      </w:r>
      <w:r w:rsidRPr="009D1608">
        <w:rPr>
          <w:rFonts w:ascii="Arial" w:hAnsi="Arial" w:cs="Arial"/>
        </w:rPr>
        <w:t xml:space="preserve">, 20(1), pp. 29–36. Available at: </w:t>
      </w:r>
      <w:hyperlink r:id="rId23" w:history="1">
        <w:r w:rsidRPr="009D1608">
          <w:rPr>
            <w:rStyle w:val="Hyperlink"/>
            <w:rFonts w:ascii="Arial" w:eastAsiaTheme="majorEastAsia" w:hAnsi="Arial" w:cs="Arial"/>
          </w:rPr>
          <w:t>https://doi.org/10.15557/PiMR.2024.0004</w:t>
        </w:r>
      </w:hyperlink>
    </w:p>
    <w:p w14:paraId="3AEF3D78"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Leonard, S.I., Turi, E.R., Powell, J.S., Usseglio, J., MacDonell, K.K. and Bruzzese, J.M. (2022) ‘Associations of asthma self-management and mental health in adolescents: a scoping review’, </w:t>
      </w:r>
      <w:r w:rsidRPr="009D1608">
        <w:rPr>
          <w:rStyle w:val="Emphasis"/>
          <w:rFonts w:ascii="Arial" w:eastAsia="Calibri" w:hAnsi="Arial" w:cs="Arial"/>
        </w:rPr>
        <w:t>Respiratory Medicine</w:t>
      </w:r>
      <w:r w:rsidRPr="009D1608">
        <w:rPr>
          <w:rFonts w:ascii="Arial" w:hAnsi="Arial" w:cs="Arial"/>
        </w:rPr>
        <w:t xml:space="preserve">, 200, article 106897. Available at: </w:t>
      </w:r>
      <w:hyperlink r:id="rId24" w:history="1">
        <w:r w:rsidRPr="009D1608">
          <w:rPr>
            <w:rStyle w:val="Hyperlink"/>
            <w:rFonts w:ascii="Arial" w:eastAsiaTheme="majorEastAsia" w:hAnsi="Arial" w:cs="Arial"/>
          </w:rPr>
          <w:t>https://doi.org/10.1016/j.rmed.2022.106897</w:t>
        </w:r>
      </w:hyperlink>
    </w:p>
    <w:p w14:paraId="0715E735"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McCrossan, P., Shields, M.D. and McElnay, J.C. (2024) ‘Medication adherence in children with asthma’, </w:t>
      </w:r>
      <w:r w:rsidRPr="009D1608">
        <w:rPr>
          <w:rStyle w:val="Emphasis"/>
          <w:rFonts w:ascii="Arial" w:eastAsia="Calibri" w:hAnsi="Arial" w:cs="Arial"/>
        </w:rPr>
        <w:t>Patient Preference and Adherence</w:t>
      </w:r>
      <w:r w:rsidRPr="009D1608">
        <w:rPr>
          <w:rFonts w:ascii="Arial" w:hAnsi="Arial" w:cs="Arial"/>
        </w:rPr>
        <w:t xml:space="preserve">, 18, pp. 555–564. Available at: </w:t>
      </w:r>
      <w:hyperlink r:id="rId25" w:history="1">
        <w:r w:rsidRPr="009D1608">
          <w:rPr>
            <w:rStyle w:val="Hyperlink"/>
            <w:rFonts w:ascii="Arial" w:eastAsiaTheme="majorEastAsia" w:hAnsi="Arial" w:cs="Arial"/>
          </w:rPr>
          <w:t>https://doi.org/10.2147/PPA.S445534</w:t>
        </w:r>
      </w:hyperlink>
    </w:p>
    <w:p w14:paraId="6E53A216" w14:textId="77777777" w:rsidR="00795918" w:rsidRPr="009D1608" w:rsidRDefault="00795918" w:rsidP="009D1608">
      <w:pPr>
        <w:pStyle w:val="isselectedend"/>
        <w:spacing w:line="360" w:lineRule="auto"/>
        <w:ind w:left="720" w:hanging="720"/>
        <w:rPr>
          <w:rFonts w:ascii="Arial" w:hAnsi="Arial" w:cs="Arial"/>
        </w:rPr>
      </w:pPr>
      <w:r w:rsidRPr="009D1608">
        <w:rPr>
          <w:rFonts w:ascii="Arial" w:hAnsi="Arial" w:cs="Arial"/>
        </w:rPr>
        <w:t xml:space="preserve">National Institute for Health and Care Excellence (2021) </w:t>
      </w:r>
      <w:r w:rsidRPr="009D1608">
        <w:rPr>
          <w:rStyle w:val="Emphasis"/>
          <w:rFonts w:ascii="Arial" w:eastAsia="Calibri" w:hAnsi="Arial" w:cs="Arial"/>
        </w:rPr>
        <w:t>Tobacco: preventing uptake, promoting quitting and treating dependence</w:t>
      </w:r>
      <w:r w:rsidRPr="009D1608">
        <w:rPr>
          <w:rFonts w:ascii="Arial" w:hAnsi="Arial" w:cs="Arial"/>
        </w:rPr>
        <w:t xml:space="preserve">. NICE guideline NG209, updated February 2025. Available at: </w:t>
      </w:r>
      <w:hyperlink r:id="rId26" w:history="1">
        <w:r w:rsidRPr="009D1608">
          <w:rPr>
            <w:rStyle w:val="Hyperlink"/>
            <w:rFonts w:ascii="Arial" w:eastAsiaTheme="majorEastAsia" w:hAnsi="Arial" w:cs="Arial"/>
          </w:rPr>
          <w:t>https://www.nice.org.uk/guidance/ng209</w:t>
        </w:r>
      </w:hyperlink>
    </w:p>
    <w:p w14:paraId="197E0AEC" w14:textId="77777777" w:rsidR="00795918" w:rsidRPr="009D1608" w:rsidRDefault="00795918" w:rsidP="009D1608">
      <w:pPr>
        <w:pStyle w:val="NormalWeb"/>
        <w:spacing w:line="360" w:lineRule="auto"/>
        <w:ind w:left="720" w:hanging="720"/>
        <w:rPr>
          <w:rFonts w:ascii="Arial" w:hAnsi="Arial" w:cs="Arial"/>
        </w:rPr>
      </w:pPr>
      <w:r w:rsidRPr="009D1608">
        <w:rPr>
          <w:rFonts w:ascii="Arial" w:hAnsi="Arial" w:cs="Arial"/>
        </w:rPr>
        <w:t xml:space="preserve">Zhang, X., Ding, R., Zhang, Z., Chen, M., Yin, Y. and Quint, J.K. (2023) ‘Medication adherence in people with asthma: a qualitative systematic review of patient and health professional perspectives’, </w:t>
      </w:r>
      <w:r w:rsidRPr="009D1608">
        <w:rPr>
          <w:rStyle w:val="Emphasis"/>
          <w:rFonts w:ascii="Arial" w:eastAsia="Calibri" w:hAnsi="Arial" w:cs="Arial"/>
        </w:rPr>
        <w:t>Journal of Asthma and Allergy</w:t>
      </w:r>
      <w:r w:rsidRPr="009D1608">
        <w:rPr>
          <w:rFonts w:ascii="Arial" w:hAnsi="Arial" w:cs="Arial"/>
        </w:rPr>
        <w:t xml:space="preserve">, 16, pp. 515–527. Available at: </w:t>
      </w:r>
      <w:hyperlink r:id="rId27" w:history="1">
        <w:r w:rsidRPr="009D1608">
          <w:rPr>
            <w:rStyle w:val="Hyperlink"/>
            <w:rFonts w:ascii="Arial" w:eastAsiaTheme="majorEastAsia" w:hAnsi="Arial" w:cs="Arial"/>
          </w:rPr>
          <w:t>https://doi.org/10.2147/JAA.S407552</w:t>
        </w:r>
      </w:hyperlink>
    </w:p>
    <w:sectPr w:rsidR="00795918" w:rsidRPr="009D1608" w:rsidSect="00D91B57">
      <w:footerReference w:type="default" r:id="rId2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9EBAD" w14:textId="77777777" w:rsidR="00AA1C3F" w:rsidRDefault="00AA1C3F" w:rsidP="00D91B57">
      <w:pPr>
        <w:spacing w:after="0" w:line="240" w:lineRule="auto"/>
      </w:pPr>
      <w:r>
        <w:separator/>
      </w:r>
    </w:p>
  </w:endnote>
  <w:endnote w:type="continuationSeparator" w:id="0">
    <w:p w14:paraId="35B5283E" w14:textId="77777777" w:rsidR="00AA1C3F" w:rsidRDefault="00AA1C3F" w:rsidP="00D91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203359"/>
      <w:docPartObj>
        <w:docPartGallery w:val="Page Numbers (Bottom of Page)"/>
        <w:docPartUnique/>
      </w:docPartObj>
    </w:sdtPr>
    <w:sdtEndPr>
      <w:rPr>
        <w:noProof/>
      </w:rPr>
    </w:sdtEndPr>
    <w:sdtContent>
      <w:p w14:paraId="654EE4DB" w14:textId="283D5383" w:rsidR="00741DBF" w:rsidRDefault="00741D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9A107B" w14:textId="77777777" w:rsidR="00741DBF" w:rsidRDefault="00741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85528" w14:textId="77777777" w:rsidR="00AA1C3F" w:rsidRDefault="00AA1C3F" w:rsidP="00D91B57">
      <w:pPr>
        <w:spacing w:after="0" w:line="240" w:lineRule="auto"/>
      </w:pPr>
      <w:r>
        <w:separator/>
      </w:r>
    </w:p>
  </w:footnote>
  <w:footnote w:type="continuationSeparator" w:id="0">
    <w:p w14:paraId="6D73B325" w14:textId="77777777" w:rsidR="00AA1C3F" w:rsidRDefault="00AA1C3F" w:rsidP="00D91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53EB9"/>
    <w:multiLevelType w:val="hybridMultilevel"/>
    <w:tmpl w:val="01DE0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56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99C"/>
    <w:rsid w:val="00060362"/>
    <w:rsid w:val="000E53EB"/>
    <w:rsid w:val="000E57A2"/>
    <w:rsid w:val="000F1E65"/>
    <w:rsid w:val="000F7B19"/>
    <w:rsid w:val="001821E7"/>
    <w:rsid w:val="001B20E7"/>
    <w:rsid w:val="002211ED"/>
    <w:rsid w:val="00225D06"/>
    <w:rsid w:val="003173FD"/>
    <w:rsid w:val="003E1FF2"/>
    <w:rsid w:val="003F0B1E"/>
    <w:rsid w:val="003F1CDF"/>
    <w:rsid w:val="004003D9"/>
    <w:rsid w:val="00473040"/>
    <w:rsid w:val="004A06F3"/>
    <w:rsid w:val="004D09C2"/>
    <w:rsid w:val="004E5EE1"/>
    <w:rsid w:val="00520DBC"/>
    <w:rsid w:val="00552308"/>
    <w:rsid w:val="005C31CB"/>
    <w:rsid w:val="005D5D5A"/>
    <w:rsid w:val="00654A51"/>
    <w:rsid w:val="00656DE0"/>
    <w:rsid w:val="006623BC"/>
    <w:rsid w:val="006641E7"/>
    <w:rsid w:val="00696468"/>
    <w:rsid w:val="006A0CAB"/>
    <w:rsid w:val="006C52D4"/>
    <w:rsid w:val="006E2B1D"/>
    <w:rsid w:val="00704ED5"/>
    <w:rsid w:val="00714CD4"/>
    <w:rsid w:val="00741DBF"/>
    <w:rsid w:val="00794507"/>
    <w:rsid w:val="007951AB"/>
    <w:rsid w:val="00795918"/>
    <w:rsid w:val="007A13EC"/>
    <w:rsid w:val="008223E9"/>
    <w:rsid w:val="009A5244"/>
    <w:rsid w:val="009D1608"/>
    <w:rsid w:val="009D7B1C"/>
    <w:rsid w:val="00A077DA"/>
    <w:rsid w:val="00A0799C"/>
    <w:rsid w:val="00A15FC6"/>
    <w:rsid w:val="00AA1C3F"/>
    <w:rsid w:val="00AD0DB4"/>
    <w:rsid w:val="00B15159"/>
    <w:rsid w:val="00B437B5"/>
    <w:rsid w:val="00BB140C"/>
    <w:rsid w:val="00BE33E4"/>
    <w:rsid w:val="00C85668"/>
    <w:rsid w:val="00C868B3"/>
    <w:rsid w:val="00D457B5"/>
    <w:rsid w:val="00D91B57"/>
    <w:rsid w:val="00E02434"/>
    <w:rsid w:val="00E07D74"/>
    <w:rsid w:val="00E30FCE"/>
    <w:rsid w:val="00E962C5"/>
    <w:rsid w:val="00E9740D"/>
    <w:rsid w:val="00EC0083"/>
    <w:rsid w:val="00ED78DC"/>
    <w:rsid w:val="00F15691"/>
    <w:rsid w:val="00F46393"/>
    <w:rsid w:val="00F74722"/>
    <w:rsid w:val="00FA5AD9"/>
    <w:rsid w:val="00FC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195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A51"/>
    <w:pPr>
      <w:jc w:val="both"/>
    </w:pPr>
    <w:rPr>
      <w:rFonts w:ascii="Times New Roman" w:hAnsi="Times New Roman"/>
      <w:color w:val="000000" w:themeColor="text1"/>
      <w:sz w:val="24"/>
    </w:rPr>
  </w:style>
  <w:style w:type="paragraph" w:styleId="Heading1">
    <w:name w:val="heading 1"/>
    <w:link w:val="Heading1Char"/>
    <w:autoRedefine/>
    <w:qFormat/>
    <w:rsid w:val="000F7B19"/>
    <w:pPr>
      <w:spacing w:before="420" w:after="220" w:line="240" w:lineRule="auto"/>
      <w:outlineLvl w:val="0"/>
    </w:pPr>
    <w:rPr>
      <w:rFonts w:ascii="Times New Roman" w:eastAsia="Calibri" w:hAnsi="Times New Roman" w:cs="Times New Roman"/>
      <w:b/>
      <w:bCs/>
      <w:iCs/>
      <w:color w:val="000000" w:themeColor="text1"/>
      <w:sz w:val="32"/>
      <w:szCs w:val="34"/>
      <w:lang w:eastAsia="en-GB"/>
    </w:rPr>
  </w:style>
  <w:style w:type="paragraph" w:styleId="Heading2">
    <w:name w:val="heading 2"/>
    <w:basedOn w:val="Normal"/>
    <w:next w:val="Normal"/>
    <w:link w:val="Heading2Char"/>
    <w:uiPriority w:val="9"/>
    <w:unhideWhenUsed/>
    <w:qFormat/>
    <w:rsid w:val="006A0CA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30FCE"/>
    <w:pPr>
      <w:keepNext/>
      <w:keepLines/>
      <w:spacing w:before="40" w:after="0" w:line="360" w:lineRule="auto"/>
      <w:outlineLvl w:val="2"/>
    </w:pPr>
    <w:rPr>
      <w:rFonts w:eastAsiaTheme="majorEastAsia" w:cstheme="majorBidi"/>
      <w:b/>
      <w:i/>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0DBC"/>
    <w:pPr>
      <w:spacing w:after="0" w:line="240" w:lineRule="auto"/>
    </w:pPr>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6A0CAB"/>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rsid w:val="000F7B19"/>
    <w:rPr>
      <w:rFonts w:ascii="Times New Roman" w:eastAsia="Calibri" w:hAnsi="Times New Roman" w:cs="Times New Roman"/>
      <w:b/>
      <w:bCs/>
      <w:iCs/>
      <w:color w:val="000000" w:themeColor="text1"/>
      <w:sz w:val="32"/>
      <w:szCs w:val="34"/>
      <w:lang w:eastAsia="en-GB"/>
    </w:rPr>
  </w:style>
  <w:style w:type="character" w:customStyle="1" w:styleId="Heading3Char">
    <w:name w:val="Heading 3 Char"/>
    <w:basedOn w:val="DefaultParagraphFont"/>
    <w:link w:val="Heading3"/>
    <w:uiPriority w:val="9"/>
    <w:rsid w:val="00E30FCE"/>
    <w:rPr>
      <w:rFonts w:ascii="Times New Roman" w:eastAsiaTheme="majorEastAsia" w:hAnsi="Times New Roman" w:cstheme="majorBidi"/>
      <w:b/>
      <w:i/>
      <w:sz w:val="24"/>
      <w:szCs w:val="24"/>
    </w:rPr>
  </w:style>
  <w:style w:type="paragraph" w:customStyle="1" w:styleId="isselectedend">
    <w:name w:val="isselectedend"/>
    <w:basedOn w:val="Normal"/>
    <w:rsid w:val="00A0799C"/>
    <w:pPr>
      <w:spacing w:before="100" w:beforeAutospacing="1" w:after="100" w:afterAutospacing="1" w:line="240" w:lineRule="auto"/>
      <w:jc w:val="left"/>
    </w:pPr>
    <w:rPr>
      <w:rFonts w:eastAsia="Times New Roman" w:cs="Times New Roman"/>
      <w:color w:val="auto"/>
      <w:szCs w:val="24"/>
      <w:lang w:eastAsia="en-GB"/>
    </w:rPr>
  </w:style>
  <w:style w:type="character" w:styleId="Emphasis">
    <w:name w:val="Emphasis"/>
    <w:basedOn w:val="DefaultParagraphFont"/>
    <w:uiPriority w:val="20"/>
    <w:qFormat/>
    <w:rsid w:val="00A0799C"/>
    <w:rPr>
      <w:i/>
      <w:iCs/>
    </w:rPr>
  </w:style>
  <w:style w:type="character" w:styleId="Hyperlink">
    <w:name w:val="Hyperlink"/>
    <w:basedOn w:val="DefaultParagraphFont"/>
    <w:uiPriority w:val="99"/>
    <w:unhideWhenUsed/>
    <w:rsid w:val="00A0799C"/>
    <w:rPr>
      <w:color w:val="0000FF"/>
      <w:u w:val="single"/>
    </w:rPr>
  </w:style>
  <w:style w:type="paragraph" w:styleId="NormalWeb">
    <w:name w:val="Normal (Web)"/>
    <w:basedOn w:val="Normal"/>
    <w:uiPriority w:val="99"/>
    <w:semiHidden/>
    <w:unhideWhenUsed/>
    <w:rsid w:val="00A0799C"/>
    <w:pPr>
      <w:spacing w:before="100" w:beforeAutospacing="1" w:after="100" w:afterAutospacing="1" w:line="240" w:lineRule="auto"/>
      <w:jc w:val="left"/>
    </w:pPr>
    <w:rPr>
      <w:rFonts w:eastAsia="Times New Roman" w:cs="Times New Roman"/>
      <w:color w:val="auto"/>
      <w:szCs w:val="24"/>
      <w:lang w:eastAsia="en-GB"/>
    </w:rPr>
  </w:style>
  <w:style w:type="paragraph" w:styleId="Caption">
    <w:name w:val="caption"/>
    <w:basedOn w:val="Normal"/>
    <w:next w:val="Normal"/>
    <w:uiPriority w:val="35"/>
    <w:unhideWhenUsed/>
    <w:qFormat/>
    <w:rsid w:val="003173F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D1608"/>
    <w:pPr>
      <w:keepNext/>
      <w:keepLines/>
      <w:spacing w:before="240" w:after="0" w:line="259" w:lineRule="auto"/>
      <w:outlineLvl w:val="9"/>
    </w:pPr>
    <w:rPr>
      <w:rFonts w:asciiTheme="majorHAnsi" w:eastAsiaTheme="majorEastAsia" w:hAnsiTheme="majorHAnsi" w:cstheme="majorBidi"/>
      <w:b w:val="0"/>
      <w:bCs w:val="0"/>
      <w:iCs w:val="0"/>
      <w:color w:val="2E74B5" w:themeColor="accent1" w:themeShade="BF"/>
      <w:szCs w:val="32"/>
      <w:lang w:val="en-US" w:eastAsia="en-US"/>
    </w:rPr>
  </w:style>
  <w:style w:type="paragraph" w:styleId="TOC1">
    <w:name w:val="toc 1"/>
    <w:basedOn w:val="Normal"/>
    <w:next w:val="Normal"/>
    <w:autoRedefine/>
    <w:uiPriority w:val="39"/>
    <w:unhideWhenUsed/>
    <w:rsid w:val="009D1608"/>
    <w:pPr>
      <w:spacing w:after="100"/>
    </w:pPr>
  </w:style>
  <w:style w:type="paragraph" w:styleId="Header">
    <w:name w:val="header"/>
    <w:basedOn w:val="Normal"/>
    <w:link w:val="HeaderChar"/>
    <w:uiPriority w:val="99"/>
    <w:unhideWhenUsed/>
    <w:rsid w:val="00D91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B57"/>
    <w:rPr>
      <w:rFonts w:ascii="Times New Roman" w:hAnsi="Times New Roman"/>
      <w:color w:val="000000" w:themeColor="text1"/>
      <w:sz w:val="24"/>
    </w:rPr>
  </w:style>
  <w:style w:type="paragraph" w:styleId="Footer">
    <w:name w:val="footer"/>
    <w:basedOn w:val="Normal"/>
    <w:link w:val="FooterChar"/>
    <w:uiPriority w:val="99"/>
    <w:unhideWhenUsed/>
    <w:rsid w:val="00D91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B57"/>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97899">
      <w:bodyDiv w:val="1"/>
      <w:marLeft w:val="0"/>
      <w:marRight w:val="0"/>
      <w:marTop w:val="0"/>
      <w:marBottom w:val="0"/>
      <w:divBdr>
        <w:top w:val="none" w:sz="0" w:space="0" w:color="auto"/>
        <w:left w:val="none" w:sz="0" w:space="0" w:color="auto"/>
        <w:bottom w:val="none" w:sz="0" w:space="0" w:color="auto"/>
        <w:right w:val="none" w:sz="0" w:space="0" w:color="auto"/>
      </w:divBdr>
    </w:div>
    <w:div w:id="933710589">
      <w:bodyDiv w:val="1"/>
      <w:marLeft w:val="0"/>
      <w:marRight w:val="0"/>
      <w:marTop w:val="0"/>
      <w:marBottom w:val="0"/>
      <w:divBdr>
        <w:top w:val="none" w:sz="0" w:space="0" w:color="auto"/>
        <w:left w:val="none" w:sz="0" w:space="0" w:color="auto"/>
        <w:bottom w:val="none" w:sz="0" w:space="0" w:color="auto"/>
        <w:right w:val="none" w:sz="0" w:space="0" w:color="auto"/>
      </w:divBdr>
    </w:div>
    <w:div w:id="1553344270">
      <w:bodyDiv w:val="1"/>
      <w:marLeft w:val="0"/>
      <w:marRight w:val="0"/>
      <w:marTop w:val="0"/>
      <w:marBottom w:val="0"/>
      <w:divBdr>
        <w:top w:val="none" w:sz="0" w:space="0" w:color="auto"/>
        <w:left w:val="none" w:sz="0" w:space="0" w:color="auto"/>
        <w:bottom w:val="none" w:sz="0" w:space="0" w:color="auto"/>
        <w:right w:val="none" w:sz="0" w:space="0" w:color="auto"/>
      </w:divBdr>
    </w:div>
    <w:div w:id="166848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89/fped.2024.1348963" TargetMode="External"/><Relationship Id="rId18" Type="http://schemas.openxmlformats.org/officeDocument/2006/relationships/hyperlink" Target="https://www.nice.org.uk/guidance/ng245" TargetMode="External"/><Relationship Id="rId26" Type="http://schemas.openxmlformats.org/officeDocument/2006/relationships/hyperlink" Target="https://www.nice.org.uk/guidance/ng209" TargetMode="External"/><Relationship Id="rId3" Type="http://schemas.openxmlformats.org/officeDocument/2006/relationships/styles" Target="styles.xml"/><Relationship Id="rId21" Type="http://schemas.openxmlformats.org/officeDocument/2006/relationships/hyperlink" Target="https://ginasthma.org/2025-gina-strategy-repor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openstax.org/details/books/anatomy-and-physiology-2e" TargetMode="External"/><Relationship Id="rId25" Type="http://schemas.openxmlformats.org/officeDocument/2006/relationships/hyperlink" Target="https://doi.org/10.2147/PPA.S445534" TargetMode="External"/><Relationship Id="rId2" Type="http://schemas.openxmlformats.org/officeDocument/2006/relationships/numbering" Target="numbering.xml"/><Relationship Id="rId16" Type="http://schemas.openxmlformats.org/officeDocument/2006/relationships/hyperlink" Target="https://doi.org/10.2147/JAA.S277455" TargetMode="External"/><Relationship Id="rId20" Type="http://schemas.openxmlformats.org/officeDocument/2006/relationships/hyperlink" Target="https://my.clevelandclinic.org/health/diseases/6424-asthm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16/j.rmed.2022.106897" TargetMode="External"/><Relationship Id="rId5" Type="http://schemas.openxmlformats.org/officeDocument/2006/relationships/webSettings" Target="webSettings.xml"/><Relationship Id="rId15" Type="http://schemas.openxmlformats.org/officeDocument/2006/relationships/hyperlink" Target="https://www.asthmaandlung.org.uk/conditions/asthma/child/manage/action-plan" TargetMode="External"/><Relationship Id="rId23" Type="http://schemas.openxmlformats.org/officeDocument/2006/relationships/hyperlink" Target="https://doi.org/10.15557/PiMR.2024.0004"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oi.org/10.23750/abm.v93i4.12448"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asthmaandlung.org.uk/symptoms-tests-treatments/tests/peak-flow" TargetMode="External"/><Relationship Id="rId22" Type="http://schemas.openxmlformats.org/officeDocument/2006/relationships/hyperlink" Target="https://doi.org/10.3390/cells11172764" TargetMode="External"/><Relationship Id="rId27" Type="http://schemas.openxmlformats.org/officeDocument/2006/relationships/hyperlink" Target="https://doi.org/10.2147/JAA.S40755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DF02B-5D05-45DB-BA80-23B364557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2833</Words>
  <Characters>16153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2026-07-19T12:01:00Z</dcterms:created>
  <dcterms:modified xsi:type="dcterms:W3CDTF">2026-07-27T13:01:00Z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037ef21e-96a4-4511-a46e-d0433f3aff80</vt:lpwstr>
  </property>
</Properties>
</file>