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8A8C4" w14:textId="77777777" w:rsidR="00270B49" w:rsidRPr="00270B49" w:rsidRDefault="00270B49" w:rsidP="00FD07C8">
      <w:pPr>
        <w:ind w:left="0"/>
        <w:jc w:val="center"/>
        <w:rPr>
          <w:rFonts w:ascii="Times New Roman" w:hAnsi="Times New Roman" w:cs="Times New Roman"/>
          <w:b/>
          <w:bCs/>
          <w:sz w:val="24"/>
          <w:szCs w:val="24"/>
        </w:rPr>
      </w:pPr>
      <w:r w:rsidRPr="00270B49">
        <w:rPr>
          <w:rFonts w:ascii="Times New Roman" w:hAnsi="Times New Roman" w:cs="Times New Roman"/>
          <w:b/>
          <w:bCs/>
          <w:sz w:val="24"/>
          <w:szCs w:val="24"/>
        </w:rPr>
        <w:t xml:space="preserve">Marian Ionut </w:t>
      </w:r>
      <w:proofErr w:type="spellStart"/>
      <w:r w:rsidRPr="00270B49">
        <w:rPr>
          <w:rFonts w:ascii="Times New Roman" w:hAnsi="Times New Roman" w:cs="Times New Roman"/>
          <w:b/>
          <w:bCs/>
          <w:sz w:val="24"/>
          <w:szCs w:val="24"/>
        </w:rPr>
        <w:t>Malasincu</w:t>
      </w:r>
      <w:proofErr w:type="spellEnd"/>
    </w:p>
    <w:p w14:paraId="14955A98" w14:textId="42B3E6A2" w:rsidR="00270B49" w:rsidRDefault="00270B49" w:rsidP="00FD07C8">
      <w:pPr>
        <w:ind w:left="0"/>
        <w:jc w:val="center"/>
        <w:rPr>
          <w:rFonts w:ascii="Times New Roman" w:hAnsi="Times New Roman" w:cs="Times New Roman"/>
          <w:b/>
          <w:bCs/>
          <w:sz w:val="24"/>
          <w:szCs w:val="24"/>
        </w:rPr>
      </w:pPr>
      <w:r w:rsidRPr="00270B49">
        <w:rPr>
          <w:rFonts w:ascii="Times New Roman" w:hAnsi="Times New Roman" w:cs="Times New Roman"/>
          <w:b/>
          <w:bCs/>
          <w:sz w:val="24"/>
          <w:szCs w:val="24"/>
        </w:rPr>
        <w:t>Student number 2312613</w:t>
      </w:r>
    </w:p>
    <w:p w14:paraId="2F57897C" w14:textId="24816F3E" w:rsidR="006950F6" w:rsidRPr="00AD5D5E" w:rsidRDefault="00382A01" w:rsidP="00FD07C8">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t>The Civil Justice system</w:t>
      </w:r>
      <w:r w:rsidRPr="00AD5D5E">
        <w:rPr>
          <w:rFonts w:ascii="Times New Roman" w:hAnsi="Times New Roman" w:cs="Times New Roman"/>
          <w:b/>
          <w:bCs/>
          <w:sz w:val="24"/>
          <w:szCs w:val="24"/>
        </w:rPr>
        <w:br/>
        <w:t>Introduction</w:t>
      </w:r>
    </w:p>
    <w:p w14:paraId="5DF5824A"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Civil legal aid is a pillar in providing justice to people who are unable to afford legal services for a variety of reasons. This support is vital regarding several non-criminal issues, including family disputes, housing controversies, and immigration problems. Meanwhile, the most extensive legislative changes and funding cuts in the legal aid spheres under the LASPO Act 2012 triggered quite a lengthy conversation about efficiency and civil legal aid service accessibility. This article focuses on the consequences that ensued as these changes were adopted and also on the suitability of the current system in line with the primary purpose of providing justice to the poorest.</w:t>
      </w:r>
    </w:p>
    <w:p w14:paraId="2144D0F2" w14:textId="5BC52B22" w:rsidR="001E14A0" w:rsidRPr="00AD5D5E" w:rsidRDefault="001E14A0" w:rsidP="00382A01">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t>Civil Legal Aid</w:t>
      </w:r>
    </w:p>
    <w:p w14:paraId="35A752B2"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Civil legal aid is a key service that is aimed at offering all those who are economically disadvantaged the opportunity to have legal representation, mainly in non-criminal matters. The service operates in various spheres of life, such as family conflicts, accommodation, migration, and benefits, to name but a few. The fundamental aim of civil legal aid is to guarantee justice by making sure that the lack of financial resources cannot be a hindrance to anyone claiming this service. The Legal Services Corporation highlights that civil legal aid is fundamental to "enabling the economically disadvantaged to get justice in the court system they could otherwise not afford" (Legal Services Corporation, 2023).</w:t>
      </w:r>
    </w:p>
    <w:p w14:paraId="70ED4A20" w14:textId="77777777" w:rsidR="00FD07C8" w:rsidRPr="00FD07C8" w:rsidRDefault="00CC2549" w:rsidP="00FD07C8">
      <w:pPr>
        <w:ind w:left="0"/>
        <w:rPr>
          <w:rFonts w:ascii="Times New Roman" w:hAnsi="Times New Roman" w:cs="Times New Roman"/>
          <w:sz w:val="24"/>
          <w:szCs w:val="24"/>
          <w:lang w:val="ro-RO"/>
        </w:rPr>
      </w:pPr>
      <w:r w:rsidRPr="00FD07C8">
        <w:rPr>
          <w:rFonts w:ascii="Times New Roman" w:hAnsi="Times New Roman" w:cs="Times New Roman"/>
          <w:sz w:val="24"/>
          <w:szCs w:val="24"/>
        </w:rPr>
        <w:t xml:space="preserve"> </w:t>
      </w:r>
      <w:r w:rsidR="00FD07C8" w:rsidRPr="00FD07C8">
        <w:rPr>
          <w:rFonts w:ascii="Times New Roman" w:hAnsi="Times New Roman" w:cs="Times New Roman"/>
          <w:sz w:val="24"/>
          <w:szCs w:val="24"/>
          <w:lang w:val="ro-RO"/>
        </w:rPr>
        <w:t xml:space="preserve">The most common civil legal aid eligibility criteria is to look at the applicant's financial status. In most jurisdictions, people have to show that their income and possessions are less than a </w:t>
      </w:r>
      <w:r w:rsidR="00FD07C8" w:rsidRPr="00FD07C8">
        <w:rPr>
          <w:rFonts w:ascii="Times New Roman" w:hAnsi="Times New Roman" w:cs="Times New Roman"/>
          <w:sz w:val="24"/>
          <w:szCs w:val="24"/>
          <w:lang w:val="ro-RO"/>
        </w:rPr>
        <w:lastRenderedPageBreak/>
        <w:t>certain limit to be eligible for the grant. For instance, in the United States, civil legal aid recipients must have an income that is at or below 125% of the Federal Poverty Guidelines, as per the American Bar Association (2023). Similarly, the legal problem at hand normally falls within the categories of civil legal aid, where some of the civil matters might not be included. Along with factor assessment, some legal aid organisations also consider factors such as the strength of the case or the possible impact of it on the client's life (National Legal Aid &amp; Defender Association, 2023). Such standards avoid wasting resources on people who are least in need, as well as on individual cases where legal aid will only bring a better outcome for that person.</w:t>
      </w:r>
    </w:p>
    <w:p w14:paraId="6E146766" w14:textId="5A41AFC6" w:rsidR="00C14AC4" w:rsidRPr="00AD5D5E" w:rsidRDefault="00C14AC4" w:rsidP="00FD07C8">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t>Changes Made by the Legal Aid</w:t>
      </w:r>
    </w:p>
    <w:p w14:paraId="0FFDB0BA"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The quote from the Law Society in 2024 indicates a vital problem with civil legal aid, which is that it has shrivelled to the point of not performing its main task—to provide access to justice. Legal aid has been at the forefront in recent years, defending the vulnerable and poor community from legal challenges that they could not have solved on their own. Nevertheless, the amendments made in the legal aid systems, and in particular in the United Kingdom, have sparked heated debates about whether these amendments have contributed to the ineffectiveness of such services.</w:t>
      </w:r>
    </w:p>
    <w:p w14:paraId="529CE36C" w14:textId="2A515F7A" w:rsidR="00427B8A" w:rsidRPr="00FD07C8" w:rsidRDefault="00C14AC4" w:rsidP="00FD07C8">
      <w:pPr>
        <w:ind w:left="0"/>
        <w:rPr>
          <w:rFonts w:ascii="Times New Roman" w:hAnsi="Times New Roman" w:cs="Times New Roman"/>
          <w:sz w:val="24"/>
          <w:szCs w:val="24"/>
          <w:lang w:val="ro-RO"/>
        </w:rPr>
      </w:pPr>
      <w:r w:rsidRPr="00FD07C8">
        <w:rPr>
          <w:rFonts w:ascii="Times New Roman" w:hAnsi="Times New Roman" w:cs="Times New Roman"/>
          <w:sz w:val="24"/>
          <w:szCs w:val="24"/>
        </w:rPr>
        <w:t xml:space="preserve"> </w:t>
      </w:r>
      <w:r w:rsidR="00FD07C8" w:rsidRPr="00FD07C8">
        <w:rPr>
          <w:rFonts w:ascii="Times New Roman" w:hAnsi="Times New Roman" w:cs="Times New Roman"/>
          <w:sz w:val="24"/>
          <w:szCs w:val="24"/>
          <w:lang w:val="ro-RO"/>
        </w:rPr>
        <w:t xml:space="preserve">The change in civil legal aid about which parliament played the most significant role is the introduction of the Legal Aid, Sentencing, and Punishment of Offenders Act 2012. This act is supposed to bring down government spending on legal aid, which, in their view, is too high. LASPO dramatically narrowed the list of questions that a private citizen can get help with, excluding the whole category of issues like most family law cases (unless domestic violence is involved), conflicts with private landlords, and some aspects of employment and education law. This, therefore, has led to many individuals who have legal problems in these areas being </w:t>
      </w:r>
      <w:r w:rsidR="00FD07C8" w:rsidRPr="00FD07C8">
        <w:rPr>
          <w:rFonts w:ascii="Times New Roman" w:hAnsi="Times New Roman" w:cs="Times New Roman"/>
          <w:sz w:val="24"/>
          <w:szCs w:val="24"/>
          <w:lang w:val="ro-RO"/>
        </w:rPr>
        <w:lastRenderedPageBreak/>
        <w:t>unsupported, termed by many critics as a 'justice gap,' where the right to legal representation is dependent on one's ability to pay (Ministry of Justice, 2013).</w:t>
      </w:r>
    </w:p>
    <w:p w14:paraId="24B9DA8B"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The justification for such a massive reform was primarily financial. The government aimed at cutting the legal aid budget by £350 million per year, perceiving the previous system as unsustainable and excessive. Proponents of LASPO contended that these reforms would motivate people to employ alternative dispute resolution options, like mediation, as opposed to litigation, therefore reducing the workload for the courts and legal aid. On the other hand, some people say that these savings are achieved at the expense of justice access since many disadvantaged groups no longer meet tighter standards for benefit provision (House of Commons Library, 2015).</w:t>
      </w:r>
    </w:p>
    <w:p w14:paraId="0A3A9B53"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LASPO has brought many profound and debatable changes to the sector. Legal bodies and charity organisations have reported an increase in the number of people representing themselves in court, which is known as 'litigants in person'. It should be noted that this can lead to slower proceedings in court and mean fairer results. The detractors, the Law Society, and others point out that the cuts have not only affected access to justice but also significantly increased long-term costs to the public purse. For example, unaddressed legal problems may worsen and become more complex, requiring the state to intervene in issues such as homelessness or custody matters (Access to Justice Foundation, 2022).</w:t>
      </w:r>
    </w:p>
    <w:p w14:paraId="0DD30EB5" w14:textId="134E92A4" w:rsidR="00CC2549" w:rsidRPr="00AD5D5E" w:rsidRDefault="00CC2549" w:rsidP="00CC2549">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t xml:space="preserve">Impact of the changes made by the Legal Aid </w:t>
      </w:r>
    </w:p>
    <w:p w14:paraId="1EC1FB54"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 xml:space="preserve">The Legal Aid, Sentencing, and Punishment of Offenders Act 2012 (LASPO) ushered in radical changes to the civil legal aid system in England and Wales, which can be linked to a justice crisis. This bill had a notable effect, as it eliminated legal aid in so many areas of law, including family law, housing, and welfare benefits, except where imminent physical danger or homelessness was apparent. This was a stark contrast to previous policies that offered broader legal aid coverage, </w:t>
      </w:r>
      <w:r w:rsidRPr="00FD07C8">
        <w:rPr>
          <w:rFonts w:ascii="Times New Roman" w:hAnsi="Times New Roman" w:cs="Times New Roman"/>
          <w:sz w:val="24"/>
          <w:szCs w:val="24"/>
          <w:lang w:val="ro-RO"/>
        </w:rPr>
        <w:lastRenderedPageBreak/>
        <w:t>aiming to equalize individuals' socioeconomic status so that they could obtain legal representation irrespective of their financial status. Some critics contend that LASPO's tighter eligibility and scope provide so many obstacles for people pursuing legal remedies. As the Law Society report suggests, these modifications have created "advice deserts" in some areas of the country where legal aid services are incredibly rare, worsening the gap between those who can afford to pay for legal services and those who cannot (Law Society, 2024).</w:t>
      </w:r>
    </w:p>
    <w:p w14:paraId="048E2DE6"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Those reforms were originally budget-driven. The government wanted to save £350 million a year through legal aid and believed that it was an unjust and financially unsound system. Nevertheless, the consequences have been huge. There has been a rising number of unrepresented litigants, who frequently have difficulties dealing with the legal system without proper guidance from professionals. Studies have shown that such litigants are rarely successful due to the fact that proceedings last longer and consequently increase the court workload, contrary to the cost-cutting idea (Judicial Executive Board, 2014). Likewise, the Citizens Advice Bureau has witnessed often more numerous visits on matters that were previously covered by legal aid, which hints that the need for support has not gone away (Citizens Advice, 2015).</w:t>
      </w:r>
    </w:p>
    <w:p w14:paraId="438F456B"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In addition to that, massive cuts in legal aid had repercussions on other social services. For example, there is a risk that lingering legal problems could develop into even more serious issues that would need state interventions like increased use of mental health services, social care, or housing support. It doesn't just deny the cost savings; it also creates an additional burden for already struggling public services. Critics, including the Law Society and various human rights organisations, have sought a revision of the range of legal aid and its financing to provide the service to all people, starting with the most vulnerable members of society (Human Rights Watch, 2023).</w:t>
      </w:r>
    </w:p>
    <w:p w14:paraId="36B93587" w14:textId="2F573F5B" w:rsidR="006950F6" w:rsidRPr="00AD5D5E" w:rsidRDefault="00382A01" w:rsidP="00382A01">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lastRenderedPageBreak/>
        <w:t>Reform Suggestions</w:t>
      </w:r>
    </w:p>
    <w:p w14:paraId="5C7A674B" w14:textId="77777777" w:rsidR="00FD07C8" w:rsidRPr="00FD07C8" w:rsidRDefault="00FD07C8" w:rsidP="00FD07C8">
      <w:pPr>
        <w:ind w:left="0"/>
        <w:rPr>
          <w:rFonts w:ascii="Times New Roman" w:hAnsi="Times New Roman" w:cs="Times New Roman"/>
          <w:sz w:val="24"/>
          <w:szCs w:val="24"/>
          <w:lang w:val="ro-RO"/>
        </w:rPr>
      </w:pPr>
      <w:r w:rsidRPr="00FD07C8">
        <w:rPr>
          <w:rFonts w:ascii="Times New Roman" w:hAnsi="Times New Roman" w:cs="Times New Roman"/>
          <w:sz w:val="24"/>
          <w:szCs w:val="24"/>
          <w:lang w:val="ro-RO"/>
        </w:rPr>
        <w:t>To address the deterioration of civil legal aid and its implications for accessing justice, various reforms are being suggested to solve this problem. Proponents of the concept propose the re-establishment of legal aid for categories annulled by the Legal Aid, Sentencing, and Punishment of Offenders Act 2012, particularly in family law, housing, and welfare benefits, areas where the absence of legal service can have a fundamental impact on someone's life (Law Society, 2024). Another issue that was raised was the need to increase the income eligibility limit for legal aid, which has failed to be linked to inflation, a situation that now denies affordable legal services to income earners who technically earn above the threshold but too little to afford private legal services (Citizens Advice, 2023). A new innovative model of financing, which could be a legal insurance system or a small levy on the profits of law firms, could be established to provide sustainable funding without a heavy burden on taxpayers. Furthermore, improving legal knowledge programmes and allocating resources for technology-related solutions such as online legal services can speed up processes, which is very important in extending the reach and increasing efficiency (Access to Justice Foundation, 2023).</w:t>
      </w:r>
    </w:p>
    <w:p w14:paraId="1AA01457" w14:textId="241A500D" w:rsidR="006950F6" w:rsidRPr="00AD5D5E" w:rsidRDefault="00382A01" w:rsidP="00382A01">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t>Conclusion</w:t>
      </w:r>
    </w:p>
    <w:p w14:paraId="3E048D71" w14:textId="77777777" w:rsidR="00197171" w:rsidRPr="00197171" w:rsidRDefault="00197171" w:rsidP="00197171">
      <w:pPr>
        <w:ind w:left="0"/>
        <w:rPr>
          <w:rFonts w:ascii="Times New Roman" w:hAnsi="Times New Roman" w:cs="Times New Roman"/>
          <w:sz w:val="24"/>
          <w:szCs w:val="24"/>
          <w:lang w:val="ro-RO"/>
        </w:rPr>
      </w:pPr>
      <w:r w:rsidRPr="00197171">
        <w:rPr>
          <w:rFonts w:ascii="Times New Roman" w:hAnsi="Times New Roman" w:cs="Times New Roman"/>
          <w:sz w:val="24"/>
          <w:szCs w:val="24"/>
          <w:lang w:val="ro-RO"/>
        </w:rPr>
        <w:t xml:space="preserve">The changes made by LASPO have not only redrawn the boundaries of civil legal aid delivery in England and Wales, but they have also highlighted the long-term problems around the sustainability of legal aid systems and their ability to deliver justice. Furthermore, lower eligibility and coverage have likely increased the justice gap, causing doubts among legal bodies, advocacy groups, and affected individuals. The reforms aim to restore and expand civil legal aid services by changing eligibility criteria, financing models, and delivery systems. During this period of </w:t>
      </w:r>
      <w:r w:rsidRPr="00197171">
        <w:rPr>
          <w:rFonts w:ascii="Times New Roman" w:hAnsi="Times New Roman" w:cs="Times New Roman"/>
          <w:sz w:val="24"/>
          <w:szCs w:val="24"/>
          <w:lang w:val="ro-RO"/>
        </w:rPr>
        <w:lastRenderedPageBreak/>
        <w:t>discourse, it will be vital for policymakers to scrutinise these models accurately to ensure that civil legal service facilitates the conservation of equity and justice in society.</w:t>
      </w:r>
    </w:p>
    <w:p w14:paraId="292ADC2E" w14:textId="77777777" w:rsidR="00382A01" w:rsidRPr="00AD5D5E" w:rsidRDefault="00382A01" w:rsidP="006950F6">
      <w:pPr>
        <w:ind w:left="0"/>
        <w:rPr>
          <w:rFonts w:ascii="Times New Roman" w:hAnsi="Times New Roman" w:cs="Times New Roman"/>
          <w:sz w:val="24"/>
          <w:szCs w:val="24"/>
        </w:rPr>
      </w:pPr>
    </w:p>
    <w:p w14:paraId="77337BD2" w14:textId="77777777" w:rsidR="00382A01" w:rsidRPr="00AD5D5E" w:rsidRDefault="00382A01" w:rsidP="006950F6">
      <w:pPr>
        <w:ind w:left="0"/>
        <w:rPr>
          <w:rFonts w:ascii="Times New Roman" w:hAnsi="Times New Roman" w:cs="Times New Roman"/>
          <w:sz w:val="24"/>
          <w:szCs w:val="24"/>
        </w:rPr>
      </w:pPr>
    </w:p>
    <w:p w14:paraId="7344F2BA" w14:textId="77777777" w:rsidR="00382A01" w:rsidRPr="00AD5D5E" w:rsidRDefault="00382A01" w:rsidP="006950F6">
      <w:pPr>
        <w:ind w:left="0"/>
        <w:rPr>
          <w:rFonts w:ascii="Times New Roman" w:hAnsi="Times New Roman" w:cs="Times New Roman"/>
          <w:sz w:val="24"/>
          <w:szCs w:val="24"/>
        </w:rPr>
      </w:pPr>
    </w:p>
    <w:p w14:paraId="7D6B5F62" w14:textId="77777777" w:rsidR="00382A01" w:rsidRPr="00AD5D5E" w:rsidRDefault="00382A01" w:rsidP="006950F6">
      <w:pPr>
        <w:ind w:left="0"/>
        <w:rPr>
          <w:rFonts w:ascii="Times New Roman" w:hAnsi="Times New Roman" w:cs="Times New Roman"/>
          <w:sz w:val="24"/>
          <w:szCs w:val="24"/>
        </w:rPr>
      </w:pPr>
    </w:p>
    <w:p w14:paraId="2FBEB958" w14:textId="77777777" w:rsidR="00382A01" w:rsidRPr="00AD5D5E" w:rsidRDefault="00382A01" w:rsidP="006950F6">
      <w:pPr>
        <w:ind w:left="0"/>
        <w:rPr>
          <w:rFonts w:ascii="Times New Roman" w:hAnsi="Times New Roman" w:cs="Times New Roman"/>
          <w:sz w:val="24"/>
          <w:szCs w:val="24"/>
        </w:rPr>
      </w:pPr>
    </w:p>
    <w:p w14:paraId="236AFB73" w14:textId="77777777" w:rsidR="00382A01" w:rsidRPr="00AD5D5E" w:rsidRDefault="00382A01" w:rsidP="006950F6">
      <w:pPr>
        <w:ind w:left="0"/>
        <w:rPr>
          <w:rFonts w:ascii="Times New Roman" w:hAnsi="Times New Roman" w:cs="Times New Roman"/>
          <w:sz w:val="24"/>
          <w:szCs w:val="24"/>
        </w:rPr>
      </w:pPr>
    </w:p>
    <w:p w14:paraId="7A619FDF" w14:textId="77777777" w:rsidR="00382A01" w:rsidRPr="00AD5D5E" w:rsidRDefault="00382A01" w:rsidP="006950F6">
      <w:pPr>
        <w:ind w:left="0"/>
        <w:rPr>
          <w:rFonts w:ascii="Times New Roman" w:hAnsi="Times New Roman" w:cs="Times New Roman"/>
          <w:sz w:val="24"/>
          <w:szCs w:val="24"/>
        </w:rPr>
      </w:pPr>
    </w:p>
    <w:p w14:paraId="26B1FEC4" w14:textId="77777777" w:rsidR="00382A01" w:rsidRPr="00AD5D5E" w:rsidRDefault="00382A01" w:rsidP="006950F6">
      <w:pPr>
        <w:ind w:left="0"/>
        <w:rPr>
          <w:rFonts w:ascii="Times New Roman" w:hAnsi="Times New Roman" w:cs="Times New Roman"/>
          <w:sz w:val="24"/>
          <w:szCs w:val="24"/>
        </w:rPr>
      </w:pPr>
    </w:p>
    <w:p w14:paraId="4C555FB8" w14:textId="77777777" w:rsidR="00382A01" w:rsidRPr="00AD5D5E" w:rsidRDefault="00382A01" w:rsidP="006950F6">
      <w:pPr>
        <w:ind w:left="0"/>
        <w:rPr>
          <w:rFonts w:ascii="Times New Roman" w:hAnsi="Times New Roman" w:cs="Times New Roman"/>
          <w:sz w:val="24"/>
          <w:szCs w:val="24"/>
        </w:rPr>
      </w:pPr>
    </w:p>
    <w:p w14:paraId="6E6F4B44" w14:textId="77777777" w:rsidR="00382A01" w:rsidRPr="00AD5D5E" w:rsidRDefault="00382A01" w:rsidP="006950F6">
      <w:pPr>
        <w:ind w:left="0"/>
        <w:rPr>
          <w:rFonts w:ascii="Times New Roman" w:hAnsi="Times New Roman" w:cs="Times New Roman"/>
          <w:sz w:val="24"/>
          <w:szCs w:val="24"/>
        </w:rPr>
      </w:pPr>
    </w:p>
    <w:p w14:paraId="34AE74CC" w14:textId="77777777" w:rsidR="00382A01" w:rsidRPr="00AD5D5E" w:rsidRDefault="00382A01" w:rsidP="006950F6">
      <w:pPr>
        <w:ind w:left="0"/>
        <w:rPr>
          <w:rFonts w:ascii="Times New Roman" w:hAnsi="Times New Roman" w:cs="Times New Roman"/>
          <w:sz w:val="24"/>
          <w:szCs w:val="24"/>
        </w:rPr>
      </w:pPr>
    </w:p>
    <w:p w14:paraId="445AEEC8" w14:textId="77777777" w:rsidR="00382A01" w:rsidRPr="00AD5D5E" w:rsidRDefault="00382A01" w:rsidP="00382A01">
      <w:pPr>
        <w:ind w:left="0"/>
        <w:jc w:val="center"/>
        <w:rPr>
          <w:rFonts w:ascii="Times New Roman" w:hAnsi="Times New Roman" w:cs="Times New Roman"/>
          <w:b/>
          <w:bCs/>
          <w:sz w:val="24"/>
          <w:szCs w:val="24"/>
        </w:rPr>
      </w:pPr>
    </w:p>
    <w:p w14:paraId="3259F44E" w14:textId="77777777" w:rsidR="00382A01" w:rsidRPr="00AD5D5E" w:rsidRDefault="00382A01" w:rsidP="00382A01">
      <w:pPr>
        <w:ind w:left="0"/>
        <w:jc w:val="center"/>
        <w:rPr>
          <w:rFonts w:ascii="Times New Roman" w:hAnsi="Times New Roman" w:cs="Times New Roman"/>
          <w:b/>
          <w:bCs/>
          <w:sz w:val="24"/>
          <w:szCs w:val="24"/>
        </w:rPr>
      </w:pPr>
    </w:p>
    <w:p w14:paraId="1183F0F5" w14:textId="77777777" w:rsidR="00382A01" w:rsidRPr="00AD5D5E" w:rsidRDefault="00382A01" w:rsidP="00382A01">
      <w:pPr>
        <w:ind w:left="0"/>
        <w:jc w:val="center"/>
        <w:rPr>
          <w:rFonts w:ascii="Times New Roman" w:hAnsi="Times New Roman" w:cs="Times New Roman"/>
          <w:b/>
          <w:bCs/>
          <w:sz w:val="24"/>
          <w:szCs w:val="24"/>
        </w:rPr>
      </w:pPr>
    </w:p>
    <w:p w14:paraId="0E56472A" w14:textId="77777777" w:rsidR="00382A01" w:rsidRPr="00AD5D5E" w:rsidRDefault="00382A01" w:rsidP="00382A01">
      <w:pPr>
        <w:ind w:left="0"/>
        <w:jc w:val="center"/>
        <w:rPr>
          <w:rFonts w:ascii="Times New Roman" w:hAnsi="Times New Roman" w:cs="Times New Roman"/>
          <w:b/>
          <w:bCs/>
          <w:sz w:val="24"/>
          <w:szCs w:val="24"/>
        </w:rPr>
      </w:pPr>
    </w:p>
    <w:p w14:paraId="308CFBBA" w14:textId="77777777" w:rsidR="00382A01" w:rsidRPr="00AD5D5E" w:rsidRDefault="00382A01" w:rsidP="00382A01">
      <w:pPr>
        <w:ind w:left="0"/>
        <w:jc w:val="center"/>
        <w:rPr>
          <w:rFonts w:ascii="Times New Roman" w:hAnsi="Times New Roman" w:cs="Times New Roman"/>
          <w:b/>
          <w:bCs/>
          <w:sz w:val="24"/>
          <w:szCs w:val="24"/>
        </w:rPr>
      </w:pPr>
    </w:p>
    <w:p w14:paraId="7D3597A0" w14:textId="77777777" w:rsidR="00382A01" w:rsidRPr="00AD5D5E" w:rsidRDefault="00382A01" w:rsidP="00382A01">
      <w:pPr>
        <w:ind w:left="0"/>
        <w:jc w:val="center"/>
        <w:rPr>
          <w:rFonts w:ascii="Times New Roman" w:hAnsi="Times New Roman" w:cs="Times New Roman"/>
          <w:b/>
          <w:bCs/>
          <w:sz w:val="24"/>
          <w:szCs w:val="24"/>
        </w:rPr>
      </w:pPr>
    </w:p>
    <w:p w14:paraId="7A476AE2" w14:textId="77777777" w:rsidR="00382A01" w:rsidRDefault="00382A01" w:rsidP="00382A01">
      <w:pPr>
        <w:ind w:left="0"/>
        <w:jc w:val="center"/>
        <w:rPr>
          <w:rFonts w:ascii="Times New Roman" w:hAnsi="Times New Roman" w:cs="Times New Roman"/>
          <w:b/>
          <w:bCs/>
          <w:sz w:val="24"/>
          <w:szCs w:val="24"/>
        </w:rPr>
      </w:pPr>
    </w:p>
    <w:p w14:paraId="1E56A6A8" w14:textId="77777777" w:rsidR="00AD5D5E" w:rsidRDefault="00AD5D5E" w:rsidP="00382A01">
      <w:pPr>
        <w:ind w:left="0"/>
        <w:jc w:val="center"/>
        <w:rPr>
          <w:rFonts w:ascii="Times New Roman" w:hAnsi="Times New Roman" w:cs="Times New Roman"/>
          <w:b/>
          <w:bCs/>
          <w:sz w:val="24"/>
          <w:szCs w:val="24"/>
        </w:rPr>
      </w:pPr>
    </w:p>
    <w:p w14:paraId="3F313AF0" w14:textId="77777777" w:rsidR="00AD5D5E" w:rsidRDefault="00AD5D5E" w:rsidP="00382A01">
      <w:pPr>
        <w:ind w:left="0"/>
        <w:jc w:val="center"/>
        <w:rPr>
          <w:rFonts w:ascii="Times New Roman" w:hAnsi="Times New Roman" w:cs="Times New Roman"/>
          <w:b/>
          <w:bCs/>
          <w:sz w:val="24"/>
          <w:szCs w:val="24"/>
        </w:rPr>
      </w:pPr>
    </w:p>
    <w:p w14:paraId="751D62A9" w14:textId="77777777" w:rsidR="00AD5D5E" w:rsidRPr="00AD5D5E" w:rsidRDefault="00AD5D5E" w:rsidP="00382A01">
      <w:pPr>
        <w:ind w:left="0"/>
        <w:jc w:val="center"/>
        <w:rPr>
          <w:rFonts w:ascii="Times New Roman" w:hAnsi="Times New Roman" w:cs="Times New Roman"/>
          <w:b/>
          <w:bCs/>
          <w:sz w:val="24"/>
          <w:szCs w:val="24"/>
        </w:rPr>
      </w:pPr>
    </w:p>
    <w:p w14:paraId="41F9FB90" w14:textId="77777777" w:rsidR="00382A01" w:rsidRPr="00AD5D5E" w:rsidRDefault="00382A01" w:rsidP="00382A01">
      <w:pPr>
        <w:ind w:left="0"/>
        <w:jc w:val="center"/>
        <w:rPr>
          <w:rFonts w:ascii="Times New Roman" w:hAnsi="Times New Roman" w:cs="Times New Roman"/>
          <w:b/>
          <w:bCs/>
          <w:sz w:val="24"/>
          <w:szCs w:val="24"/>
        </w:rPr>
      </w:pPr>
    </w:p>
    <w:p w14:paraId="1D097665" w14:textId="2E349848" w:rsidR="00382A01" w:rsidRPr="00AD5D5E" w:rsidRDefault="00382A01" w:rsidP="00382A01">
      <w:pPr>
        <w:ind w:left="0"/>
        <w:jc w:val="center"/>
        <w:rPr>
          <w:rFonts w:ascii="Times New Roman" w:hAnsi="Times New Roman" w:cs="Times New Roman"/>
          <w:b/>
          <w:bCs/>
          <w:sz w:val="24"/>
          <w:szCs w:val="24"/>
        </w:rPr>
      </w:pPr>
      <w:r w:rsidRPr="00AD5D5E">
        <w:rPr>
          <w:rFonts w:ascii="Times New Roman" w:hAnsi="Times New Roman" w:cs="Times New Roman"/>
          <w:b/>
          <w:bCs/>
          <w:sz w:val="24"/>
          <w:szCs w:val="24"/>
        </w:rPr>
        <w:t>References</w:t>
      </w:r>
    </w:p>
    <w:p w14:paraId="6738636B"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Access to Justice Foundation. (2022). Effects of Legal Aid Cuts and Recommendations for Reform. Retrieved from Access to Justice Foundation.</w:t>
      </w:r>
    </w:p>
    <w:p w14:paraId="794AFD00"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Access to Justice Foundation. (2023). Advancements in Legal Aid Funding and Technology. From Access to Justice Foundation Reports.</w:t>
      </w:r>
    </w:p>
    <w:p w14:paraId="4CD8CFE0" w14:textId="77777777" w:rsidR="003730EF"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 xml:space="preserve">American Bar Association. (2023): Legal Aid Eligibility Criteria. Retrieved from </w:t>
      </w:r>
      <w:hyperlink r:id="rId5" w:history="1">
        <w:r w:rsidRPr="00634DDF">
          <w:rPr>
            <w:rStyle w:val="Hyperlink"/>
            <w:rFonts w:ascii="Times New Roman" w:hAnsi="Times New Roman" w:cs="Times New Roman"/>
            <w:sz w:val="24"/>
            <w:szCs w:val="24"/>
          </w:rPr>
          <w:t>https://www.americanbar.org/groups/legal_aid_indigent_defendants/initiatives/</w:t>
        </w:r>
      </w:hyperlink>
    </w:p>
    <w:p w14:paraId="34ABAD5A"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 xml:space="preserve">Citizens Advice. (2015). The </w:t>
      </w:r>
      <w:proofErr w:type="spellStart"/>
      <w:r w:rsidRPr="00AD5D5E">
        <w:rPr>
          <w:rFonts w:ascii="Times New Roman" w:hAnsi="Times New Roman" w:cs="Times New Roman"/>
          <w:sz w:val="24"/>
          <w:szCs w:val="24"/>
        </w:rPr>
        <w:t>Affect</w:t>
      </w:r>
      <w:proofErr w:type="spellEnd"/>
      <w:r w:rsidRPr="00AD5D5E">
        <w:rPr>
          <w:rFonts w:ascii="Times New Roman" w:hAnsi="Times New Roman" w:cs="Times New Roman"/>
          <w:sz w:val="24"/>
          <w:szCs w:val="24"/>
        </w:rPr>
        <w:t xml:space="preserve"> of the Legal Aid Cuts on the Advice Services.</w:t>
      </w:r>
    </w:p>
    <w:p w14:paraId="39261B87"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Citizens Advice. (2023). Legal Aid Eligibility Threshold: Advocacy for an Increase. From Citizens Advice Resources.</w:t>
      </w:r>
    </w:p>
    <w:p w14:paraId="05FAEEFA"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House of Commons Library. (2015). Effect of the Legal Aid, Sentencing and Punishment of Offenders Act 2012. From UK Parliament Publications.</w:t>
      </w:r>
    </w:p>
    <w:p w14:paraId="06AE93A3"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Human Rights Watch. (2023). Legal Aid Reforms Criticism in the UK.</w:t>
      </w:r>
    </w:p>
    <w:p w14:paraId="72628B22"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Judicial Executive Board. (2014). Legal Aid Changes Impact on Court Services.</w:t>
      </w:r>
    </w:p>
    <w:p w14:paraId="49809D06"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Law Society. (2024). Annual report on the state of civil legal aid. Taken from Law Society Publications.</w:t>
      </w:r>
    </w:p>
    <w:p w14:paraId="6614CAD1"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Law Society. (2024). Annual report on the state of civil legal aid.</w:t>
      </w:r>
    </w:p>
    <w:p w14:paraId="46B59362" w14:textId="77777777" w:rsidR="003730EF"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 xml:space="preserve">Legal Services Corporation. (2023). Why Civil Legal Aid? Retrieved from </w:t>
      </w:r>
      <w:hyperlink r:id="rId6" w:history="1">
        <w:r w:rsidRPr="00634DDF">
          <w:rPr>
            <w:rStyle w:val="Hyperlink"/>
            <w:rFonts w:ascii="Times New Roman" w:hAnsi="Times New Roman" w:cs="Times New Roman"/>
            <w:sz w:val="24"/>
            <w:szCs w:val="24"/>
          </w:rPr>
          <w:t>https://www.lsc.gov/what-legal-aid</w:t>
        </w:r>
      </w:hyperlink>
    </w:p>
    <w:p w14:paraId="3EE4002D" w14:textId="77777777" w:rsidR="003730EF" w:rsidRPr="00AD5D5E"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Ministry of Justice. (2013). Reforming Legal Aid. Source: Ministry of Justice Website.</w:t>
      </w:r>
    </w:p>
    <w:p w14:paraId="4BE79590" w14:textId="77777777" w:rsidR="003730EF" w:rsidRDefault="003730EF" w:rsidP="003730EF">
      <w:pPr>
        <w:ind w:hanging="720"/>
        <w:rPr>
          <w:rFonts w:ascii="Times New Roman" w:hAnsi="Times New Roman" w:cs="Times New Roman"/>
          <w:sz w:val="24"/>
          <w:szCs w:val="24"/>
        </w:rPr>
      </w:pPr>
      <w:r w:rsidRPr="00AD5D5E">
        <w:rPr>
          <w:rFonts w:ascii="Times New Roman" w:hAnsi="Times New Roman" w:cs="Times New Roman"/>
          <w:sz w:val="24"/>
          <w:szCs w:val="24"/>
        </w:rPr>
        <w:t xml:space="preserve">National Legal Aid &amp; Defender Association. (2023). Legal Aid Eligibility Criteria. Retrieved from </w:t>
      </w:r>
      <w:hyperlink r:id="rId7" w:history="1">
        <w:r w:rsidRPr="00634DDF">
          <w:rPr>
            <w:rStyle w:val="Hyperlink"/>
            <w:rFonts w:ascii="Times New Roman" w:hAnsi="Times New Roman" w:cs="Times New Roman"/>
            <w:sz w:val="24"/>
            <w:szCs w:val="24"/>
          </w:rPr>
          <w:t>https://www.nlada.org/legal-aid-criteria</w:t>
        </w:r>
      </w:hyperlink>
    </w:p>
    <w:sectPr w:rsidR="003730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2561F"/>
    <w:multiLevelType w:val="hybridMultilevel"/>
    <w:tmpl w:val="7CE280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B9751E1"/>
    <w:multiLevelType w:val="multilevel"/>
    <w:tmpl w:val="EF8A1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20187F"/>
    <w:multiLevelType w:val="multilevel"/>
    <w:tmpl w:val="014AE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0235641">
    <w:abstractNumId w:val="2"/>
  </w:num>
  <w:num w:numId="2" w16cid:durableId="1067797584">
    <w:abstractNumId w:val="1"/>
  </w:num>
  <w:num w:numId="3" w16cid:durableId="1449542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F6"/>
    <w:rsid w:val="0000030E"/>
    <w:rsid w:val="001119B0"/>
    <w:rsid w:val="00197171"/>
    <w:rsid w:val="001E14A0"/>
    <w:rsid w:val="00270B49"/>
    <w:rsid w:val="003730EF"/>
    <w:rsid w:val="00382A01"/>
    <w:rsid w:val="00427B8A"/>
    <w:rsid w:val="0068002A"/>
    <w:rsid w:val="006950F6"/>
    <w:rsid w:val="00867454"/>
    <w:rsid w:val="00A12262"/>
    <w:rsid w:val="00AD5D5E"/>
    <w:rsid w:val="00B01D7B"/>
    <w:rsid w:val="00B154CE"/>
    <w:rsid w:val="00C14AC4"/>
    <w:rsid w:val="00CC2549"/>
    <w:rsid w:val="00FD0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CB9D7"/>
  <w15:chartTrackingRefBased/>
  <w15:docId w15:val="{D35911DF-F475-47C3-9E1F-5271EDE6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ind w:left="720"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B0"/>
    <w:pPr>
      <w:keepNext/>
      <w:keepLines/>
      <w:spacing w:before="240"/>
      <w:outlineLvl w:val="0"/>
    </w:pPr>
    <w:rPr>
      <w:rFonts w:ascii="Arial" w:eastAsiaTheme="majorEastAsia" w:hAnsi="Arial" w:cstheme="majorBidi"/>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9B0"/>
    <w:rPr>
      <w:rFonts w:ascii="Arial" w:eastAsiaTheme="majorEastAsia" w:hAnsi="Arial" w:cstheme="majorBidi"/>
      <w:sz w:val="24"/>
      <w:szCs w:val="32"/>
    </w:rPr>
  </w:style>
  <w:style w:type="character" w:styleId="Hyperlink">
    <w:name w:val="Hyperlink"/>
    <w:basedOn w:val="DefaultParagraphFont"/>
    <w:uiPriority w:val="99"/>
    <w:unhideWhenUsed/>
    <w:rsid w:val="006950F6"/>
    <w:rPr>
      <w:color w:val="0563C1" w:themeColor="hyperlink"/>
      <w:u w:val="single"/>
    </w:rPr>
  </w:style>
  <w:style w:type="character" w:styleId="UnresolvedMention">
    <w:name w:val="Unresolved Mention"/>
    <w:basedOn w:val="DefaultParagraphFont"/>
    <w:uiPriority w:val="99"/>
    <w:semiHidden/>
    <w:unhideWhenUsed/>
    <w:rsid w:val="006950F6"/>
    <w:rPr>
      <w:color w:val="605E5C"/>
      <w:shd w:val="clear" w:color="auto" w:fill="E1DFDD"/>
    </w:rPr>
  </w:style>
  <w:style w:type="paragraph" w:styleId="ListParagraph">
    <w:name w:val="List Paragraph"/>
    <w:basedOn w:val="Normal"/>
    <w:uiPriority w:val="34"/>
    <w:qFormat/>
    <w:rsid w:val="00382A01"/>
    <w:pPr>
      <w:contextualSpacing/>
    </w:pPr>
  </w:style>
  <w:style w:type="paragraph" w:styleId="NormalWeb">
    <w:name w:val="Normal (Web)"/>
    <w:basedOn w:val="Normal"/>
    <w:uiPriority w:val="99"/>
    <w:semiHidden/>
    <w:unhideWhenUsed/>
    <w:rsid w:val="00FD07C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88150">
      <w:bodyDiv w:val="1"/>
      <w:marLeft w:val="0"/>
      <w:marRight w:val="0"/>
      <w:marTop w:val="0"/>
      <w:marBottom w:val="0"/>
      <w:divBdr>
        <w:top w:val="none" w:sz="0" w:space="0" w:color="auto"/>
        <w:left w:val="none" w:sz="0" w:space="0" w:color="auto"/>
        <w:bottom w:val="none" w:sz="0" w:space="0" w:color="auto"/>
        <w:right w:val="none" w:sz="0" w:space="0" w:color="auto"/>
      </w:divBdr>
    </w:div>
    <w:div w:id="170267820">
      <w:bodyDiv w:val="1"/>
      <w:marLeft w:val="0"/>
      <w:marRight w:val="0"/>
      <w:marTop w:val="0"/>
      <w:marBottom w:val="0"/>
      <w:divBdr>
        <w:top w:val="none" w:sz="0" w:space="0" w:color="auto"/>
        <w:left w:val="none" w:sz="0" w:space="0" w:color="auto"/>
        <w:bottom w:val="none" w:sz="0" w:space="0" w:color="auto"/>
        <w:right w:val="none" w:sz="0" w:space="0" w:color="auto"/>
      </w:divBdr>
    </w:div>
    <w:div w:id="204488419">
      <w:bodyDiv w:val="1"/>
      <w:marLeft w:val="0"/>
      <w:marRight w:val="0"/>
      <w:marTop w:val="0"/>
      <w:marBottom w:val="0"/>
      <w:divBdr>
        <w:top w:val="none" w:sz="0" w:space="0" w:color="auto"/>
        <w:left w:val="none" w:sz="0" w:space="0" w:color="auto"/>
        <w:bottom w:val="none" w:sz="0" w:space="0" w:color="auto"/>
        <w:right w:val="none" w:sz="0" w:space="0" w:color="auto"/>
      </w:divBdr>
    </w:div>
    <w:div w:id="326784773">
      <w:bodyDiv w:val="1"/>
      <w:marLeft w:val="0"/>
      <w:marRight w:val="0"/>
      <w:marTop w:val="0"/>
      <w:marBottom w:val="0"/>
      <w:divBdr>
        <w:top w:val="none" w:sz="0" w:space="0" w:color="auto"/>
        <w:left w:val="none" w:sz="0" w:space="0" w:color="auto"/>
        <w:bottom w:val="none" w:sz="0" w:space="0" w:color="auto"/>
        <w:right w:val="none" w:sz="0" w:space="0" w:color="auto"/>
      </w:divBdr>
    </w:div>
    <w:div w:id="528224654">
      <w:bodyDiv w:val="1"/>
      <w:marLeft w:val="0"/>
      <w:marRight w:val="0"/>
      <w:marTop w:val="0"/>
      <w:marBottom w:val="0"/>
      <w:divBdr>
        <w:top w:val="none" w:sz="0" w:space="0" w:color="auto"/>
        <w:left w:val="none" w:sz="0" w:space="0" w:color="auto"/>
        <w:bottom w:val="none" w:sz="0" w:space="0" w:color="auto"/>
        <w:right w:val="none" w:sz="0" w:space="0" w:color="auto"/>
      </w:divBdr>
    </w:div>
    <w:div w:id="587886657">
      <w:bodyDiv w:val="1"/>
      <w:marLeft w:val="0"/>
      <w:marRight w:val="0"/>
      <w:marTop w:val="0"/>
      <w:marBottom w:val="0"/>
      <w:divBdr>
        <w:top w:val="none" w:sz="0" w:space="0" w:color="auto"/>
        <w:left w:val="none" w:sz="0" w:space="0" w:color="auto"/>
        <w:bottom w:val="none" w:sz="0" w:space="0" w:color="auto"/>
        <w:right w:val="none" w:sz="0" w:space="0" w:color="auto"/>
      </w:divBdr>
    </w:div>
    <w:div w:id="636178437">
      <w:bodyDiv w:val="1"/>
      <w:marLeft w:val="0"/>
      <w:marRight w:val="0"/>
      <w:marTop w:val="0"/>
      <w:marBottom w:val="0"/>
      <w:divBdr>
        <w:top w:val="none" w:sz="0" w:space="0" w:color="auto"/>
        <w:left w:val="none" w:sz="0" w:space="0" w:color="auto"/>
        <w:bottom w:val="none" w:sz="0" w:space="0" w:color="auto"/>
        <w:right w:val="none" w:sz="0" w:space="0" w:color="auto"/>
      </w:divBdr>
    </w:div>
    <w:div w:id="732507655">
      <w:bodyDiv w:val="1"/>
      <w:marLeft w:val="0"/>
      <w:marRight w:val="0"/>
      <w:marTop w:val="0"/>
      <w:marBottom w:val="0"/>
      <w:divBdr>
        <w:top w:val="none" w:sz="0" w:space="0" w:color="auto"/>
        <w:left w:val="none" w:sz="0" w:space="0" w:color="auto"/>
        <w:bottom w:val="none" w:sz="0" w:space="0" w:color="auto"/>
        <w:right w:val="none" w:sz="0" w:space="0" w:color="auto"/>
      </w:divBdr>
    </w:div>
    <w:div w:id="911307085">
      <w:bodyDiv w:val="1"/>
      <w:marLeft w:val="0"/>
      <w:marRight w:val="0"/>
      <w:marTop w:val="0"/>
      <w:marBottom w:val="0"/>
      <w:divBdr>
        <w:top w:val="none" w:sz="0" w:space="0" w:color="auto"/>
        <w:left w:val="none" w:sz="0" w:space="0" w:color="auto"/>
        <w:bottom w:val="none" w:sz="0" w:space="0" w:color="auto"/>
        <w:right w:val="none" w:sz="0" w:space="0" w:color="auto"/>
      </w:divBdr>
    </w:div>
    <w:div w:id="994992082">
      <w:bodyDiv w:val="1"/>
      <w:marLeft w:val="0"/>
      <w:marRight w:val="0"/>
      <w:marTop w:val="0"/>
      <w:marBottom w:val="0"/>
      <w:divBdr>
        <w:top w:val="none" w:sz="0" w:space="0" w:color="auto"/>
        <w:left w:val="none" w:sz="0" w:space="0" w:color="auto"/>
        <w:bottom w:val="none" w:sz="0" w:space="0" w:color="auto"/>
        <w:right w:val="none" w:sz="0" w:space="0" w:color="auto"/>
      </w:divBdr>
    </w:div>
    <w:div w:id="1081567700">
      <w:bodyDiv w:val="1"/>
      <w:marLeft w:val="0"/>
      <w:marRight w:val="0"/>
      <w:marTop w:val="0"/>
      <w:marBottom w:val="0"/>
      <w:divBdr>
        <w:top w:val="none" w:sz="0" w:space="0" w:color="auto"/>
        <w:left w:val="none" w:sz="0" w:space="0" w:color="auto"/>
        <w:bottom w:val="none" w:sz="0" w:space="0" w:color="auto"/>
        <w:right w:val="none" w:sz="0" w:space="0" w:color="auto"/>
      </w:divBdr>
    </w:div>
    <w:div w:id="1099179907">
      <w:bodyDiv w:val="1"/>
      <w:marLeft w:val="0"/>
      <w:marRight w:val="0"/>
      <w:marTop w:val="0"/>
      <w:marBottom w:val="0"/>
      <w:divBdr>
        <w:top w:val="none" w:sz="0" w:space="0" w:color="auto"/>
        <w:left w:val="none" w:sz="0" w:space="0" w:color="auto"/>
        <w:bottom w:val="none" w:sz="0" w:space="0" w:color="auto"/>
        <w:right w:val="none" w:sz="0" w:space="0" w:color="auto"/>
      </w:divBdr>
    </w:div>
    <w:div w:id="1169369853">
      <w:bodyDiv w:val="1"/>
      <w:marLeft w:val="0"/>
      <w:marRight w:val="0"/>
      <w:marTop w:val="0"/>
      <w:marBottom w:val="0"/>
      <w:divBdr>
        <w:top w:val="none" w:sz="0" w:space="0" w:color="auto"/>
        <w:left w:val="none" w:sz="0" w:space="0" w:color="auto"/>
        <w:bottom w:val="none" w:sz="0" w:space="0" w:color="auto"/>
        <w:right w:val="none" w:sz="0" w:space="0" w:color="auto"/>
      </w:divBdr>
    </w:div>
    <w:div w:id="1276211061">
      <w:bodyDiv w:val="1"/>
      <w:marLeft w:val="0"/>
      <w:marRight w:val="0"/>
      <w:marTop w:val="0"/>
      <w:marBottom w:val="0"/>
      <w:divBdr>
        <w:top w:val="none" w:sz="0" w:space="0" w:color="auto"/>
        <w:left w:val="none" w:sz="0" w:space="0" w:color="auto"/>
        <w:bottom w:val="none" w:sz="0" w:space="0" w:color="auto"/>
        <w:right w:val="none" w:sz="0" w:space="0" w:color="auto"/>
      </w:divBdr>
    </w:div>
    <w:div w:id="1328483115">
      <w:bodyDiv w:val="1"/>
      <w:marLeft w:val="0"/>
      <w:marRight w:val="0"/>
      <w:marTop w:val="0"/>
      <w:marBottom w:val="0"/>
      <w:divBdr>
        <w:top w:val="none" w:sz="0" w:space="0" w:color="auto"/>
        <w:left w:val="none" w:sz="0" w:space="0" w:color="auto"/>
        <w:bottom w:val="none" w:sz="0" w:space="0" w:color="auto"/>
        <w:right w:val="none" w:sz="0" w:space="0" w:color="auto"/>
      </w:divBdr>
    </w:div>
    <w:div w:id="1334263678">
      <w:bodyDiv w:val="1"/>
      <w:marLeft w:val="0"/>
      <w:marRight w:val="0"/>
      <w:marTop w:val="0"/>
      <w:marBottom w:val="0"/>
      <w:divBdr>
        <w:top w:val="none" w:sz="0" w:space="0" w:color="auto"/>
        <w:left w:val="none" w:sz="0" w:space="0" w:color="auto"/>
        <w:bottom w:val="none" w:sz="0" w:space="0" w:color="auto"/>
        <w:right w:val="none" w:sz="0" w:space="0" w:color="auto"/>
      </w:divBdr>
    </w:div>
    <w:div w:id="1347711535">
      <w:bodyDiv w:val="1"/>
      <w:marLeft w:val="0"/>
      <w:marRight w:val="0"/>
      <w:marTop w:val="0"/>
      <w:marBottom w:val="0"/>
      <w:divBdr>
        <w:top w:val="none" w:sz="0" w:space="0" w:color="auto"/>
        <w:left w:val="none" w:sz="0" w:space="0" w:color="auto"/>
        <w:bottom w:val="none" w:sz="0" w:space="0" w:color="auto"/>
        <w:right w:val="none" w:sz="0" w:space="0" w:color="auto"/>
      </w:divBdr>
    </w:div>
    <w:div w:id="1411271383">
      <w:bodyDiv w:val="1"/>
      <w:marLeft w:val="0"/>
      <w:marRight w:val="0"/>
      <w:marTop w:val="0"/>
      <w:marBottom w:val="0"/>
      <w:divBdr>
        <w:top w:val="none" w:sz="0" w:space="0" w:color="auto"/>
        <w:left w:val="none" w:sz="0" w:space="0" w:color="auto"/>
        <w:bottom w:val="none" w:sz="0" w:space="0" w:color="auto"/>
        <w:right w:val="none" w:sz="0" w:space="0" w:color="auto"/>
      </w:divBdr>
    </w:div>
    <w:div w:id="1474710118">
      <w:bodyDiv w:val="1"/>
      <w:marLeft w:val="0"/>
      <w:marRight w:val="0"/>
      <w:marTop w:val="0"/>
      <w:marBottom w:val="0"/>
      <w:divBdr>
        <w:top w:val="none" w:sz="0" w:space="0" w:color="auto"/>
        <w:left w:val="none" w:sz="0" w:space="0" w:color="auto"/>
        <w:bottom w:val="none" w:sz="0" w:space="0" w:color="auto"/>
        <w:right w:val="none" w:sz="0" w:space="0" w:color="auto"/>
      </w:divBdr>
    </w:div>
    <w:div w:id="1508212528">
      <w:bodyDiv w:val="1"/>
      <w:marLeft w:val="0"/>
      <w:marRight w:val="0"/>
      <w:marTop w:val="0"/>
      <w:marBottom w:val="0"/>
      <w:divBdr>
        <w:top w:val="none" w:sz="0" w:space="0" w:color="auto"/>
        <w:left w:val="none" w:sz="0" w:space="0" w:color="auto"/>
        <w:bottom w:val="none" w:sz="0" w:space="0" w:color="auto"/>
        <w:right w:val="none" w:sz="0" w:space="0" w:color="auto"/>
      </w:divBdr>
    </w:div>
    <w:div w:id="1665744739">
      <w:bodyDiv w:val="1"/>
      <w:marLeft w:val="0"/>
      <w:marRight w:val="0"/>
      <w:marTop w:val="0"/>
      <w:marBottom w:val="0"/>
      <w:divBdr>
        <w:top w:val="none" w:sz="0" w:space="0" w:color="auto"/>
        <w:left w:val="none" w:sz="0" w:space="0" w:color="auto"/>
        <w:bottom w:val="none" w:sz="0" w:space="0" w:color="auto"/>
        <w:right w:val="none" w:sz="0" w:space="0" w:color="auto"/>
      </w:divBdr>
    </w:div>
    <w:div w:id="1675302826">
      <w:bodyDiv w:val="1"/>
      <w:marLeft w:val="0"/>
      <w:marRight w:val="0"/>
      <w:marTop w:val="0"/>
      <w:marBottom w:val="0"/>
      <w:divBdr>
        <w:top w:val="none" w:sz="0" w:space="0" w:color="auto"/>
        <w:left w:val="none" w:sz="0" w:space="0" w:color="auto"/>
        <w:bottom w:val="none" w:sz="0" w:space="0" w:color="auto"/>
        <w:right w:val="none" w:sz="0" w:space="0" w:color="auto"/>
      </w:divBdr>
    </w:div>
    <w:div w:id="1725564189">
      <w:bodyDiv w:val="1"/>
      <w:marLeft w:val="0"/>
      <w:marRight w:val="0"/>
      <w:marTop w:val="0"/>
      <w:marBottom w:val="0"/>
      <w:divBdr>
        <w:top w:val="none" w:sz="0" w:space="0" w:color="auto"/>
        <w:left w:val="none" w:sz="0" w:space="0" w:color="auto"/>
        <w:bottom w:val="none" w:sz="0" w:space="0" w:color="auto"/>
        <w:right w:val="none" w:sz="0" w:space="0" w:color="auto"/>
      </w:divBdr>
      <w:divsChild>
        <w:div w:id="1615552795">
          <w:marLeft w:val="0"/>
          <w:marRight w:val="0"/>
          <w:marTop w:val="0"/>
          <w:marBottom w:val="0"/>
          <w:divBdr>
            <w:top w:val="none" w:sz="0" w:space="0" w:color="auto"/>
            <w:left w:val="none" w:sz="0" w:space="0" w:color="auto"/>
            <w:bottom w:val="none" w:sz="0" w:space="0" w:color="auto"/>
            <w:right w:val="none" w:sz="0" w:space="0" w:color="auto"/>
          </w:divBdr>
          <w:divsChild>
            <w:div w:id="1012994011">
              <w:marLeft w:val="0"/>
              <w:marRight w:val="0"/>
              <w:marTop w:val="0"/>
              <w:marBottom w:val="0"/>
              <w:divBdr>
                <w:top w:val="none" w:sz="0" w:space="0" w:color="auto"/>
                <w:left w:val="none" w:sz="0" w:space="0" w:color="auto"/>
                <w:bottom w:val="none" w:sz="0" w:space="0" w:color="auto"/>
                <w:right w:val="none" w:sz="0" w:space="0" w:color="auto"/>
              </w:divBdr>
              <w:divsChild>
                <w:div w:id="198203363">
                  <w:marLeft w:val="0"/>
                  <w:marRight w:val="0"/>
                  <w:marTop w:val="0"/>
                  <w:marBottom w:val="0"/>
                  <w:divBdr>
                    <w:top w:val="none" w:sz="0" w:space="0" w:color="auto"/>
                    <w:left w:val="none" w:sz="0" w:space="0" w:color="auto"/>
                    <w:bottom w:val="none" w:sz="0" w:space="0" w:color="auto"/>
                    <w:right w:val="none" w:sz="0" w:space="0" w:color="auto"/>
                  </w:divBdr>
                  <w:divsChild>
                    <w:div w:id="1732734447">
                      <w:marLeft w:val="0"/>
                      <w:marRight w:val="0"/>
                      <w:marTop w:val="0"/>
                      <w:marBottom w:val="0"/>
                      <w:divBdr>
                        <w:top w:val="none" w:sz="0" w:space="0" w:color="auto"/>
                        <w:left w:val="none" w:sz="0" w:space="0" w:color="auto"/>
                        <w:bottom w:val="none" w:sz="0" w:space="0" w:color="auto"/>
                        <w:right w:val="none" w:sz="0" w:space="0" w:color="auto"/>
                      </w:divBdr>
                      <w:divsChild>
                        <w:div w:id="2055040387">
                          <w:marLeft w:val="0"/>
                          <w:marRight w:val="0"/>
                          <w:marTop w:val="0"/>
                          <w:marBottom w:val="0"/>
                          <w:divBdr>
                            <w:top w:val="none" w:sz="0" w:space="0" w:color="auto"/>
                            <w:left w:val="none" w:sz="0" w:space="0" w:color="auto"/>
                            <w:bottom w:val="none" w:sz="0" w:space="0" w:color="auto"/>
                            <w:right w:val="none" w:sz="0" w:space="0" w:color="auto"/>
                          </w:divBdr>
                          <w:divsChild>
                            <w:div w:id="1461995308">
                              <w:marLeft w:val="0"/>
                              <w:marRight w:val="0"/>
                              <w:marTop w:val="0"/>
                              <w:marBottom w:val="0"/>
                              <w:divBdr>
                                <w:top w:val="none" w:sz="0" w:space="0" w:color="auto"/>
                                <w:left w:val="none" w:sz="0" w:space="0" w:color="auto"/>
                                <w:bottom w:val="none" w:sz="0" w:space="0" w:color="auto"/>
                                <w:right w:val="none" w:sz="0" w:space="0" w:color="auto"/>
                              </w:divBdr>
                              <w:divsChild>
                                <w:div w:id="1809862660">
                                  <w:marLeft w:val="0"/>
                                  <w:marRight w:val="0"/>
                                  <w:marTop w:val="0"/>
                                  <w:marBottom w:val="0"/>
                                  <w:divBdr>
                                    <w:top w:val="none" w:sz="0" w:space="0" w:color="auto"/>
                                    <w:left w:val="none" w:sz="0" w:space="0" w:color="auto"/>
                                    <w:bottom w:val="none" w:sz="0" w:space="0" w:color="auto"/>
                                    <w:right w:val="none" w:sz="0" w:space="0" w:color="auto"/>
                                  </w:divBdr>
                                  <w:divsChild>
                                    <w:div w:id="1996493801">
                                      <w:marLeft w:val="0"/>
                                      <w:marRight w:val="0"/>
                                      <w:marTop w:val="0"/>
                                      <w:marBottom w:val="0"/>
                                      <w:divBdr>
                                        <w:top w:val="none" w:sz="0" w:space="0" w:color="auto"/>
                                        <w:left w:val="none" w:sz="0" w:space="0" w:color="auto"/>
                                        <w:bottom w:val="none" w:sz="0" w:space="0" w:color="auto"/>
                                        <w:right w:val="none" w:sz="0" w:space="0" w:color="auto"/>
                                      </w:divBdr>
                                      <w:divsChild>
                                        <w:div w:id="10069201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533605">
          <w:marLeft w:val="0"/>
          <w:marRight w:val="0"/>
          <w:marTop w:val="0"/>
          <w:marBottom w:val="0"/>
          <w:divBdr>
            <w:top w:val="none" w:sz="0" w:space="0" w:color="auto"/>
            <w:left w:val="none" w:sz="0" w:space="0" w:color="auto"/>
            <w:bottom w:val="none" w:sz="0" w:space="0" w:color="auto"/>
            <w:right w:val="none" w:sz="0" w:space="0" w:color="auto"/>
          </w:divBdr>
          <w:divsChild>
            <w:div w:id="200896843">
              <w:marLeft w:val="0"/>
              <w:marRight w:val="0"/>
              <w:marTop w:val="0"/>
              <w:marBottom w:val="0"/>
              <w:divBdr>
                <w:top w:val="none" w:sz="0" w:space="0" w:color="auto"/>
                <w:left w:val="none" w:sz="0" w:space="0" w:color="auto"/>
                <w:bottom w:val="none" w:sz="0" w:space="0" w:color="auto"/>
                <w:right w:val="none" w:sz="0" w:space="0" w:color="auto"/>
              </w:divBdr>
              <w:divsChild>
                <w:div w:id="211775363">
                  <w:marLeft w:val="0"/>
                  <w:marRight w:val="0"/>
                  <w:marTop w:val="0"/>
                  <w:marBottom w:val="0"/>
                  <w:divBdr>
                    <w:top w:val="none" w:sz="0" w:space="0" w:color="auto"/>
                    <w:left w:val="none" w:sz="0" w:space="0" w:color="auto"/>
                    <w:bottom w:val="none" w:sz="0" w:space="0" w:color="auto"/>
                    <w:right w:val="none" w:sz="0" w:space="0" w:color="auto"/>
                  </w:divBdr>
                  <w:divsChild>
                    <w:div w:id="1224369376">
                      <w:marLeft w:val="0"/>
                      <w:marRight w:val="0"/>
                      <w:marTop w:val="0"/>
                      <w:marBottom w:val="0"/>
                      <w:divBdr>
                        <w:top w:val="none" w:sz="0" w:space="0" w:color="auto"/>
                        <w:left w:val="none" w:sz="0" w:space="0" w:color="auto"/>
                        <w:bottom w:val="none" w:sz="0" w:space="0" w:color="auto"/>
                        <w:right w:val="none" w:sz="0" w:space="0" w:color="auto"/>
                      </w:divBdr>
                      <w:divsChild>
                        <w:div w:id="1520656127">
                          <w:marLeft w:val="0"/>
                          <w:marRight w:val="0"/>
                          <w:marTop w:val="0"/>
                          <w:marBottom w:val="0"/>
                          <w:divBdr>
                            <w:top w:val="none" w:sz="0" w:space="0" w:color="auto"/>
                            <w:left w:val="none" w:sz="0" w:space="0" w:color="auto"/>
                            <w:bottom w:val="none" w:sz="0" w:space="0" w:color="auto"/>
                            <w:right w:val="none" w:sz="0" w:space="0" w:color="auto"/>
                          </w:divBdr>
                          <w:divsChild>
                            <w:div w:id="2063165362">
                              <w:marLeft w:val="0"/>
                              <w:marRight w:val="0"/>
                              <w:marTop w:val="0"/>
                              <w:marBottom w:val="0"/>
                              <w:divBdr>
                                <w:top w:val="none" w:sz="0" w:space="0" w:color="auto"/>
                                <w:left w:val="none" w:sz="0" w:space="0" w:color="auto"/>
                                <w:bottom w:val="none" w:sz="0" w:space="0" w:color="auto"/>
                                <w:right w:val="none" w:sz="0" w:space="0" w:color="auto"/>
                              </w:divBdr>
                            </w:div>
                            <w:div w:id="1253323085">
                              <w:marLeft w:val="0"/>
                              <w:marRight w:val="0"/>
                              <w:marTop w:val="0"/>
                              <w:marBottom w:val="0"/>
                              <w:divBdr>
                                <w:top w:val="none" w:sz="0" w:space="0" w:color="auto"/>
                                <w:left w:val="none" w:sz="0" w:space="0" w:color="auto"/>
                                <w:bottom w:val="none" w:sz="0" w:space="0" w:color="auto"/>
                                <w:right w:val="none" w:sz="0" w:space="0" w:color="auto"/>
                              </w:divBdr>
                            </w:div>
                            <w:div w:id="1834103710">
                              <w:marLeft w:val="0"/>
                              <w:marRight w:val="0"/>
                              <w:marTop w:val="0"/>
                              <w:marBottom w:val="0"/>
                              <w:divBdr>
                                <w:top w:val="none" w:sz="0" w:space="0" w:color="auto"/>
                                <w:left w:val="none" w:sz="0" w:space="0" w:color="auto"/>
                                <w:bottom w:val="none" w:sz="0" w:space="0" w:color="auto"/>
                                <w:right w:val="none" w:sz="0" w:space="0" w:color="auto"/>
                              </w:divBdr>
                            </w:div>
                          </w:divsChild>
                        </w:div>
                        <w:div w:id="133649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7740448">
      <w:bodyDiv w:val="1"/>
      <w:marLeft w:val="0"/>
      <w:marRight w:val="0"/>
      <w:marTop w:val="0"/>
      <w:marBottom w:val="0"/>
      <w:divBdr>
        <w:top w:val="none" w:sz="0" w:space="0" w:color="auto"/>
        <w:left w:val="none" w:sz="0" w:space="0" w:color="auto"/>
        <w:bottom w:val="none" w:sz="0" w:space="0" w:color="auto"/>
        <w:right w:val="none" w:sz="0" w:space="0" w:color="auto"/>
      </w:divBdr>
    </w:div>
    <w:div w:id="1945112658">
      <w:bodyDiv w:val="1"/>
      <w:marLeft w:val="0"/>
      <w:marRight w:val="0"/>
      <w:marTop w:val="0"/>
      <w:marBottom w:val="0"/>
      <w:divBdr>
        <w:top w:val="none" w:sz="0" w:space="0" w:color="auto"/>
        <w:left w:val="none" w:sz="0" w:space="0" w:color="auto"/>
        <w:bottom w:val="none" w:sz="0" w:space="0" w:color="auto"/>
        <w:right w:val="none" w:sz="0" w:space="0" w:color="auto"/>
      </w:divBdr>
    </w:div>
    <w:div w:id="199892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lada.org/legal-aid-criter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sc.gov/what-legal-aid" TargetMode="External"/><Relationship Id="rId5" Type="http://schemas.openxmlformats.org/officeDocument/2006/relationships/hyperlink" Target="https://www.americanbar.org/groups/legal_aid_indigent_defendants/initiativ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1697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254792976070</dc:creator>
  <cp:keywords/>
  <dc:description/>
  <cp:lastModifiedBy>GOGU</cp:lastModifiedBy>
  <cp:revision>6</cp:revision>
  <dcterms:created xsi:type="dcterms:W3CDTF">2024-04-19T04:55:00Z</dcterms:created>
  <dcterms:modified xsi:type="dcterms:W3CDTF">2024-04-24T20:03:00Z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c2fcc7a2-a2e4-4801-80b3-b59194ea21ab</vt:lpwstr>
  </property>
</Properties>
</file>