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FA2C18" w:rsidRDefault="00DD0FE3" w14:paraId="2D35AC30" w14:textId="56649F3A" w:rsidP="00DD0FE3">
      <w:pPr>
        <w:jc w:val="center"/>
      </w:pPr>
      <w:r>
        <w:rPr>
          <w:noProof/>
        </w:rPr>
        <w:drawing>
          <wp:inline distB="0" distL="0" distR="0" distT="0" wp14:anchorId="6F9A6F75" wp14:editId="2FAEC59A">
            <wp:extent cx="2326640" cy="84264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6">
                      <a:extLst>
                        <a:ext uri="{28A0092B-C50C-407E-A947-70E740481C1C}">
                          <a14:useLocalDpi xmlns:a14="http://schemas.microsoft.com/office/drawing/2010/main" val="0"/>
                        </a:ext>
                      </a:extLst>
                    </a:blip>
                    <a:srcRect t="17401" b="17366"/>
                    <a:stretch/>
                  </pic:blipFill>
                  <pic:spPr bwMode="auto">
                    <a:xfrm>
                      <a:off x="0" y="0"/>
                      <a:ext cx="2342892" cy="848819"/>
                    </a:xfrm>
                    <a:prstGeom prst="rect">
                      <a:avLst/>
                    </a:prstGeom>
                    <a:noFill/>
                    <a:ln>
                      <a:noFill/>
                    </a:ln>
                    <a:extLst>
                      <a:ext uri="{53640926-AAD7-44D8-BBD7-CCE9431645EC}">
                        <a14:shadowObscured xmlns:a14="http://schemas.microsoft.com/office/drawing/2010/main"/>
                      </a:ext>
                    </a:extLst>
                  </pic:spPr>
                </pic:pic>
              </a:graphicData>
            </a:graphic>
          </wp:inline>
        </w:drawing>
      </w:r>
    </w:p>
    <w:p w:rsidR="00776386" w:rsidRDefault="00776386" w14:paraId="7B7FC04C" w14:textId="77777777"/>
    <w:p w:rsidR="00DD0FE3" w:rsidRDefault="00DD0FE3" w14:paraId="1FCBC79A" w14:textId="36C28B96" w:rsidP="00DD0FE3" w:rsidRPr="00DD0FE3">
      <w:pPr>
        <w:jc w:val="center"/>
        <w:rPr>
          <w:bCs/>
          <w:b/>
          <w:sz w:val="32"/>
          <w:szCs w:val="28"/>
        </w:rPr>
      </w:pPr>
      <w:r w:rsidRPr="00DD0FE3">
        <w:rPr>
          <w:bCs/>
          <w:b/>
          <w:sz w:val="32"/>
          <w:szCs w:val="28"/>
        </w:rPr>
        <w:t>Assignment Title:</w:t>
      </w:r>
    </w:p>
    <w:p w:rsidR="00DD0FE3" w:rsidRDefault="00DD0FE3" w14:paraId="6071D55A" w14:textId="2FE86C51" w:rsidP="00DD0FE3" w:rsidRPr="00DD0FE3">
      <w:pPr>
        <w:jc w:val="center"/>
        <w:rPr>
          <w:sz w:val="32"/>
          <w:szCs w:val="28"/>
        </w:rPr>
      </w:pPr>
      <w:r w:rsidRPr="00DD0FE3">
        <w:rPr>
          <w:sz w:val="32"/>
          <w:szCs w:val="28"/>
        </w:rPr>
        <w:t>Community Engagement at Fujitsu</w:t>
      </w:r>
    </w:p>
    <w:p w:rsidR="00DD0FE3" w:rsidRDefault="00DD0FE3" w14:paraId="2A11B994" w14:textId="02902B7C">
      <w:pPr>
        <w:rPr>
          <w:bCs/>
          <w:b/>
        </w:rPr>
      </w:pPr>
    </w:p>
    <w:p w:rsidR="00DD0FE3" w:rsidRDefault="00DD0FE3" w14:paraId="6FE0DAAB" w14:textId="2031D789">
      <w:pPr>
        <w:rPr>
          <w:bCs/>
          <w:b/>
        </w:rPr>
      </w:pPr>
    </w:p>
    <w:p w:rsidR="00DD0FE3" w:rsidRDefault="00DD0FE3" w14:paraId="332669E1" w14:textId="63B89EAC">
      <w:pPr>
        <w:rPr>
          <w:bCs/>
          <w:b/>
        </w:rPr>
      </w:pPr>
    </w:p>
    <w:p w:rsidR="008E55B4" w:rsidRDefault="008E55B4" w14:paraId="3D193206" w14:textId="77777777" w:rsidP="008E55B4">
      <w:r>
        <w:rPr>
          <w:bCs/>
          <w:b/>
        </w:rPr>
        <w:t xml:space="preserve">Programme: </w:t>
      </w:r>
      <w:r w:rsidRPr="00DD0FE3">
        <w:t>BA Business Management</w:t>
      </w:r>
    </w:p>
    <w:p w:rsidR="008E55B4" w:rsidRDefault="008E55B4" w14:paraId="0AA0D38B" w14:textId="77777777" w:rsidP="008E55B4" w:rsidRPr="00DD0FE3">
      <w:r>
        <w:rPr>
          <w:bCs/>
          <w:b/>
        </w:rPr>
        <w:t xml:space="preserve">Module Code: </w:t>
      </w:r>
      <w:r>
        <w:t>LCBB4002</w:t>
      </w:r>
    </w:p>
    <w:p w:rsidR="00DD0FE3" w:rsidRDefault="008E55B4" w14:paraId="182F8F4A" w14:textId="7328E499" w:rsidRPr="008E55B4">
      <w:r>
        <w:rPr>
          <w:bCs/>
          <w:b/>
        </w:rPr>
        <w:t xml:space="preserve">Module Title: </w:t>
      </w:r>
      <w:r w:rsidRPr="00DD0FE3">
        <w:t>Community Engagement</w:t>
      </w:r>
    </w:p>
    <w:p w:rsidR="00DD0FE3" w:rsidRDefault="00DD0FE3" w14:paraId="4620DE88" w14:textId="6EB123F4">
      <w:pPr>
        <w:rPr>
          <w:bCs/>
          <w:b/>
        </w:rPr>
      </w:pPr>
      <w:r>
        <w:rPr>
          <w:bCs/>
          <w:b/>
        </w:rPr>
        <w:t xml:space="preserve">Student ID: </w:t>
      </w:r>
      <w:r>
        <w:rPr>
          <w:b w:val="0"/>
        </w:rPr>
        <w:t>2119513</w:t>
      </w:r>
    </w:p>
    <w:p w:rsidR="00DD0FE3" w:rsidRDefault="00DD0FE3" w14:paraId="1C6F13AA" w14:textId="4B6A583C" w:rsidRPr="00980892">
      <w:r>
        <w:rPr>
          <w:bCs/>
          <w:b/>
        </w:rPr>
        <w:t xml:space="preserve">Word Count: </w:t>
      </w:r>
      <w:r w:rsidR="00980892">
        <w:t>2077 words</w:t>
      </w:r>
    </w:p>
    <w:p w:rsidR="00DD0FE3" w:rsidRDefault="00DD0FE3" w14:paraId="412F3ADB" w14:textId="77777777" w:rsidRPr="00DD0FE3">
      <w:pPr>
        <w:rPr>
          <w:bCs/>
          <w:b/>
        </w:rPr>
      </w:pPr>
    </w:p>
    <w:p w:rsidR="00F75465" w:rsidRDefault="00F75465" w14:paraId="0BF356B3" w14:textId="1151DA3C"/>
    <w:p w:rsidR="00F75465" w:rsidRDefault="00F75465" w14:paraId="4D10B4EC" w14:textId="77777777">
      <w:pPr>
        <w:sectPr w:rsidR="00F75465" w:rsidSect="000175B3">
          <w:docGrid w:linePitch="360"/>
          <w:pgSz w:w="11906" w:h="16838"/>
          <w:pgMar w:left="1440" w:right="1440" w:top="1440" w:bottom="1440" w:header="708" w:footer="708" w:gutter="0"/>
          <w:cols w:space="708"/>
        </w:sectPr>
      </w:pPr>
    </w:p>
    <w:sdt>
      <w:sdtPr>
        <w:rPr>
          <w:rFonts w:ascii="Arial" w:eastAsia="Calibri" w:hAnsi="Arial" w:cs="Calibri"/>
          <w:color w:val="auto"/>
          <w:sz w:val="24"/>
          <w:szCs w:val="22"/>
        </w:rPr>
        <w:id w:val="-445769583"/>
        <w:docPartObj>
          <w:docPartGallery w:val="Table of Contents"/>
          <w:docPartUnique/>
        </w:docPartObj>
      </w:sdtPr>
      <w:sdtEndPr>
        <w:rPr>
          <w:b/>
          <w:bCs/>
          <w:noProof/>
        </w:rPr>
      </w:sdtEndPr>
      <w:sdtContent>
        <w:p w:rsidR="00832335" w:rsidRDefault="00832335" w14:paraId="45332171" w14:textId="40FBA60E">
          <w:pPr>
            <w:pStyle w:val="Titlucuprins"/>
          </w:pPr>
          <w:r>
            <w:t>Table of Contents</w:t>
          </w:r>
        </w:p>
        <w:p w:rsidR="00776386" w:rsidRDefault="00832335" w14:paraId="2490FE65" w14:textId="00368902">
          <w:pPr>
            <w:pStyle w:val="Cuprins1"/>
            <w:tabs>
              <w:tab w:val="right" w:leader="dot" w:pos="9016"/>
            </w:tabs>
            <w:rPr>
              <w:noProof/>
              <w:lang w:val="en-GB" w:eastAsia="en-GB"/>
              <w:rFonts w:ascii="Calibri" w:eastAsiaTheme="minorEastAsia" w:hAnsiTheme="minorHAnsi" w:cstheme="minorBidi"/>
              <w:sz w:val="22"/>
            </w:rPr>
          </w:pPr>
          <w:r>
            <w:fldChar w:fldCharType="begin"/>
          </w:r>
          <w:r>
            <w:instrText xml:space="preserve"> TOC \o "1-3" \h \z \u </w:instrText>
          </w:r>
          <w:r>
            <w:fldChar w:fldCharType="separate"/>
          </w:r>
          <w:hyperlink w:anchor="_Toc107601156" w:history="1">
            <w:r w:rsidR="00776386" w:rsidRPr="008C223B">
              <w:rPr>
                <w:noProof/>
                <w:rStyle w:val="Hyperlink"/>
              </w:rPr>
              <w:t>Introduction</w:t>
            </w:r>
            <w:r w:rsidR="00776386">
              <w:rPr>
                <w:noProof/>
                <w:webHidden/>
              </w:rPr>
              <w:tab/>
            </w:r>
            <w:r w:rsidR="00776386">
              <w:rPr>
                <w:noProof/>
                <w:webHidden/>
              </w:rPr>
              <w:fldChar w:fldCharType="begin"/>
            </w:r>
            <w:r w:rsidR="00776386">
              <w:rPr>
                <w:noProof/>
                <w:webHidden/>
              </w:rPr>
              <w:instrText xml:space="preserve"> PAGEREF _Toc107601156 \h </w:instrText>
            </w:r>
            <w:r w:rsidR="00776386">
              <w:rPr>
                <w:noProof/>
                <w:webHidden/>
              </w:rPr>
            </w:r>
            <w:r w:rsidR="00776386">
              <w:rPr>
                <w:noProof/>
                <w:webHidden/>
              </w:rPr>
              <w:fldChar w:fldCharType="separate"/>
            </w:r>
            <w:r w:rsidR="00776386">
              <w:rPr>
                <w:noProof/>
                <w:webHidden/>
              </w:rPr>
              <w:t>1</w:t>
            </w:r>
            <w:r w:rsidR="00776386">
              <w:rPr>
                <w:noProof/>
                <w:webHidden/>
              </w:rPr>
              <w:fldChar w:fldCharType="end"/>
            </w:r>
          </w:hyperlink>
        </w:p>
        <w:p w:rsidR="00776386" w:rsidRDefault="005A13C2" w14:paraId="697C1F29" w14:textId="1F9146D6">
          <w:pPr>
            <w:pStyle w:val="Cuprins1"/>
            <w:tabs>
              <w:tab w:val="right" w:leader="dot" w:pos="9016"/>
            </w:tabs>
            <w:rPr>
              <w:noProof/>
              <w:lang w:val="en-GB" w:eastAsia="en-GB"/>
              <w:rFonts w:ascii="Calibri" w:eastAsiaTheme="minorEastAsia" w:hAnsiTheme="minorHAnsi" w:cstheme="minorBidi"/>
              <w:sz w:val="22"/>
            </w:rPr>
          </w:pPr>
          <w:hyperlink w:anchor="_Toc107601157" w:history="1">
            <w:r w:rsidR="00776386" w:rsidRPr="008C223B">
              <w:rPr>
                <w:noProof/>
                <w:rStyle w:val="Hyperlink"/>
              </w:rPr>
              <w:t>Discussion and Analysis</w:t>
            </w:r>
            <w:r w:rsidR="00776386">
              <w:rPr>
                <w:noProof/>
                <w:webHidden/>
              </w:rPr>
              <w:tab/>
            </w:r>
            <w:r w:rsidR="00776386">
              <w:rPr>
                <w:noProof/>
                <w:webHidden/>
              </w:rPr>
              <w:fldChar w:fldCharType="begin"/>
            </w:r>
            <w:r w:rsidR="00776386">
              <w:rPr>
                <w:noProof/>
                <w:webHidden/>
              </w:rPr>
              <w:instrText xml:space="preserve"> PAGEREF _Toc107601157 \h </w:instrText>
            </w:r>
            <w:r w:rsidR="00776386">
              <w:rPr>
                <w:noProof/>
                <w:webHidden/>
              </w:rPr>
            </w:r>
            <w:r w:rsidR="00776386">
              <w:rPr>
                <w:noProof/>
                <w:webHidden/>
              </w:rPr>
              <w:fldChar w:fldCharType="separate"/>
            </w:r>
            <w:r w:rsidR="00776386">
              <w:rPr>
                <w:noProof/>
                <w:webHidden/>
              </w:rPr>
              <w:t>1</w:t>
            </w:r>
            <w:r w:rsidR="00776386">
              <w:rPr>
                <w:noProof/>
                <w:webHidden/>
              </w:rPr>
              <w:fldChar w:fldCharType="end"/>
            </w:r>
          </w:hyperlink>
        </w:p>
        <w:p w:rsidR="00776386" w:rsidRDefault="005A13C2" w14:paraId="59C46A1E" w14:textId="79DB3B76">
          <w:pPr>
            <w:pStyle w:val="Cuprins2"/>
            <w:tabs>
              <w:tab w:val="right" w:leader="dot" w:pos="9016"/>
            </w:tabs>
            <w:rPr>
              <w:noProof/>
              <w:lang w:val="en-GB" w:eastAsia="en-GB"/>
              <w:rFonts w:ascii="Calibri" w:eastAsiaTheme="minorEastAsia" w:hAnsiTheme="minorHAnsi" w:cstheme="minorBidi"/>
              <w:sz w:val="22"/>
            </w:rPr>
          </w:pPr>
          <w:hyperlink w:anchor="_Toc107601158" w:history="1">
            <w:r w:rsidR="00776386" w:rsidRPr="008C223B">
              <w:rPr>
                <w:noProof/>
                <w:rStyle w:val="Hyperlink"/>
              </w:rPr>
              <w:t>Services of Fujitsu and Users</w:t>
            </w:r>
            <w:r w:rsidR="00776386">
              <w:rPr>
                <w:noProof/>
                <w:webHidden/>
              </w:rPr>
              <w:tab/>
            </w:r>
            <w:r w:rsidR="00776386">
              <w:rPr>
                <w:noProof/>
                <w:webHidden/>
              </w:rPr>
              <w:fldChar w:fldCharType="begin"/>
            </w:r>
            <w:r w:rsidR="00776386">
              <w:rPr>
                <w:noProof/>
                <w:webHidden/>
              </w:rPr>
              <w:instrText xml:space="preserve"> PAGEREF _Toc107601158 \h </w:instrText>
            </w:r>
            <w:r w:rsidR="00776386">
              <w:rPr>
                <w:noProof/>
                <w:webHidden/>
              </w:rPr>
            </w:r>
            <w:r w:rsidR="00776386">
              <w:rPr>
                <w:noProof/>
                <w:webHidden/>
              </w:rPr>
              <w:fldChar w:fldCharType="separate"/>
            </w:r>
            <w:r w:rsidR="00776386">
              <w:rPr>
                <w:noProof/>
                <w:webHidden/>
              </w:rPr>
              <w:t>1</w:t>
            </w:r>
            <w:r w:rsidR="00776386">
              <w:rPr>
                <w:noProof/>
                <w:webHidden/>
              </w:rPr>
              <w:fldChar w:fldCharType="end"/>
            </w:r>
          </w:hyperlink>
        </w:p>
        <w:p w:rsidR="00776386" w:rsidRDefault="005A13C2" w14:paraId="5F27F543" w14:textId="53E104F4">
          <w:pPr>
            <w:pStyle w:val="Cuprins2"/>
            <w:tabs>
              <w:tab w:val="right" w:leader="dot" w:pos="9016"/>
            </w:tabs>
            <w:rPr>
              <w:noProof/>
              <w:lang w:val="en-GB" w:eastAsia="en-GB"/>
              <w:rFonts w:ascii="Calibri" w:eastAsiaTheme="minorEastAsia" w:hAnsiTheme="minorHAnsi" w:cstheme="minorBidi"/>
              <w:sz w:val="22"/>
            </w:rPr>
          </w:pPr>
          <w:hyperlink w:anchor="_Toc107601159" w:history="1">
            <w:r w:rsidR="00776386" w:rsidRPr="008C223B">
              <w:rPr>
                <w:noProof/>
                <w:rStyle w:val="Hyperlink"/>
              </w:rPr>
              <w:t>Utilization of Resources by Fujitsu to Engage with The Communities</w:t>
            </w:r>
            <w:r w:rsidR="00776386">
              <w:rPr>
                <w:noProof/>
                <w:webHidden/>
              </w:rPr>
              <w:tab/>
            </w:r>
            <w:r w:rsidR="00776386">
              <w:rPr>
                <w:noProof/>
                <w:webHidden/>
              </w:rPr>
              <w:fldChar w:fldCharType="begin"/>
            </w:r>
            <w:r w:rsidR="00776386">
              <w:rPr>
                <w:noProof/>
                <w:webHidden/>
              </w:rPr>
              <w:instrText xml:space="preserve"> PAGEREF _Toc107601159 \h </w:instrText>
            </w:r>
            <w:r w:rsidR="00776386">
              <w:rPr>
                <w:noProof/>
                <w:webHidden/>
              </w:rPr>
            </w:r>
            <w:r w:rsidR="00776386">
              <w:rPr>
                <w:noProof/>
                <w:webHidden/>
              </w:rPr>
              <w:fldChar w:fldCharType="separate"/>
            </w:r>
            <w:r w:rsidR="00776386">
              <w:rPr>
                <w:noProof/>
                <w:webHidden/>
              </w:rPr>
              <w:t>2</w:t>
            </w:r>
            <w:r w:rsidR="00776386">
              <w:rPr>
                <w:noProof/>
                <w:webHidden/>
              </w:rPr>
              <w:fldChar w:fldCharType="end"/>
            </w:r>
          </w:hyperlink>
        </w:p>
        <w:p w:rsidR="00776386" w:rsidRDefault="005A13C2" w14:paraId="1AF8E88E" w14:textId="1A2DC4A9">
          <w:pPr>
            <w:pStyle w:val="Cuprins2"/>
            <w:tabs>
              <w:tab w:val="right" w:leader="dot" w:pos="9016"/>
            </w:tabs>
            <w:rPr>
              <w:noProof/>
              <w:lang w:val="en-GB" w:eastAsia="en-GB"/>
              <w:rFonts w:ascii="Calibri" w:eastAsiaTheme="minorEastAsia" w:hAnsiTheme="minorHAnsi" w:cstheme="minorBidi"/>
              <w:sz w:val="22"/>
            </w:rPr>
          </w:pPr>
          <w:hyperlink w:anchor="_Toc107601160" w:history="1">
            <w:r w:rsidR="00776386" w:rsidRPr="008C223B">
              <w:rPr>
                <w:noProof/>
                <w:rStyle w:val="Hyperlink"/>
              </w:rPr>
              <w:t>Key Areas of Fujitsu’s Community Engagement Activities</w:t>
            </w:r>
            <w:r w:rsidR="00776386">
              <w:rPr>
                <w:noProof/>
                <w:webHidden/>
              </w:rPr>
              <w:tab/>
            </w:r>
            <w:r w:rsidR="00776386">
              <w:rPr>
                <w:noProof/>
                <w:webHidden/>
              </w:rPr>
              <w:fldChar w:fldCharType="begin"/>
            </w:r>
            <w:r w:rsidR="00776386">
              <w:rPr>
                <w:noProof/>
                <w:webHidden/>
              </w:rPr>
              <w:instrText xml:space="preserve"> PAGEREF _Toc107601160 \h </w:instrText>
            </w:r>
            <w:r w:rsidR="00776386">
              <w:rPr>
                <w:noProof/>
                <w:webHidden/>
              </w:rPr>
            </w:r>
            <w:r w:rsidR="00776386">
              <w:rPr>
                <w:noProof/>
                <w:webHidden/>
              </w:rPr>
              <w:fldChar w:fldCharType="separate"/>
            </w:r>
            <w:r w:rsidR="00776386">
              <w:rPr>
                <w:noProof/>
                <w:webHidden/>
              </w:rPr>
              <w:t>3</w:t>
            </w:r>
            <w:r w:rsidR="00776386">
              <w:rPr>
                <w:noProof/>
                <w:webHidden/>
              </w:rPr>
              <w:fldChar w:fldCharType="end"/>
            </w:r>
          </w:hyperlink>
        </w:p>
        <w:p w:rsidR="00776386" w:rsidRDefault="005A13C2" w14:paraId="59FE4190" w14:textId="65B6EC1F">
          <w:pPr>
            <w:pStyle w:val="Cuprins2"/>
            <w:tabs>
              <w:tab w:val="right" w:leader="dot" w:pos="9016"/>
            </w:tabs>
            <w:rPr>
              <w:noProof/>
              <w:lang w:val="en-GB" w:eastAsia="en-GB"/>
              <w:rFonts w:ascii="Calibri" w:eastAsiaTheme="minorEastAsia" w:hAnsiTheme="minorHAnsi" w:cstheme="minorBidi"/>
              <w:sz w:val="22"/>
            </w:rPr>
          </w:pPr>
          <w:hyperlink w:anchor="_Toc107601161" w:history="1">
            <w:r w:rsidR="00776386" w:rsidRPr="008C223B">
              <w:rPr>
                <w:noProof/>
                <w:rStyle w:val="Hyperlink"/>
              </w:rPr>
              <w:t>Importance of Community Engagement in Fujitsu’s Business</w:t>
            </w:r>
            <w:r w:rsidR="00776386">
              <w:rPr>
                <w:noProof/>
                <w:webHidden/>
              </w:rPr>
              <w:tab/>
            </w:r>
            <w:r w:rsidR="00776386">
              <w:rPr>
                <w:noProof/>
                <w:webHidden/>
              </w:rPr>
              <w:fldChar w:fldCharType="begin"/>
            </w:r>
            <w:r w:rsidR="00776386">
              <w:rPr>
                <w:noProof/>
                <w:webHidden/>
              </w:rPr>
              <w:instrText xml:space="preserve"> PAGEREF _Toc107601161 \h </w:instrText>
            </w:r>
            <w:r w:rsidR="00776386">
              <w:rPr>
                <w:noProof/>
                <w:webHidden/>
              </w:rPr>
            </w:r>
            <w:r w:rsidR="00776386">
              <w:rPr>
                <w:noProof/>
                <w:webHidden/>
              </w:rPr>
              <w:fldChar w:fldCharType="separate"/>
            </w:r>
            <w:r w:rsidR="00776386">
              <w:rPr>
                <w:noProof/>
                <w:webHidden/>
              </w:rPr>
              <w:t>3</w:t>
            </w:r>
            <w:r w:rsidR="00776386">
              <w:rPr>
                <w:noProof/>
                <w:webHidden/>
              </w:rPr>
              <w:fldChar w:fldCharType="end"/>
            </w:r>
          </w:hyperlink>
        </w:p>
        <w:p w:rsidR="00776386" w:rsidRDefault="005A13C2" w14:paraId="0A261113" w14:textId="4B94943E">
          <w:pPr>
            <w:pStyle w:val="Cuprins1"/>
            <w:tabs>
              <w:tab w:val="right" w:leader="dot" w:pos="9016"/>
            </w:tabs>
            <w:rPr>
              <w:noProof/>
              <w:lang w:val="en-GB" w:eastAsia="en-GB"/>
              <w:rFonts w:ascii="Calibri" w:eastAsiaTheme="minorEastAsia" w:hAnsiTheme="minorHAnsi" w:cstheme="minorBidi"/>
              <w:sz w:val="22"/>
            </w:rPr>
          </w:pPr>
          <w:hyperlink w:anchor="_Toc107601162" w:history="1">
            <w:r w:rsidR="00776386" w:rsidRPr="008C223B">
              <w:rPr>
                <w:noProof/>
                <w:rStyle w:val="Hyperlink"/>
              </w:rPr>
              <w:t>Skill Acquisition for Community Engagement Activities</w:t>
            </w:r>
            <w:r w:rsidR="00776386">
              <w:rPr>
                <w:noProof/>
                <w:webHidden/>
              </w:rPr>
              <w:tab/>
            </w:r>
            <w:r w:rsidR="00776386">
              <w:rPr>
                <w:noProof/>
                <w:webHidden/>
              </w:rPr>
              <w:fldChar w:fldCharType="begin"/>
            </w:r>
            <w:r w:rsidR="00776386">
              <w:rPr>
                <w:noProof/>
                <w:webHidden/>
              </w:rPr>
              <w:instrText xml:space="preserve"> PAGEREF _Toc107601162 \h </w:instrText>
            </w:r>
            <w:r w:rsidR="00776386">
              <w:rPr>
                <w:noProof/>
                <w:webHidden/>
              </w:rPr>
            </w:r>
            <w:r w:rsidR="00776386">
              <w:rPr>
                <w:noProof/>
                <w:webHidden/>
              </w:rPr>
              <w:fldChar w:fldCharType="separate"/>
            </w:r>
            <w:r w:rsidR="00776386">
              <w:rPr>
                <w:noProof/>
                <w:webHidden/>
              </w:rPr>
              <w:t>5</w:t>
            </w:r>
            <w:r w:rsidR="00776386">
              <w:rPr>
                <w:noProof/>
                <w:webHidden/>
              </w:rPr>
              <w:fldChar w:fldCharType="end"/>
            </w:r>
          </w:hyperlink>
        </w:p>
        <w:p w:rsidR="00776386" w:rsidRDefault="005A13C2" w14:paraId="7169BE9F" w14:textId="0F31457D">
          <w:pPr>
            <w:pStyle w:val="Cuprins1"/>
            <w:tabs>
              <w:tab w:val="right" w:leader="dot" w:pos="9016"/>
            </w:tabs>
            <w:rPr>
              <w:noProof/>
              <w:lang w:val="en-GB" w:eastAsia="en-GB"/>
              <w:rFonts w:ascii="Calibri" w:eastAsiaTheme="minorEastAsia" w:hAnsiTheme="minorHAnsi" w:cstheme="minorBidi"/>
              <w:sz w:val="22"/>
            </w:rPr>
          </w:pPr>
          <w:hyperlink w:anchor="_Toc107601163" w:history="1">
            <w:r w:rsidR="00776386" w:rsidRPr="008C223B">
              <w:rPr>
                <w:noProof/>
                <w:rStyle w:val="Hyperlink"/>
              </w:rPr>
              <w:t>Conclusion</w:t>
            </w:r>
            <w:r w:rsidR="00776386">
              <w:rPr>
                <w:noProof/>
                <w:webHidden/>
              </w:rPr>
              <w:tab/>
            </w:r>
            <w:r w:rsidR="00776386">
              <w:rPr>
                <w:noProof/>
                <w:webHidden/>
              </w:rPr>
              <w:fldChar w:fldCharType="begin"/>
            </w:r>
            <w:r w:rsidR="00776386">
              <w:rPr>
                <w:noProof/>
                <w:webHidden/>
              </w:rPr>
              <w:instrText xml:space="preserve"> PAGEREF _Toc107601163 \h </w:instrText>
            </w:r>
            <w:r w:rsidR="00776386">
              <w:rPr>
                <w:noProof/>
                <w:webHidden/>
              </w:rPr>
            </w:r>
            <w:r w:rsidR="00776386">
              <w:rPr>
                <w:noProof/>
                <w:webHidden/>
              </w:rPr>
              <w:fldChar w:fldCharType="separate"/>
            </w:r>
            <w:r w:rsidR="00776386">
              <w:rPr>
                <w:noProof/>
                <w:webHidden/>
              </w:rPr>
              <w:t>7</w:t>
            </w:r>
            <w:r w:rsidR="00776386">
              <w:rPr>
                <w:noProof/>
                <w:webHidden/>
              </w:rPr>
              <w:fldChar w:fldCharType="end"/>
            </w:r>
          </w:hyperlink>
        </w:p>
        <w:p w:rsidR="00776386" w:rsidRDefault="005A13C2" w14:paraId="00C2C6DD" w14:textId="4ABE5255">
          <w:pPr>
            <w:pStyle w:val="Cuprins1"/>
            <w:tabs>
              <w:tab w:val="right" w:leader="dot" w:pos="9016"/>
            </w:tabs>
            <w:rPr>
              <w:noProof/>
              <w:lang w:val="en-GB" w:eastAsia="en-GB"/>
              <w:rFonts w:ascii="Calibri" w:eastAsiaTheme="minorEastAsia" w:hAnsiTheme="minorHAnsi" w:cstheme="minorBidi"/>
              <w:sz w:val="22"/>
            </w:rPr>
          </w:pPr>
          <w:hyperlink w:anchor="_Toc107601164" w:history="1">
            <w:r w:rsidR="00776386" w:rsidRPr="008C223B">
              <w:rPr>
                <w:noProof/>
                <w:rStyle w:val="Hyperlink"/>
              </w:rPr>
              <w:t>References</w:t>
            </w:r>
            <w:r w:rsidR="00776386">
              <w:rPr>
                <w:noProof/>
                <w:webHidden/>
              </w:rPr>
              <w:tab/>
            </w:r>
            <w:r w:rsidR="00776386">
              <w:rPr>
                <w:noProof/>
                <w:webHidden/>
              </w:rPr>
              <w:fldChar w:fldCharType="begin"/>
            </w:r>
            <w:r w:rsidR="00776386">
              <w:rPr>
                <w:noProof/>
                <w:webHidden/>
              </w:rPr>
              <w:instrText xml:space="preserve"> PAGEREF _Toc107601164 \h </w:instrText>
            </w:r>
            <w:r w:rsidR="00776386">
              <w:rPr>
                <w:noProof/>
                <w:webHidden/>
              </w:rPr>
            </w:r>
            <w:r w:rsidR="00776386">
              <w:rPr>
                <w:noProof/>
                <w:webHidden/>
              </w:rPr>
              <w:fldChar w:fldCharType="separate"/>
            </w:r>
            <w:r w:rsidR="00776386">
              <w:rPr>
                <w:noProof/>
                <w:webHidden/>
              </w:rPr>
              <w:t>8</w:t>
            </w:r>
            <w:r w:rsidR="00776386">
              <w:rPr>
                <w:noProof/>
                <w:webHidden/>
              </w:rPr>
              <w:fldChar w:fldCharType="end"/>
            </w:r>
          </w:hyperlink>
        </w:p>
        <w:p w:rsidR="00832335" w:rsidRDefault="00832335" w14:paraId="5596B5A1" w14:textId="4B53AB61">
          <w:r>
            <w:rPr>
              <w:bCs/>
              <w:noProof/>
              <w:b/>
            </w:rPr>
            <w:fldChar w:fldCharType="end"/>
          </w:r>
        </w:p>
      </w:sdtContent>
    </w:sdt>
    <w:p w:rsidR="00832335" w:rsidRDefault="00832335" w14:paraId="3E809527" w14:textId="77777777">
      <w:pPr>
        <w:sectPr w:rsidR="00832335" w:rsidSect="00C34F74">
          <w:docGrid w:linePitch="360"/>
          <w:headerReference r:id="rId9" w:type="default"/>
          <w:footerReference r:id="rId10" w:type="default"/>
          <w:pgNumType w:fmt="lowerRoman" w:start="1"/>
          <w:pgSz w:w="11906" w:h="16838"/>
          <w:pgMar w:left="1440" w:right="1440" w:top="1440" w:bottom="1440" w:header="708" w:footer="708" w:gutter="0"/>
          <w:cols w:space="708"/>
        </w:sectPr>
      </w:pPr>
    </w:p>
    <w:p w:rsidR="00F75465" w:rsidRDefault="001C5A33" w14:paraId="0C2DF509" w14:textId="6A7DADB0" w:rsidP="001C5A33">
      <w:pPr>
        <w:pStyle w:val="Titlu1"/>
      </w:pPr>
      <w:bookmarkStart w:id="0" w:name="_Toc107601156"/>
      <w:r>
        <w:t>Introduction</w:t>
      </w:r>
      <w:bookmarkEnd w:id="0"/>
    </w:p>
    <w:p w:rsidR="00BD6F45" w:rsidRDefault="002F378A" w14:paraId="3660E499" w14:textId="6649E24D" w:rsidP="001C5A33">
      <w:r>
        <w:t xml:space="preserve">The modern business environment has an implied expectation from business organizations to give something back to the communities they are a part of. </w:t>
      </w:r>
      <w:r w:rsidR="00AF70D2">
        <w:t xml:space="preserve">The rationale behind this is that businesses make use of various elements present in the society. These elements encompass the stakeholders in the organization and the environment itself. This is why, sustainable business practices are expected from the firms </w:t>
      </w:r>
      <w:r w:rsidR="000918AB">
        <w:t xml:space="preserve">as business operations affect the climate and </w:t>
      </w:r>
      <w:r w:rsidR="002B3A7C">
        <w:t>the society as a whole (Barnes and Schmitz, 2016)</w:t>
      </w:r>
      <w:r w:rsidR="000918AB">
        <w:t>. So, most organizations now engage with communities in various forms such as corporate social responsibility (CSR) activities or social welfare activities. Fujitsu is a multinational corporation that seeks to provide ICT equipment and services to its customers. At the core of Fujitsu’s vision, they want to make a sustainable world through building trust in the society through their innovation</w:t>
      </w:r>
      <w:r w:rsidR="002B3A7C">
        <w:t xml:space="preserve"> (Fujitsu, 2020)</w:t>
      </w:r>
      <w:r w:rsidR="000918AB">
        <w:t xml:space="preserve">. While innovation is surely a way to build trust, the customers often put more emphasis on the way Fujitsu engages with the communities they serve. As a global corporation, they also need to </w:t>
      </w:r>
      <w:r w:rsidR="00BD6F45">
        <w:t>serve in a lot of countries that might have social issues that can be addressed by companies like Fujitsu. This report will seek to analyze the way this firm engages with their communities and discuss how employees can be trained to gain skills that will help in community engagement.</w:t>
      </w:r>
    </w:p>
    <w:p w:rsidR="00A960BD" w:rsidRDefault="00A960BD" w14:paraId="1A30F8F5" w14:textId="77777777" w:rsidP="00A960BD">
      <w:pPr>
        <w:keepNext/>
        <w:jc w:val="center"/>
      </w:pPr>
      <w:r>
        <w:rPr>
          <w:noProof/>
        </w:rPr>
        <w:drawing>
          <wp:inline distB="0" distL="0" distR="0" distT="0" wp14:anchorId="6F21563F" wp14:editId="6B45D71B">
            <wp:extent cx="2339340" cy="1099185"/>
            <wp:effectExtent l="0" t="0" r="381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44994" cy="1102349"/>
                    </a:xfrm>
                    <a:prstGeom prst="rect">
                      <a:avLst/>
                    </a:prstGeom>
                    <a:noFill/>
                    <a:ln>
                      <a:noFill/>
                    </a:ln>
                  </pic:spPr>
                </pic:pic>
              </a:graphicData>
            </a:graphic>
          </wp:inline>
        </w:drawing>
      </w:r>
    </w:p>
    <w:p w:rsidR="00A960BD" w:rsidRDefault="00A960BD" w14:paraId="492A2422" w14:textId="7D7CFDDC" w:rsidP="00A960BD">
      <w:pPr>
        <w:pStyle w:val="Legend"/>
        <w:jc w:val="center"/>
      </w:pPr>
      <w:r>
        <w:t xml:space="preserve">Figure </w:t>
      </w:r>
      <w:r>
        <w:fldChar w:fldCharType="begin"/>
      </w:r>
      <w:r>
        <w:instrText xml:space="preserve"> SEQ Figure \* ARABIC </w:instrText>
      </w:r>
      <w:r>
        <w:fldChar w:fldCharType="separate"/>
      </w:r>
      <w:r>
        <w:rPr>
          <w:noProof/>
        </w:rPr>
        <w:t>1</w:t>
      </w:r>
      <w:r>
        <w:fldChar w:fldCharType="end"/>
      </w:r>
      <w:r>
        <w:t>: Logo of Fujitsu</w:t>
      </w:r>
    </w:p>
    <w:p w:rsidR="001C5A33" w:rsidRDefault="0064132F" w14:paraId="727D28F4" w14:textId="771B052C" w:rsidP="0064132F">
      <w:pPr>
        <w:pStyle w:val="Titlu1"/>
      </w:pPr>
      <w:bookmarkStart w:id="1" w:name="_Toc107601157"/>
      <w:r>
        <w:t>Discussion and Analysis</w:t>
      </w:r>
      <w:bookmarkEnd w:id="1"/>
    </w:p>
    <w:p w:rsidR="00CE16F5" w:rsidRDefault="0057300B" w14:paraId="62A24D89" w14:textId="28F88924" w:rsidP="00CE16F5">
      <w:pPr>
        <w:pStyle w:val="Titlu2"/>
      </w:pPr>
      <w:bookmarkStart w:id="2" w:name="_Toc107601158"/>
      <w:r>
        <w:t xml:space="preserve">Services </w:t>
      </w:r>
      <w:r w:rsidR="00CE16F5">
        <w:t>of Fujitsu</w:t>
      </w:r>
      <w:r>
        <w:t xml:space="preserve"> and Users</w:t>
      </w:r>
      <w:bookmarkEnd w:id="2"/>
    </w:p>
    <w:p w:rsidR="00CE16F5" w:rsidRDefault="007B120D" w14:paraId="095E6F0F" w14:textId="7CC7E828" w:rsidP="00CE16F5" w:rsidRPr="00CE16F5">
      <w:r w:rsidRPr="007B120D">
        <w:t>Changing social and economic conditions characterize today's corporate environment, making it difficult to make predictions about the future. In this sort of environment, it's critical for businesses to keep a close eye on their consumers' changing requirements and respond swiftly to any changes that do occur</w:t>
      </w:r>
      <w:r w:rsidR="00DF4E93">
        <w:t xml:space="preserve"> (Surendro, 2019)</w:t>
      </w:r>
      <w:r w:rsidRPr="007B120D">
        <w:t>. Fujitsu's CRM strategies are constantly being reformed in order to achieve this goal by thinking and acting from the customer's perspective.</w:t>
      </w:r>
      <w:r>
        <w:t xml:space="preserve"> </w:t>
      </w:r>
      <w:r w:rsidR="008E2571">
        <w:t xml:space="preserve">As an IT products and service provider, Fujitsu’s products include computer hardware, microchips and services include consultation services, computing software, telecommunications etc. Thus, their service users primarily encompass government institutions, financial institutions, telecommunication providers, healthcare companies and hardware manufactures across various industries. </w:t>
      </w:r>
      <w:r w:rsidR="00B0667F">
        <w:t xml:space="preserve">These customers and users make use of the services and products provided by the company to operate their own businesses. </w:t>
      </w:r>
      <w:r w:rsidR="008E2571" w:rsidRPr="008E2571">
        <w:t>Fujitsu</w:t>
      </w:r>
      <w:r w:rsidR="00B0667F">
        <w:t xml:space="preserve"> </w:t>
      </w:r>
      <w:r w:rsidR="008E2571" w:rsidRPr="008E2571">
        <w:t xml:space="preserve">is developing long-lasting links with its clients and seeking to be a valued and trusted business partner by delivering solutions across the whole ICT system lifecycle, thus sustaining trusted relationships with customers is crucial for the </w:t>
      </w:r>
      <w:r w:rsidR="00B0667F">
        <w:t>firm’s</w:t>
      </w:r>
      <w:r w:rsidR="008E2571" w:rsidRPr="008E2571">
        <w:t xml:space="preserve"> commercial stability</w:t>
      </w:r>
      <w:r w:rsidR="002B3A7C">
        <w:t xml:space="preserve"> (Fujitsu, 2020)</w:t>
      </w:r>
      <w:r w:rsidR="008E2571" w:rsidRPr="008E2571">
        <w:t>. However, an inability to maintain trusting relationships with such clients, or the failure to renew contracts with them, might impact the Group’s sales and profitability.</w:t>
      </w:r>
      <w:r w:rsidR="00A012C6">
        <w:t xml:space="preserve"> Thus, the firm puts high emphasis on providing excellent customer service before and after availing their products and services. </w:t>
      </w:r>
      <w:r w:rsidR="001E2A0C">
        <w:t>Fujitsu</w:t>
      </w:r>
      <w:r w:rsidR="001E2A0C" w:rsidRPr="001E2A0C">
        <w:t xml:space="preserve"> cooperate</w:t>
      </w:r>
      <w:r w:rsidR="001E2A0C">
        <w:t>s</w:t>
      </w:r>
      <w:r w:rsidR="001E2A0C" w:rsidRPr="001E2A0C">
        <w:t xml:space="preserve"> with many departments to respond</w:t>
      </w:r>
      <w:r w:rsidR="001E2A0C">
        <w:t xml:space="preserve"> to customer inquiries</w:t>
      </w:r>
      <w:r w:rsidR="001E2A0C" w:rsidRPr="001E2A0C">
        <w:t xml:space="preserve"> using AI and chatbot technology. For further security, they serve as an additional kind of monitoring, preventing overlooked or late replies.</w:t>
      </w:r>
    </w:p>
    <w:p w:rsidR="0064132F" w:rsidRDefault="00731BE4" w14:paraId="010E73F5" w14:textId="198FC483" w:rsidP="00F04D6A">
      <w:pPr>
        <w:pStyle w:val="Titlu2"/>
      </w:pPr>
      <w:bookmarkStart w:id="3" w:name="_Toc107601159"/>
      <w:r>
        <w:t>Utilization of Resources by Fujitsu to Engage with The Communities</w:t>
      </w:r>
      <w:bookmarkEnd w:id="3"/>
    </w:p>
    <w:p w:rsidR="00F04D6A" w:rsidRDefault="00731BE4" w14:paraId="02E34030" w14:textId="11AACD88" w:rsidP="00F04D6A">
      <w:r>
        <w:t>Fujitsu built its operations in the UK &amp; Ireland around four core factors. These are: Results, People, Customers and the Society</w:t>
      </w:r>
      <w:r w:rsidR="00704125">
        <w:t xml:space="preserve"> (Fujitsu, 2019)</w:t>
      </w:r>
      <w:r>
        <w:t>. It shows how much importance the company puts on ensuring that they deliver the best results through utilizing its workforce in an effective manner to the customers. Emphasis is also put on sustainability of their operations in the short and long-term. All these factors are correlated which makes it easier for Fujitsu to integrate its activities in a structured way to improve the communities they operate in. To enable this improvement, the firm makes use of its human resource and the material resources.</w:t>
      </w:r>
    </w:p>
    <w:p w:rsidR="00731BE4" w:rsidRDefault="00731BE4" w14:paraId="49810AB8" w14:textId="3DD3E528" w:rsidP="00F04D6A">
      <w:r>
        <w:t>For instance, Fujitsu encourages its employees to take par</w:t>
      </w:r>
      <w:r w:rsidR="00776386">
        <w:t>t</w:t>
      </w:r>
      <w:r>
        <w:t xml:space="preserve"> in local volunteering activities as part of their Impact on Society (IOS) groups. The employees invest their time, efforts and experience in providing volunteer services to the communities</w:t>
      </w:r>
      <w:r w:rsidR="00DF4E93">
        <w:t xml:space="preserve"> (Fujitsu, 2022)</w:t>
      </w:r>
      <w:r>
        <w:t xml:space="preserve">. These local groups of Fujitsu also support </w:t>
      </w:r>
      <w:r w:rsidR="00A960BD">
        <w:t>social causes financially through fundraising and sponsorships. The company itself supports those employees who engage in social charitable activities.</w:t>
      </w:r>
    </w:p>
    <w:p w:rsidR="00A960BD" w:rsidRDefault="00A960BD" w14:paraId="31B9AA21" w14:textId="5E95A5A0" w:rsidP="00F04D6A">
      <w:r>
        <w:t>Apart from this, the firm also provides technology products and innovations to universities and research institutions with the goal of addressing social issues. Their youth development programs focused on training young people who do not have access to enough resources help</w:t>
      </w:r>
      <w:r w:rsidR="00776386">
        <w:t>s</w:t>
      </w:r>
      <w:r>
        <w:t xml:space="preserve"> in creating employment in the communities.</w:t>
      </w:r>
    </w:p>
    <w:p w:rsidR="00A960BD" w:rsidRDefault="00ED2656" w14:paraId="1C51FDAF" w14:textId="5385B798" w:rsidP="00ED2656">
      <w:pPr>
        <w:pStyle w:val="Titlu2"/>
      </w:pPr>
      <w:bookmarkStart w:id="4" w:name="_Toc107601160"/>
      <w:r>
        <w:t>Key Areas of Fujitsu’s Community Engagement Activities</w:t>
      </w:r>
      <w:bookmarkEnd w:id="4"/>
    </w:p>
    <w:p w:rsidR="00ED2656" w:rsidRDefault="00583165" w14:paraId="4BE11756" w14:textId="76F448DA" w:rsidP="00ED2656">
      <w:r>
        <w:t>Fujitsu’s community engagement activities hover around the following impact areas:</w:t>
      </w:r>
    </w:p>
    <w:p w:rsidR="00583165" w:rsidRDefault="00583165" w14:paraId="149BBBA6" w14:textId="65573E8C" w:rsidP="00583165" w:rsidRPr="00583165">
      <w:pPr>
        <w:pStyle w:val="Listparagraf"/>
        <w:numPr>
          <w:ilvl w:val="0"/>
          <w:numId w:val="1"/>
        </w:numPr>
        <w:rPr>
          <w:bCs/>
          <w:b/>
        </w:rPr>
      </w:pPr>
      <w:r w:rsidRPr="00583165">
        <w:rPr>
          <w:bCs/>
          <w:b/>
        </w:rPr>
        <w:t>Digital Inclusion</w:t>
      </w:r>
      <w:r>
        <w:rPr>
          <w:bCs/>
          <w:b/>
        </w:rPr>
        <w:t xml:space="preserve">: </w:t>
      </w:r>
      <w:r>
        <w:t>The firm ensures access to technological knowledge and skill development through introducing various events focused on digital inclusion.</w:t>
      </w:r>
    </w:p>
    <w:p w:rsidR="00583165" w:rsidRDefault="00583165" w14:paraId="5F0762F0" w14:textId="6CDE2091" w:rsidP="00583165" w:rsidRPr="00583165">
      <w:pPr>
        <w:pStyle w:val="Listparagraf"/>
        <w:numPr>
          <w:ilvl w:val="0"/>
          <w:numId w:val="1"/>
        </w:numPr>
        <w:rPr>
          <w:bCs/>
          <w:b/>
        </w:rPr>
      </w:pPr>
      <w:r>
        <w:rPr>
          <w:bCs/>
          <w:b/>
        </w:rPr>
        <w:t>Universities and Research Establishments:</w:t>
      </w:r>
      <w:r>
        <w:t xml:space="preserve"> By partnering with such entities, Fujitsu works in conjunction to resolve social issues in the regions they operate in.</w:t>
      </w:r>
    </w:p>
    <w:p w:rsidR="00583165" w:rsidRDefault="00583165" w14:paraId="20945D47" w14:textId="086E9DE6" w:rsidP="00583165" w:rsidRPr="00850BA8">
      <w:pPr>
        <w:pStyle w:val="Listparagraf"/>
        <w:numPr>
          <w:ilvl w:val="0"/>
          <w:numId w:val="1"/>
        </w:numPr>
        <w:rPr>
          <w:bCs/>
          <w:b/>
        </w:rPr>
      </w:pPr>
      <w:r>
        <w:rPr>
          <w:bCs/>
          <w:b/>
        </w:rPr>
        <w:t>STEM:</w:t>
      </w:r>
      <w:r>
        <w:t xml:space="preserve"> </w:t>
      </w:r>
      <w:r w:rsidR="00850BA8">
        <w:t>Through its various programs, Fujitsu is also working to encourage and engage students in taking STEM subjects as they have greater implications in technological innovation.</w:t>
      </w:r>
    </w:p>
    <w:p w:rsidR="00850BA8" w:rsidRDefault="00850BA8" w14:paraId="16AC371B" w14:textId="318F4059" w:rsidP="00583165" w:rsidRPr="00850BA8">
      <w:pPr>
        <w:pStyle w:val="Listparagraf"/>
        <w:numPr>
          <w:ilvl w:val="0"/>
          <w:numId w:val="1"/>
        </w:numPr>
        <w:rPr>
          <w:bCs/>
          <w:b/>
        </w:rPr>
      </w:pPr>
      <w:r>
        <w:rPr>
          <w:bCs/>
          <w:b/>
        </w:rPr>
        <w:t>Youth Employment:</w:t>
      </w:r>
      <w:r>
        <w:t xml:space="preserve"> The company formulated junior talent programs to help the youth in gaining career building skills that will help to resolve social issues and alleviate the economic condition of the UK &amp; Ireland.</w:t>
      </w:r>
    </w:p>
    <w:p w:rsidR="00850BA8" w:rsidRDefault="00850BA8" w14:paraId="5FA4695A" w14:textId="1414B8C7" w:rsidP="00583165" w:rsidRPr="00850BA8">
      <w:pPr>
        <w:pStyle w:val="Listparagraf"/>
        <w:numPr>
          <w:ilvl w:val="0"/>
          <w:numId w:val="1"/>
        </w:numPr>
        <w:rPr>
          <w:bCs/>
          <w:b/>
        </w:rPr>
      </w:pPr>
      <w:r>
        <w:rPr>
          <w:bCs/>
          <w:b/>
        </w:rPr>
        <w:t>Volunteering:</w:t>
      </w:r>
      <w:r>
        <w:t xml:space="preserve"> As mentioned before, the company has regional IOS groups that volunteers in activities aimed at social development.</w:t>
      </w:r>
    </w:p>
    <w:p w:rsidR="00850BA8" w:rsidRDefault="00850BA8" w14:paraId="62868853" w14:textId="6AE54D52" w:rsidP="00850BA8" w:rsidRPr="00850BA8">
      <w:pPr>
        <w:pStyle w:val="Listparagraf"/>
        <w:numPr>
          <w:ilvl w:val="0"/>
          <w:numId w:val="1"/>
        </w:numPr>
        <w:rPr>
          <w:bCs/>
          <w:b/>
        </w:rPr>
      </w:pPr>
      <w:r>
        <w:rPr>
          <w:bCs/>
          <w:b/>
        </w:rPr>
        <w:t xml:space="preserve">Charitable Activities: </w:t>
      </w:r>
      <w:r>
        <w:t>Fujitsu also partners with charitable organizations to give back to the societies in various fields. These organizations work towards helping the underprivileged children in the community, the young generation through skills building workshops and promoting sustainable business practices of other firms</w:t>
      </w:r>
      <w:r w:rsidR="00704125">
        <w:t xml:space="preserve"> (Fujitsu, 2022)</w:t>
      </w:r>
      <w:r>
        <w:t>.</w:t>
      </w:r>
    </w:p>
    <w:p w:rsidR="00850BA8" w:rsidRDefault="002B5D30" w14:paraId="24284574" w14:textId="3DCC7F7F" w:rsidP="00850BA8">
      <w:r>
        <w:t>The key theme of Fujitsu’s community engagement activities can be derived through evaluating their areas of focus. It shows that the organization wants to contribute to the UK economy through alleviating economic and social issues of the regions they operate in. Most of their community development efforts are focused towards children and youths.</w:t>
      </w:r>
    </w:p>
    <w:p w:rsidR="002B5D30" w:rsidRDefault="00B57053" w14:paraId="69440892" w14:textId="00528D3F" w:rsidP="00B57053">
      <w:pPr>
        <w:pStyle w:val="Titlu2"/>
      </w:pPr>
      <w:bookmarkStart w:id="5" w:name="_Toc107601161"/>
      <w:r>
        <w:t>Importance of Community Engagement in Fujitsu’s Business</w:t>
      </w:r>
      <w:bookmarkEnd w:id="5"/>
    </w:p>
    <w:p w:rsidR="00B57053" w:rsidRDefault="0057168F" w14:paraId="7A015378" w14:textId="731B7F9B" w:rsidP="00B57053">
      <w:r>
        <w:t>Fujitsu’s business model revolves around ensuring that it addresses the social issues of the regions they operate in so that they can grow together with the community. In a world where customers are now more conscious about the activities of business organizations and their impact on the society and environment, community engagement can go a long way to determine the brand image of a</w:t>
      </w:r>
      <w:r w:rsidR="00712852">
        <w:t>n</w:t>
      </w:r>
      <w:r>
        <w:t xml:space="preserve"> organization. </w:t>
      </w:r>
      <w:r w:rsidR="00BA484B">
        <w:t>Data suggests that 82% of customers in the US are likely to consider the impact of the business on society and environment before making purchase decisions</w:t>
      </w:r>
      <w:r w:rsidR="00DF4E93">
        <w:t xml:space="preserve"> (Forbes, 2017)</w:t>
      </w:r>
      <w:r w:rsidR="00BA484B">
        <w:t xml:space="preserve">. </w:t>
      </w:r>
      <w:r w:rsidR="00712852">
        <w:t>There are many reasons why the role of community engagement helps in defining the business of Fujitsu. Some of these are mentioned as follows:</w:t>
      </w:r>
    </w:p>
    <w:p w:rsidR="00D47875" w:rsidRDefault="00BF7EB8" w14:paraId="76AF2CD4" w14:textId="2FB1FBE3" w:rsidP="00712852">
      <w:pPr>
        <w:pStyle w:val="Listparagraf"/>
        <w:numPr>
          <w:ilvl w:val="0"/>
          <w:numId w:val="2"/>
        </w:numPr>
        <w:ind w:left="360"/>
      </w:pPr>
      <w:r>
        <w:t xml:space="preserve">First of all, </w:t>
      </w:r>
      <w:r w:rsidR="00D47875">
        <w:t xml:space="preserve">engaging in community service activities will help to create brand awareness </w:t>
      </w:r>
      <w:r w:rsidR="00BA484B">
        <w:t xml:space="preserve">and increase visibility </w:t>
      </w:r>
      <w:r w:rsidR="00D47875">
        <w:t>of Fujitsu in the mind of the people</w:t>
      </w:r>
      <w:r w:rsidR="00461AD5">
        <w:t xml:space="preserve"> (</w:t>
      </w:r>
      <w:r w:rsidR="00461AD5" w:rsidRPr="00461AD5">
        <w:t>Huang and Sarigöllü, 2014</w:t>
      </w:r>
      <w:r w:rsidR="00461AD5">
        <w:t>)</w:t>
      </w:r>
      <w:r w:rsidR="00D47875">
        <w:t>. Those who are unfamiliar with the organization will get to know about it and become curious. They will look into their products and services with a view to availing their services at some point. So, such activities help in generating new leads for Fujitsu.</w:t>
      </w:r>
    </w:p>
    <w:p w:rsidR="00712852" w:rsidRDefault="00D47875" w14:paraId="1A5A9E9A" w14:textId="4CA6D063" w:rsidP="00712852">
      <w:pPr>
        <w:pStyle w:val="Listparagraf"/>
        <w:numPr>
          <w:ilvl w:val="0"/>
          <w:numId w:val="2"/>
        </w:numPr>
        <w:ind w:left="360"/>
      </w:pPr>
      <w:r>
        <w:t xml:space="preserve">Secondly, </w:t>
      </w:r>
      <w:r w:rsidR="00BF7EB8">
        <w:t xml:space="preserve">community engagement helps Fujitsu to build trust among its customers. </w:t>
      </w:r>
      <w:r w:rsidR="00D24FD2">
        <w:t xml:space="preserve">It deepens the sense of loyalty and bond with the community. </w:t>
      </w:r>
      <w:r w:rsidR="00BF7EB8">
        <w:t xml:space="preserve">The more Fujitsu helps to eradicate social issues, the more the people of the community will positively reflect on the company. Such efforts also spread through word of mouth </w:t>
      </w:r>
      <w:r w:rsidR="00D24FD2">
        <w:t>and news of local media which generates positive impression and translates into more bottom line</w:t>
      </w:r>
      <w:r w:rsidR="00461AD5">
        <w:t xml:space="preserve"> (Rangan, Chase and Karim, 2012)</w:t>
      </w:r>
      <w:r w:rsidR="00D24FD2">
        <w:t>.</w:t>
      </w:r>
    </w:p>
    <w:p w:rsidR="00BF7EB8" w:rsidRDefault="00BF7EB8" w14:paraId="69379702" w14:textId="42FD3F55" w:rsidP="00712852">
      <w:pPr>
        <w:pStyle w:val="Listparagraf"/>
        <w:numPr>
          <w:ilvl w:val="0"/>
          <w:numId w:val="2"/>
        </w:numPr>
        <w:ind w:left="360"/>
      </w:pPr>
      <w:r>
        <w:t>Research shows that customers like to associated themselves with brands that reflect their own beliefs</w:t>
      </w:r>
      <w:r w:rsidR="00461AD5">
        <w:t xml:space="preserve"> (Subramaniam, Mohre and Kawde, 2014)</w:t>
      </w:r>
      <w:r>
        <w:t>. In this regard, Fujitsu’s core principles in terms of community engagement will allow their customers to associate themselves more with the brand. This translates into higher customer loyalty and turnover is reduced for the firm.</w:t>
      </w:r>
    </w:p>
    <w:p w:rsidR="00BF7EB8" w:rsidRDefault="00201176" w14:paraId="39AE8594" w14:textId="745E2EE6" w:rsidP="00712852">
      <w:pPr>
        <w:pStyle w:val="Listparagraf"/>
        <w:numPr>
          <w:ilvl w:val="0"/>
          <w:numId w:val="2"/>
        </w:numPr>
        <w:ind w:left="360"/>
      </w:pPr>
      <w:r>
        <w:t>When employees can realize the impact of their activities on the society, they will feel motivated in their workplace more. This is because job significance is an important factor in job satisfaction of employees</w:t>
      </w:r>
      <w:r w:rsidR="00461AD5">
        <w:t xml:space="preserve"> (Mao, Hsieh and Chen, 2012)</w:t>
      </w:r>
      <w:r>
        <w:t>. Fujitsu’s IOS groups and their volunteers directly help their local communities financially or in other ways that have direct implications in the societal development of the regions. If Fujitsu can show them how they contributed to the society, the employees will be eager to increase their productivity in their respective jobs.</w:t>
      </w:r>
      <w:r w:rsidR="00A55CBB">
        <w:t xml:space="preserve"> It will also reduce employee turnover. This backed by research data that suggests committed employees are likely to put in 57% more effort and less likely to resign compared to normal employees</w:t>
      </w:r>
      <w:r w:rsidR="00461AD5">
        <w:t xml:space="preserve"> (Ford, 2021)</w:t>
      </w:r>
      <w:r w:rsidR="00A55CBB">
        <w:t>. Community engagement can make it happen for Fujitsu.</w:t>
      </w:r>
    </w:p>
    <w:p w:rsidR="00201176" w:rsidRDefault="00BA484B" w14:paraId="43F2562B" w14:textId="50A60324" w:rsidP="00712852">
      <w:pPr>
        <w:pStyle w:val="Listparagraf"/>
        <w:numPr>
          <w:ilvl w:val="0"/>
          <w:numId w:val="2"/>
        </w:numPr>
        <w:ind w:left="360"/>
      </w:pPr>
      <w:r>
        <w:t>Community engagement activities increase collaboration of employees at Fujitsu. This directly translates into good teamwork and communication skills. Such skills are vital in ensuring the productivity in the workplace.</w:t>
      </w:r>
    </w:p>
    <w:p w:rsidR="00BA484B" w:rsidRDefault="00BA484B" w14:paraId="0BD362E2" w14:textId="1BDD9E45" w:rsidP="00712852">
      <w:pPr>
        <w:pStyle w:val="Listparagraf"/>
        <w:numPr>
          <w:ilvl w:val="0"/>
          <w:numId w:val="2"/>
        </w:numPr>
        <w:ind w:left="360"/>
      </w:pPr>
      <w:r>
        <w:t>Having a range of community engagement activities also aid</w:t>
      </w:r>
      <w:r w:rsidR="00776386">
        <w:t>s</w:t>
      </w:r>
      <w:r>
        <w:t xml:space="preserve"> Fujitsu </w:t>
      </w:r>
      <w:r w:rsidR="00776386">
        <w:t>in attracting</w:t>
      </w:r>
      <w:r>
        <w:t xml:space="preserve"> a diverse and talented set of employees who reciprocate the same principles as to that of Fujitsu’s. Thus, the recruitment and selection procedure also become</w:t>
      </w:r>
      <w:r w:rsidR="00776386">
        <w:t>s</w:t>
      </w:r>
      <w:r>
        <w:t xml:space="preserve"> easier for the firm.</w:t>
      </w:r>
    </w:p>
    <w:p w:rsidR="00BA484B" w:rsidRDefault="00C53990" w14:paraId="380714DC" w14:textId="13CB08E7" w:rsidP="00BA484B">
      <w:r>
        <w:t>To summarize, the significance of community engagement on business of Fujitsu is immense from multiple perspectives.</w:t>
      </w:r>
    </w:p>
    <w:p w:rsidR="00C53990" w:rsidRDefault="006E3BD8" w14:paraId="6F2130C6" w14:textId="7C09683B" w:rsidP="006E3BD8">
      <w:pPr>
        <w:pStyle w:val="Titlu1"/>
      </w:pPr>
      <w:bookmarkStart w:id="6" w:name="_Toc107601162"/>
      <w:r>
        <w:t>Skill Acquisition for Community Engagement Activities</w:t>
      </w:r>
      <w:bookmarkEnd w:id="6"/>
    </w:p>
    <w:p w:rsidR="006E3BD8" w:rsidRDefault="000732CD" w14:paraId="0FF08869" w14:textId="77F3AC5B" w:rsidP="006E3BD8">
      <w:r>
        <w:t xml:space="preserve">For employees’ perspectives, community engagement requires various skills and competencies that they should possess. Otherwise, effective engagement will not be possible for Fujitsu. </w:t>
      </w:r>
      <w:r w:rsidR="00CF3CE2">
        <w:t>Some of the pivotal skills required for community engagement activities are as follows:</w:t>
      </w:r>
    </w:p>
    <w:p w:rsidR="00CF3CE2" w:rsidRDefault="00CF3CE2" w14:paraId="5A2807BB" w14:textId="036E0664" w:rsidP="00CF3CE2" w:rsidRPr="00CF3CE2">
      <w:pPr>
        <w:pStyle w:val="Listparagraf"/>
        <w:numPr>
          <w:ilvl w:val="0"/>
          <w:numId w:val="3"/>
        </w:numPr>
        <w:ind w:left="450"/>
        <w:rPr>
          <w:bCs/>
          <w:b/>
        </w:rPr>
      </w:pPr>
      <w:r w:rsidRPr="00CF3CE2">
        <w:rPr>
          <w:bCs/>
          <w:b/>
        </w:rPr>
        <w:t>Collaboration</w:t>
      </w:r>
      <w:r>
        <w:rPr>
          <w:bCs/>
          <w:b/>
        </w:rPr>
        <w:t xml:space="preserve">: </w:t>
      </w:r>
      <w:r>
        <w:t>Employees who work as volunteers should have the ability to collaborate with others. This skill is directly associated with teamwork skill</w:t>
      </w:r>
      <w:r w:rsidR="00607C6B">
        <w:t xml:space="preserve"> (Bedwell et al., 2012)</w:t>
      </w:r>
      <w:r>
        <w:t>. When dealing with such activities the employees should be able to work together to avoid confusions and conflicts.</w:t>
      </w:r>
    </w:p>
    <w:p w:rsidR="00B254DC" w:rsidRDefault="00CF3CE2" w14:paraId="25A7ECEB" w14:textId="4C2C9219" w:rsidP="00CF3CE2" w:rsidRPr="00B254DC">
      <w:pPr>
        <w:pStyle w:val="Listparagraf"/>
        <w:numPr>
          <w:ilvl w:val="0"/>
          <w:numId w:val="3"/>
        </w:numPr>
        <w:ind w:left="450"/>
        <w:rPr>
          <w:bCs/>
          <w:b/>
        </w:rPr>
      </w:pPr>
      <w:r>
        <w:rPr>
          <w:bCs/>
          <w:b/>
        </w:rPr>
        <w:t>Communication:</w:t>
      </w:r>
      <w:r>
        <w:t xml:space="preserve"> Effective communication is imperative for businesses and specially in dealing with the external environment. The employees should have clearly communicated roles so that they understand what is expected from them.</w:t>
      </w:r>
      <w:r w:rsidR="00B254DC">
        <w:t xml:space="preserve"> Besides, the modern communities include people coming from diverse backgrounds depending on race, gender, religious beliefs and cultures. So, the staff should understand the impact of their messages before communicating. Since they have to work alongside the diverse people residing in the community, communication should be well-maintained.</w:t>
      </w:r>
    </w:p>
    <w:p w:rsidR="00CF3CE2" w:rsidRDefault="00B254DC" w14:paraId="3CC8322B" w14:textId="516DEB78" w:rsidP="00CF3CE2" w:rsidRPr="00CF3CE2">
      <w:pPr>
        <w:pStyle w:val="Listparagraf"/>
        <w:numPr>
          <w:ilvl w:val="0"/>
          <w:numId w:val="3"/>
        </w:numPr>
        <w:ind w:left="450"/>
        <w:rPr>
          <w:bCs/>
          <w:b/>
        </w:rPr>
      </w:pPr>
      <w:r>
        <w:rPr>
          <w:bCs/>
          <w:b/>
        </w:rPr>
        <w:t>Empathy:</w:t>
      </w:r>
      <w:r>
        <w:t xml:space="preserve"> </w:t>
      </w:r>
      <w:r w:rsidR="00CF3CE2">
        <w:t xml:space="preserve">One of the main elements of effective communication is empathy. </w:t>
      </w:r>
      <w:r>
        <w:t>It refers to the ability to understand another person’s viewpoint and experience</w:t>
      </w:r>
      <w:r w:rsidR="00607C6B">
        <w:t xml:space="preserve"> (Cuff et al., 2016)</w:t>
      </w:r>
      <w:r>
        <w:t xml:space="preserve">. </w:t>
      </w:r>
      <w:r w:rsidR="00CF3CE2">
        <w:t xml:space="preserve">Being empathetic helps the employees to customize their communicated message depending on the recipient. </w:t>
      </w:r>
      <w:r>
        <w:t>It also helps them to understand the needs of the people in their local communities.</w:t>
      </w:r>
    </w:p>
    <w:p w:rsidR="0083096A" w:rsidRDefault="0083096A" w14:paraId="67E8BFFB" w14:textId="129A46E6" w:rsidP="00727FD2" w:rsidRPr="00727FD2">
      <w:pPr>
        <w:pStyle w:val="Listparagraf"/>
        <w:numPr>
          <w:ilvl w:val="0"/>
          <w:numId w:val="3"/>
        </w:numPr>
        <w:ind w:left="450"/>
        <w:rPr>
          <w:bCs/>
          <w:b/>
        </w:rPr>
      </w:pPr>
      <w:r>
        <w:rPr>
          <w:bCs/>
          <w:b/>
        </w:rPr>
        <w:t xml:space="preserve">Decision-making: </w:t>
      </w:r>
      <w:r>
        <w:t>Employees often have to make on-field decisions while being involved in community development activities. Sometimes unstructured problems may arise that need to be addressed swiftly. Moreover, the plans should be organized in a manner that empowers the volunteers to provide effective service in their community activities. Moments like this, good decision making can aid in resolving such issues quicker.</w:t>
      </w:r>
    </w:p>
    <w:p w:rsidR="00727FD2" w:rsidRDefault="00727FD2" w14:paraId="439EAFF5" w14:textId="7A54F2A3" w:rsidP="00727FD2">
      <w:r>
        <w:t>Admittedly, there are many other skills a</w:t>
      </w:r>
      <w:r w:rsidR="00841F4F">
        <w:t>n</w:t>
      </w:r>
      <w:r>
        <w:t>d competencies that are required for community engagement activities which mostly fall under these four broad categories.</w:t>
      </w:r>
    </w:p>
    <w:p w:rsidR="00727FD2" w:rsidRDefault="00727FD2" w14:paraId="66E55A35" w14:textId="5F6E0355" w:rsidP="00727FD2">
      <w:r>
        <w:t>However, such skills are often needed to be instilled in the employees. Some may have the eagerness even though they lack the necessary skills. Some of the ways such skills can be required are as follows:</w:t>
      </w:r>
    </w:p>
    <w:p w:rsidR="00727FD2" w:rsidRDefault="00841F4F" w14:paraId="1A82B0DE" w14:textId="411CBEB6" w:rsidP="00CF5C8F" w:rsidRPr="00841F4F">
      <w:pPr>
        <w:pStyle w:val="Listparagraf"/>
        <w:numPr>
          <w:ilvl w:val="0"/>
          <w:numId w:val="4"/>
        </w:numPr>
        <w:ind w:left="540"/>
        <w:rPr>
          <w:bCs/>
          <w:b/>
        </w:rPr>
      </w:pPr>
      <w:r>
        <w:t xml:space="preserve">First, </w:t>
      </w:r>
      <w:r w:rsidR="00835649">
        <w:t xml:space="preserve">Fujitsu has to empower its employees from within to actually be able to empower the society. </w:t>
      </w:r>
      <w:r>
        <w:t>Employees are empowered through greater autonomy and scopes to make decisions regarding their jobs</w:t>
      </w:r>
      <w:r w:rsidR="00607C6B">
        <w:t xml:space="preserve"> (Fernandez and Moldogaziev, 2013)</w:t>
      </w:r>
      <w:r>
        <w:t>.</w:t>
      </w:r>
    </w:p>
    <w:p w:rsidR="00841F4F" w:rsidRDefault="00506A30" w14:paraId="07D10FB9" w14:textId="430E5599" w:rsidP="00CF5C8F" w:rsidRPr="00506A30">
      <w:pPr>
        <w:pStyle w:val="Listparagraf"/>
        <w:numPr>
          <w:ilvl w:val="0"/>
          <w:numId w:val="4"/>
        </w:numPr>
        <w:ind w:left="540"/>
        <w:rPr>
          <w:bCs/>
          <w:b/>
        </w:rPr>
      </w:pPr>
      <w:r>
        <w:t>The employees have to understand the viewpoint of others through communicating with them. It will help them to increase their communication skills along with empathy.</w:t>
      </w:r>
    </w:p>
    <w:p w:rsidR="00506A30" w:rsidRDefault="00506A30" w14:paraId="17F694CB" w14:textId="6A618858" w:rsidP="00CF5C8F" w:rsidRPr="00506A30">
      <w:pPr>
        <w:pStyle w:val="Listparagraf"/>
        <w:numPr>
          <w:ilvl w:val="0"/>
          <w:numId w:val="4"/>
        </w:numPr>
        <w:ind w:left="540"/>
        <w:rPr>
          <w:bCs/>
          <w:b/>
        </w:rPr>
      </w:pPr>
      <w:r>
        <w:t>Training programs aimed at diversity management can aid employees in identifying and act accordingly when dealing with people coming from diverse backgrounds.</w:t>
      </w:r>
    </w:p>
    <w:p w:rsidR="00506A30" w:rsidRDefault="00506A30" w14:paraId="3AB883CB" w14:textId="7C742D45" w:rsidP="00CF5C8F" w:rsidRPr="00506A30">
      <w:pPr>
        <w:pStyle w:val="Listparagraf"/>
        <w:numPr>
          <w:ilvl w:val="0"/>
          <w:numId w:val="4"/>
        </w:numPr>
        <w:ind w:left="540"/>
        <w:rPr>
          <w:bCs/>
          <w:b/>
        </w:rPr>
      </w:pPr>
      <w:r>
        <w:t>The employees in a group should have defined roles so they can work together harmoniously.</w:t>
      </w:r>
    </w:p>
    <w:p w:rsidR="001E55B6" w:rsidRDefault="00506A30" w14:paraId="0FF9AB7A" w14:textId="01FA1865" w:rsidP="00506A30">
      <w:r>
        <w:t>With enough time and effort, the skills can be acquired that will help Fujitsu’s staff to engage in community activities effectively.</w:t>
      </w:r>
    </w:p>
    <w:p w:rsidR="001E55B6" w:rsidRDefault="001E55B6" w14:paraId="7286997B" w14:textId="77777777">
      <w:pPr>
        <w:spacing w:line="276" w:lineRule="auto"/>
      </w:pPr>
      <w:r>
        <w:br w:type="page"/>
      </w:r>
    </w:p>
    <w:p w:rsidR="00506A30" w:rsidRDefault="00506A30" w14:paraId="761BC75C" w14:textId="23CC1DAA" w:rsidP="00506A30">
      <w:pPr>
        <w:pStyle w:val="Titlu1"/>
      </w:pPr>
      <w:bookmarkStart w:id="7" w:name="_Toc107601163"/>
      <w:r>
        <w:t>Conclusion</w:t>
      </w:r>
      <w:bookmarkEnd w:id="7"/>
    </w:p>
    <w:p w:rsidR="00704125" w:rsidRDefault="00AF4BF6" w14:paraId="689AC837" w14:textId="38D6219C" w:rsidP="00506A30">
      <w:r>
        <w:t>Community engagement is at the core of Fujitsu’s organizational culture. It helps to alleviate social issues in the communities they serve in form of economic development. It helps them to gain recognition as a community friendly company. However, to engage in such activities, the employees should possess some skills and traits that will help them address social problems better. The company should be focused on maintaining the morale of the employees to make sure the employees also give something back to the community. Fujitsu itself, as an organization should utilize its material resources to alleviate afflicted communities. The infusion of trust will help Fujitsu in its operations in the long run.</w:t>
      </w:r>
    </w:p>
    <w:p w:rsidR="00704125" w:rsidRDefault="00704125" w14:paraId="09D4295A" w14:textId="77777777">
      <w:pPr>
        <w:spacing w:line="276" w:lineRule="auto"/>
      </w:pPr>
      <w:r>
        <w:br w:type="page"/>
      </w:r>
    </w:p>
    <w:p w:rsidR="00506A30" w:rsidRDefault="00704125" w14:paraId="3AA075DB" w14:textId="2E2AEDF3" w:rsidP="00704125">
      <w:pPr>
        <w:pStyle w:val="Titlu1"/>
      </w:pPr>
      <w:bookmarkStart w:id="8" w:name="_Toc107601164"/>
      <w:r>
        <w:t>References</w:t>
      </w:r>
      <w:bookmarkEnd w:id="8"/>
    </w:p>
    <w:p w:rsidR="00C2555D" w:rsidRDefault="00C2555D" w14:paraId="3FF74DC2" w14:textId="4EDAF6E0" w:rsidP="00C2555D" w:rsidRPr="00C2555D">
      <w:r w:rsidRPr="00C2555D">
        <w:t>Barnes, M. and Schmitz, P., 2016. Community engagement matters (now more than ever). </w:t>
      </w:r>
      <w:r w:rsidRPr="00C2555D">
        <w:rPr>
          <w:iCs/>
          <w:i/>
        </w:rPr>
        <w:t>Stanford Social Innovation Review</w:t>
      </w:r>
      <w:r w:rsidRPr="00C2555D">
        <w:t>, </w:t>
      </w:r>
      <w:r w:rsidRPr="00C2555D">
        <w:rPr>
          <w:iCs/>
          <w:i/>
        </w:rPr>
        <w:t>14</w:t>
      </w:r>
      <w:r w:rsidRPr="00C2555D">
        <w:t>(2), pp.32-39.</w:t>
      </w:r>
    </w:p>
    <w:p w:rsidR="00607C6B" w:rsidRDefault="00607C6B" w14:paraId="1655F8EA" w14:textId="0C684214" w:rsidP="00607C6B" w:rsidRPr="00607C6B">
      <w:r w:rsidRPr="00607C6B">
        <w:t>Bedwell, W.L., Wildman, J.L., DiazGranados, D., Salazar, M., Kramer, W.S. and Salas, E., 2012. Collaboration at work: An integrative multilevel conceptualization. </w:t>
      </w:r>
      <w:r w:rsidRPr="00607C6B">
        <w:rPr>
          <w:iCs/>
          <w:i/>
        </w:rPr>
        <w:t>Human resource management review</w:t>
      </w:r>
      <w:r w:rsidRPr="00607C6B">
        <w:t>, </w:t>
      </w:r>
      <w:r w:rsidRPr="00607C6B">
        <w:rPr>
          <w:iCs/>
          <w:i/>
        </w:rPr>
        <w:t>22</w:t>
      </w:r>
      <w:r w:rsidRPr="00607C6B">
        <w:t>(2), pp.128-145.</w:t>
      </w:r>
    </w:p>
    <w:p w:rsidR="00607C6B" w:rsidRDefault="00607C6B" w14:paraId="1D3483E6" w14:textId="5E60530A" w:rsidP="00607C6B" w:rsidRPr="00607C6B">
      <w:r w:rsidRPr="00607C6B">
        <w:t>Cuff, B.M., Brown, S.J., Taylor, L. and Howat, D.J., 2016. Empathy: A review of the concept. </w:t>
      </w:r>
      <w:r w:rsidRPr="00607C6B">
        <w:rPr>
          <w:iCs/>
          <w:i/>
        </w:rPr>
        <w:t>Emotion review</w:t>
      </w:r>
      <w:r w:rsidRPr="00607C6B">
        <w:t>, </w:t>
      </w:r>
      <w:r w:rsidRPr="00607C6B">
        <w:rPr>
          <w:iCs/>
          <w:i/>
        </w:rPr>
        <w:t>8</w:t>
      </w:r>
      <w:r w:rsidRPr="00607C6B">
        <w:t>(2), pp.144-153.</w:t>
      </w:r>
    </w:p>
    <w:p w:rsidR="00607C6B" w:rsidRDefault="00607C6B" w14:paraId="097A9F8E" w14:textId="5C3DB15F" w:rsidP="00607C6B">
      <w:r w:rsidRPr="00607C6B">
        <w:t>Fernandez, S. and Moldogaziev, T., 2013. Employee empowerment, employee attitudes, and performance: Testing a causal model. </w:t>
      </w:r>
      <w:r w:rsidRPr="00607C6B">
        <w:rPr>
          <w:iCs/>
          <w:i/>
        </w:rPr>
        <w:t>Public Administration Review</w:t>
      </w:r>
      <w:r w:rsidRPr="00607C6B">
        <w:t>, </w:t>
      </w:r>
      <w:r w:rsidRPr="00607C6B">
        <w:rPr>
          <w:iCs/>
          <w:i/>
        </w:rPr>
        <w:t>73</w:t>
      </w:r>
      <w:r w:rsidRPr="00607C6B">
        <w:t>(3), pp.490-506.</w:t>
      </w:r>
    </w:p>
    <w:p w:rsidR="00607C6B" w:rsidRDefault="00607C6B" w14:paraId="45CA5F14" w14:textId="4968DE26" w:rsidP="00607C6B" w:rsidRPr="00607C6B">
      <w:pPr>
        <w:rPr>
          <w:lang w:val="en-GB"/>
          <w:rFonts w:ascii="Times New Roman" w:cs="Times New Roman" w:hAnsi="Times New Roman"/>
        </w:rPr>
      </w:pPr>
      <w:r>
        <w:t>Forbes, 2017. Council Post: How Community Involvement Programs Can Grow Your Business. </w:t>
      </w:r>
      <w:r>
        <w:rPr>
          <w:iCs/>
          <w:i/>
        </w:rPr>
        <w:t>Forbes</w:t>
      </w:r>
      <w:r>
        <w:t>. [online] 8 Jun. Available at: &lt;https://www.forbes.com/sites/forbeshumanresourcescouncil/2017/06/08/how-community-involvement-programs-can-grow-your-business/?sh=763a2614421d&gt; [Accessed 1 July 2022].</w:t>
      </w:r>
    </w:p>
    <w:p w:rsidR="00704125" w:rsidRDefault="00461AD5" w14:paraId="429EB1CE" w14:textId="200B5FEB" w:rsidP="00704125" w:rsidRPr="00461AD5">
      <w:pPr>
        <w:rPr>
          <w:lang w:val="en-GB"/>
          <w:rFonts w:ascii="Times New Roman" w:cs="Times New Roman" w:hAnsi="Times New Roman"/>
        </w:rPr>
      </w:pPr>
      <w:r>
        <w:t>Ford, S., 2021. </w:t>
      </w:r>
      <w:r>
        <w:rPr>
          <w:iCs/>
          <w:i/>
        </w:rPr>
        <w:t>The Business Case for Employee Volunteer &amp; Skills Giving Programs</w:t>
      </w:r>
      <w:r>
        <w:t>. [online] America’s Charities. Available at: &lt;https://www.charities.org/news/business-case-employee-volunteer-skills-giving-programs#:~:text=A%20PwC%20study%20revealed%2C%20%E2%80%9CEmployees,achieve%20earnings%2Dper%2Dshare%20growth&gt; [Accessed 1 July 2022].</w:t>
      </w:r>
    </w:p>
    <w:p w:rsidR="00704125" w:rsidRDefault="00704125" w14:paraId="1251704F" w14:textId="3B7BA3F3" w:rsidP="00704125">
      <w:r>
        <w:t>Fujitsu, 2019, Community Investment and Development, Fujitsu UK &amp; Ireland.</w:t>
      </w:r>
    </w:p>
    <w:p w:rsidR="002B3A7C" w:rsidRDefault="002B3A7C" w14:paraId="114D8469" w14:textId="4FDD1385" w:rsidP="00704125">
      <w:r>
        <w:t>Fujitsu, 2020. </w:t>
      </w:r>
      <w:r>
        <w:rPr>
          <w:iCs/>
          <w:i/>
        </w:rPr>
        <w:t>About Fujitsu: Fujitsu Global</w:t>
      </w:r>
      <w:r>
        <w:t>. [online] Fujitsu.com. Available at: &lt;https://www.fujitsu.com/global/about/&gt; [Accessed 1 July 2022].</w:t>
      </w:r>
    </w:p>
    <w:p w:rsidR="002B3A7C" w:rsidRDefault="002B3A7C" w14:paraId="0429CCEF" w14:textId="598FDCEE" w:rsidP="002B3A7C" w:rsidRPr="0095099F">
      <w:pPr>
        <w:rPr>
          <w:lang w:val="en-GB"/>
          <w:rFonts w:ascii="Times New Roman" w:cs="Times New Roman" w:hAnsi="Times New Roman"/>
        </w:rPr>
      </w:pPr>
      <w:r>
        <w:t>Fujitsu, 2020. </w:t>
      </w:r>
      <w:r>
        <w:rPr>
          <w:iCs/>
          <w:i/>
        </w:rPr>
        <w:t>Working With Our Customers: Fujitsu Global</w:t>
      </w:r>
      <w:r>
        <w:t>. [online] Fujitsu.com. Available at: &lt;https://www.fujitsu.com/global/about/csr/society/customers/&gt; [Accessed 1 July 2022].</w:t>
      </w:r>
    </w:p>
    <w:p w:rsidR="00704125" w:rsidRDefault="00704125" w14:paraId="14733832" w14:textId="093C5C64" w:rsidP="00704125">
      <w:r>
        <w:t>Fujitsu, 2022. </w:t>
      </w:r>
      <w:r>
        <w:rPr>
          <w:iCs/>
          <w:i/>
        </w:rPr>
        <w:t>Community Involvement &amp; Development: Fujitsu UK</w:t>
      </w:r>
      <w:r>
        <w:t>. [online] Available at: https://www.fujitsu.com/uk/about/local/corporate-responsibility/responsible-business-report/social-action/ [Accessed 1 Jul. 2022].</w:t>
      </w:r>
    </w:p>
    <w:p w:rsidR="00607C6B" w:rsidRDefault="00607C6B" w14:paraId="6BB11B0D" w14:textId="684CE173" w:rsidP="00607C6B">
      <w:pPr>
        <w:rPr>
          <w:lang w:val="en-GB"/>
        </w:rPr>
      </w:pPr>
      <w:r w:rsidRPr="00607C6B">
        <w:t>Huang, R. and Sarigöllü, E., 2014. How brand awareness relates to market outcome, brand equity, and the marketing mix. In </w:t>
      </w:r>
      <w:r w:rsidRPr="00607C6B">
        <w:rPr>
          <w:iCs/>
          <w:i/>
        </w:rPr>
        <w:t>Fashion branding and consumer behaviors</w:t>
      </w:r>
      <w:r w:rsidRPr="00607C6B">
        <w:t> (pp. 113-132). Springer, New York, NY.</w:t>
      </w:r>
    </w:p>
    <w:p w:rsidR="00704125" w:rsidRDefault="00704125" w14:paraId="233F8B84" w14:textId="7EE80BB1" w:rsidP="00704125">
      <w:r>
        <w:t>‌</w:t>
      </w:r>
      <w:r w:rsidR="00607C6B" w:rsidRPr="00607C6B">
        <w:t>Mao, H.Y., Hsieh, A.T. and Chen, C.Y., 2012. The relationship between workplace friendship and perceived job significance. </w:t>
      </w:r>
      <w:r w:rsidR="00607C6B" w:rsidRPr="00607C6B">
        <w:rPr>
          <w:iCs/>
          <w:i/>
        </w:rPr>
        <w:t>Journal of Management &amp; Organization</w:t>
      </w:r>
      <w:r w:rsidR="00607C6B" w:rsidRPr="00607C6B">
        <w:t>, </w:t>
      </w:r>
      <w:r w:rsidR="00607C6B" w:rsidRPr="00607C6B">
        <w:rPr>
          <w:iCs/>
          <w:i/>
        </w:rPr>
        <w:t>18</w:t>
      </w:r>
      <w:r w:rsidR="00607C6B" w:rsidRPr="00607C6B">
        <w:t>(2), pp.247-262.</w:t>
      </w:r>
    </w:p>
    <w:p w:rsidR="00607C6B" w:rsidRDefault="00607C6B" w14:paraId="2715728C" w14:textId="05A7F0F1" w:rsidP="00704125">
      <w:r w:rsidRPr="00607C6B">
        <w:t>Rangan, K., Chase, L.A. and Karim, S., 2012. Why every company needs a CSR strategy and how to build it.</w:t>
      </w:r>
    </w:p>
    <w:p w:rsidR="00704125" w:rsidRDefault="00607C6B" w14:paraId="35EDCFAB" w14:textId="14252958" w:rsidP="00704125">
      <w:r w:rsidRPr="00607C6B">
        <w:t>Subramaniam, S., Mohre, R. and Kawde, D., 2014. Customers' Perception: Towards Brand. </w:t>
      </w:r>
      <w:r w:rsidRPr="00607C6B">
        <w:rPr>
          <w:iCs/>
          <w:i/>
        </w:rPr>
        <w:t>SCMS Journal of Indian Management</w:t>
      </w:r>
      <w:r w:rsidRPr="00607C6B">
        <w:t>, </w:t>
      </w:r>
      <w:r w:rsidRPr="00607C6B">
        <w:rPr>
          <w:iCs/>
          <w:i/>
        </w:rPr>
        <w:t>11</w:t>
      </w:r>
      <w:r w:rsidRPr="00607C6B">
        <w:t>(2), p.93.</w:t>
      </w:r>
    </w:p>
    <w:p w:rsidR="00C2555D" w:rsidRDefault="00C2555D" w14:paraId="70AFC9DE" w14:textId="3651584F" w:rsidP="00704125" w:rsidRPr="00704125">
      <w:r w:rsidRPr="00C2555D">
        <w:t>Surendro, K., 2019, March. Predictive analytics for predicting customer behavior. In </w:t>
      </w:r>
      <w:r w:rsidRPr="00C2555D">
        <w:rPr>
          <w:iCs/>
          <w:i/>
        </w:rPr>
        <w:t>2019 International Conference of Artificial Intelligence and Information Technology (ICAIIT)</w:t>
      </w:r>
      <w:r w:rsidRPr="00C2555D">
        <w:t> (pp. 230-233). IEEE.</w:t>
      </w:r>
    </w:p>
    <w:sectPr w:rsidR="00C2555D" w:rsidRPr="00704125" w:rsidSect="00C34F74">
      <w:docGrid w:linePitch="360"/>
      <w:headerReference r:id="rId12" w:type="default"/>
      <w:footerReference r:id="rId13" w:type="default"/>
      <w:pgNumType w:start="1"/>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2BB21B" w14:textId="77777777" w:rsidR="00EE041D" w:rsidRDefault="00EE041D" w:rsidP="00F75465">
      <w:pPr>
        <w:spacing w:after="0" w:line="240" w:lineRule="auto"/>
      </w:pPr>
      <w:r>
        <w:separator/>
      </w:r>
    </w:p>
  </w:endnote>
  <w:endnote w:type="continuationSeparator" w:id="0">
    <w:p w14:paraId="0792EC6D" w14:textId="77777777" w:rsidR="00EE041D" w:rsidRDefault="00EE041D" w:rsidP="00F75465">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 Serif">
    <w:charset w:val="00"/>
    <w:family w:val="auto"/>
    <w:pitch w:val="variable"/>
    <w:sig w:usb0="A10000FF" w:usb1="5000667B" w:usb2="00000000" w:usb3="00000000" w:csb0="00000193"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 w:name="Cambria"/>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013290"/>
      <w:docPartObj>
        <w:docPartGallery w:val="Page Numbers (Bottom of Page)"/>
        <w:docPartUnique/>
      </w:docPartObj>
    </w:sdtPr>
    <w:sdtEndPr>
      <w:rPr>
        <w:noProof/>
      </w:rPr>
    </w:sdtEndPr>
    <w:sdtContent>
      <w:p w14:paraId="28F5C277" w14:textId="57DA862E" w:rsidR="00C34F74" w:rsidRDefault="00C34F74">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1FE09663" w14:textId="77777777" w:rsidR="00F75465" w:rsidRDefault="00F75465">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7649079"/>
      <w:docPartObj>
        <w:docPartGallery w:val="Page Numbers (Bottom of Page)"/>
        <w:docPartUnique/>
      </w:docPartObj>
    </w:sdtPr>
    <w:sdtEndPr/>
    <w:sdtContent>
      <w:p w14:paraId="52406A12" w14:textId="78B76163" w:rsidR="00C34F74" w:rsidRDefault="00C34F74">
        <w:pPr>
          <w:pStyle w:val="Subsol"/>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0FF9316" w14:textId="77777777" w:rsidR="00832335" w:rsidRDefault="00832335">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A927E1" w14:textId="77777777" w:rsidR="00EE041D" w:rsidRDefault="00EE041D" w:rsidP="00F75465">
      <w:pPr>
        <w:spacing w:after="0" w:line="240" w:lineRule="auto"/>
      </w:pPr>
      <w:r>
        <w:separator/>
      </w:r>
    </w:p>
  </w:footnote>
  <w:footnote w:type="continuationSeparator" w:id="0">
    <w:p w14:paraId="3A2C199C" w14:textId="77777777" w:rsidR="00EE041D" w:rsidRDefault="00EE041D" w:rsidP="00F754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84FA20" w14:textId="77777777" w:rsidR="00F75465" w:rsidRDefault="00F75465">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2FFD65" w14:textId="77777777" w:rsidR="00832335" w:rsidRDefault="00832335">
    <w:pPr>
      <w:pStyle w:val="Antet"/>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31E553AD"/>
    <w:tmpl w:val="9942F918"/>
    <w:lvl w:ilvl="0" w:tplc="08090005">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
    <w:multiLevelType w:val="hybridMultilevel"/>
    <w:nsid w:val="461727DB"/>
    <w:tmpl w:val="8C36837C"/>
    <w:lvl w:ilvl="0" w:tplc="08090005">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69147F91"/>
    <w:tmpl w:val="660672BE"/>
    <w:lvl w:ilvl="0" w:tplc="08090005">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3">
    <w:multiLevelType w:val="hybridMultilevel"/>
    <w:nsid w:val="79144F38"/>
    <w:tmpl w:val="D0C4855A"/>
    <w:lvl w:ilvl="0" w:tplc="08090005">
      <w:numFmt w:val="bullet"/>
      <w:lvlText w:val=""/>
      <w:start w:val="1"/>
      <w:rPr>
        <w:rFonts w:ascii="Wingdings" w:hAnsi="Wingdings"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3">
    <w:abstractNumId w:val="3"/>
  </w:num>
  <w:num w:numId="4">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view w:val="web"/>
  <w:zoom w:percent="22"/>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NzIyNTA3Mza3NDdW0lEKTi0uzszPAykwrgUAMIJDEiwAAAA="/>
  </w:docVar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1189"/>
  <w15:chartTrackingRefBased/>
  <w15:docId w15:val="{EE1C8D35-66C0-46A1-8F73-BDCEE8CEF252}"/>
  <w:rsids>
    <w:rsidRoot val="00F2686F"/>
    <w:rsid val="000175B3"/>
    <w:rsid val="000732CD"/>
    <w:rsid val="000918AB"/>
    <w:rsid val="001C5A33"/>
    <w:rsid val="001E2A0C"/>
    <w:rsid val="001E55B6"/>
    <w:rsid val="00201176"/>
    <w:rsid val="00236416"/>
    <w:rsid val="00250121"/>
    <w:rsid val="002B3A7C"/>
    <w:rsid val="002B5D30"/>
    <w:rsid val="002F378A"/>
    <w:rsid val="002F7E40"/>
    <w:rsid val="003A4CB6"/>
    <w:rsid val="003A6602"/>
    <w:rsid val="00456CC2"/>
    <w:rsid val="00461AD5"/>
    <w:rsid val="004759FB"/>
    <w:rsid val="00506A30"/>
    <w:rsid val="0057168F"/>
    <w:rsid val="0057300B"/>
    <w:rsid val="00583165"/>
    <w:rsid val="00597DBE"/>
    <w:rsid val="005A13C2"/>
    <w:rsid val="00607C6B"/>
    <w:rsid val="0064132F"/>
    <w:rsid val="006A4378"/>
    <w:rsid val="006E3BD8"/>
    <w:rsid val="00704125"/>
    <w:rsid val="0071189F"/>
    <w:rsid val="00712852"/>
    <w:rsid val="00727FD2"/>
    <w:rsid val="00731BE4"/>
    <w:rsid val="00776386"/>
    <w:rsid val="007B120D"/>
    <w:rsid val="0083096A"/>
    <w:rsid val="00832335"/>
    <w:rsid val="00835649"/>
    <w:rsid val="00841F4F"/>
    <w:rsid val="00850BA8"/>
    <w:rsid val="008815D1"/>
    <w:rsid val="008C64EB"/>
    <w:rsid val="008D13EB"/>
    <w:rsid val="008E2571"/>
    <w:rsid val="008E55B4"/>
    <w:rsid val="009113D9"/>
    <w:rsid val="009257A4"/>
    <w:rsid val="0095099F"/>
    <w:rsid val="00980892"/>
    <w:rsid val="009D31DF"/>
    <w:rsid val="00A012C6"/>
    <w:rsid val="00A35CCD"/>
    <w:rsid val="00A55CBB"/>
    <w:rsid val="00A960BD"/>
    <w:rsid val="00AF4BF6"/>
    <w:rsid val="00AF70D2"/>
    <w:rsid val="00B0667F"/>
    <w:rsid val="00B24449"/>
    <w:rsid val="00B254DC"/>
    <w:rsid val="00B57053"/>
    <w:rsid val="00BA0DBF"/>
    <w:rsid val="00BA484B"/>
    <w:rsid val="00BD2FB1"/>
    <w:rsid val="00BD6F45"/>
    <w:rsid val="00BF7EB8"/>
    <w:rsid val="00C2555D"/>
    <w:rsid val="00C34F74"/>
    <w:rsid val="00C53990"/>
    <w:rsid val="00C570B4"/>
    <w:rsid val="00CA15F4"/>
    <w:rsid val="00CE16F5"/>
    <w:rsid val="00CF3CE2"/>
    <w:rsid val="00CF5C8F"/>
    <w:rsid val="00D24FD2"/>
    <w:rsid val="00D47875"/>
    <w:rsid val="00D75D51"/>
    <w:rsid val="00DD0FE3"/>
    <w:rsid val="00DF4E93"/>
    <w:rsid val="00E3035F"/>
    <w:rsid val="00E45986"/>
    <w:rsid val="00EA12F8"/>
    <w:rsid val="00ED2656"/>
    <w:rsid val="00EE041D"/>
    <w:rsid val="00F04D6A"/>
    <w:rsid val="00F2686F"/>
    <w:rsid val="00F75465"/>
    <w:rsid val="00FA2C18"/>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US" w:bidi="ar-SA"/>
        <w:rFonts w:ascii="Calibri" w:eastAsia="Calibri" w:hAnsiTheme="minorHAnsi" w:cstheme="minorBidi"/>
        <w:sz w:val="22"/>
        <w:szCs w:val="22"/>
      </w:rPr>
    </w:rPrDefault>
    <w:pPrDefault>
      <w:pPr>
        <w:jc w:val="both"/>
        <w:spacing w:after="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86F"/>
    <w:pPr>
      <w:spacing w:line="360" w:lineRule="auto"/>
    </w:pPr>
    <w:rPr>
      <w:lang w:val="en-US"/>
      <w:rFonts w:ascii="Arial" w:cs="Calibri" w:hAnsi="Arial"/>
      <w:sz w:val="24"/>
    </w:rPr>
  </w:style>
  <w:style w:type="paragraph" w:styleId="Titlu1">
    <w:name w:val="Heading 1"/>
    <w:qFormat/>
    <w:basedOn w:val="Normal"/>
    <w:next w:val="Normal"/>
    <w:link w:val="Titlu1Caracter"/>
    <w:autoRedefine/>
    <w:uiPriority w:val="9"/>
    <w:rsid w:val="00EA12F8"/>
    <w:pPr>
      <w:keepNext/>
      <w:keepLines/>
      <w:outlineLvl w:val="0"/>
      <w:spacing w:before="240" w:after="0"/>
    </w:pPr>
    <w:rPr>
      <w:b/>
      <w:color w:val="1F3864"/>
      <w:rFonts w:eastAsiaTheme="majorEastAsia" w:cstheme="majorBidi"/>
      <w:szCs w:val="32"/>
    </w:rPr>
  </w:style>
  <w:style w:type="paragraph" w:styleId="Titlu2">
    <w:name w:val="Heading 2"/>
    <w:qFormat/>
    <w:basedOn w:val="Normal"/>
    <w:next w:val="Normal"/>
    <w:link w:val="Titlu2Caracter"/>
    <w:autoRedefine/>
    <w:uiPriority w:val="9"/>
    <w:unhideWhenUsed/>
    <w:rsid w:val="00EA12F8"/>
    <w:pPr>
      <w:keepNext/>
      <w:keepLines/>
      <w:outlineLvl w:val="1"/>
      <w:spacing w:before="40" w:after="0"/>
    </w:pPr>
    <w:rPr>
      <w:color w:val="2F5496"/>
      <w:rFonts w:eastAsiaTheme="majorEastAsia" w:cstheme="majorBidi"/>
      <w:szCs w:val="26"/>
    </w:rPr>
  </w:style>
  <w:style w:type="paragraph" w:styleId="Titlu3">
    <w:name w:val="Heading 3"/>
    <w:qFormat/>
    <w:basedOn w:val="Normal"/>
    <w:next w:val="Normal"/>
    <w:link w:val="Titlu3Caracter"/>
    <w:autoRedefine/>
    <w:uiPriority w:val="9"/>
    <w:semiHidden/>
    <w:unhideWhenUsed/>
    <w:rsid w:val="00E45986"/>
    <w:pPr>
      <w:keepNext/>
      <w:keepLines/>
      <w:outlineLvl w:val="2"/>
      <w:spacing w:before="40"/>
    </w:pPr>
    <w:rPr>
      <w:color w:val="00B0F0"/>
      <w:rFonts w:eastAsiaTheme="majorEastAsia" w:cstheme="majorBidi"/>
    </w:rPr>
  </w:style>
  <w:style w:type="character" w:default="1" w:styleId="Fontdeparagrafimplicit">
    <w:name w:val="Default Paragraph Font"/>
    <w:uiPriority w:val="1"/>
    <w:semiHidden/>
    <w:unhideWhenUsed/>
  </w:style>
  <w:style w:type="table" w:default="1" w:styleId="TabelNormal">
    <w:name w:val="Normal Table"/>
    <w:tblPr>
      <w:tblCellMar>
        <w:top w:w="0" w:type="dxa"/>
        <w:left w:w="108" w:type="dxa"/>
        <w:bottom w:w="0" w:type="dxa"/>
        <w:right w:w="108" w:type="dxa"/>
      </w:tblCellMar>
      <w:tblInd w:w="0" w:type="dxa"/>
    </w:tblPr>
    <w:uiPriority w:val="99"/>
    <w:semiHidden/>
    <w:unhideWhenUsed/>
  </w:style>
  <w:style w:type="numbering" w:default="1" w:styleId="FrListare">
    <w:name w:val="No List"/>
    <w:uiPriority w:val="99"/>
    <w:semiHidden/>
    <w:unhideWhenUsed/>
  </w:style>
  <w:style w:type="character" w:styleId="Titlu1Caracter">
    <w:name w:val="Titlu 1 Caracter"/>
    <w:basedOn w:val="Fontdeparagrafimplicit"/>
    <w:link w:val="Titlu1"/>
    <w:uiPriority w:val="9"/>
    <w:rsid w:val="00EA12F8"/>
    <w:rPr>
      <w:lang w:val="en-US"/>
      <w:b/>
      <w:color w:val="1F3864"/>
      <w:rFonts w:ascii="Roboto Serif" w:hAnsi="Roboto Serif" w:eastAsiaTheme="majorEastAsia" w:cstheme="majorBidi"/>
      <w:sz w:val="24"/>
      <w:szCs w:val="32"/>
    </w:rPr>
  </w:style>
  <w:style w:type="character" w:styleId="Titlu2Caracter">
    <w:name w:val="Titlu 2 Caracter"/>
    <w:basedOn w:val="Fontdeparagrafimplicit"/>
    <w:link w:val="Titlu2"/>
    <w:uiPriority w:val="9"/>
    <w:rsid w:val="00EA12F8"/>
    <w:rPr>
      <w:lang w:val="en-US"/>
      <w:color w:val="2F5496"/>
      <w:rFonts w:ascii="Roboto Serif" w:hAnsi="Roboto Serif" w:eastAsiaTheme="majorEastAsia" w:cstheme="majorBidi"/>
      <w:sz w:val="24"/>
      <w:szCs w:val="26"/>
    </w:rPr>
  </w:style>
  <w:style w:type="character" w:styleId="Titlu3Caracter">
    <w:name w:val="Titlu 3 Caracter"/>
    <w:basedOn w:val="Fontdeparagrafimplicit"/>
    <w:link w:val="Titlu3"/>
    <w:uiPriority w:val="9"/>
    <w:semiHidden/>
    <w:rsid w:val="00E45986"/>
    <w:rPr>
      <w:lang w:val="en-US"/>
      <w:color w:val="00B0F0"/>
      <w:rFonts w:ascii="Roboto" w:hAnsi="Roboto" w:eastAsiaTheme="majorEastAsia" w:cstheme="majorBidi"/>
      <w:szCs w:val="24"/>
    </w:rPr>
  </w:style>
  <w:style w:type="paragraph" w:styleId="Antet">
    <w:name w:val="header"/>
    <w:basedOn w:val="Normal"/>
    <w:link w:val="AntetCaracter"/>
    <w:uiPriority w:val="99"/>
    <w:unhideWhenUsed/>
    <w:rsid w:val="00F75465"/>
    <w:pPr>
      <w:spacing w:after="0" w:line="240" w:lineRule="auto"/>
      <w:tabs>
        <w:tab w:val="center" w:pos="4513"/>
        <w:tab w:val="right" w:pos="9026"/>
      </w:tabs>
    </w:pPr>
  </w:style>
  <w:style w:type="character" w:styleId="AntetCaracter">
    <w:name w:val="Antet Caracter"/>
    <w:basedOn w:val="Fontdeparagrafimplicit"/>
    <w:link w:val="Antet"/>
    <w:uiPriority w:val="99"/>
    <w:rsid w:val="00F75465"/>
    <w:rPr>
      <w:lang w:val="en-US"/>
      <w:rFonts w:ascii="Arial" w:cs="Calibri" w:hAnsi="Arial"/>
      <w:sz w:val="24"/>
    </w:rPr>
  </w:style>
  <w:style w:type="paragraph" w:styleId="Subsol">
    <w:name w:val="footer"/>
    <w:basedOn w:val="Normal"/>
    <w:link w:val="SubsolCaracter"/>
    <w:uiPriority w:val="99"/>
    <w:unhideWhenUsed/>
    <w:rsid w:val="00F75465"/>
    <w:pPr>
      <w:spacing w:after="0" w:line="240" w:lineRule="auto"/>
      <w:tabs>
        <w:tab w:val="center" w:pos="4513"/>
        <w:tab w:val="right" w:pos="9026"/>
      </w:tabs>
    </w:pPr>
  </w:style>
  <w:style w:type="character" w:styleId="SubsolCaracter">
    <w:name w:val="Subsol Caracter"/>
    <w:basedOn w:val="Fontdeparagrafimplicit"/>
    <w:link w:val="Subsol"/>
    <w:uiPriority w:val="99"/>
    <w:rsid w:val="00F75465"/>
    <w:rPr>
      <w:lang w:val="en-US"/>
      <w:rFonts w:ascii="Arial" w:cs="Calibri" w:hAnsi="Arial"/>
      <w:sz w:val="24"/>
    </w:rPr>
  </w:style>
  <w:style w:type="paragraph" w:styleId="Titlucuprins">
    <w:name w:val="TOC Heading"/>
    <w:qFormat/>
    <w:basedOn w:val="Titlu1"/>
    <w:next w:val="Normal"/>
    <w:uiPriority w:val="39"/>
    <w:unhideWhenUsed/>
    <w:rsid w:val="00832335"/>
    <w:pPr>
      <w:outlineLvl w:val="9"/>
      <w:jc w:val="left"/>
      <w:spacing w:line="259" w:lineRule="auto"/>
    </w:pPr>
    <w:rPr>
      <w:b w:val="0"/>
      <w:color w:val="2F5496"/>
      <w:rFonts w:ascii="Calibri Light" w:hAnsiTheme="majorHAnsi"/>
      <w:sz w:val="32"/>
    </w:rPr>
  </w:style>
  <w:style w:type="paragraph" w:styleId="Legend">
    <w:name w:val="caption"/>
    <w:qFormat/>
    <w:basedOn w:val="Normal"/>
    <w:next w:val="Normal"/>
    <w:uiPriority w:val="35"/>
    <w:unhideWhenUsed/>
    <w:rsid w:val="00A960BD"/>
    <w:pPr>
      <w:spacing w:after="200" w:line="240" w:lineRule="auto"/>
    </w:pPr>
    <w:rPr>
      <w:iCs/>
      <w:i/>
      <w:color w:val="44546A"/>
      <w:sz w:val="18"/>
      <w:szCs w:val="18"/>
    </w:rPr>
  </w:style>
  <w:style w:type="paragraph" w:styleId="Listparagraf">
    <w:name w:val="List Paragraph"/>
    <w:qFormat/>
    <w:basedOn w:val="Normal"/>
    <w:uiPriority w:val="34"/>
    <w:rsid w:val="00583165"/>
    <w:pPr>
      <w:ind w:left="720"/>
      <w:contextualSpacing/>
    </w:pPr>
  </w:style>
  <w:style w:type="paragraph" w:styleId="NormalWeb">
    <w:name w:val="Normal (Web)"/>
    <w:basedOn w:val="Normal"/>
    <w:uiPriority w:val="99"/>
    <w:semiHidden/>
    <w:unhideWhenUsed/>
    <w:rsid w:val="00704125"/>
    <w:pPr>
      <w:jc w:val="left"/>
      <w:spacing w:before="100" w:beforeAutospacing="1" w:after="100" w:afterAutospacing="1" w:line="240" w:lineRule="auto"/>
    </w:pPr>
    <w:rPr>
      <w:lang w:val="en-GB" w:eastAsia="en-GB"/>
      <w:rFonts w:ascii="Times New Roman" w:cs="Times New Roman" w:eastAsia="Times New Roman" w:hAnsi="Times New Roman"/>
      <w:szCs w:val="24"/>
    </w:rPr>
  </w:style>
  <w:style w:type="paragraph" w:styleId="Cuprins1">
    <w:name w:val="toc 1"/>
    <w:basedOn w:val="Normal"/>
    <w:next w:val="Normal"/>
    <w:autoRedefine/>
    <w:uiPriority w:val="39"/>
    <w:unhideWhenUsed/>
    <w:rsid w:val="00980892"/>
    <w:pPr>
      <w:spacing w:after="100"/>
    </w:pPr>
  </w:style>
  <w:style w:type="paragraph" w:styleId="Cuprins2">
    <w:name w:val="toc 2"/>
    <w:basedOn w:val="Normal"/>
    <w:next w:val="Normal"/>
    <w:autoRedefine/>
    <w:uiPriority w:val="39"/>
    <w:unhideWhenUsed/>
    <w:rsid w:val="00980892"/>
    <w:pPr>
      <w:ind w:left="240"/>
      <w:spacing w:after="100"/>
    </w:pPr>
  </w:style>
  <w:style w:type="character" w:styleId="Hyperlink">
    <w:name w:val="Hyperlink"/>
    <w:basedOn w:val="Fontdeparagrafimplicit"/>
    <w:uiPriority w:val="99"/>
    <w:unhideWhenUsed/>
    <w:rsid w:val="00980892"/>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7992391">
      <w:bodyDiv w:val="1"/>
      <w:marLeft w:val="0"/>
      <w:marRight w:val="0"/>
      <w:marTop w:val="0"/>
      <w:marBottom w:val="0"/>
      <w:divBdr>
        <w:top w:val="none" w:sz="0" w:space="0" w:color="auto"/>
        <w:left w:val="none" w:sz="0" w:space="0" w:color="auto"/>
        <w:bottom w:val="none" w:sz="0" w:space="0" w:color="auto"/>
        <w:right w:val="none" w:sz="0" w:space="0" w:color="auto"/>
      </w:divBdr>
    </w:div>
    <w:div w:id="804198137">
      <w:bodyDiv w:val="1"/>
      <w:marLeft w:val="0"/>
      <w:marRight w:val="0"/>
      <w:marTop w:val="0"/>
      <w:marBottom w:val="0"/>
      <w:divBdr>
        <w:top w:val="none" w:sz="0" w:space="0" w:color="auto"/>
        <w:left w:val="none" w:sz="0" w:space="0" w:color="auto"/>
        <w:bottom w:val="none" w:sz="0" w:space="0" w:color="auto"/>
        <w:right w:val="none" w:sz="0" w:space="0" w:color="auto"/>
      </w:divBdr>
    </w:div>
    <w:div w:id="2002460903">
      <w:bodyDiv w:val="1"/>
      <w:marLeft w:val="0"/>
      <w:marRight w:val="0"/>
      <w:marTop w:val="0"/>
      <w:marBottom w:val="0"/>
      <w:divBdr>
        <w:top w:val="none" w:sz="0" w:space="0" w:color="auto"/>
        <w:left w:val="none" w:sz="0" w:space="0" w:color="auto"/>
        <w:bottom w:val="none" w:sz="0" w:space="0" w:color="auto"/>
        <w:right w:val="none" w:sz="0" w:space="0" w:color="auto"/>
      </w:divBdr>
    </w:div>
    <w:div w:id="2030640405">
      <w:bodyDiv w:val="1"/>
      <w:marLeft w:val="0"/>
      <w:marRight w:val="0"/>
      <w:marTop w:val="0"/>
      <w:marBottom w:val="0"/>
      <w:divBdr>
        <w:top w:val="none" w:sz="0" w:space="0" w:color="auto"/>
        <w:left w:val="none" w:sz="0" w:space="0" w:color="auto"/>
        <w:bottom w:val="none" w:sz="0" w:space="0" w:color="auto"/>
        <w:right w:val="none" w:sz="0" w:space="0" w:color="auto"/>
      </w:divBdr>
    </w:div>
    <w:div w:id="2113357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ntTable" Target="fontTable.xml"/><Relationship Id="rId16" Type="http://schemas.openxmlformats.org/officeDocument/2006/relationships/image" Target="media/image1.png"/><Relationship Id="rId17"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C100BE0-D7F7-47F1-83C7-F92D31402FF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2597</Words>
  <Characters>15063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 Nasim Mahmud Smaron</dc:creator>
  <cp:keywords/>
  <dc:description/>
  <cp:lastModifiedBy>Andreea Apostol</cp:lastModifiedBy>
  <cp:revision>2</cp:revision>
  <dcterms:created xsi:type="dcterms:W3CDTF">2022-07-03T08:46:00Z</dcterms:created>
  <dcterms:modified xsi:type="dcterms:W3CDTF">2022-07-03T08:46:00Z</dcterms:modified>
</cp:coreProperties>
</file>