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250E8" w14:textId="3F29D0BA" w:rsidR="007C5EF7" w:rsidRPr="007C5EF7" w:rsidRDefault="007C5EF7" w:rsidP="007C5EF7">
      <w:pPr>
        <w:spacing w:line="360" w:lineRule="auto"/>
        <w:jc w:val="center"/>
        <w:rPr>
          <w:rFonts w:ascii="Arial" w:hAnsi="Arial" w:cs="Arial"/>
          <w:b/>
          <w:color w:val="000000" w:themeColor="text1"/>
        </w:rPr>
      </w:pPr>
      <w:r w:rsidRPr="007C5EF7">
        <w:rPr>
          <w:rFonts w:ascii="Arial" w:hAnsi="Arial" w:cs="Arial"/>
          <w:b/>
          <w:color w:val="000000" w:themeColor="text1"/>
        </w:rPr>
        <w:t>Name of student</w:t>
      </w:r>
      <w:r w:rsidR="00BC7697">
        <w:rPr>
          <w:rFonts w:ascii="Arial" w:hAnsi="Arial" w:cs="Arial"/>
          <w:b/>
          <w:color w:val="000000" w:themeColor="text1"/>
        </w:rPr>
        <w:t xml:space="preserve"> – Shamaila Shafaq</w:t>
      </w:r>
    </w:p>
    <w:p w14:paraId="03388DE2" w14:textId="5C6A6D67" w:rsidR="007C5EF7" w:rsidRPr="007C5EF7" w:rsidRDefault="007C5EF7" w:rsidP="007C5EF7">
      <w:pPr>
        <w:spacing w:line="360" w:lineRule="auto"/>
        <w:jc w:val="center"/>
        <w:rPr>
          <w:rFonts w:ascii="Arial" w:hAnsi="Arial" w:cs="Arial"/>
          <w:b/>
          <w:color w:val="000000" w:themeColor="text1"/>
        </w:rPr>
      </w:pPr>
      <w:r w:rsidRPr="007C5EF7">
        <w:rPr>
          <w:rFonts w:ascii="Arial" w:hAnsi="Arial" w:cs="Arial"/>
          <w:b/>
          <w:color w:val="000000" w:themeColor="text1"/>
        </w:rPr>
        <w:t>Student id</w:t>
      </w:r>
      <w:r w:rsidR="00BC7697">
        <w:rPr>
          <w:rFonts w:ascii="Arial" w:hAnsi="Arial" w:cs="Arial"/>
          <w:b/>
          <w:color w:val="000000" w:themeColor="text1"/>
        </w:rPr>
        <w:t xml:space="preserve"> - 2504607</w:t>
      </w:r>
    </w:p>
    <w:p w14:paraId="4A4E793A" w14:textId="0FACE565" w:rsidR="007C5EF7" w:rsidRPr="007C5EF7" w:rsidRDefault="007C5EF7" w:rsidP="007C5EF7">
      <w:pPr>
        <w:spacing w:line="360" w:lineRule="auto"/>
        <w:jc w:val="center"/>
        <w:rPr>
          <w:rStyle w:val="eop"/>
          <w:rFonts w:ascii="Arial" w:hAnsi="Arial" w:cs="Arial"/>
          <w:b/>
          <w:color w:val="000000" w:themeColor="text1"/>
          <w:shd w:val="clear" w:color="auto" w:fill="FFFFFF"/>
        </w:rPr>
      </w:pPr>
      <w:r w:rsidRPr="007C5EF7">
        <w:rPr>
          <w:rStyle w:val="normaltextrun"/>
          <w:rFonts w:ascii="Arial" w:hAnsi="Arial" w:cs="Arial"/>
          <w:b/>
          <w:bCs/>
          <w:color w:val="000000" w:themeColor="text1"/>
          <w:shd w:val="clear" w:color="auto" w:fill="FFFFFF"/>
          <w:lang w:val="en-GB"/>
        </w:rPr>
        <w:t>Introduction to Public Health</w:t>
      </w:r>
    </w:p>
    <w:p w14:paraId="185A535A" w14:textId="79F3EC4B" w:rsidR="007C5EF7" w:rsidRPr="007C5EF7" w:rsidRDefault="007C5EF7" w:rsidP="007C5EF7">
      <w:pPr>
        <w:spacing w:line="360" w:lineRule="auto"/>
        <w:jc w:val="center"/>
        <w:rPr>
          <w:rStyle w:val="eop"/>
          <w:rFonts w:ascii="Arial" w:hAnsi="Arial" w:cs="Arial"/>
          <w:b/>
          <w:color w:val="000000" w:themeColor="text1"/>
          <w:shd w:val="clear" w:color="auto" w:fill="FFFFFF"/>
        </w:rPr>
      </w:pPr>
      <w:r w:rsidRPr="007C5EF7">
        <w:rPr>
          <w:rStyle w:val="normaltextrun"/>
          <w:rFonts w:ascii="Arial" w:hAnsi="Arial" w:cs="Arial"/>
          <w:b/>
          <w:bCs/>
          <w:color w:val="000000" w:themeColor="text1"/>
          <w:shd w:val="clear" w:color="auto" w:fill="FFFFFF"/>
          <w:lang w:val="en-GB"/>
        </w:rPr>
        <w:t>LCHS4008</w:t>
      </w:r>
    </w:p>
    <w:p w14:paraId="4EE57D15" w14:textId="63D918E5" w:rsidR="007C5EF7" w:rsidRPr="007C5EF7" w:rsidRDefault="007C5EF7" w:rsidP="007C5EF7">
      <w:pPr>
        <w:spacing w:line="360" w:lineRule="auto"/>
        <w:jc w:val="center"/>
        <w:rPr>
          <w:rStyle w:val="normaltextrun"/>
          <w:rFonts w:ascii="Arial" w:hAnsi="Arial" w:cs="Arial"/>
          <w:b/>
          <w:bCs/>
          <w:color w:val="000000" w:themeColor="text1"/>
          <w:shd w:val="clear" w:color="auto" w:fill="FFFFFF"/>
        </w:rPr>
      </w:pPr>
      <w:r w:rsidRPr="007C5EF7">
        <w:rPr>
          <w:rStyle w:val="normaltextrun"/>
          <w:rFonts w:ascii="Arial" w:hAnsi="Arial" w:cs="Arial"/>
          <w:b/>
          <w:bCs/>
          <w:color w:val="000000" w:themeColor="text1"/>
          <w:shd w:val="clear" w:color="auto" w:fill="FFFFFF"/>
        </w:rPr>
        <w:t>Gillian Weaver</w:t>
      </w:r>
    </w:p>
    <w:p w14:paraId="54ADC7FC" w14:textId="3B4949ED" w:rsidR="007C5EF7" w:rsidRPr="007C5EF7" w:rsidRDefault="00200DE4" w:rsidP="007C5EF7">
      <w:pPr>
        <w:spacing w:line="360" w:lineRule="auto"/>
        <w:jc w:val="center"/>
        <w:rPr>
          <w:rStyle w:val="normaltextrun"/>
          <w:rFonts w:ascii="Arial" w:hAnsi="Arial" w:cs="Arial"/>
          <w:b/>
          <w:bCs/>
          <w:color w:val="000000" w:themeColor="text1"/>
          <w:bdr w:val="none" w:sz="0" w:space="0" w:color="auto" w:frame="1"/>
          <w:lang w:val="en-GB"/>
        </w:rPr>
      </w:pPr>
      <w:r>
        <w:rPr>
          <w:rStyle w:val="normaltextrun"/>
          <w:rFonts w:ascii="Arial" w:hAnsi="Arial" w:cs="Arial"/>
          <w:b/>
          <w:bCs/>
          <w:color w:val="000000" w:themeColor="text1"/>
          <w:bdr w:val="none" w:sz="0" w:space="0" w:color="auto" w:frame="1"/>
          <w:lang w:val="en-GB"/>
        </w:rPr>
        <w:t xml:space="preserve">Topic – Dementia </w:t>
      </w:r>
    </w:p>
    <w:p w14:paraId="29DE01DD" w14:textId="77777777" w:rsidR="007C5EF7" w:rsidRPr="007C5EF7" w:rsidRDefault="007C5EF7" w:rsidP="007C5EF7">
      <w:pPr>
        <w:spacing w:line="360" w:lineRule="auto"/>
        <w:jc w:val="center"/>
        <w:rPr>
          <w:rStyle w:val="normaltextrun"/>
          <w:rFonts w:ascii="Arial" w:hAnsi="Arial" w:cs="Arial"/>
          <w:b/>
          <w:bCs/>
          <w:color w:val="000000" w:themeColor="text1"/>
          <w:bdr w:val="none" w:sz="0" w:space="0" w:color="auto" w:frame="1"/>
          <w:lang w:val="en-GB"/>
        </w:rPr>
      </w:pPr>
    </w:p>
    <w:p w14:paraId="44FA43AA" w14:textId="77777777" w:rsidR="007C5EF7" w:rsidRPr="007C5EF7" w:rsidRDefault="007C5EF7" w:rsidP="007C5EF7">
      <w:pPr>
        <w:spacing w:line="360" w:lineRule="auto"/>
        <w:jc w:val="center"/>
        <w:rPr>
          <w:rStyle w:val="normaltextrun"/>
          <w:rFonts w:ascii="Arial" w:hAnsi="Arial" w:cs="Arial"/>
          <w:b/>
          <w:bCs/>
          <w:color w:val="000000" w:themeColor="text1"/>
          <w:bdr w:val="none" w:sz="0" w:space="0" w:color="auto" w:frame="1"/>
          <w:lang w:val="en-GB"/>
        </w:rPr>
      </w:pPr>
    </w:p>
    <w:p w14:paraId="5002BC6E" w14:textId="77777777" w:rsidR="007C5EF7" w:rsidRPr="007C5EF7" w:rsidRDefault="007C5EF7" w:rsidP="007C5EF7">
      <w:pPr>
        <w:spacing w:line="360" w:lineRule="auto"/>
        <w:jc w:val="center"/>
        <w:rPr>
          <w:rStyle w:val="normaltextrun"/>
          <w:rFonts w:ascii="Arial" w:hAnsi="Arial" w:cs="Arial"/>
          <w:b/>
          <w:bCs/>
          <w:color w:val="000000" w:themeColor="text1"/>
          <w:bdr w:val="none" w:sz="0" w:space="0" w:color="auto" w:frame="1"/>
          <w:lang w:val="en-GB"/>
        </w:rPr>
      </w:pPr>
    </w:p>
    <w:p w14:paraId="1403A27A" w14:textId="77777777" w:rsidR="007C5EF7" w:rsidRPr="007C5EF7" w:rsidRDefault="007C5EF7" w:rsidP="007C5EF7">
      <w:pPr>
        <w:spacing w:line="360" w:lineRule="auto"/>
        <w:jc w:val="center"/>
        <w:rPr>
          <w:rStyle w:val="normaltextrun"/>
          <w:rFonts w:ascii="Arial" w:hAnsi="Arial" w:cs="Arial"/>
          <w:b/>
          <w:bCs/>
          <w:color w:val="000000" w:themeColor="text1"/>
          <w:bdr w:val="none" w:sz="0" w:space="0" w:color="auto" w:frame="1"/>
          <w:lang w:val="en-GB"/>
        </w:rPr>
      </w:pPr>
    </w:p>
    <w:p w14:paraId="6A7CE5FA" w14:textId="77777777" w:rsidR="007C5EF7" w:rsidRPr="007C5EF7" w:rsidRDefault="007C5EF7" w:rsidP="007C5EF7">
      <w:pPr>
        <w:spacing w:line="360" w:lineRule="auto"/>
        <w:jc w:val="center"/>
        <w:rPr>
          <w:rStyle w:val="normaltextrun"/>
          <w:rFonts w:ascii="Arial" w:hAnsi="Arial" w:cs="Arial"/>
          <w:b/>
          <w:bCs/>
          <w:color w:val="000000" w:themeColor="text1"/>
          <w:bdr w:val="none" w:sz="0" w:space="0" w:color="auto" w:frame="1"/>
          <w:lang w:val="en-GB"/>
        </w:rPr>
      </w:pPr>
    </w:p>
    <w:p w14:paraId="5A7D3025" w14:textId="77777777" w:rsidR="007C5EF7" w:rsidRPr="007C5EF7" w:rsidRDefault="007C5EF7" w:rsidP="007C5EF7">
      <w:pPr>
        <w:spacing w:line="360" w:lineRule="auto"/>
        <w:rPr>
          <w:rFonts w:ascii="Arial" w:hAnsi="Arial" w:cs="Arial"/>
        </w:rPr>
      </w:pPr>
    </w:p>
    <w:p w14:paraId="7D7673E5" w14:textId="77777777" w:rsidR="007C5EF7" w:rsidRPr="007C5EF7" w:rsidRDefault="007C5EF7" w:rsidP="007C5EF7">
      <w:pPr>
        <w:spacing w:line="360" w:lineRule="auto"/>
        <w:rPr>
          <w:rFonts w:ascii="Arial" w:hAnsi="Arial" w:cs="Arial"/>
        </w:rPr>
      </w:pPr>
      <w:r w:rsidRPr="007C5EF7">
        <w:rPr>
          <w:rFonts w:ascii="Arial" w:hAnsi="Arial" w:cs="Arial"/>
        </w:rPr>
        <w:br w:type="page"/>
      </w:r>
    </w:p>
    <w:sdt>
      <w:sdtPr>
        <w:rPr>
          <w:rFonts w:ascii="Arial" w:eastAsiaTheme="minorHAnsi" w:hAnsi="Arial" w:cs="Arial"/>
          <w:color w:val="auto"/>
          <w:sz w:val="22"/>
          <w:szCs w:val="22"/>
        </w:rPr>
        <w:id w:val="81495710"/>
        <w:docPartObj>
          <w:docPartGallery w:val="Table of Contents"/>
          <w:docPartUnique/>
        </w:docPartObj>
      </w:sdtPr>
      <w:sdtEndPr>
        <w:rPr>
          <w:b/>
          <w:bCs/>
          <w:noProof/>
        </w:rPr>
      </w:sdtEndPr>
      <w:sdtContent>
        <w:p w14:paraId="6268B9F3" w14:textId="47FD7A63" w:rsidR="007C5EF7" w:rsidRPr="007C5EF7" w:rsidRDefault="007C5EF7" w:rsidP="007C5EF7">
          <w:pPr>
            <w:pStyle w:val="TOCHeading"/>
            <w:spacing w:line="360" w:lineRule="auto"/>
            <w:rPr>
              <w:rFonts w:ascii="Arial" w:hAnsi="Arial" w:cs="Arial"/>
              <w:sz w:val="22"/>
              <w:szCs w:val="22"/>
            </w:rPr>
          </w:pPr>
          <w:r w:rsidRPr="007C5EF7">
            <w:rPr>
              <w:rFonts w:ascii="Arial" w:hAnsi="Arial" w:cs="Arial"/>
              <w:sz w:val="22"/>
              <w:szCs w:val="22"/>
            </w:rPr>
            <w:t>Table of Contents</w:t>
          </w:r>
        </w:p>
        <w:p w14:paraId="6C2FEAF6" w14:textId="5E9A7252" w:rsidR="007C5EF7" w:rsidRPr="007C5EF7" w:rsidRDefault="007C5EF7" w:rsidP="007C5EF7">
          <w:pPr>
            <w:pStyle w:val="TOC1"/>
            <w:tabs>
              <w:tab w:val="right" w:leader="dot" w:pos="9350"/>
            </w:tabs>
            <w:spacing w:line="360" w:lineRule="auto"/>
            <w:rPr>
              <w:rFonts w:ascii="Arial" w:hAnsi="Arial" w:cs="Arial"/>
              <w:noProof/>
            </w:rPr>
          </w:pPr>
          <w:r w:rsidRPr="007C5EF7">
            <w:rPr>
              <w:rFonts w:ascii="Arial" w:hAnsi="Arial" w:cs="Arial"/>
              <w:b/>
              <w:bCs/>
              <w:noProof/>
            </w:rPr>
            <w:fldChar w:fldCharType="begin"/>
          </w:r>
          <w:r w:rsidRPr="007C5EF7">
            <w:rPr>
              <w:rFonts w:ascii="Arial" w:hAnsi="Arial" w:cs="Arial"/>
              <w:b/>
              <w:bCs/>
              <w:noProof/>
            </w:rPr>
            <w:instrText xml:space="preserve"> TOC \o "1-3" \h \z \u </w:instrText>
          </w:r>
          <w:r w:rsidRPr="007C5EF7">
            <w:rPr>
              <w:rFonts w:ascii="Arial" w:hAnsi="Arial" w:cs="Arial"/>
              <w:b/>
              <w:bCs/>
              <w:noProof/>
            </w:rPr>
            <w:fldChar w:fldCharType="separate"/>
          </w:r>
          <w:hyperlink w:anchor="_Toc224783986" w:history="1">
            <w:r w:rsidRPr="007C5EF7">
              <w:rPr>
                <w:rStyle w:val="Hyperlink"/>
                <w:rFonts w:ascii="Arial" w:hAnsi="Arial" w:cs="Arial"/>
                <w:noProof/>
              </w:rPr>
              <w:t>Introduction</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_Toc224783986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3</w:t>
            </w:r>
            <w:r w:rsidRPr="007C5EF7">
              <w:rPr>
                <w:rFonts w:ascii="Arial" w:hAnsi="Arial" w:cs="Arial"/>
                <w:noProof/>
                <w:webHidden/>
              </w:rPr>
              <w:fldChar w:fldCharType="end"/>
            </w:r>
          </w:hyperlink>
        </w:p>
        <w:p w14:paraId="0555D682" w14:textId="3F4D9315" w:rsidR="007C5EF7" w:rsidRPr="007C5EF7" w:rsidRDefault="007C5EF7" w:rsidP="007C5EF7">
          <w:pPr>
            <w:pStyle w:val="TOC1"/>
            <w:tabs>
              <w:tab w:val="right" w:leader="dot" w:pos="9350"/>
            </w:tabs>
            <w:spacing w:line="360" w:lineRule="auto"/>
            <w:rPr>
              <w:rFonts w:ascii="Arial" w:hAnsi="Arial" w:cs="Arial"/>
              <w:noProof/>
            </w:rPr>
          </w:pPr>
          <w:hyperlink w:anchor="_Toc224783987" w:history="1">
            <w:r w:rsidRPr="007C5EF7">
              <w:rPr>
                <w:rStyle w:val="Hyperlink"/>
                <w:rFonts w:ascii="Arial" w:hAnsi="Arial" w:cs="Arial"/>
                <w:noProof/>
              </w:rPr>
              <w:t>Approaches to Measure and Monitor Dementia</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_Toc224783987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3</w:t>
            </w:r>
            <w:r w:rsidRPr="007C5EF7">
              <w:rPr>
                <w:rFonts w:ascii="Arial" w:hAnsi="Arial" w:cs="Arial"/>
                <w:noProof/>
                <w:webHidden/>
              </w:rPr>
              <w:fldChar w:fldCharType="end"/>
            </w:r>
          </w:hyperlink>
        </w:p>
        <w:p w14:paraId="4912E582" w14:textId="24B441A9" w:rsidR="007C5EF7" w:rsidRPr="007C5EF7" w:rsidRDefault="007C5EF7" w:rsidP="007C5EF7">
          <w:pPr>
            <w:pStyle w:val="TOC1"/>
            <w:tabs>
              <w:tab w:val="right" w:leader="dot" w:pos="9350"/>
            </w:tabs>
            <w:spacing w:line="360" w:lineRule="auto"/>
            <w:rPr>
              <w:rFonts w:ascii="Arial" w:hAnsi="Arial" w:cs="Arial"/>
              <w:noProof/>
            </w:rPr>
          </w:pPr>
          <w:hyperlink w:anchor="_Toc224783988" w:history="1">
            <w:r w:rsidRPr="007C5EF7">
              <w:rPr>
                <w:rStyle w:val="Hyperlink"/>
                <w:rFonts w:ascii="Arial" w:eastAsia="Times New Roman" w:hAnsi="Arial" w:cs="Arial"/>
                <w:noProof/>
              </w:rPr>
              <w:t>How Dementia is Controlled</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_Toc224783988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4</w:t>
            </w:r>
            <w:r w:rsidRPr="007C5EF7">
              <w:rPr>
                <w:rFonts w:ascii="Arial" w:hAnsi="Arial" w:cs="Arial"/>
                <w:noProof/>
                <w:webHidden/>
              </w:rPr>
              <w:fldChar w:fldCharType="end"/>
            </w:r>
          </w:hyperlink>
        </w:p>
        <w:p w14:paraId="74FB937A" w14:textId="3D92A49E" w:rsidR="007C5EF7" w:rsidRPr="007C5EF7" w:rsidRDefault="007C5EF7" w:rsidP="007C5EF7">
          <w:pPr>
            <w:pStyle w:val="TOC1"/>
            <w:tabs>
              <w:tab w:val="right" w:leader="dot" w:pos="9350"/>
            </w:tabs>
            <w:spacing w:line="360" w:lineRule="auto"/>
            <w:rPr>
              <w:rFonts w:ascii="Arial" w:hAnsi="Arial" w:cs="Arial"/>
              <w:noProof/>
            </w:rPr>
          </w:pPr>
          <w:hyperlink w:anchor="_Toc224783989" w:history="1">
            <w:r w:rsidRPr="007C5EF7">
              <w:rPr>
                <w:rStyle w:val="Hyperlink"/>
                <w:rFonts w:ascii="Arial" w:eastAsia="Times New Roman" w:hAnsi="Arial" w:cs="Arial"/>
                <w:noProof/>
              </w:rPr>
              <w:t>Impact of Dementia and Required Health &amp; Social Care Support</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_Toc224783989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5</w:t>
            </w:r>
            <w:r w:rsidRPr="007C5EF7">
              <w:rPr>
                <w:rFonts w:ascii="Arial" w:hAnsi="Arial" w:cs="Arial"/>
                <w:noProof/>
                <w:webHidden/>
              </w:rPr>
              <w:fldChar w:fldCharType="end"/>
            </w:r>
          </w:hyperlink>
        </w:p>
        <w:p w14:paraId="725594B2" w14:textId="08562540" w:rsidR="007C5EF7" w:rsidRPr="007C5EF7" w:rsidRDefault="007C5EF7" w:rsidP="007C5EF7">
          <w:pPr>
            <w:pStyle w:val="TOC1"/>
            <w:tabs>
              <w:tab w:val="right" w:leader="dot" w:pos="9350"/>
            </w:tabs>
            <w:spacing w:line="360" w:lineRule="auto"/>
            <w:rPr>
              <w:rFonts w:ascii="Arial" w:hAnsi="Arial" w:cs="Arial"/>
              <w:noProof/>
            </w:rPr>
          </w:pPr>
          <w:hyperlink w:anchor="_Toc224783990" w:history="1">
            <w:r w:rsidRPr="007C5EF7">
              <w:rPr>
                <w:rStyle w:val="Hyperlink"/>
                <w:rFonts w:ascii="Arial" w:hAnsi="Arial" w:cs="Arial"/>
                <w:noProof/>
              </w:rPr>
              <w:t>Conclusion</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_Toc224783990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6</w:t>
            </w:r>
            <w:r w:rsidRPr="007C5EF7">
              <w:rPr>
                <w:rFonts w:ascii="Arial" w:hAnsi="Arial" w:cs="Arial"/>
                <w:noProof/>
                <w:webHidden/>
              </w:rPr>
              <w:fldChar w:fldCharType="end"/>
            </w:r>
          </w:hyperlink>
        </w:p>
        <w:p w14:paraId="583667B9" w14:textId="554E67F8" w:rsidR="007C5EF7" w:rsidRPr="007C5EF7" w:rsidRDefault="007C5EF7" w:rsidP="007C5EF7">
          <w:pPr>
            <w:pStyle w:val="TOC1"/>
            <w:tabs>
              <w:tab w:val="right" w:leader="dot" w:pos="9350"/>
            </w:tabs>
            <w:spacing w:line="360" w:lineRule="auto"/>
            <w:rPr>
              <w:rFonts w:ascii="Arial" w:hAnsi="Arial" w:cs="Arial"/>
              <w:noProof/>
            </w:rPr>
          </w:pPr>
          <w:hyperlink w:anchor="_Toc224783991" w:history="1">
            <w:r w:rsidRPr="007C5EF7">
              <w:rPr>
                <w:rStyle w:val="Hyperlink"/>
                <w:rFonts w:ascii="Arial" w:hAnsi="Arial" w:cs="Arial"/>
                <w:noProof/>
              </w:rPr>
              <w:t>References</w:t>
            </w:r>
            <w:r w:rsidRPr="007C5EF7">
              <w:rPr>
                <w:rFonts w:ascii="Arial" w:hAnsi="Arial" w:cs="Arial"/>
                <w:noProof/>
                <w:webHidden/>
              </w:rPr>
              <w:tab/>
            </w:r>
            <w:r w:rsidRPr="007C5EF7">
              <w:rPr>
                <w:rFonts w:ascii="Arial" w:hAnsi="Arial" w:cs="Arial"/>
                <w:noProof/>
                <w:webHidden/>
              </w:rPr>
              <w:fldChar w:fldCharType="begin"/>
            </w:r>
            <w:r w:rsidRPr="007C5EF7">
              <w:rPr>
                <w:rFonts w:ascii="Arial" w:hAnsi="Arial" w:cs="Arial"/>
                <w:noProof/>
                <w:webHidden/>
              </w:rPr>
              <w:instrText xml:space="preserve"> PAGEREF _Toc224783991 \h </w:instrText>
            </w:r>
            <w:r w:rsidRPr="007C5EF7">
              <w:rPr>
                <w:rFonts w:ascii="Arial" w:hAnsi="Arial" w:cs="Arial"/>
                <w:noProof/>
                <w:webHidden/>
              </w:rPr>
            </w:r>
            <w:r w:rsidRPr="007C5EF7">
              <w:rPr>
                <w:rFonts w:ascii="Arial" w:hAnsi="Arial" w:cs="Arial"/>
                <w:noProof/>
                <w:webHidden/>
              </w:rPr>
              <w:fldChar w:fldCharType="separate"/>
            </w:r>
            <w:r w:rsidR="00A54FE0">
              <w:rPr>
                <w:rFonts w:ascii="Arial" w:hAnsi="Arial" w:cs="Arial"/>
                <w:noProof/>
                <w:webHidden/>
              </w:rPr>
              <w:t>7</w:t>
            </w:r>
            <w:r w:rsidRPr="007C5EF7">
              <w:rPr>
                <w:rFonts w:ascii="Arial" w:hAnsi="Arial" w:cs="Arial"/>
                <w:noProof/>
                <w:webHidden/>
              </w:rPr>
              <w:fldChar w:fldCharType="end"/>
            </w:r>
          </w:hyperlink>
        </w:p>
        <w:p w14:paraId="66B2791D" w14:textId="3A36162C" w:rsidR="007C5EF7" w:rsidRPr="007C5EF7" w:rsidRDefault="007C5EF7" w:rsidP="007C5EF7">
          <w:pPr>
            <w:spacing w:line="360" w:lineRule="auto"/>
            <w:rPr>
              <w:rFonts w:ascii="Arial" w:hAnsi="Arial" w:cs="Arial"/>
            </w:rPr>
          </w:pPr>
          <w:r w:rsidRPr="007C5EF7">
            <w:rPr>
              <w:rFonts w:ascii="Arial" w:hAnsi="Arial" w:cs="Arial"/>
              <w:b/>
              <w:bCs/>
              <w:noProof/>
            </w:rPr>
            <w:fldChar w:fldCharType="end"/>
          </w:r>
        </w:p>
      </w:sdtContent>
    </w:sdt>
    <w:p w14:paraId="48FED2F6" w14:textId="1699250C" w:rsidR="007C5EF7" w:rsidRPr="007C5EF7" w:rsidRDefault="007C5EF7" w:rsidP="007C5EF7">
      <w:pPr>
        <w:spacing w:line="360" w:lineRule="auto"/>
        <w:rPr>
          <w:rFonts w:ascii="Arial" w:hAnsi="Arial" w:cs="Arial"/>
        </w:rPr>
      </w:pPr>
    </w:p>
    <w:p w14:paraId="4339AC70" w14:textId="1C52043B" w:rsidR="007C5EF7" w:rsidRPr="007C5EF7" w:rsidRDefault="007C5EF7" w:rsidP="007C5EF7">
      <w:pPr>
        <w:spacing w:line="360" w:lineRule="auto"/>
        <w:rPr>
          <w:rFonts w:ascii="Arial" w:hAnsi="Arial" w:cs="Arial"/>
          <w:color w:val="000000" w:themeColor="text1"/>
        </w:rPr>
      </w:pPr>
      <w:r w:rsidRPr="007C5EF7">
        <w:rPr>
          <w:rFonts w:ascii="Arial" w:hAnsi="Arial" w:cs="Arial"/>
          <w:color w:val="000000" w:themeColor="text1"/>
        </w:rPr>
        <w:br w:type="page"/>
      </w:r>
    </w:p>
    <w:p w14:paraId="38DB7814" w14:textId="73A1AC0A" w:rsidR="00D60EFC" w:rsidRPr="007C5EF7" w:rsidRDefault="00D60EFC" w:rsidP="007C5EF7">
      <w:pPr>
        <w:pStyle w:val="Heading1"/>
        <w:spacing w:line="360" w:lineRule="auto"/>
        <w:rPr>
          <w:rFonts w:ascii="Arial" w:hAnsi="Arial" w:cs="Arial"/>
          <w:b/>
          <w:color w:val="000000" w:themeColor="text1"/>
          <w:sz w:val="22"/>
          <w:szCs w:val="22"/>
        </w:rPr>
      </w:pPr>
      <w:bookmarkStart w:id="0" w:name="_Toc224783986"/>
      <w:r w:rsidRPr="007C5EF7">
        <w:rPr>
          <w:rFonts w:ascii="Arial" w:hAnsi="Arial" w:cs="Arial"/>
          <w:b/>
          <w:color w:val="000000" w:themeColor="text1"/>
          <w:sz w:val="22"/>
          <w:szCs w:val="22"/>
        </w:rPr>
        <w:lastRenderedPageBreak/>
        <w:t xml:space="preserve">Introduction </w:t>
      </w:r>
      <w:bookmarkEnd w:id="0"/>
    </w:p>
    <w:p w14:paraId="4E554D0E" w14:textId="52383D3B" w:rsidR="00934E5F" w:rsidRDefault="00845521" w:rsidP="00BC7697">
      <w:pPr>
        <w:spacing w:before="100" w:beforeAutospacing="1" w:after="100" w:afterAutospacing="1" w:line="360" w:lineRule="auto"/>
        <w:rPr>
          <w:rFonts w:ascii="Arial" w:hAnsi="Arial" w:cs="Arial"/>
          <w:color w:val="000000" w:themeColor="text1"/>
        </w:rPr>
      </w:pPr>
      <w:r w:rsidRPr="007C5EF7">
        <w:rPr>
          <w:rFonts w:ascii="Arial" w:hAnsi="Arial" w:cs="Arial"/>
          <w:color w:val="000000" w:themeColor="text1"/>
        </w:rPr>
        <w:t xml:space="preserve">Dementia represents the progressive neurological disorder that is </w:t>
      </w:r>
      <w:r w:rsidR="00BC7697" w:rsidRPr="007C5EF7">
        <w:rPr>
          <w:rFonts w:ascii="Arial" w:hAnsi="Arial" w:cs="Arial"/>
          <w:color w:val="000000" w:themeColor="text1"/>
        </w:rPr>
        <w:t>characterized</w:t>
      </w:r>
      <w:r w:rsidRPr="007C5EF7">
        <w:rPr>
          <w:rFonts w:ascii="Arial" w:hAnsi="Arial" w:cs="Arial"/>
          <w:color w:val="000000" w:themeColor="text1"/>
        </w:rPr>
        <w:t xml:space="preserve"> by loss of cognitive functioning past ageing and is associated with memory, thinking, </w:t>
      </w:r>
      <w:r w:rsidR="00BC7697" w:rsidRPr="007C5EF7">
        <w:rPr>
          <w:rFonts w:ascii="Arial" w:hAnsi="Arial" w:cs="Arial"/>
          <w:color w:val="000000" w:themeColor="text1"/>
        </w:rPr>
        <w:t>behavior</w:t>
      </w:r>
      <w:r w:rsidRPr="007C5EF7">
        <w:rPr>
          <w:rFonts w:ascii="Arial" w:hAnsi="Arial" w:cs="Arial"/>
          <w:color w:val="000000" w:themeColor="text1"/>
        </w:rPr>
        <w:t xml:space="preserve"> as well as the ability to perform daily tasks (World Health Organization, 2021). The most prevalent type of dementia is also known as Alzheimer disease, and it occurs in approximately 60-70 percent of all cases across the world (WHO, 2021). Initial indications and symptoms are impaired memory, confusion, communication issues, poor judgement, mood or </w:t>
      </w:r>
      <w:r w:rsidR="00BC7697" w:rsidRPr="007C5EF7">
        <w:rPr>
          <w:rFonts w:ascii="Arial" w:hAnsi="Arial" w:cs="Arial"/>
          <w:color w:val="000000" w:themeColor="text1"/>
        </w:rPr>
        <w:t>behavior</w:t>
      </w:r>
      <w:r w:rsidRPr="007C5EF7">
        <w:rPr>
          <w:rFonts w:ascii="Arial" w:hAnsi="Arial" w:cs="Arial"/>
          <w:color w:val="000000" w:themeColor="text1"/>
        </w:rPr>
        <w:t xml:space="preserve"> alterations (Livingston et al., 2020). Dementia is a significant international health problem, and approximately 55 million individuals have dementia across the world and approximately 10 million individuals contract the disease annually (World Health Organization, 2021).</w:t>
      </w:r>
    </w:p>
    <w:p w14:paraId="64C46AD2" w14:textId="5291EAFB" w:rsidR="007C5EF7"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hAnsi="Arial" w:cs="Arial"/>
          <w:color w:val="000000" w:themeColor="text1"/>
        </w:rPr>
        <w:t>Dementia has a severe health and social burden in the UK, with over 900,000 individuals experiencing it in the country and it being one of the most common causes of mortality (Office for Health Improvement and Disparities, 2025). In this report, measurement and monitoring of dementia, control of dementia and its impacts on persons and communities including the health and social care that the affected persons need will be considered.</w:t>
      </w:r>
    </w:p>
    <w:p w14:paraId="29684226" w14:textId="27E0FD7F" w:rsidR="007C5EF7" w:rsidRPr="007C5EF7" w:rsidRDefault="00D51038" w:rsidP="007C5EF7">
      <w:pPr>
        <w:pStyle w:val="Heading1"/>
        <w:spacing w:line="360" w:lineRule="auto"/>
        <w:rPr>
          <w:rFonts w:ascii="Arial" w:eastAsia="Times New Roman" w:hAnsi="Arial" w:cs="Arial"/>
          <w:b/>
          <w:bCs/>
          <w:color w:val="000000" w:themeColor="text1"/>
          <w:sz w:val="22"/>
          <w:szCs w:val="22"/>
        </w:rPr>
      </w:pPr>
      <w:bookmarkStart w:id="1" w:name="_Toc224783987"/>
      <w:r w:rsidRPr="007C5EF7">
        <w:rPr>
          <w:rStyle w:val="Heading1Char"/>
          <w:rFonts w:ascii="Arial" w:hAnsi="Arial" w:cs="Arial"/>
          <w:b/>
          <w:color w:val="000000" w:themeColor="text1"/>
          <w:sz w:val="22"/>
          <w:szCs w:val="22"/>
        </w:rPr>
        <w:t>Approaches to Measure and Monitor Dementia</w:t>
      </w:r>
      <w:r w:rsidRPr="007C5EF7">
        <w:rPr>
          <w:rFonts w:ascii="Arial" w:eastAsia="Times New Roman" w:hAnsi="Arial" w:cs="Arial"/>
          <w:b/>
          <w:bCs/>
          <w:color w:val="000000" w:themeColor="text1"/>
          <w:sz w:val="22"/>
          <w:szCs w:val="22"/>
        </w:rPr>
        <w:t xml:space="preserve"> </w:t>
      </w:r>
      <w:bookmarkEnd w:id="1"/>
    </w:p>
    <w:p w14:paraId="29BD1CE5" w14:textId="1FBE644E"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hAnsi="Arial" w:cs="Arial"/>
          <w:color w:val="000000" w:themeColor="text1"/>
        </w:rPr>
        <w:t xml:space="preserve">Dementia can be measured and monitored to comprehend the impact of dementia on the public health and to make informed debates in programs related to the planning of healthcare. It is an epidemiological, clinical, and technological combination approach in determining the prevalence, incidence, and progression of dementia on a global and national basis. </w:t>
      </w:r>
    </w:p>
    <w:p w14:paraId="3E24D458" w14:textId="77777777" w:rsidR="00845521" w:rsidRPr="007C5EF7" w:rsidRDefault="00845521" w:rsidP="00BC7697">
      <w:pPr>
        <w:pStyle w:val="NormalWeb"/>
        <w:spacing w:line="360" w:lineRule="auto"/>
        <w:rPr>
          <w:rFonts w:ascii="Arial" w:hAnsi="Arial" w:cs="Arial"/>
          <w:color w:val="000000" w:themeColor="text1"/>
          <w:sz w:val="22"/>
          <w:szCs w:val="22"/>
        </w:rPr>
      </w:pPr>
      <w:r w:rsidRPr="007C5EF7">
        <w:rPr>
          <w:rFonts w:ascii="Arial" w:hAnsi="Arial" w:cs="Arial"/>
          <w:color w:val="000000" w:themeColor="text1"/>
          <w:sz w:val="22"/>
          <w:szCs w:val="22"/>
        </w:rPr>
        <w:t xml:space="preserve">Major epidemiological surveys like the Global Burden of Disease (GBD) at the global level are used to obtain statistics on the prevalence, mortality, and projections of dementia (GBD 2019 Dementia Forecasting Collaborators, 2022). Equally, the World Health Organization (WHO) gathers the global data to track patterns and lead the policies (World Health Organization, 2021). Such sources are useful in recognizing global trends but malpractices relating to diagnostic criteria and underrepresentation, especially in low- and middle-income countries, could restrict the accuracy and comparability of the data (Nichols et al., 2022). </w:t>
      </w:r>
    </w:p>
    <w:p w14:paraId="77575C06" w14:textId="77777777" w:rsidR="00845521" w:rsidRPr="007C5EF7" w:rsidRDefault="00845521" w:rsidP="00BC7697">
      <w:pPr>
        <w:pStyle w:val="NormalWeb"/>
        <w:spacing w:line="360" w:lineRule="auto"/>
        <w:rPr>
          <w:rFonts w:ascii="Arial" w:hAnsi="Arial" w:cs="Arial"/>
          <w:color w:val="000000" w:themeColor="text1"/>
          <w:sz w:val="22"/>
          <w:szCs w:val="22"/>
        </w:rPr>
      </w:pPr>
      <w:r w:rsidRPr="007C5EF7">
        <w:rPr>
          <w:rFonts w:ascii="Arial" w:hAnsi="Arial" w:cs="Arial"/>
          <w:color w:val="000000" w:themeColor="text1"/>
          <w:sz w:val="22"/>
          <w:szCs w:val="22"/>
        </w:rPr>
        <w:t xml:space="preserve">The monitoring of dementia in the UK is based on such national systems as NHS Digital and the Office of Health Improvement and Disparities that collect data on the use of primary care records to trace the rates of dementia diagnosis and use of the services (NHS Digital, 2025; </w:t>
      </w:r>
      <w:r w:rsidRPr="007C5EF7">
        <w:rPr>
          <w:rFonts w:ascii="Arial" w:hAnsi="Arial" w:cs="Arial"/>
          <w:color w:val="000000" w:themeColor="text1"/>
          <w:sz w:val="22"/>
          <w:szCs w:val="22"/>
        </w:rPr>
        <w:lastRenderedPageBreak/>
        <w:t xml:space="preserve">Office of Health Improvement and Disparities, 2025). Nevertheless, certain people cannot be tracked down because of underdiagnosis because others are not detected or are diagnosed at further stages, decreasing the precision of the information, and postponing treatment (Prince et al., 2021). </w:t>
      </w:r>
    </w:p>
    <w:p w14:paraId="564DC5A8" w14:textId="77777777" w:rsidR="00845521" w:rsidRPr="007C5EF7" w:rsidRDefault="00845521" w:rsidP="00BC7697">
      <w:pPr>
        <w:pStyle w:val="NormalWeb"/>
        <w:spacing w:line="360" w:lineRule="auto"/>
        <w:rPr>
          <w:rFonts w:ascii="Arial" w:hAnsi="Arial" w:cs="Arial"/>
          <w:color w:val="000000" w:themeColor="text1"/>
          <w:sz w:val="22"/>
          <w:szCs w:val="22"/>
        </w:rPr>
      </w:pPr>
      <w:r w:rsidRPr="007C5EF7">
        <w:rPr>
          <w:rFonts w:ascii="Arial" w:hAnsi="Arial" w:cs="Arial"/>
          <w:color w:val="000000" w:themeColor="text1"/>
          <w:sz w:val="22"/>
          <w:szCs w:val="22"/>
        </w:rPr>
        <w:t xml:space="preserve">Cognitive tests (such as Mini-Mental State Examination (MMSE)) and neuroimaging are the most frequently used methods of diagnosing and monitoring dementia (Gauthier et al., 2021). Such tools are helpful, and the issue of bias in diagnosis can obviously be caused by cultural, educational, and clinical influences (Livingston et al., 2020). The healthcare access difference is represented in regional variations in diagnostic rates. Through the tracking of disease progression over time, longitudinal research projects such as those funded by the National Institute on Ageing are used to track dementia (NIA, 2025). </w:t>
      </w:r>
    </w:p>
    <w:p w14:paraId="65AD5F23" w14:textId="6D7255AD" w:rsidR="00845521" w:rsidRPr="007C5EF7" w:rsidRDefault="00845521" w:rsidP="00BC7697">
      <w:pPr>
        <w:pStyle w:val="NormalWeb"/>
        <w:spacing w:line="360" w:lineRule="auto"/>
        <w:rPr>
          <w:rFonts w:ascii="Arial" w:hAnsi="Arial" w:cs="Arial"/>
          <w:color w:val="000000" w:themeColor="text1"/>
          <w:sz w:val="22"/>
          <w:szCs w:val="22"/>
        </w:rPr>
      </w:pPr>
      <w:r w:rsidRPr="007C5EF7">
        <w:rPr>
          <w:rFonts w:ascii="Arial" w:hAnsi="Arial" w:cs="Arial"/>
          <w:color w:val="000000" w:themeColor="text1"/>
          <w:sz w:val="22"/>
          <w:szCs w:val="22"/>
        </w:rPr>
        <w:t>Artificial intelligence and the use of digital biomarkers are becoming more popular in screening and follow up (Hafeez et al., 2025; Hassan, 2024; de la Fuente Garcia, 2020). There are cost, accessibility, and ethics limitations to their use (Ma et al., 2025). Dementia needs an approach that involves adequate dementia monitoring.</w:t>
      </w:r>
    </w:p>
    <w:p w14:paraId="5DB9354E" w14:textId="10A33D6B" w:rsidR="00D51038" w:rsidRPr="007C5EF7" w:rsidRDefault="00D51038" w:rsidP="007C5EF7">
      <w:pPr>
        <w:pStyle w:val="Heading1"/>
        <w:spacing w:line="360" w:lineRule="auto"/>
        <w:rPr>
          <w:rFonts w:ascii="Arial" w:eastAsia="Times New Roman" w:hAnsi="Arial" w:cs="Arial"/>
          <w:b/>
          <w:color w:val="000000" w:themeColor="text1"/>
          <w:sz w:val="22"/>
          <w:szCs w:val="22"/>
        </w:rPr>
      </w:pPr>
      <w:bookmarkStart w:id="2" w:name="_Toc224783988"/>
      <w:r w:rsidRPr="007C5EF7">
        <w:rPr>
          <w:rFonts w:ascii="Arial" w:eastAsia="Times New Roman" w:hAnsi="Arial" w:cs="Arial"/>
          <w:b/>
          <w:color w:val="000000" w:themeColor="text1"/>
          <w:sz w:val="22"/>
          <w:szCs w:val="22"/>
        </w:rPr>
        <w:t xml:space="preserve">How Dementia is </w:t>
      </w:r>
      <w:r w:rsidR="00934E5F" w:rsidRPr="007C5EF7">
        <w:rPr>
          <w:rFonts w:ascii="Arial" w:eastAsia="Times New Roman" w:hAnsi="Arial" w:cs="Arial"/>
          <w:b/>
          <w:color w:val="000000" w:themeColor="text1"/>
          <w:sz w:val="22"/>
          <w:szCs w:val="22"/>
        </w:rPr>
        <w:t>controlled</w:t>
      </w:r>
      <w:r w:rsidRPr="007C5EF7">
        <w:rPr>
          <w:rFonts w:ascii="Arial" w:eastAsia="Times New Roman" w:hAnsi="Arial" w:cs="Arial"/>
          <w:b/>
          <w:color w:val="000000" w:themeColor="text1"/>
          <w:sz w:val="22"/>
          <w:szCs w:val="22"/>
        </w:rPr>
        <w:t xml:space="preserve"> </w:t>
      </w:r>
      <w:bookmarkEnd w:id="2"/>
    </w:p>
    <w:p w14:paraId="38EF8A15"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Dementia is multifactorial since it cannot be cured and its control is complicated. Strategies are therefore preventive based, early diagnosis, treatment and population health intervention strategies to enhance living standards. </w:t>
      </w:r>
    </w:p>
    <w:p w14:paraId="4F5F7110"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One of the effective measures is primary prevention that aims at diminishing the modifiable risk factors, including smoking, physical inactivity, obesity, blood pressure, and social isolation (Livingston et al., 2024). Health promotion campaigns through public health campaigns create healthier lifestyles and management of chronic conditions. Nonetheless, the socioeconomic determinants influence the effectiveness of these interventions by curbing their effectiveness among the disadvantaged groups in terms of income, education, and healthcare accessibility (Walsh et al., 2025). </w:t>
      </w:r>
    </w:p>
    <w:p w14:paraId="4BA2A61D"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Dementia also needs to be controlled through early diagnosis. The UK policies also focus on bettering diagnosis by creating awareness and making assessment services available (Office for Health Improvement and Disparities, 2025). Early diagnosis puts one in a position to get care and plan on how to spend the future. Nevertheless, a significant number of people are </w:t>
      </w:r>
      <w:r w:rsidRPr="007C5EF7">
        <w:rPr>
          <w:rFonts w:ascii="Arial" w:eastAsia="Times New Roman" w:hAnsi="Arial" w:cs="Arial"/>
          <w:color w:val="000000" w:themeColor="text1"/>
        </w:rPr>
        <w:lastRenderedPageBreak/>
        <w:t xml:space="preserve">diagnosed later, which can possibly be explained by stigmatization and ignorance, which has less effectiveness in terms of early treatment (Prince et al., 2021). </w:t>
      </w:r>
    </w:p>
    <w:p w14:paraId="5005A92A"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Symptoms are treated by pharmacological therapy, including cholinesterase inhibitors, which can remove the symptoms and temporarily enhance cognitive functions (Gauthier et al., 2021). Nonetheless, these treatments do not cure dementia and such treatments have different effectiveness. Consequently, it made the non-pharmacological techniques such as cognitive stimulation therapy and psychosocial support even more crucial (World Health Organization, 2021). </w:t>
      </w:r>
    </w:p>
    <w:p w14:paraId="64CD4F51"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The use of technological innovations (such as AI and assistive technology) has a potential of early detection and enhancing treatment (Hafeez et al., 2025; Hassan et al., 2024). Nonetheless, their inaccessibility and high prices can become a source of inequality in terms of usage (Ma et al., 2025). </w:t>
      </w:r>
    </w:p>
    <w:p w14:paraId="63A5E200" w14:textId="04379EA2"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On policy level, such frameworks like WHO Global Action Plan focus on integrated reactions to combat health care and social service (World Health Organization, 2021). The UK initiatives are expected to enhance the quality of care and assist carers, yet issues like the lack of workers and variability in service can still be identified (Care Quality Commission, 2024). In general, a multi-dimensional and coordinated approach is necessary to be able to control it effectively.</w:t>
      </w:r>
    </w:p>
    <w:p w14:paraId="725F4E44" w14:textId="77777777" w:rsidR="007C5EF7" w:rsidRPr="007C5EF7" w:rsidRDefault="00D51038" w:rsidP="007C5EF7">
      <w:pPr>
        <w:pStyle w:val="Heading1"/>
        <w:spacing w:line="360" w:lineRule="auto"/>
        <w:rPr>
          <w:rFonts w:ascii="Arial" w:eastAsia="Times New Roman" w:hAnsi="Arial" w:cs="Arial"/>
          <w:b/>
          <w:color w:val="000000" w:themeColor="text1"/>
          <w:sz w:val="22"/>
          <w:szCs w:val="22"/>
        </w:rPr>
      </w:pPr>
      <w:bookmarkStart w:id="3" w:name="_Toc224783989"/>
      <w:r w:rsidRPr="007C5EF7">
        <w:rPr>
          <w:rFonts w:ascii="Arial" w:eastAsia="Times New Roman" w:hAnsi="Arial" w:cs="Arial"/>
          <w:b/>
          <w:color w:val="000000" w:themeColor="text1"/>
          <w:sz w:val="22"/>
          <w:szCs w:val="22"/>
        </w:rPr>
        <w:t xml:space="preserve">Impact of Dementia and Required Health &amp; Social Care Support </w:t>
      </w:r>
      <w:bookmarkEnd w:id="3"/>
    </w:p>
    <w:p w14:paraId="112F4149" w14:textId="4D4A72AD" w:rsidR="00845521" w:rsidRPr="007C5EF7" w:rsidRDefault="00845521" w:rsidP="00BC7697">
      <w:pPr>
        <w:spacing w:line="360" w:lineRule="auto"/>
        <w:rPr>
          <w:rFonts w:ascii="Arial" w:hAnsi="Arial" w:cs="Arial"/>
          <w:b/>
        </w:rPr>
      </w:pPr>
      <w:r w:rsidRPr="007C5EF7">
        <w:rPr>
          <w:rFonts w:ascii="Arial" w:hAnsi="Arial" w:cs="Arial"/>
        </w:rPr>
        <w:t xml:space="preserve">Dementia is very serious because of its implications on both the individual, family, and the health care system, which include physical, psychological, social, and economical implications in life. </w:t>
      </w:r>
    </w:p>
    <w:p w14:paraId="575CADED" w14:textId="3AEEAA11"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At personal level, dementia results in the gradual worsening of cognitive and functional areas of functioning which include the memory, communication, and making decisions (World Health Organization, 2021). Independency is usually lost and people depend on people to help them in their daily activities as the condition advances. This may make them prone to complications like falls and infections (Gauthier et al., 2021). Added to </w:t>
      </w:r>
      <w:r w:rsidR="00BC7697" w:rsidRPr="007C5EF7">
        <w:rPr>
          <w:rFonts w:ascii="Arial" w:eastAsia="Times New Roman" w:hAnsi="Arial" w:cs="Arial"/>
          <w:color w:val="000000" w:themeColor="text1"/>
        </w:rPr>
        <w:t>behavioral</w:t>
      </w:r>
      <w:r w:rsidRPr="007C5EF7">
        <w:rPr>
          <w:rFonts w:ascii="Arial" w:eastAsia="Times New Roman" w:hAnsi="Arial" w:cs="Arial"/>
          <w:color w:val="000000" w:themeColor="text1"/>
        </w:rPr>
        <w:t xml:space="preserve"> and psychological symptoms that impair the quality of life is anxiety and depression (Livingston et al., 2020). </w:t>
      </w:r>
    </w:p>
    <w:p w14:paraId="407AA1F2"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It affects the families and those who provide care too as they tend to suffer stress, burnouts, and financial burdens caused by the long-term caregiving process (Prince et al., 2021). It shows that dementia has more social consequences than that of an individual. </w:t>
      </w:r>
    </w:p>
    <w:p w14:paraId="0DEAB5FF"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lastRenderedPageBreak/>
        <w:t xml:space="preserve">On a societal basis, dementia is proving to be a growing burden on patients in terms of health and social care. The increased prevalence has resulted in increased demand of both long term care and specialist services (Nichols et al., 2022). In the UK, shortage of workforce and inequalities between regions are among the challenges in service delivery and care access (Care Quality Commission, 2024). </w:t>
      </w:r>
    </w:p>
    <w:p w14:paraId="6B4C74BC" w14:textId="77777777"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 xml:space="preserve">Various health and social care services are needed in order to overcome these challenges. Diagnosis and treatment are provided by the healthcare services, such as memory clinics and multidisciplinary teams (Office for Health Improvement and Disparities, 2025). The social care services, including home care, respite care, and residential care, are aimed at helping people remain independent (World Health Organization, 2021). </w:t>
      </w:r>
    </w:p>
    <w:p w14:paraId="39ABC483" w14:textId="6879025D" w:rsidR="00845521" w:rsidRPr="007C5EF7" w:rsidRDefault="00845521" w:rsidP="00BC7697">
      <w:pPr>
        <w:spacing w:before="100" w:beforeAutospacing="1" w:after="100" w:afterAutospacing="1" w:line="360" w:lineRule="auto"/>
        <w:rPr>
          <w:rFonts w:ascii="Arial" w:eastAsia="Times New Roman" w:hAnsi="Arial" w:cs="Arial"/>
          <w:color w:val="000000" w:themeColor="text1"/>
        </w:rPr>
      </w:pPr>
      <w:r w:rsidRPr="007C5EF7">
        <w:rPr>
          <w:rFonts w:ascii="Arial" w:eastAsia="Times New Roman" w:hAnsi="Arial" w:cs="Arial"/>
          <w:color w:val="000000" w:themeColor="text1"/>
        </w:rPr>
        <w:t>Support and support groups and caregiver education (community</w:t>
      </w:r>
      <w:r w:rsidR="00BC7375" w:rsidRPr="007C5EF7">
        <w:rPr>
          <w:rFonts w:ascii="Arial" w:eastAsia="Times New Roman" w:hAnsi="Arial" w:cs="Arial"/>
          <w:color w:val="000000" w:themeColor="text1"/>
        </w:rPr>
        <w:t>-</w:t>
      </w:r>
      <w:r w:rsidRPr="007C5EF7">
        <w:rPr>
          <w:rFonts w:ascii="Arial" w:eastAsia="Times New Roman" w:hAnsi="Arial" w:cs="Arial"/>
          <w:color w:val="000000" w:themeColor="text1"/>
        </w:rPr>
        <w:t>based support), assists in minimizing isolation and enhancing coping mechanisms. Moreover, safety and independence can be improved with the help of assistive technologies and monitoring systems (Ma et al., 2025; Hafeez et al., 2025). Yet, there are still gaps because of the lack of resources and unequal access. Thus, it is necessary to work in harmony and approach people with dementia and their relatives through a personal approach.</w:t>
      </w:r>
    </w:p>
    <w:p w14:paraId="46FAC99C" w14:textId="1A67F8A0" w:rsidR="00D51038" w:rsidRPr="007C5EF7" w:rsidRDefault="00D51038" w:rsidP="007C5EF7">
      <w:pPr>
        <w:pStyle w:val="Heading1"/>
        <w:spacing w:line="360" w:lineRule="auto"/>
        <w:rPr>
          <w:rFonts w:ascii="Arial" w:hAnsi="Arial" w:cs="Arial"/>
          <w:color w:val="000000" w:themeColor="text1"/>
          <w:sz w:val="22"/>
          <w:szCs w:val="22"/>
        </w:rPr>
      </w:pPr>
      <w:bookmarkStart w:id="4" w:name="_Toc224783990"/>
      <w:r w:rsidRPr="007C5EF7">
        <w:rPr>
          <w:rStyle w:val="Strong"/>
          <w:rFonts w:ascii="Arial" w:hAnsi="Arial" w:cs="Arial"/>
          <w:bCs w:val="0"/>
          <w:color w:val="000000" w:themeColor="text1"/>
          <w:sz w:val="22"/>
          <w:szCs w:val="22"/>
        </w:rPr>
        <w:t xml:space="preserve">Conclusion </w:t>
      </w:r>
      <w:bookmarkEnd w:id="4"/>
    </w:p>
    <w:p w14:paraId="314EE976" w14:textId="0B04E3F4" w:rsidR="00D51038" w:rsidRDefault="00934E5F" w:rsidP="00BC7697">
      <w:pPr>
        <w:spacing w:before="100" w:beforeAutospacing="1" w:after="100" w:afterAutospacing="1" w:line="360" w:lineRule="auto"/>
        <w:rPr>
          <w:rFonts w:ascii="Arial" w:eastAsia="Times New Roman" w:hAnsi="Arial" w:cs="Arial"/>
          <w:color w:val="000000" w:themeColor="text1"/>
        </w:rPr>
      </w:pPr>
      <w:r>
        <w:rPr>
          <w:rFonts w:ascii="Arial" w:eastAsia="Times New Roman" w:hAnsi="Arial" w:cs="Arial"/>
          <w:color w:val="000000" w:themeColor="text1"/>
        </w:rPr>
        <w:t>In conclusion</w:t>
      </w:r>
      <w:r w:rsidR="00845521" w:rsidRPr="007C5EF7">
        <w:rPr>
          <w:rFonts w:ascii="Arial" w:eastAsia="Times New Roman" w:hAnsi="Arial" w:cs="Arial"/>
          <w:color w:val="000000" w:themeColor="text1"/>
        </w:rPr>
        <w:t>, dementia is a significant population health problem that impacts on individuals, families, and healthcare systems. As demonstrated in this paper, successful measuring and monitoring require epidemiological data, clinical evaluation, and novel technological tools despite their limitations. Dementia is an incurable disease; however, prevention, early management, treatment, and political efforts can be applied to manage the disorder and enhance the quality of life. This data also indicates that dementia is a condition with severe physical, psychological, and social outcomes, and entails a high level of health and social provision. Access disparities, shortage, delayed diagnosis, and support systems still have an effect on care provision even in the presence of support systems. To effectively cope with the increasing burden of dementia, an integrated/ coordinated, person-</w:t>
      </w:r>
      <w:r w:rsidR="00BC7697" w:rsidRPr="007C5EF7">
        <w:rPr>
          <w:rFonts w:ascii="Arial" w:eastAsia="Times New Roman" w:hAnsi="Arial" w:cs="Arial"/>
          <w:color w:val="000000" w:themeColor="text1"/>
        </w:rPr>
        <w:t>centered</w:t>
      </w:r>
      <w:r w:rsidR="00845521" w:rsidRPr="007C5EF7">
        <w:rPr>
          <w:rFonts w:ascii="Arial" w:eastAsia="Times New Roman" w:hAnsi="Arial" w:cs="Arial"/>
          <w:color w:val="000000" w:themeColor="text1"/>
        </w:rPr>
        <w:t xml:space="preserve"> intervention involving healthcare, social support, and legislative intervention is required.</w:t>
      </w:r>
    </w:p>
    <w:p w14:paraId="60A6884D"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218A8879"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5AA23E41"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1D3B3B93"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046948D4"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561B98FF"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7BC96060"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778338BC"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002479DD"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1263C69D"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18C738C6"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2DD9CD91"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17B00435"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569E2AB6"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0CD97092"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0CC04C76"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4841FFEB" w14:textId="77777777" w:rsidR="00934E5F" w:rsidRDefault="00934E5F" w:rsidP="00934E5F">
      <w:pPr>
        <w:spacing w:before="100" w:beforeAutospacing="1" w:after="100" w:afterAutospacing="1" w:line="360" w:lineRule="auto"/>
        <w:ind w:firstLine="720"/>
        <w:rPr>
          <w:rFonts w:ascii="Arial" w:eastAsia="Times New Roman" w:hAnsi="Arial" w:cs="Arial"/>
          <w:color w:val="000000" w:themeColor="text1"/>
        </w:rPr>
      </w:pPr>
    </w:p>
    <w:p w14:paraId="35582229" w14:textId="77777777" w:rsidR="00934E5F" w:rsidRPr="007C5EF7" w:rsidRDefault="00934E5F" w:rsidP="00934E5F">
      <w:pPr>
        <w:spacing w:before="100" w:beforeAutospacing="1" w:after="100" w:afterAutospacing="1" w:line="360" w:lineRule="auto"/>
        <w:ind w:firstLine="720"/>
        <w:rPr>
          <w:rFonts w:ascii="Arial" w:hAnsi="Arial" w:cs="Arial"/>
          <w:color w:val="000000" w:themeColor="text1"/>
        </w:rPr>
      </w:pPr>
    </w:p>
    <w:p w14:paraId="3B5F14E8" w14:textId="77777777" w:rsidR="00D51038" w:rsidRPr="007C5EF7" w:rsidRDefault="00D51038" w:rsidP="007C5EF7">
      <w:pPr>
        <w:pStyle w:val="Heading1"/>
        <w:spacing w:line="360" w:lineRule="auto"/>
        <w:rPr>
          <w:rFonts w:ascii="Arial" w:hAnsi="Arial" w:cs="Arial"/>
          <w:b/>
          <w:color w:val="000000" w:themeColor="text1"/>
          <w:sz w:val="22"/>
          <w:szCs w:val="22"/>
        </w:rPr>
      </w:pPr>
      <w:bookmarkStart w:id="5" w:name="_Toc224783991"/>
      <w:r w:rsidRPr="007C5EF7">
        <w:rPr>
          <w:rFonts w:ascii="Arial" w:hAnsi="Arial" w:cs="Arial"/>
          <w:b/>
          <w:color w:val="000000" w:themeColor="text1"/>
          <w:sz w:val="22"/>
          <w:szCs w:val="22"/>
        </w:rPr>
        <w:t>References</w:t>
      </w:r>
      <w:bookmarkEnd w:id="5"/>
    </w:p>
    <w:p w14:paraId="49B1D53B" w14:textId="7F33209C"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Livingston, G. et al. (2024) Dementia prevention, intervention, and care: 2024 report of the Lancet Commission. The Lancet. Available at:</w:t>
      </w:r>
      <w:r w:rsidR="007C5EF7" w:rsidRPr="007C5EF7">
        <w:rPr>
          <w:rFonts w:ascii="Arial" w:hAnsi="Arial" w:cs="Arial"/>
          <w:sz w:val="22"/>
          <w:szCs w:val="22"/>
        </w:rPr>
        <w:t xml:space="preserve"> </w:t>
      </w:r>
      <w:hyperlink r:id="rId7" w:history="1">
        <w:r w:rsidR="007C5EF7" w:rsidRPr="0020315F">
          <w:rPr>
            <w:rStyle w:val="Hyperlink"/>
            <w:rFonts w:ascii="Arial" w:hAnsi="Arial" w:cs="Arial"/>
            <w:sz w:val="22"/>
            <w:szCs w:val="22"/>
          </w:rPr>
          <w:t>https://www.thelancet.com/article/S0140-6736(24)01296-0/abstract</w:t>
        </w:r>
      </w:hyperlink>
      <w:r w:rsidR="007C5EF7">
        <w:rPr>
          <w:rFonts w:ascii="Arial" w:hAnsi="Arial" w:cs="Arial"/>
          <w:sz w:val="22"/>
          <w:szCs w:val="22"/>
        </w:rPr>
        <w:t xml:space="preserve"> </w:t>
      </w:r>
    </w:p>
    <w:p w14:paraId="464E272D" w14:textId="2C0CFA86"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lastRenderedPageBreak/>
        <w:t xml:space="preserve">Livingston, G. et al. (2020) Dementia prevention, intervention, and care. The Lancet, 396(10248), pp. 413–446. Available at: </w:t>
      </w:r>
      <w:hyperlink r:id="rId8" w:history="1">
        <w:r w:rsidR="007C5EF7" w:rsidRPr="0020315F">
          <w:rPr>
            <w:rStyle w:val="Hyperlink"/>
            <w:rFonts w:ascii="Arial" w:hAnsi="Arial" w:cs="Arial"/>
            <w:sz w:val="22"/>
            <w:szCs w:val="22"/>
          </w:rPr>
          <w:t>https://www.thelancet.com/article/S0140-6736(20)30367-6/fulltext</w:t>
        </w:r>
      </w:hyperlink>
      <w:r w:rsidR="007C5EF7">
        <w:rPr>
          <w:rFonts w:ascii="Arial" w:hAnsi="Arial" w:cs="Arial"/>
          <w:sz w:val="22"/>
          <w:szCs w:val="22"/>
        </w:rPr>
        <w:t xml:space="preserve"> </w:t>
      </w:r>
    </w:p>
    <w:p w14:paraId="16924361" w14:textId="77777777" w:rsid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GBD 2019 Dementia Forecasting Collaborators (2022) Estimation of the global prevalence of dementia in 2019 and forecasted trends. The Lancet Public Health, 7(2), pp. e105–e125. Available at: </w:t>
      </w:r>
      <w:hyperlink r:id="rId9" w:history="1">
        <w:r w:rsidR="007C5EF7" w:rsidRPr="0020315F">
          <w:rPr>
            <w:rStyle w:val="Hyperlink"/>
            <w:rFonts w:ascii="Arial" w:hAnsi="Arial" w:cs="Arial"/>
            <w:sz w:val="22"/>
            <w:szCs w:val="22"/>
          </w:rPr>
          <w:t>https://www.thelancet.com/journals/lanpub/article/PIIS2468-2667(21)00249-8/fulltext</w:t>
        </w:r>
      </w:hyperlink>
      <w:r w:rsidR="007C5EF7">
        <w:rPr>
          <w:rFonts w:ascii="Arial" w:hAnsi="Arial" w:cs="Arial"/>
          <w:sz w:val="22"/>
          <w:szCs w:val="22"/>
        </w:rPr>
        <w:t xml:space="preserve"> </w:t>
      </w:r>
    </w:p>
    <w:p w14:paraId="5B95FB54" w14:textId="49CC7E83"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World Health Organization (2021) Global status report on the public health response to dementia. Geneva: WHO. Available at:</w:t>
      </w:r>
      <w:r w:rsidR="007C5EF7" w:rsidRPr="007C5EF7">
        <w:rPr>
          <w:rFonts w:ascii="Arial" w:hAnsi="Arial" w:cs="Arial"/>
          <w:sz w:val="22"/>
          <w:szCs w:val="22"/>
        </w:rPr>
        <w:t xml:space="preserve"> </w:t>
      </w:r>
      <w:hyperlink r:id="rId10" w:history="1">
        <w:r w:rsidR="007C5EF7" w:rsidRPr="0020315F">
          <w:rPr>
            <w:rStyle w:val="Hyperlink"/>
            <w:rFonts w:ascii="Arial" w:hAnsi="Arial" w:cs="Arial"/>
            <w:sz w:val="22"/>
            <w:szCs w:val="22"/>
          </w:rPr>
          <w:t>https://www.who.int/publications/i/item/9789240033245</w:t>
        </w:r>
      </w:hyperlink>
      <w:r w:rsidR="007C5EF7">
        <w:rPr>
          <w:rFonts w:ascii="Arial" w:hAnsi="Arial" w:cs="Arial"/>
          <w:sz w:val="22"/>
          <w:szCs w:val="22"/>
        </w:rPr>
        <w:t xml:space="preserve"> </w:t>
      </w:r>
    </w:p>
    <w:p w14:paraId="23D7AF8B" w14:textId="1CB9E76F"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Nichols, E. et al. (2022) Global burden of dementia and projections. The Lancet Public Health.</w:t>
      </w:r>
      <w:r w:rsidR="007C5EF7" w:rsidRPr="007C5EF7">
        <w:t xml:space="preserve"> </w:t>
      </w:r>
      <w:r w:rsidRPr="007C5EF7">
        <w:rPr>
          <w:rFonts w:ascii="Arial" w:hAnsi="Arial" w:cs="Arial"/>
          <w:sz w:val="22"/>
          <w:szCs w:val="22"/>
        </w:rPr>
        <w:t xml:space="preserve">Available at: </w:t>
      </w:r>
      <w:hyperlink r:id="rId11" w:history="1">
        <w:r w:rsidR="007C5EF7" w:rsidRPr="0020315F">
          <w:rPr>
            <w:rStyle w:val="Hyperlink"/>
            <w:rFonts w:ascii="Arial" w:hAnsi="Arial" w:cs="Arial"/>
            <w:sz w:val="22"/>
            <w:szCs w:val="22"/>
          </w:rPr>
          <w:t>https://www.thelancet.com/journals/lanpub/article/PIIS2468-2667(21)00249-8/fulltext</w:t>
        </w:r>
      </w:hyperlink>
      <w:r w:rsidR="007C5EF7">
        <w:rPr>
          <w:rFonts w:ascii="Arial" w:hAnsi="Arial" w:cs="Arial"/>
          <w:sz w:val="22"/>
          <w:szCs w:val="22"/>
        </w:rPr>
        <w:t xml:space="preserve"> </w:t>
      </w:r>
    </w:p>
    <w:p w14:paraId="24761BCC" w14:textId="496911E2"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NHS Digital (2025) Primary Care Dementia Data. Available at: (Accessed: 18 March 2026).</w:t>
      </w:r>
    </w:p>
    <w:p w14:paraId="621532B4" w14:textId="15F7F2A5"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Office for Health Improvement and Disparities (2025) Dementia profile: statistical commentary. Available at: </w:t>
      </w:r>
      <w:proofErr w:type="gramStart"/>
      <w:r w:rsidR="007C5EF7" w:rsidRPr="007C5EF7">
        <w:rPr>
          <w:rStyle w:val="Hyperlink"/>
          <w:rFonts w:ascii="Arial" w:hAnsi="Arial" w:cs="Arial"/>
          <w:sz w:val="22"/>
          <w:szCs w:val="22"/>
        </w:rPr>
        <w:t xml:space="preserve">https://www.gov.uk/government/statistics/dementia-profile-march-2025-update/dementia-profile-prevalence-and-supporting-well-topics-statistical-commentary-march-2025 </w:t>
      </w:r>
      <w:r w:rsidR="007C5EF7">
        <w:rPr>
          <w:rStyle w:val="Hyperlink"/>
          <w:rFonts w:ascii="Arial" w:hAnsi="Arial" w:cs="Arial"/>
          <w:sz w:val="22"/>
          <w:szCs w:val="22"/>
        </w:rPr>
        <w:t xml:space="preserve"> </w:t>
      </w:r>
      <w:r w:rsidRPr="007C5EF7">
        <w:rPr>
          <w:rFonts w:ascii="Arial" w:hAnsi="Arial" w:cs="Arial"/>
          <w:sz w:val="22"/>
          <w:szCs w:val="22"/>
        </w:rPr>
        <w:t>(</w:t>
      </w:r>
      <w:proofErr w:type="gramEnd"/>
      <w:r w:rsidRPr="007C5EF7">
        <w:rPr>
          <w:rFonts w:ascii="Arial" w:hAnsi="Arial" w:cs="Arial"/>
          <w:sz w:val="22"/>
          <w:szCs w:val="22"/>
        </w:rPr>
        <w:t>Accessed: 18 March 2026).</w:t>
      </w:r>
    </w:p>
    <w:p w14:paraId="62471C2C" w14:textId="2328DCAE"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Prince, M. et al. (2021) World Alzheimer Report 2021. London: Alzheimer’s Disease International. Available at: </w:t>
      </w:r>
      <w:hyperlink r:id="rId12" w:tgtFrame="_new" w:history="1">
        <w:r w:rsidRPr="007C5EF7">
          <w:rPr>
            <w:rStyle w:val="Hyperlink"/>
            <w:rFonts w:ascii="Arial" w:hAnsi="Arial" w:cs="Arial"/>
            <w:sz w:val="22"/>
            <w:szCs w:val="22"/>
          </w:rPr>
          <w:t>https://www.alzint.org/resource/world-alzheimer-report-2021/</w:t>
        </w:r>
      </w:hyperlink>
      <w:r w:rsidR="007C5EF7">
        <w:rPr>
          <w:rStyle w:val="Hyperlink"/>
          <w:rFonts w:ascii="Arial" w:hAnsi="Arial" w:cs="Arial"/>
          <w:sz w:val="22"/>
          <w:szCs w:val="22"/>
        </w:rPr>
        <w:t xml:space="preserve"> </w:t>
      </w:r>
    </w:p>
    <w:p w14:paraId="5D10BCB1" w14:textId="75C50A4B"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Gauthier, S. et al. (2021) Management of dementia. The Lancet, 396(10248), pp. 157–170. Available at: </w:t>
      </w:r>
      <w:hyperlink r:id="rId13" w:history="1">
        <w:r w:rsidR="007C5EF7" w:rsidRPr="0020315F">
          <w:rPr>
            <w:rStyle w:val="Hyperlink"/>
            <w:rFonts w:ascii="Arial" w:hAnsi="Arial" w:cs="Arial"/>
            <w:sz w:val="22"/>
            <w:szCs w:val="22"/>
          </w:rPr>
          <w:t>https://doi.org/10.1016/S0140-6736(20)31764-1</w:t>
        </w:r>
      </w:hyperlink>
      <w:r w:rsidR="007C5EF7">
        <w:rPr>
          <w:rFonts w:ascii="Arial" w:hAnsi="Arial" w:cs="Arial"/>
          <w:sz w:val="22"/>
          <w:szCs w:val="22"/>
        </w:rPr>
        <w:t xml:space="preserve"> </w:t>
      </w:r>
    </w:p>
    <w:p w14:paraId="6623C40A"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Walsh, S. et al. (2025) Broadening dementia risk models beyond Lancet Commission factors. ScienceDirect. Available at: </w:t>
      </w:r>
      <w:hyperlink r:id="rId14" w:tgtFrame="_new" w:history="1">
        <w:r w:rsidRPr="007C5EF7">
          <w:rPr>
            <w:rStyle w:val="Hyperlink"/>
            <w:rFonts w:ascii="Arial" w:hAnsi="Arial" w:cs="Arial"/>
            <w:sz w:val="22"/>
            <w:szCs w:val="22"/>
          </w:rPr>
          <w:t>https://www.sciencedirect.com</w:t>
        </w:r>
      </w:hyperlink>
    </w:p>
    <w:p w14:paraId="0524A980"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Hafeez, R. et al. (2025) Deep learning in early Alzheimer’s disease detection. </w:t>
      </w:r>
      <w:proofErr w:type="spellStart"/>
      <w:r w:rsidRPr="007C5EF7">
        <w:rPr>
          <w:rFonts w:ascii="Arial" w:hAnsi="Arial" w:cs="Arial"/>
          <w:sz w:val="22"/>
          <w:szCs w:val="22"/>
        </w:rPr>
        <w:t>arXiv</w:t>
      </w:r>
      <w:proofErr w:type="spellEnd"/>
      <w:r w:rsidRPr="007C5EF7">
        <w:rPr>
          <w:rFonts w:ascii="Arial" w:hAnsi="Arial" w:cs="Arial"/>
          <w:sz w:val="22"/>
          <w:szCs w:val="22"/>
        </w:rPr>
        <w:t xml:space="preserve">. Available at: </w:t>
      </w:r>
      <w:hyperlink r:id="rId15" w:tgtFrame="_new" w:history="1">
        <w:r w:rsidRPr="007C5EF7">
          <w:rPr>
            <w:rStyle w:val="Hyperlink"/>
            <w:rFonts w:ascii="Arial" w:hAnsi="Arial" w:cs="Arial"/>
            <w:sz w:val="22"/>
            <w:szCs w:val="22"/>
          </w:rPr>
          <w:t>https://arxiv.org</w:t>
        </w:r>
      </w:hyperlink>
    </w:p>
    <w:p w14:paraId="6A873C42"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lastRenderedPageBreak/>
        <w:t xml:space="preserve">Hassan, S. et al. (2024) Multi-omics integration for dementia diagnosis. </w:t>
      </w:r>
      <w:proofErr w:type="spellStart"/>
      <w:r w:rsidRPr="007C5EF7">
        <w:rPr>
          <w:rFonts w:ascii="Arial" w:hAnsi="Arial" w:cs="Arial"/>
          <w:sz w:val="22"/>
          <w:szCs w:val="22"/>
        </w:rPr>
        <w:t>arXiv</w:t>
      </w:r>
      <w:proofErr w:type="spellEnd"/>
      <w:r w:rsidRPr="007C5EF7">
        <w:rPr>
          <w:rFonts w:ascii="Arial" w:hAnsi="Arial" w:cs="Arial"/>
          <w:sz w:val="22"/>
          <w:szCs w:val="22"/>
        </w:rPr>
        <w:t xml:space="preserve">. Available at: </w:t>
      </w:r>
      <w:hyperlink r:id="rId16" w:tgtFrame="_new" w:history="1">
        <w:r w:rsidRPr="007C5EF7">
          <w:rPr>
            <w:rStyle w:val="Hyperlink"/>
            <w:rFonts w:ascii="Arial" w:hAnsi="Arial" w:cs="Arial"/>
            <w:sz w:val="22"/>
            <w:szCs w:val="22"/>
          </w:rPr>
          <w:t>https://arxiv.org</w:t>
        </w:r>
      </w:hyperlink>
    </w:p>
    <w:p w14:paraId="611FA8FC"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de la Fuente Garcia, S. et al. (2020) Artificial intelligence and speech analysis in Alzheimer’s disease monitoring. </w:t>
      </w:r>
      <w:proofErr w:type="spellStart"/>
      <w:r w:rsidRPr="007C5EF7">
        <w:rPr>
          <w:rFonts w:ascii="Arial" w:hAnsi="Arial" w:cs="Arial"/>
          <w:sz w:val="22"/>
          <w:szCs w:val="22"/>
        </w:rPr>
        <w:t>arXiv</w:t>
      </w:r>
      <w:proofErr w:type="spellEnd"/>
      <w:r w:rsidRPr="007C5EF7">
        <w:rPr>
          <w:rFonts w:ascii="Arial" w:hAnsi="Arial" w:cs="Arial"/>
          <w:sz w:val="22"/>
          <w:szCs w:val="22"/>
        </w:rPr>
        <w:t xml:space="preserve">. Available at: </w:t>
      </w:r>
      <w:hyperlink r:id="rId17" w:tgtFrame="_new" w:history="1">
        <w:r w:rsidRPr="007C5EF7">
          <w:rPr>
            <w:rStyle w:val="Hyperlink"/>
            <w:rFonts w:ascii="Arial" w:hAnsi="Arial" w:cs="Arial"/>
            <w:sz w:val="22"/>
            <w:szCs w:val="22"/>
          </w:rPr>
          <w:t>https://arxiv.org</w:t>
        </w:r>
      </w:hyperlink>
    </w:p>
    <w:p w14:paraId="16A2B2CD" w14:textId="21421A51"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Ma, Y. et al. (2025) State-of-the-art human-computer interaction for dementia care: a scoping review. </w:t>
      </w:r>
      <w:proofErr w:type="spellStart"/>
      <w:r w:rsidRPr="007C5EF7">
        <w:rPr>
          <w:rFonts w:ascii="Arial" w:hAnsi="Arial" w:cs="Arial"/>
          <w:sz w:val="22"/>
          <w:szCs w:val="22"/>
        </w:rPr>
        <w:t>arXiv</w:t>
      </w:r>
      <w:proofErr w:type="spellEnd"/>
      <w:r w:rsidRPr="007C5EF7">
        <w:rPr>
          <w:rFonts w:ascii="Arial" w:hAnsi="Arial" w:cs="Arial"/>
          <w:sz w:val="22"/>
          <w:szCs w:val="22"/>
        </w:rPr>
        <w:t>. Available at:</w:t>
      </w:r>
      <w:r w:rsidR="007C5EF7" w:rsidRPr="007C5EF7">
        <w:t xml:space="preserve"> </w:t>
      </w:r>
      <w:hyperlink r:id="rId18" w:history="1">
        <w:r w:rsidR="007C5EF7" w:rsidRPr="0020315F">
          <w:rPr>
            <w:rStyle w:val="Hyperlink"/>
            <w:rFonts w:ascii="Arial" w:hAnsi="Arial" w:cs="Arial"/>
            <w:sz w:val="22"/>
            <w:szCs w:val="22"/>
          </w:rPr>
          <w:t>https://www.mdpi.com/3042-4518/2/4/41</w:t>
        </w:r>
      </w:hyperlink>
      <w:r w:rsidR="007C5EF7">
        <w:rPr>
          <w:rFonts w:ascii="Arial" w:hAnsi="Arial" w:cs="Arial"/>
          <w:sz w:val="22"/>
          <w:szCs w:val="22"/>
        </w:rPr>
        <w:t xml:space="preserve"> </w:t>
      </w:r>
    </w:p>
    <w:p w14:paraId="7AB2217C"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Care Quality Commission (2024) State of care: Dementia. Available at: </w:t>
      </w:r>
      <w:hyperlink r:id="rId19" w:tgtFrame="_new" w:history="1">
        <w:r w:rsidRPr="007C5EF7">
          <w:rPr>
            <w:rStyle w:val="Hyperlink"/>
            <w:rFonts w:ascii="Arial" w:hAnsi="Arial" w:cs="Arial"/>
            <w:sz w:val="22"/>
            <w:szCs w:val="22"/>
          </w:rPr>
          <w:t>https://www.cqc.org.uk/publications/major-report/state-care</w:t>
        </w:r>
      </w:hyperlink>
      <w:r w:rsidRPr="007C5EF7">
        <w:rPr>
          <w:rFonts w:ascii="Arial" w:hAnsi="Arial" w:cs="Arial"/>
          <w:sz w:val="22"/>
          <w:szCs w:val="22"/>
        </w:rPr>
        <w:t xml:space="preserve"> (Accessed: 18 March 2026).</w:t>
      </w:r>
    </w:p>
    <w:p w14:paraId="1EBB8909" w14:textId="77777777" w:rsidR="00D51038" w:rsidRPr="007C5EF7" w:rsidRDefault="00D51038" w:rsidP="007C5EF7">
      <w:pPr>
        <w:pStyle w:val="NormalWeb"/>
        <w:spacing w:line="360" w:lineRule="auto"/>
        <w:ind w:left="720" w:hanging="720"/>
        <w:rPr>
          <w:rFonts w:ascii="Arial" w:hAnsi="Arial" w:cs="Arial"/>
          <w:sz w:val="22"/>
          <w:szCs w:val="22"/>
        </w:rPr>
      </w:pPr>
      <w:r w:rsidRPr="007C5EF7">
        <w:rPr>
          <w:rFonts w:ascii="Arial" w:hAnsi="Arial" w:cs="Arial"/>
          <w:sz w:val="22"/>
          <w:szCs w:val="22"/>
        </w:rPr>
        <w:t xml:space="preserve">National Institute on Aging (2025) Alzheimer’s disease and related dementias research progress report. Available at: </w:t>
      </w:r>
      <w:hyperlink r:id="rId20" w:tgtFrame="_new" w:history="1">
        <w:r w:rsidRPr="007C5EF7">
          <w:rPr>
            <w:rStyle w:val="Hyperlink"/>
            <w:rFonts w:ascii="Arial" w:hAnsi="Arial" w:cs="Arial"/>
            <w:sz w:val="22"/>
            <w:szCs w:val="22"/>
          </w:rPr>
          <w:t>https://www.nia.nih.gov</w:t>
        </w:r>
      </w:hyperlink>
      <w:r w:rsidRPr="007C5EF7">
        <w:rPr>
          <w:rFonts w:ascii="Arial" w:hAnsi="Arial" w:cs="Arial"/>
          <w:sz w:val="22"/>
          <w:szCs w:val="22"/>
        </w:rPr>
        <w:t xml:space="preserve"> (Accessed: 18 March 2026).</w:t>
      </w:r>
    </w:p>
    <w:p w14:paraId="1B84E2D5" w14:textId="77777777" w:rsidR="00D51038" w:rsidRPr="007C5EF7" w:rsidRDefault="00D51038" w:rsidP="007C5EF7">
      <w:pPr>
        <w:spacing w:before="100" w:beforeAutospacing="1" w:after="100" w:afterAutospacing="1" w:line="360" w:lineRule="auto"/>
        <w:rPr>
          <w:rFonts w:ascii="Arial" w:hAnsi="Arial" w:cs="Arial"/>
        </w:rPr>
      </w:pPr>
    </w:p>
    <w:p w14:paraId="53FEC092" w14:textId="77777777" w:rsidR="00AE47CD" w:rsidRPr="007C5EF7" w:rsidRDefault="00AE47CD" w:rsidP="007C5EF7">
      <w:pPr>
        <w:pStyle w:val="Heading2"/>
        <w:spacing w:line="360" w:lineRule="auto"/>
        <w:rPr>
          <w:rFonts w:ascii="Arial" w:hAnsi="Arial" w:cs="Arial"/>
          <w:sz w:val="22"/>
          <w:szCs w:val="22"/>
        </w:rPr>
      </w:pPr>
    </w:p>
    <w:sectPr w:rsidR="00AE47CD" w:rsidRPr="007C5EF7" w:rsidSect="0019049A">
      <w:footerReference w:type="even" r:id="rId21"/>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938C1" w14:textId="77777777" w:rsidR="00BD0B77" w:rsidRDefault="00BD0B77" w:rsidP="0019049A">
      <w:pPr>
        <w:spacing w:after="0" w:line="240" w:lineRule="auto"/>
      </w:pPr>
      <w:r>
        <w:separator/>
      </w:r>
    </w:p>
  </w:endnote>
  <w:endnote w:type="continuationSeparator" w:id="0">
    <w:p w14:paraId="6EC26072" w14:textId="77777777" w:rsidR="00BD0B77" w:rsidRDefault="00BD0B77" w:rsidP="00190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1156250"/>
      <w:docPartObj>
        <w:docPartGallery w:val="Page Numbers (Bottom of Page)"/>
        <w:docPartUnique/>
      </w:docPartObj>
    </w:sdtPr>
    <w:sdtContent>
      <w:p w14:paraId="4936F670" w14:textId="7417F3D3" w:rsidR="0019049A" w:rsidRDefault="0019049A" w:rsidP="00BF6A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14F45D6" w14:textId="77777777" w:rsidR="0019049A" w:rsidRDefault="0019049A" w:rsidP="001904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9994778"/>
      <w:docPartObj>
        <w:docPartGallery w:val="Page Numbers (Bottom of Page)"/>
        <w:docPartUnique/>
      </w:docPartObj>
    </w:sdtPr>
    <w:sdtContent>
      <w:p w14:paraId="6FDF7CEE" w14:textId="526FFD82" w:rsidR="0019049A" w:rsidRDefault="0019049A" w:rsidP="00BF6A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2E3622" w14:textId="77777777" w:rsidR="0019049A" w:rsidRDefault="0019049A" w:rsidP="001904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178D7" w14:textId="77777777" w:rsidR="00BD0B77" w:rsidRDefault="00BD0B77" w:rsidP="0019049A">
      <w:pPr>
        <w:spacing w:after="0" w:line="240" w:lineRule="auto"/>
      </w:pPr>
      <w:r>
        <w:separator/>
      </w:r>
    </w:p>
  </w:footnote>
  <w:footnote w:type="continuationSeparator" w:id="0">
    <w:p w14:paraId="13C3BABC" w14:textId="77777777" w:rsidR="00BD0B77" w:rsidRDefault="00BD0B77" w:rsidP="001904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EFC"/>
    <w:rsid w:val="000F2F31"/>
    <w:rsid w:val="0011038B"/>
    <w:rsid w:val="00110BFB"/>
    <w:rsid w:val="0019049A"/>
    <w:rsid w:val="00200DE4"/>
    <w:rsid w:val="00235ECD"/>
    <w:rsid w:val="002860A3"/>
    <w:rsid w:val="004E24F3"/>
    <w:rsid w:val="00522DBB"/>
    <w:rsid w:val="005470B0"/>
    <w:rsid w:val="005477A2"/>
    <w:rsid w:val="007C5EF7"/>
    <w:rsid w:val="00845521"/>
    <w:rsid w:val="00905D70"/>
    <w:rsid w:val="00934E5F"/>
    <w:rsid w:val="00A54FE0"/>
    <w:rsid w:val="00AE47CD"/>
    <w:rsid w:val="00BB08DD"/>
    <w:rsid w:val="00BC7375"/>
    <w:rsid w:val="00BC7697"/>
    <w:rsid w:val="00BD0B77"/>
    <w:rsid w:val="00D51038"/>
    <w:rsid w:val="00D60EFC"/>
    <w:rsid w:val="00DE2038"/>
    <w:rsid w:val="00E31E89"/>
    <w:rsid w:val="00F654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FFD7F"/>
  <w15:chartTrackingRefBased/>
  <w15:docId w15:val="{389E8EF0-54AC-47F3-86C3-0DFC02C93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E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60E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60EFC"/>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60EF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60EF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60EFC"/>
    <w:rPr>
      <w:rFonts w:asciiTheme="majorHAnsi" w:eastAsiaTheme="majorEastAsia" w:hAnsiTheme="majorHAnsi" w:cstheme="majorBidi"/>
      <w:color w:val="2E74B5" w:themeColor="accent1" w:themeShade="BF"/>
      <w:sz w:val="26"/>
      <w:szCs w:val="26"/>
    </w:rPr>
  </w:style>
  <w:style w:type="character" w:styleId="Strong">
    <w:name w:val="Strong"/>
    <w:basedOn w:val="DefaultParagraphFont"/>
    <w:uiPriority w:val="22"/>
    <w:qFormat/>
    <w:rsid w:val="00D60EFC"/>
    <w:rPr>
      <w:b/>
      <w:bCs/>
    </w:rPr>
  </w:style>
  <w:style w:type="character" w:styleId="Hyperlink">
    <w:name w:val="Hyperlink"/>
    <w:basedOn w:val="DefaultParagraphFont"/>
    <w:uiPriority w:val="99"/>
    <w:unhideWhenUsed/>
    <w:rsid w:val="00D51038"/>
    <w:rPr>
      <w:color w:val="0000FF"/>
      <w:u w:val="single"/>
    </w:rPr>
  </w:style>
  <w:style w:type="character" w:customStyle="1" w:styleId="Heading1Char">
    <w:name w:val="Heading 1 Char"/>
    <w:basedOn w:val="DefaultParagraphFont"/>
    <w:link w:val="Heading1"/>
    <w:uiPriority w:val="9"/>
    <w:rsid w:val="007C5EF7"/>
    <w:rPr>
      <w:rFonts w:asciiTheme="majorHAnsi" w:eastAsiaTheme="majorEastAsia" w:hAnsiTheme="majorHAnsi" w:cstheme="majorBidi"/>
      <w:color w:val="2E74B5" w:themeColor="accent1" w:themeShade="BF"/>
      <w:sz w:val="32"/>
      <w:szCs w:val="32"/>
    </w:rPr>
  </w:style>
  <w:style w:type="character" w:customStyle="1" w:styleId="normaltextrun">
    <w:name w:val="normaltextrun"/>
    <w:basedOn w:val="DefaultParagraphFont"/>
    <w:rsid w:val="007C5EF7"/>
  </w:style>
  <w:style w:type="character" w:customStyle="1" w:styleId="eop">
    <w:name w:val="eop"/>
    <w:basedOn w:val="DefaultParagraphFont"/>
    <w:rsid w:val="007C5EF7"/>
  </w:style>
  <w:style w:type="paragraph" w:styleId="TOCHeading">
    <w:name w:val="TOC Heading"/>
    <w:basedOn w:val="Heading1"/>
    <w:next w:val="Normal"/>
    <w:uiPriority w:val="39"/>
    <w:unhideWhenUsed/>
    <w:qFormat/>
    <w:rsid w:val="007C5EF7"/>
    <w:pPr>
      <w:outlineLvl w:val="9"/>
    </w:pPr>
  </w:style>
  <w:style w:type="paragraph" w:styleId="TOC1">
    <w:name w:val="toc 1"/>
    <w:basedOn w:val="Normal"/>
    <w:next w:val="Normal"/>
    <w:autoRedefine/>
    <w:uiPriority w:val="39"/>
    <w:unhideWhenUsed/>
    <w:rsid w:val="007C5EF7"/>
    <w:pPr>
      <w:spacing w:after="100"/>
    </w:pPr>
  </w:style>
  <w:style w:type="character" w:styleId="FollowedHyperlink">
    <w:name w:val="FollowedHyperlink"/>
    <w:basedOn w:val="DefaultParagraphFont"/>
    <w:uiPriority w:val="99"/>
    <w:semiHidden/>
    <w:unhideWhenUsed/>
    <w:rsid w:val="007C5EF7"/>
    <w:rPr>
      <w:color w:val="954F72" w:themeColor="followedHyperlink"/>
      <w:u w:val="single"/>
    </w:rPr>
  </w:style>
  <w:style w:type="paragraph" w:styleId="Footer">
    <w:name w:val="footer"/>
    <w:basedOn w:val="Normal"/>
    <w:link w:val="FooterChar"/>
    <w:uiPriority w:val="99"/>
    <w:unhideWhenUsed/>
    <w:rsid w:val="001904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49A"/>
  </w:style>
  <w:style w:type="character" w:styleId="PageNumber">
    <w:name w:val="page number"/>
    <w:basedOn w:val="DefaultParagraphFont"/>
    <w:uiPriority w:val="99"/>
    <w:semiHidden/>
    <w:unhideWhenUsed/>
    <w:rsid w:val="00190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458873">
      <w:bodyDiv w:val="1"/>
      <w:marLeft w:val="0"/>
      <w:marRight w:val="0"/>
      <w:marTop w:val="0"/>
      <w:marBottom w:val="0"/>
      <w:divBdr>
        <w:top w:val="none" w:sz="0" w:space="0" w:color="auto"/>
        <w:left w:val="none" w:sz="0" w:space="0" w:color="auto"/>
        <w:bottom w:val="none" w:sz="0" w:space="0" w:color="auto"/>
        <w:right w:val="none" w:sz="0" w:space="0" w:color="auto"/>
      </w:divBdr>
    </w:div>
    <w:div w:id="1369532211">
      <w:bodyDiv w:val="1"/>
      <w:marLeft w:val="0"/>
      <w:marRight w:val="0"/>
      <w:marTop w:val="0"/>
      <w:marBottom w:val="0"/>
      <w:divBdr>
        <w:top w:val="none" w:sz="0" w:space="0" w:color="auto"/>
        <w:left w:val="none" w:sz="0" w:space="0" w:color="auto"/>
        <w:bottom w:val="none" w:sz="0" w:space="0" w:color="auto"/>
        <w:right w:val="none" w:sz="0" w:space="0" w:color="auto"/>
      </w:divBdr>
    </w:div>
    <w:div w:id="1419982079">
      <w:bodyDiv w:val="1"/>
      <w:marLeft w:val="0"/>
      <w:marRight w:val="0"/>
      <w:marTop w:val="0"/>
      <w:marBottom w:val="0"/>
      <w:divBdr>
        <w:top w:val="none" w:sz="0" w:space="0" w:color="auto"/>
        <w:left w:val="none" w:sz="0" w:space="0" w:color="auto"/>
        <w:bottom w:val="none" w:sz="0" w:space="0" w:color="auto"/>
        <w:right w:val="none" w:sz="0" w:space="0" w:color="auto"/>
      </w:divBdr>
    </w:div>
    <w:div w:id="1725910312">
      <w:bodyDiv w:val="1"/>
      <w:marLeft w:val="0"/>
      <w:marRight w:val="0"/>
      <w:marTop w:val="0"/>
      <w:marBottom w:val="0"/>
      <w:divBdr>
        <w:top w:val="none" w:sz="0" w:space="0" w:color="auto"/>
        <w:left w:val="none" w:sz="0" w:space="0" w:color="auto"/>
        <w:bottom w:val="none" w:sz="0" w:space="0" w:color="auto"/>
        <w:right w:val="none" w:sz="0" w:space="0" w:color="auto"/>
      </w:divBdr>
    </w:div>
    <w:div w:id="1869247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article/S0140-6736(20)30367-6/fulltext" TargetMode="External"/><Relationship Id="rId13" Type="http://schemas.openxmlformats.org/officeDocument/2006/relationships/hyperlink" Target="https://doi.org/10.1016/S0140-6736(20)31764-1" TargetMode="External"/><Relationship Id="rId18" Type="http://schemas.openxmlformats.org/officeDocument/2006/relationships/hyperlink" Target="https://www.mdpi.com/3042-4518/2/4/4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helancet.com/article/S0140-6736(24)01296-0/abstract" TargetMode="External"/><Relationship Id="rId12" Type="http://schemas.openxmlformats.org/officeDocument/2006/relationships/hyperlink" Target="https://www.alzint.org/resource/world-alzheimer-report-2021/" TargetMode="External"/><Relationship Id="rId17" Type="http://schemas.openxmlformats.org/officeDocument/2006/relationships/hyperlink" Target="https://arxiv.org" TargetMode="External"/><Relationship Id="rId2" Type="http://schemas.openxmlformats.org/officeDocument/2006/relationships/styles" Target="styles.xml"/><Relationship Id="rId16" Type="http://schemas.openxmlformats.org/officeDocument/2006/relationships/hyperlink" Target="https://arxiv.org" TargetMode="External"/><Relationship Id="rId20" Type="http://schemas.openxmlformats.org/officeDocument/2006/relationships/hyperlink" Target="https://www.nia.nih.gov"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lancet.com/journals/lanpub/article/PIIS2468-2667(21)00249-8/fulltex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rxiv.org" TargetMode="External"/><Relationship Id="rId23" Type="http://schemas.openxmlformats.org/officeDocument/2006/relationships/fontTable" Target="fontTable.xml"/><Relationship Id="rId10" Type="http://schemas.openxmlformats.org/officeDocument/2006/relationships/hyperlink" Target="https://www.who.int/publications/i/item/9789240033245" TargetMode="External"/><Relationship Id="rId19" Type="http://schemas.openxmlformats.org/officeDocument/2006/relationships/hyperlink" Target="https://www.cqc.org.uk/publications/major-report/state-care" TargetMode="External"/><Relationship Id="rId4" Type="http://schemas.openxmlformats.org/officeDocument/2006/relationships/webSettings" Target="webSettings.xml"/><Relationship Id="rId9" Type="http://schemas.openxmlformats.org/officeDocument/2006/relationships/hyperlink" Target="https://www.thelancet.com/journals/lanpub/article/PIIS2468-2667(21)00249-8/fulltext" TargetMode="External"/><Relationship Id="rId14" Type="http://schemas.openxmlformats.org/officeDocument/2006/relationships/hyperlink" Target="https://www.sciencedirect.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52080-4F9E-4512-B01F-254BE832B4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9</Pages>
  <Words>1774</Words>
  <Characters>11148</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Shamaila Shafaq</cp:lastModifiedBy>
  <cp:revision>23</cp:revision>
  <dcterms:created xsi:type="dcterms:W3CDTF">2026-03-18T11:02:00Z</dcterms:created>
  <dcterms:modified xsi:type="dcterms:W3CDTF">2026-03-19T00:40:00Z</dcterms:modified>
</cp:coreProperties>
</file>