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0"/>
      </w:tblGrid>
      <w:tr w:rsidR="00F927A1" w:rsidRPr="005D3F07" w14:paraId="68CAA39D" w14:textId="77777777" w:rsidTr="007A7407">
        <w:trPr>
          <w:trHeight w:val="4092"/>
        </w:trPr>
        <w:tc>
          <w:tcPr>
            <w:tcW w:w="11060" w:type="dxa"/>
            <w:shd w:val="clear" w:color="auto" w:fill="auto"/>
          </w:tcPr>
          <w:p w14:paraId="02F8EE88" w14:textId="24DFCAB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A7407">
              <w:rPr>
                <w:rFonts w:ascii="Times New Roman" w:hAnsi="Times New Roman" w:cs="Times New Roman"/>
                <w:b/>
                <w:color w:val="auto"/>
                <w:sz w:val="48"/>
              </w:rPr>
              <w:t>Anneka Llewellyn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2ECE21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A7407">
              <w:rPr>
                <w:rFonts w:ascii="Times New Roman" w:hAnsi="Times New Roman" w:cs="Times New Roman"/>
                <w:b/>
                <w:sz w:val="44"/>
                <w:szCs w:val="44"/>
              </w:rPr>
              <w:t xml:space="preserve"> </w:t>
            </w:r>
            <w:r w:rsidR="007A7407">
              <w:rPr>
                <w:rFonts w:ascii="Times New Roman" w:hAnsi="Times New Roman" w:cs="Times New Roman"/>
                <w:b/>
                <w:sz w:val="44"/>
                <w:szCs w:val="44"/>
              </w:rPr>
              <w:t>2416113@student.uwtsd.ac.uk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40A079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A7407">
              <w:rPr>
                <w:rFonts w:ascii="Times New Roman" w:hAnsi="Times New Roman" w:cs="Times New Roman"/>
                <w:b/>
                <w:color w:val="auto"/>
                <w:sz w:val="48"/>
              </w:rPr>
              <w:t xml:space="preserve"> 2416113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bookmarkStart w:id="0" w:name="_GoBack"/>
      <w:bookmarkEnd w:id="0"/>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48E528A1"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1A5482B5" w14:textId="78D610AD" w:rsidR="007A7407" w:rsidRDefault="007A7407" w:rsidP="00FF7EBB">
            <w:pPr>
              <w:jc w:val="both"/>
              <w:rPr>
                <w:sz w:val="24"/>
                <w:szCs w:val="24"/>
              </w:rPr>
            </w:pPr>
          </w:p>
          <w:p w14:paraId="04B9A3CB"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Since 2010, Wales has been a Country with devolved legislation. The Social Services and Well-being (Wales) Act (2014) provides local authorities with guidance in relation to safeguarding. The Act aims to place focus on early intervention and prevention in order to move away from crisis led interventions.</w:t>
            </w:r>
          </w:p>
          <w:p w14:paraId="60CD5CBE" w14:textId="77777777" w:rsidR="007A7407" w:rsidRPr="007A7407" w:rsidRDefault="007A7407" w:rsidP="007A7407">
            <w:pPr>
              <w:overflowPunct/>
              <w:jc w:val="both"/>
              <w:textAlignment w:val="auto"/>
              <w:rPr>
                <w:rFonts w:eastAsiaTheme="minorHAnsi"/>
                <w:color w:val="auto"/>
                <w:sz w:val="24"/>
                <w:szCs w:val="24"/>
                <w:lang w:eastAsia="en-US"/>
              </w:rPr>
            </w:pPr>
          </w:p>
          <w:p w14:paraId="416BBD80"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 xml:space="preserve">Part 7 of the SSWWA (2014) provides guidance to professionals in relation to safeguarding children. This is used alongside the Children Act (1989). Whilst there have been updates to the 1989 Children Act, the 1989 Act provides a framework for safeguarding children and details expectations for individuals that have  a duty of care to the child. The updated Children Act (2004) placed a duty on other agencies and providers to ensure they have processes in place that pay due attention to the well-being and safety of the children they work with. The Wales Safeguarding Procedures also provides details on responsibilities of professionals to ensure children are safeguarded. The procedures can support professionals with application of the SSWWA (2014). </w:t>
            </w:r>
          </w:p>
          <w:p w14:paraId="5D51AE57" w14:textId="77777777" w:rsidR="007A7407" w:rsidRPr="007A7407" w:rsidRDefault="007A7407" w:rsidP="007A7407">
            <w:pPr>
              <w:overflowPunct/>
              <w:jc w:val="both"/>
              <w:textAlignment w:val="auto"/>
              <w:rPr>
                <w:rFonts w:eastAsiaTheme="minorHAnsi"/>
                <w:color w:val="auto"/>
                <w:sz w:val="24"/>
                <w:szCs w:val="24"/>
                <w:lang w:eastAsia="en-US"/>
              </w:rPr>
            </w:pPr>
          </w:p>
          <w:p w14:paraId="219A2D74"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Each section of the SSWWA (2014) places a different responsibility on local authorities and professionals. Section 21 of the SSWWA (2014) details that where children need additional support, local authorities must complete an assessment. Alongside this, consideration should be paid to the SSWWA (2014) Part 3 Code of Practice. Within this, it is highlighted that whilst assessments can take time due to building relationships and gathering information, this cannot prevent professionals from taking timely action when it is believed there is the risk of a child suffering harm. As such actions should correlate with the assessment process when necessary rather that awaiting the conclusion of the assessment to put measures in place.</w:t>
            </w:r>
          </w:p>
          <w:p w14:paraId="32CE798F" w14:textId="77777777" w:rsidR="007A7407" w:rsidRPr="007A7407" w:rsidRDefault="007A7407" w:rsidP="007A7407">
            <w:pPr>
              <w:overflowPunct/>
              <w:jc w:val="both"/>
              <w:textAlignment w:val="auto"/>
              <w:rPr>
                <w:rFonts w:eastAsiaTheme="minorHAnsi"/>
                <w:color w:val="auto"/>
                <w:sz w:val="24"/>
                <w:szCs w:val="24"/>
                <w:lang w:eastAsia="en-US"/>
              </w:rPr>
            </w:pPr>
          </w:p>
          <w:p w14:paraId="361A2231"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Under Section 130 of the SSWWA (2014), there is a duty to report children at risk. Following this, the local authority can determine through a strategy meeting whether Section 47 enquiries under the</w:t>
            </w:r>
            <w:r>
              <w:rPr>
                <w:rFonts w:asciiTheme="minorHAnsi" w:eastAsiaTheme="minorHAnsi" w:hAnsiTheme="minorHAnsi" w:cstheme="minorHAnsi"/>
                <w:color w:val="auto"/>
                <w:sz w:val="24"/>
                <w:szCs w:val="24"/>
                <w:lang w:eastAsia="en-US"/>
              </w:rPr>
              <w:t xml:space="preserve"> </w:t>
            </w:r>
            <w:r w:rsidRPr="007A7407">
              <w:rPr>
                <w:rFonts w:eastAsiaTheme="minorHAnsi"/>
                <w:color w:val="auto"/>
                <w:sz w:val="24"/>
                <w:szCs w:val="24"/>
                <w:lang w:eastAsia="en-US"/>
              </w:rPr>
              <w:t xml:space="preserve">Children Act (1989) are warranted. The purpose of Section 47 enquiries is to explore </w:t>
            </w:r>
            <w:r w:rsidRPr="007A7407">
              <w:rPr>
                <w:rFonts w:eastAsiaTheme="minorHAnsi"/>
                <w:color w:val="auto"/>
                <w:sz w:val="24"/>
                <w:szCs w:val="24"/>
                <w:lang w:eastAsia="en-US"/>
              </w:rPr>
              <w:lastRenderedPageBreak/>
              <w:t>whether steps need to be taken to safeguard a child who is believed to be suffering significant harm. Section 47 of the Children Act (1989) details that the local authority has a duty to lead assessments.</w:t>
            </w:r>
          </w:p>
          <w:p w14:paraId="239E70F8" w14:textId="77777777" w:rsidR="007A7407" w:rsidRPr="007A7407" w:rsidRDefault="007A7407" w:rsidP="007A7407">
            <w:pPr>
              <w:overflowPunct/>
              <w:jc w:val="both"/>
              <w:textAlignment w:val="auto"/>
              <w:rPr>
                <w:rFonts w:eastAsiaTheme="minorHAnsi"/>
                <w:color w:val="auto"/>
                <w:sz w:val="24"/>
                <w:szCs w:val="24"/>
                <w:lang w:eastAsia="en-US"/>
              </w:rPr>
            </w:pPr>
          </w:p>
          <w:p w14:paraId="1060924B"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In general, local authorities have 45 days to complete the Section 47. However, local authorities can often vary from this and request a more prompt assessment. The Section 47 can conclude with concerns substantiated or unsubstantiated. If the concerns are found to be substantiated, an initial child protection conference must be actioned within 15 days of the initial strategy discussion or any subsequent strategy discussion.</w:t>
            </w:r>
          </w:p>
          <w:p w14:paraId="63D90390" w14:textId="77777777" w:rsidR="007A7407" w:rsidRPr="007A7407" w:rsidRDefault="007A7407" w:rsidP="007A7407">
            <w:pPr>
              <w:overflowPunct/>
              <w:jc w:val="both"/>
              <w:textAlignment w:val="auto"/>
              <w:rPr>
                <w:rFonts w:eastAsiaTheme="minorHAnsi"/>
                <w:color w:val="auto"/>
                <w:sz w:val="24"/>
                <w:szCs w:val="24"/>
                <w:lang w:eastAsia="en-US"/>
              </w:rPr>
            </w:pPr>
          </w:p>
          <w:p w14:paraId="176A8D9F"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Through child protection conferences, a child can be placed on the Child Protection Register should it be concluded they are at risk of significant harm. A Child Protection Plan will then be created with regular core group meetings to discuss progress of the plan.</w:t>
            </w:r>
          </w:p>
          <w:p w14:paraId="6DC7CC39" w14:textId="77777777" w:rsidR="007A7407" w:rsidRPr="007A7407" w:rsidRDefault="007A7407" w:rsidP="007A7407">
            <w:pPr>
              <w:overflowPunct/>
              <w:jc w:val="both"/>
              <w:textAlignment w:val="auto"/>
              <w:rPr>
                <w:rFonts w:eastAsiaTheme="minorHAnsi"/>
                <w:color w:val="auto"/>
                <w:sz w:val="24"/>
                <w:szCs w:val="24"/>
                <w:lang w:eastAsia="en-US"/>
              </w:rPr>
            </w:pPr>
          </w:p>
          <w:p w14:paraId="24F2A124" w14:textId="77777777" w:rsidR="007A7407" w:rsidRPr="007A7407" w:rsidRDefault="007A7407" w:rsidP="007A7407">
            <w:pPr>
              <w:overflowPunct/>
              <w:jc w:val="both"/>
              <w:textAlignment w:val="auto"/>
              <w:rPr>
                <w:rFonts w:eastAsiaTheme="minorHAnsi"/>
                <w:color w:val="auto"/>
                <w:sz w:val="24"/>
                <w:szCs w:val="24"/>
                <w:lang w:eastAsia="en-US"/>
              </w:rPr>
            </w:pPr>
            <w:r w:rsidRPr="007A7407">
              <w:rPr>
                <w:rFonts w:eastAsiaTheme="minorHAnsi"/>
                <w:color w:val="auto"/>
                <w:sz w:val="24"/>
                <w:szCs w:val="24"/>
                <w:lang w:eastAsia="en-US"/>
              </w:rPr>
              <w:t>Throughout the safeguarding assessment process, attention should also be paid to parental consent. However, again under the SSWWA (2014), this can be disregarded if a child is suspected to be at risk of harm. In addition to this, professionals should uphold the principles of United Nations Convention on the Rights of the Child (1989) and the Rights of Children and Young Persons (Wales) Measure (Welsh Government, 2011) which ensures the UNRNC is integrated within Welsh domestic law.</w:t>
            </w:r>
          </w:p>
          <w:p w14:paraId="474ABEFF" w14:textId="42731A01" w:rsidR="007A7407" w:rsidRPr="007A7407" w:rsidRDefault="007A7407" w:rsidP="00FF7EBB">
            <w:pPr>
              <w:jc w:val="both"/>
              <w:rPr>
                <w:b/>
                <w:sz w:val="24"/>
                <w:szCs w:val="24"/>
              </w:rPr>
            </w:pPr>
          </w:p>
          <w:p w14:paraId="54B979B2" w14:textId="5BD3951E" w:rsidR="007A7407" w:rsidRPr="007A7407" w:rsidRDefault="007A7407" w:rsidP="00FF7EBB">
            <w:pPr>
              <w:jc w:val="both"/>
              <w:rPr>
                <w:b/>
                <w:sz w:val="24"/>
                <w:szCs w:val="24"/>
              </w:rPr>
            </w:pPr>
            <w:r w:rsidRPr="007A7407">
              <w:rPr>
                <w:b/>
                <w:sz w:val="24"/>
                <w:szCs w:val="24"/>
              </w:rPr>
              <w:t>Word count - 546</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616DE4C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5AB3B3EB" w14:textId="77777777" w:rsidR="00FC0334" w:rsidRDefault="00FC0334" w:rsidP="00FC0334">
            <w:pPr>
              <w:jc w:val="both"/>
              <w:rPr>
                <w:sz w:val="24"/>
                <w:szCs w:val="24"/>
              </w:rPr>
            </w:pPr>
          </w:p>
          <w:p w14:paraId="670BFEBF" w14:textId="77777777" w:rsidR="007A7407" w:rsidRPr="007A7407" w:rsidRDefault="007A7407" w:rsidP="007A7407">
            <w:pPr>
              <w:rPr>
                <w:sz w:val="24"/>
                <w:szCs w:val="24"/>
              </w:rPr>
            </w:pPr>
            <w:r w:rsidRPr="007A7407">
              <w:rPr>
                <w:sz w:val="24"/>
                <w:szCs w:val="24"/>
              </w:rPr>
              <w:t>The Wales Safeguarding Procedures provide information on both children and adults at risk of abuse. However, the two are divided in to different sections. The Social Services and Well-Being (Wales) Act (2014) provides two different definitions of risk for childrens and adults. Specifically, the definition of adult at risk includes the principle of considering whether an adult is believed to be unable to protect themselves from abuse, neglect, or the risk of these. This is excluded from the childrens definition of risk recognising children are potentially vulnerable due to age.</w:t>
            </w:r>
          </w:p>
          <w:p w14:paraId="5238E19E" w14:textId="77777777" w:rsidR="007A7407" w:rsidRPr="007A7407" w:rsidRDefault="007A7407" w:rsidP="007A7407">
            <w:pPr>
              <w:rPr>
                <w:sz w:val="24"/>
                <w:szCs w:val="24"/>
              </w:rPr>
            </w:pPr>
          </w:p>
          <w:p w14:paraId="6B344A61" w14:textId="77777777" w:rsidR="007A7407" w:rsidRPr="007A7407" w:rsidRDefault="007A7407" w:rsidP="007A7407">
            <w:pPr>
              <w:rPr>
                <w:sz w:val="24"/>
                <w:szCs w:val="24"/>
              </w:rPr>
            </w:pPr>
            <w:r w:rsidRPr="007A7407">
              <w:rPr>
                <w:sz w:val="24"/>
                <w:szCs w:val="24"/>
              </w:rPr>
              <w:t xml:space="preserve">Within adults safeguarding there is significant focus on consent and capacity. The Mental Capacity Act (2005) reinforces the individual’s right to autonomy and making their own choices. It is explicitly highlighted within the Act that an individual should not be treated as unable to make a decision based on them choosing to make an unwise decision. As such, this reiterated throughout the Wales Safeguarding Procedures which state that the consent of the adult at risk must be a significant element when determining what action is taken in response to concerns raised. There are few circumstances in which consent can be </w:t>
            </w:r>
            <w:r w:rsidRPr="007A7407">
              <w:rPr>
                <w:sz w:val="24"/>
                <w:szCs w:val="24"/>
              </w:rPr>
              <w:lastRenderedPageBreak/>
              <w:t>disregarded within adults safeguarding and these tend to be when as adult has been assessed as lacking capacity in relation to a specific decision that may lead to abuse and neglect (Wales Safeguarding Procedures, 2019).</w:t>
            </w:r>
          </w:p>
          <w:p w14:paraId="50165F3A" w14:textId="77777777" w:rsidR="007A7407" w:rsidRPr="007A7407" w:rsidRDefault="007A7407" w:rsidP="007A7407">
            <w:pPr>
              <w:rPr>
                <w:sz w:val="24"/>
                <w:szCs w:val="24"/>
              </w:rPr>
            </w:pPr>
          </w:p>
          <w:p w14:paraId="055014CF" w14:textId="77777777" w:rsidR="007A7407" w:rsidRPr="00E85475" w:rsidRDefault="007A7407" w:rsidP="007A7407">
            <w:r w:rsidRPr="007A7407">
              <w:rPr>
                <w:sz w:val="24"/>
                <w:szCs w:val="24"/>
              </w:rPr>
              <w:t>The Mental Capacity Act (2005) cannot be applied to anyone under the age of 16. As such, professionals can consider Gillick Competency and Fraser Guidelines. Gillick Competence originated from medical case law</w:t>
            </w:r>
            <w:r w:rsidRPr="00E85475">
              <w:t xml:space="preserve"> </w:t>
            </w:r>
            <w:r w:rsidRPr="007A7407">
              <w:rPr>
                <w:sz w:val="24"/>
                <w:szCs w:val="24"/>
              </w:rPr>
              <w:t>which sought to determine whether a child is capable of making their own choice in relation to medical treatment. Fraser Guidelines are in relation to childrens capacity to make decisions on advice provided regarding sexual health and contraception. These legal judgements have recognised that children can often have a level of understanding that warrants them having a right to having their views heard and considered. As such, these are applied in different settings to determine whether a child is able to provide consent (NSPCC, 2022). Whilst it is promoted throughout social work and the Social Care Wales (2017) Code of Professional Practice that the views of children should be gained and valued, there is a responsibility on professionals to ensure the child’s best interests are managed when safeguarding issues arise. This can mean there is a lack of congruence between the child’s wishes and the actions needed to maintain safety.</w:t>
            </w:r>
          </w:p>
          <w:p w14:paraId="69689D2E" w14:textId="77777777" w:rsidR="007A7407" w:rsidRDefault="007A7407" w:rsidP="00FC0334">
            <w:pPr>
              <w:jc w:val="both"/>
              <w:rPr>
                <w:sz w:val="24"/>
                <w:szCs w:val="24"/>
              </w:rPr>
            </w:pPr>
          </w:p>
          <w:p w14:paraId="08760B3D" w14:textId="50B38FC0" w:rsidR="007A7407" w:rsidRPr="007A7407" w:rsidRDefault="007A7407" w:rsidP="00FC0334">
            <w:pPr>
              <w:jc w:val="both"/>
              <w:rPr>
                <w:b/>
                <w:sz w:val="24"/>
                <w:szCs w:val="24"/>
              </w:rPr>
            </w:pPr>
            <w:r w:rsidRPr="007A7407">
              <w:rPr>
                <w:b/>
                <w:sz w:val="24"/>
                <w:szCs w:val="24"/>
              </w:rPr>
              <w:t>Word count - 407</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8736C" w14:textId="77777777" w:rsidR="00424213" w:rsidRDefault="00424213">
      <w:r>
        <w:separator/>
      </w:r>
    </w:p>
  </w:endnote>
  <w:endnote w:type="continuationSeparator" w:id="0">
    <w:p w14:paraId="0BEA3144" w14:textId="77777777" w:rsidR="00424213" w:rsidRDefault="00424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EA833A9" w:rsidR="00A5656A" w:rsidRDefault="00A5656A">
    <w:pPr>
      <w:pStyle w:val="Footer"/>
      <w:jc w:val="right"/>
    </w:pPr>
    <w:r>
      <w:fldChar w:fldCharType="begin"/>
    </w:r>
    <w:r>
      <w:instrText xml:space="preserve"> PAGE   \* MERGEFORMAT </w:instrText>
    </w:r>
    <w:r>
      <w:fldChar w:fldCharType="separate"/>
    </w:r>
    <w:r w:rsidR="007A7407">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6BAAA" w14:textId="77777777" w:rsidR="00424213" w:rsidRDefault="00424213">
      <w:r>
        <w:separator/>
      </w:r>
    </w:p>
  </w:footnote>
  <w:footnote w:type="continuationSeparator" w:id="0">
    <w:p w14:paraId="3E2F7804" w14:textId="77777777" w:rsidR="00424213" w:rsidRDefault="00424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1E4C"/>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4D53"/>
    <w:rsid w:val="003E54CF"/>
    <w:rsid w:val="003E5FBA"/>
    <w:rsid w:val="003F1233"/>
    <w:rsid w:val="003F67A4"/>
    <w:rsid w:val="00400786"/>
    <w:rsid w:val="00401FDA"/>
    <w:rsid w:val="004046F0"/>
    <w:rsid w:val="0040668F"/>
    <w:rsid w:val="00411EF7"/>
    <w:rsid w:val="00412677"/>
    <w:rsid w:val="00424213"/>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93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7407"/>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5F1"/>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4F3F68-EC3E-4032-ACC2-99194E499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Anneka Llewellyn</cp:lastModifiedBy>
  <cp:revision>2</cp:revision>
  <cp:lastPrinted>2020-02-11T19:20:00Z</cp:lastPrinted>
  <dcterms:created xsi:type="dcterms:W3CDTF">2025-10-06T17:38:00Z</dcterms:created>
  <dcterms:modified xsi:type="dcterms:W3CDTF">2025-10-06T17:38:00Z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