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0ECB7" w14:textId="77777777" w:rsidR="00F77A30" w:rsidRPr="00F77A30" w:rsidRDefault="00F77A30" w:rsidP="00F77A30">
      <w:pPr>
        <w:spacing w:line="360" w:lineRule="auto"/>
        <w:jc w:val="center"/>
        <w:rPr>
          <w:rFonts w:ascii="Arial" w:hAnsi="Arial" w:cs="Arial"/>
        </w:rPr>
      </w:pPr>
      <w:r w:rsidRPr="00F77A30">
        <w:rPr>
          <w:rFonts w:ascii="Arial" w:hAnsi="Arial" w:cs="Arial"/>
        </w:rPr>
        <w:t>University of Wales Trinity Saint David (UWTSD)</w:t>
      </w:r>
    </w:p>
    <w:p w14:paraId="6D05DE6D" w14:textId="77777777" w:rsidR="00F77A30" w:rsidRPr="00F77A30" w:rsidRDefault="00F77A30" w:rsidP="00F77A30">
      <w:pPr>
        <w:spacing w:line="360" w:lineRule="auto"/>
        <w:jc w:val="center"/>
        <w:rPr>
          <w:rFonts w:ascii="Arial" w:hAnsi="Arial" w:cs="Arial"/>
        </w:rPr>
      </w:pPr>
      <w:r w:rsidRPr="00F77A30">
        <w:rPr>
          <w:rFonts w:ascii="Arial" w:hAnsi="Arial" w:cs="Arial"/>
        </w:rPr>
        <w:t>Faculty Of Business and Management</w:t>
      </w:r>
    </w:p>
    <w:p w14:paraId="1532F36A" w14:textId="77777777" w:rsidR="00F77A30" w:rsidRPr="00F77A30" w:rsidRDefault="00F77A30" w:rsidP="00F77A30">
      <w:pPr>
        <w:spacing w:line="360" w:lineRule="auto"/>
        <w:jc w:val="center"/>
        <w:rPr>
          <w:rFonts w:ascii="Arial" w:hAnsi="Arial" w:cs="Arial"/>
        </w:rPr>
      </w:pPr>
    </w:p>
    <w:p w14:paraId="5EB0D33E" w14:textId="77777777" w:rsidR="00F77A30" w:rsidRPr="00F77A30" w:rsidRDefault="00F77A30" w:rsidP="00F77A30">
      <w:pPr>
        <w:spacing w:line="360" w:lineRule="auto"/>
        <w:jc w:val="center"/>
        <w:rPr>
          <w:rFonts w:ascii="Arial" w:hAnsi="Arial" w:cs="Arial"/>
        </w:rPr>
      </w:pPr>
      <w:r w:rsidRPr="00F77A30">
        <w:rPr>
          <w:rFonts w:ascii="Arial" w:hAnsi="Arial" w:cs="Arial"/>
        </w:rPr>
        <w:t>Module Title: Principles of Health and Social Care</w:t>
      </w:r>
    </w:p>
    <w:p w14:paraId="40A4D208" w14:textId="77777777" w:rsidR="00F77A30" w:rsidRPr="00F77A30" w:rsidRDefault="00F77A30" w:rsidP="00F77A30">
      <w:pPr>
        <w:spacing w:line="360" w:lineRule="auto"/>
        <w:jc w:val="center"/>
        <w:rPr>
          <w:rFonts w:ascii="Arial" w:hAnsi="Arial" w:cs="Arial"/>
        </w:rPr>
      </w:pPr>
      <w:r w:rsidRPr="00F77A30">
        <w:rPr>
          <w:rFonts w:ascii="Arial" w:hAnsi="Arial" w:cs="Arial"/>
        </w:rPr>
        <w:t>Module Code: BMHP5016</w:t>
      </w:r>
    </w:p>
    <w:p w14:paraId="0E1A54F3" w14:textId="77777777" w:rsidR="00F77A30" w:rsidRPr="00F77A30" w:rsidRDefault="00F77A30" w:rsidP="00F77A30">
      <w:pPr>
        <w:spacing w:line="360" w:lineRule="auto"/>
        <w:jc w:val="center"/>
        <w:rPr>
          <w:rFonts w:ascii="Arial" w:hAnsi="Arial" w:cs="Arial"/>
        </w:rPr>
      </w:pPr>
      <w:r w:rsidRPr="00F77A30">
        <w:rPr>
          <w:rFonts w:ascii="Arial" w:hAnsi="Arial" w:cs="Arial"/>
        </w:rPr>
        <w:t xml:space="preserve">Lecturer: </w:t>
      </w:r>
      <w:proofErr w:type="spellStart"/>
      <w:r w:rsidRPr="00F77A30">
        <w:rPr>
          <w:rFonts w:ascii="Arial" w:hAnsi="Arial" w:cs="Arial"/>
        </w:rPr>
        <w:t>Tsiwani</w:t>
      </w:r>
      <w:proofErr w:type="spellEnd"/>
      <w:r w:rsidRPr="00F77A30">
        <w:rPr>
          <w:rFonts w:ascii="Arial" w:hAnsi="Arial" w:cs="Arial"/>
        </w:rPr>
        <w:t xml:space="preserve"> </w:t>
      </w:r>
      <w:proofErr w:type="spellStart"/>
      <w:r w:rsidRPr="00F77A30">
        <w:rPr>
          <w:rFonts w:ascii="Arial" w:hAnsi="Arial" w:cs="Arial"/>
        </w:rPr>
        <w:t>Khumalo</w:t>
      </w:r>
      <w:proofErr w:type="spellEnd"/>
    </w:p>
    <w:p w14:paraId="2339B22A" w14:textId="77777777" w:rsidR="00F77A30" w:rsidRDefault="00F77A30" w:rsidP="00F77A30">
      <w:pPr>
        <w:spacing w:line="360" w:lineRule="auto"/>
        <w:jc w:val="center"/>
        <w:rPr>
          <w:rFonts w:ascii="Arial" w:hAnsi="Arial" w:cs="Arial"/>
        </w:rPr>
      </w:pPr>
      <w:r w:rsidRPr="00F77A30">
        <w:rPr>
          <w:rFonts w:ascii="Arial" w:hAnsi="Arial" w:cs="Arial"/>
        </w:rPr>
        <w:t>Assignment Title: Report</w:t>
      </w:r>
    </w:p>
    <w:p w14:paraId="03435497" w14:textId="059B2135" w:rsidR="00BD4B04" w:rsidRPr="00F77A30" w:rsidRDefault="00BD4B04" w:rsidP="00F77A30">
      <w:pPr>
        <w:spacing w:line="360" w:lineRule="auto"/>
        <w:jc w:val="center"/>
        <w:rPr>
          <w:rFonts w:ascii="Arial" w:hAnsi="Arial" w:cs="Arial"/>
        </w:rPr>
      </w:pPr>
      <w:r>
        <w:rPr>
          <w:rFonts w:ascii="Arial" w:hAnsi="Arial" w:cs="Arial"/>
        </w:rPr>
        <w:t>Component 2</w:t>
      </w:r>
    </w:p>
    <w:p w14:paraId="7774BE76" w14:textId="0D6043BA" w:rsidR="00F77A30" w:rsidRPr="00F77A30" w:rsidRDefault="00F77A30" w:rsidP="00F77A30">
      <w:pPr>
        <w:spacing w:line="360" w:lineRule="auto"/>
        <w:jc w:val="center"/>
        <w:rPr>
          <w:rFonts w:ascii="Arial" w:hAnsi="Arial" w:cs="Arial"/>
        </w:rPr>
      </w:pPr>
      <w:r w:rsidRPr="00F77A30">
        <w:rPr>
          <w:rFonts w:ascii="Arial" w:hAnsi="Arial" w:cs="Arial"/>
        </w:rPr>
        <w:t>Student Name: Maurice</w:t>
      </w:r>
      <w:r w:rsidR="00315001">
        <w:rPr>
          <w:rFonts w:ascii="Arial" w:hAnsi="Arial" w:cs="Arial"/>
        </w:rPr>
        <w:t>tte</w:t>
      </w:r>
      <w:r w:rsidRPr="00F77A30">
        <w:rPr>
          <w:rFonts w:ascii="Arial" w:hAnsi="Arial" w:cs="Arial"/>
        </w:rPr>
        <w:t xml:space="preserve"> Mhayerenge</w:t>
      </w:r>
    </w:p>
    <w:p w14:paraId="54BBA077" w14:textId="77777777" w:rsidR="00F77A30" w:rsidRDefault="00F77A30" w:rsidP="00F77A30">
      <w:pPr>
        <w:spacing w:line="360" w:lineRule="auto"/>
        <w:jc w:val="center"/>
        <w:rPr>
          <w:rFonts w:ascii="Arial" w:hAnsi="Arial" w:cs="Arial"/>
        </w:rPr>
      </w:pPr>
      <w:r w:rsidRPr="00F77A30">
        <w:rPr>
          <w:rFonts w:ascii="Arial" w:hAnsi="Arial" w:cs="Arial"/>
        </w:rPr>
        <w:t>Student Number: 2420920</w:t>
      </w:r>
    </w:p>
    <w:p w14:paraId="7BE11287" w14:textId="77777777" w:rsidR="003D2C5D" w:rsidRPr="003D2C5D" w:rsidRDefault="003D2C5D" w:rsidP="003D2C5D">
      <w:pPr>
        <w:spacing w:line="360" w:lineRule="auto"/>
        <w:rPr>
          <w:rFonts w:ascii="Arial" w:hAnsi="Arial" w:cs="Arial"/>
        </w:rPr>
      </w:pPr>
      <w:r w:rsidRPr="003D2C5D">
        <w:rPr>
          <w:rFonts w:ascii="Arial" w:hAnsi="Arial" w:cs="Arial"/>
          <w:b/>
          <w:bCs/>
        </w:rPr>
        <w:t>Table of Contents</w:t>
      </w:r>
    </w:p>
    <w:p w14:paraId="0490C58D" w14:textId="314BF2DF" w:rsidR="003D2C5D" w:rsidRPr="003D2C5D" w:rsidRDefault="003D2C5D" w:rsidP="003D2C5D">
      <w:pPr>
        <w:spacing w:line="360" w:lineRule="auto"/>
        <w:rPr>
          <w:rFonts w:ascii="Arial" w:hAnsi="Arial" w:cs="Arial"/>
        </w:rPr>
      </w:pPr>
      <w:r w:rsidRPr="003D2C5D">
        <w:rPr>
          <w:rFonts w:ascii="Arial" w:hAnsi="Arial" w:cs="Arial"/>
        </w:rPr>
        <w:t>Abstract ..............................................................................</w:t>
      </w:r>
      <w:r>
        <w:rPr>
          <w:rFonts w:ascii="Arial" w:hAnsi="Arial" w:cs="Arial"/>
        </w:rPr>
        <w:t>....................................................2</w:t>
      </w:r>
    </w:p>
    <w:p w14:paraId="40F7531E" w14:textId="6076A0FF" w:rsidR="003D2C5D" w:rsidRPr="003D2C5D" w:rsidRDefault="003D2C5D" w:rsidP="003D2C5D">
      <w:pPr>
        <w:numPr>
          <w:ilvl w:val="0"/>
          <w:numId w:val="2"/>
        </w:numPr>
        <w:spacing w:line="360" w:lineRule="auto"/>
        <w:rPr>
          <w:rFonts w:ascii="Arial" w:hAnsi="Arial" w:cs="Arial"/>
        </w:rPr>
      </w:pPr>
      <w:r w:rsidRPr="003D2C5D">
        <w:rPr>
          <w:rFonts w:ascii="Arial" w:hAnsi="Arial" w:cs="Arial"/>
        </w:rPr>
        <w:t>Introduction ....................................................................</w:t>
      </w:r>
      <w:r>
        <w:rPr>
          <w:rFonts w:ascii="Arial" w:hAnsi="Arial" w:cs="Arial"/>
        </w:rPr>
        <w:t>.............................................</w:t>
      </w:r>
      <w:r w:rsidRPr="003D2C5D">
        <w:rPr>
          <w:rFonts w:ascii="Arial" w:hAnsi="Arial" w:cs="Arial"/>
        </w:rPr>
        <w:t xml:space="preserve">2 </w:t>
      </w:r>
    </w:p>
    <w:p w14:paraId="6B3C75C5" w14:textId="3DAB4E12" w:rsidR="003D2C5D" w:rsidRPr="003D2C5D" w:rsidRDefault="003D2C5D" w:rsidP="003D2C5D">
      <w:pPr>
        <w:numPr>
          <w:ilvl w:val="0"/>
          <w:numId w:val="2"/>
        </w:numPr>
        <w:spacing w:line="360" w:lineRule="auto"/>
        <w:rPr>
          <w:rFonts w:ascii="Arial" w:hAnsi="Arial" w:cs="Arial"/>
        </w:rPr>
      </w:pPr>
      <w:r w:rsidRPr="003D2C5D">
        <w:rPr>
          <w:rFonts w:ascii="Arial" w:hAnsi="Arial" w:cs="Arial"/>
        </w:rPr>
        <w:t>Person-Centred Care (PCC) ........................................</w:t>
      </w:r>
      <w:r>
        <w:rPr>
          <w:rFonts w:ascii="Arial" w:hAnsi="Arial" w:cs="Arial"/>
        </w:rPr>
        <w:t>...............................................2</w:t>
      </w:r>
      <w:r w:rsidRPr="003D2C5D">
        <w:rPr>
          <w:rFonts w:ascii="Arial" w:hAnsi="Arial" w:cs="Arial"/>
        </w:rPr>
        <w:br/>
      </w:r>
      <w:r w:rsidRPr="003D2C5D">
        <w:rPr>
          <w:rFonts w:ascii="Arial" w:hAnsi="Arial" w:cs="Arial"/>
        </w:rPr>
        <w:t> </w:t>
      </w:r>
      <w:r w:rsidRPr="003D2C5D">
        <w:rPr>
          <w:rFonts w:ascii="Arial" w:hAnsi="Arial" w:cs="Arial"/>
        </w:rPr>
        <w:t>2.1 Defining Person-Centred Care (PCC) .................</w:t>
      </w:r>
      <w:r>
        <w:rPr>
          <w:rFonts w:ascii="Arial" w:hAnsi="Arial" w:cs="Arial"/>
        </w:rPr>
        <w:t>..............................................2</w:t>
      </w:r>
      <w:r w:rsidRPr="003D2C5D">
        <w:rPr>
          <w:rFonts w:ascii="Arial" w:hAnsi="Arial" w:cs="Arial"/>
        </w:rPr>
        <w:br/>
      </w:r>
      <w:r w:rsidRPr="003D2C5D">
        <w:rPr>
          <w:rFonts w:ascii="Arial" w:hAnsi="Arial" w:cs="Arial"/>
        </w:rPr>
        <w:t> </w:t>
      </w:r>
      <w:r w:rsidRPr="003D2C5D">
        <w:rPr>
          <w:rFonts w:ascii="Arial" w:hAnsi="Arial" w:cs="Arial"/>
        </w:rPr>
        <w:t>2.2 Advantages of Person-Centred Care .................</w:t>
      </w:r>
      <w:r w:rsidR="008F4099">
        <w:rPr>
          <w:rFonts w:ascii="Arial" w:hAnsi="Arial" w:cs="Arial"/>
        </w:rPr>
        <w:t>............................................2-3</w:t>
      </w:r>
      <w:r w:rsidRPr="003D2C5D">
        <w:rPr>
          <w:rFonts w:ascii="Arial" w:hAnsi="Arial" w:cs="Arial"/>
        </w:rPr>
        <w:br/>
      </w:r>
      <w:r w:rsidRPr="003D2C5D">
        <w:rPr>
          <w:rFonts w:ascii="Arial" w:hAnsi="Arial" w:cs="Arial"/>
        </w:rPr>
        <w:t> </w:t>
      </w:r>
      <w:r w:rsidRPr="003D2C5D">
        <w:rPr>
          <w:rFonts w:ascii="Arial" w:hAnsi="Arial" w:cs="Arial"/>
        </w:rPr>
        <w:t>2.3 Limitations and Challenges .................................</w:t>
      </w:r>
      <w:r w:rsidR="008F4099">
        <w:rPr>
          <w:rFonts w:ascii="Arial" w:hAnsi="Arial" w:cs="Arial"/>
        </w:rPr>
        <w:t>..............................................3</w:t>
      </w:r>
    </w:p>
    <w:p w14:paraId="097EF889" w14:textId="5758D48E" w:rsidR="003D2C5D" w:rsidRDefault="003D2C5D" w:rsidP="003D2C5D">
      <w:pPr>
        <w:numPr>
          <w:ilvl w:val="0"/>
          <w:numId w:val="2"/>
        </w:numPr>
        <w:spacing w:line="360" w:lineRule="auto"/>
        <w:rPr>
          <w:rFonts w:ascii="Arial" w:hAnsi="Arial" w:cs="Arial"/>
        </w:rPr>
      </w:pPr>
      <w:r w:rsidRPr="003D2C5D">
        <w:rPr>
          <w:rFonts w:ascii="Arial" w:hAnsi="Arial" w:cs="Arial"/>
        </w:rPr>
        <w:t>Theory or Model that Underpins PCC .........................</w:t>
      </w:r>
      <w:r w:rsidR="008F4099">
        <w:rPr>
          <w:rFonts w:ascii="Arial" w:hAnsi="Arial" w:cs="Arial"/>
        </w:rPr>
        <w:t>................................................3</w:t>
      </w:r>
      <w:r w:rsidRPr="003D2C5D">
        <w:rPr>
          <w:rFonts w:ascii="Arial" w:hAnsi="Arial" w:cs="Arial"/>
        </w:rPr>
        <w:t xml:space="preserve"> </w:t>
      </w:r>
    </w:p>
    <w:p w14:paraId="06EFCD77" w14:textId="4283437D" w:rsidR="009716B9" w:rsidRDefault="002D5D36" w:rsidP="009716B9">
      <w:pPr>
        <w:spacing w:line="360" w:lineRule="auto"/>
        <w:ind w:left="720"/>
        <w:rPr>
          <w:rFonts w:ascii="Arial" w:hAnsi="Arial" w:cs="Arial"/>
        </w:rPr>
      </w:pPr>
      <w:r>
        <w:rPr>
          <w:rFonts w:ascii="Arial" w:hAnsi="Arial" w:cs="Arial"/>
        </w:rPr>
        <w:t xml:space="preserve">3.1 Carl Rogers Person_centred </w:t>
      </w:r>
      <w:r w:rsidR="00EA65A4">
        <w:rPr>
          <w:rFonts w:ascii="Arial" w:hAnsi="Arial" w:cs="Arial"/>
        </w:rPr>
        <w:t>Theory……..</w:t>
      </w:r>
    </w:p>
    <w:p w14:paraId="1DB4FD82" w14:textId="22DDE0DE" w:rsidR="009B336C" w:rsidRDefault="009B336C" w:rsidP="009716B9">
      <w:pPr>
        <w:spacing w:line="360" w:lineRule="auto"/>
        <w:ind w:left="720"/>
        <w:rPr>
          <w:rFonts w:ascii="Arial" w:hAnsi="Arial" w:cs="Arial"/>
        </w:rPr>
      </w:pPr>
      <w:r>
        <w:rPr>
          <w:rFonts w:ascii="Arial" w:hAnsi="Arial" w:cs="Arial"/>
        </w:rPr>
        <w:t xml:space="preserve">3.3 </w:t>
      </w:r>
    </w:p>
    <w:p w14:paraId="1D4BE83D" w14:textId="0FD13987" w:rsidR="009B336C" w:rsidRDefault="009B336C" w:rsidP="009716B9">
      <w:pPr>
        <w:spacing w:line="360" w:lineRule="auto"/>
        <w:ind w:left="720"/>
        <w:rPr>
          <w:rFonts w:ascii="Arial" w:hAnsi="Arial" w:cs="Arial"/>
        </w:rPr>
      </w:pPr>
      <w:r>
        <w:rPr>
          <w:rFonts w:ascii="Arial" w:hAnsi="Arial" w:cs="Arial"/>
        </w:rPr>
        <w:t xml:space="preserve">3.2 </w:t>
      </w:r>
      <w:r w:rsidR="00B96FCF">
        <w:rPr>
          <w:rFonts w:ascii="Arial" w:hAnsi="Arial" w:cs="Arial"/>
        </w:rPr>
        <w:t>Maslow’s Hierarchy of Needs………</w:t>
      </w:r>
    </w:p>
    <w:p w14:paraId="55FE4EC4" w14:textId="6087B999" w:rsidR="00E75DF6" w:rsidRDefault="00E75DF6" w:rsidP="009716B9">
      <w:pPr>
        <w:spacing w:line="360" w:lineRule="auto"/>
        <w:ind w:left="720"/>
        <w:rPr>
          <w:rFonts w:ascii="Arial" w:hAnsi="Arial" w:cs="Arial"/>
        </w:rPr>
      </w:pPr>
      <w:r>
        <w:rPr>
          <w:rFonts w:ascii="Arial" w:hAnsi="Arial" w:cs="Arial"/>
        </w:rPr>
        <w:t xml:space="preserve">3.3 </w:t>
      </w:r>
    </w:p>
    <w:p w14:paraId="4D4F9B72" w14:textId="4F320DD4" w:rsidR="00E75DF6" w:rsidRDefault="00E75DF6" w:rsidP="009716B9">
      <w:pPr>
        <w:spacing w:line="360" w:lineRule="auto"/>
        <w:ind w:left="720"/>
        <w:rPr>
          <w:rFonts w:ascii="Arial" w:hAnsi="Arial" w:cs="Arial"/>
        </w:rPr>
      </w:pPr>
      <w:r>
        <w:rPr>
          <w:rFonts w:ascii="Arial" w:hAnsi="Arial" w:cs="Arial"/>
        </w:rPr>
        <w:t>3.3 Holistic Care Theory……</w:t>
      </w:r>
    </w:p>
    <w:p w14:paraId="713781A6" w14:textId="05EBC0F3" w:rsidR="00E75DF6" w:rsidRPr="003D2C5D" w:rsidRDefault="00E75DF6" w:rsidP="009716B9">
      <w:pPr>
        <w:spacing w:line="360" w:lineRule="auto"/>
        <w:ind w:left="720"/>
        <w:rPr>
          <w:rFonts w:ascii="Arial" w:hAnsi="Arial" w:cs="Arial"/>
        </w:rPr>
      </w:pPr>
      <w:r>
        <w:rPr>
          <w:rFonts w:ascii="Arial" w:hAnsi="Arial" w:cs="Arial"/>
        </w:rPr>
        <w:t xml:space="preserve">3.3 </w:t>
      </w:r>
    </w:p>
    <w:p w14:paraId="67115DE2" w14:textId="1F8BC2B4" w:rsidR="003D2C5D" w:rsidRPr="003D2C5D" w:rsidRDefault="003D2C5D" w:rsidP="003D2C5D">
      <w:pPr>
        <w:numPr>
          <w:ilvl w:val="0"/>
          <w:numId w:val="2"/>
        </w:numPr>
        <w:spacing w:line="360" w:lineRule="auto"/>
        <w:rPr>
          <w:rFonts w:ascii="Arial" w:hAnsi="Arial" w:cs="Arial"/>
        </w:rPr>
      </w:pPr>
      <w:r w:rsidRPr="003D2C5D">
        <w:rPr>
          <w:rFonts w:ascii="Arial" w:hAnsi="Arial" w:cs="Arial"/>
        </w:rPr>
        <w:t>Ethical Dilemmas in Person-Centred Care .................</w:t>
      </w:r>
      <w:r w:rsidR="008F4099">
        <w:rPr>
          <w:rFonts w:ascii="Arial" w:hAnsi="Arial" w:cs="Arial"/>
        </w:rPr>
        <w:t>.............................................3-4</w:t>
      </w:r>
    </w:p>
    <w:p w14:paraId="204B9732" w14:textId="30A51C73" w:rsidR="003D2C5D" w:rsidRPr="003D2C5D" w:rsidRDefault="003D2C5D" w:rsidP="003D2C5D">
      <w:pPr>
        <w:numPr>
          <w:ilvl w:val="0"/>
          <w:numId w:val="2"/>
        </w:numPr>
        <w:spacing w:line="360" w:lineRule="auto"/>
        <w:rPr>
          <w:rFonts w:ascii="Arial" w:hAnsi="Arial" w:cs="Arial"/>
        </w:rPr>
      </w:pPr>
      <w:r w:rsidRPr="003D2C5D">
        <w:rPr>
          <w:rFonts w:ascii="Arial" w:hAnsi="Arial" w:cs="Arial"/>
        </w:rPr>
        <w:t>Evaluating Partnership Working (PW) .........................</w:t>
      </w:r>
      <w:r w:rsidR="008F4099">
        <w:rPr>
          <w:rFonts w:ascii="Arial" w:hAnsi="Arial" w:cs="Arial"/>
        </w:rPr>
        <w:t>................................................4</w:t>
      </w:r>
      <w:r w:rsidRPr="003D2C5D">
        <w:rPr>
          <w:rFonts w:ascii="Arial" w:hAnsi="Arial" w:cs="Arial"/>
        </w:rPr>
        <w:t xml:space="preserve"> </w:t>
      </w:r>
    </w:p>
    <w:p w14:paraId="0EF428D1" w14:textId="6F388A4D" w:rsidR="003D2C5D" w:rsidRPr="003D2C5D" w:rsidRDefault="003D2C5D" w:rsidP="003D2C5D">
      <w:pPr>
        <w:numPr>
          <w:ilvl w:val="0"/>
          <w:numId w:val="2"/>
        </w:numPr>
        <w:spacing w:line="360" w:lineRule="auto"/>
        <w:rPr>
          <w:rFonts w:ascii="Arial" w:hAnsi="Arial" w:cs="Arial"/>
        </w:rPr>
      </w:pPr>
      <w:r w:rsidRPr="003D2C5D">
        <w:rPr>
          <w:rFonts w:ascii="Arial" w:hAnsi="Arial" w:cs="Arial"/>
        </w:rPr>
        <w:t>Partnership Working in Practice .................................</w:t>
      </w:r>
      <w:r w:rsidR="008F4099">
        <w:rPr>
          <w:rFonts w:ascii="Arial" w:hAnsi="Arial" w:cs="Arial"/>
        </w:rPr>
        <w:t>.................................................5</w:t>
      </w:r>
    </w:p>
    <w:p w14:paraId="47CE90A0" w14:textId="186F1EB6" w:rsidR="003D2C5D" w:rsidRPr="003D2C5D" w:rsidRDefault="003D2C5D" w:rsidP="003D2C5D">
      <w:pPr>
        <w:numPr>
          <w:ilvl w:val="0"/>
          <w:numId w:val="2"/>
        </w:numPr>
        <w:spacing w:line="360" w:lineRule="auto"/>
        <w:rPr>
          <w:rFonts w:ascii="Arial" w:hAnsi="Arial" w:cs="Arial"/>
        </w:rPr>
      </w:pPr>
      <w:r w:rsidRPr="003D2C5D">
        <w:rPr>
          <w:rFonts w:ascii="Arial" w:hAnsi="Arial" w:cs="Arial"/>
        </w:rPr>
        <w:t>Policies and Legislation Supporting PCC and PW .....</w:t>
      </w:r>
      <w:r w:rsidR="008F4099">
        <w:rPr>
          <w:rFonts w:ascii="Arial" w:hAnsi="Arial" w:cs="Arial"/>
        </w:rPr>
        <w:t>.................................................5</w:t>
      </w:r>
    </w:p>
    <w:p w14:paraId="5A8F1487" w14:textId="6D420006" w:rsidR="003D2C5D" w:rsidRPr="003D2C5D" w:rsidRDefault="003D2C5D" w:rsidP="003D2C5D">
      <w:pPr>
        <w:numPr>
          <w:ilvl w:val="0"/>
          <w:numId w:val="2"/>
        </w:numPr>
        <w:spacing w:line="360" w:lineRule="auto"/>
        <w:rPr>
          <w:rFonts w:ascii="Arial" w:hAnsi="Arial" w:cs="Arial"/>
        </w:rPr>
      </w:pPr>
      <w:r w:rsidRPr="003D2C5D">
        <w:rPr>
          <w:rFonts w:ascii="Arial" w:hAnsi="Arial" w:cs="Arial"/>
        </w:rPr>
        <w:t>How PCC and PW Work Together in Practice ............</w:t>
      </w:r>
      <w:r w:rsidR="008F4099">
        <w:rPr>
          <w:rFonts w:ascii="Arial" w:hAnsi="Arial" w:cs="Arial"/>
        </w:rPr>
        <w:t>.................................................5</w:t>
      </w:r>
      <w:r w:rsidRPr="003D2C5D">
        <w:rPr>
          <w:rFonts w:ascii="Arial" w:hAnsi="Arial" w:cs="Arial"/>
        </w:rPr>
        <w:t xml:space="preserve"> </w:t>
      </w:r>
    </w:p>
    <w:p w14:paraId="3E13670B" w14:textId="4970EC6D" w:rsidR="003D2C5D" w:rsidRPr="003D2C5D" w:rsidRDefault="003D2C5D" w:rsidP="003D2C5D">
      <w:pPr>
        <w:numPr>
          <w:ilvl w:val="0"/>
          <w:numId w:val="2"/>
        </w:numPr>
        <w:spacing w:line="360" w:lineRule="auto"/>
        <w:rPr>
          <w:rFonts w:ascii="Arial" w:hAnsi="Arial" w:cs="Arial"/>
        </w:rPr>
      </w:pPr>
      <w:r w:rsidRPr="003D2C5D">
        <w:rPr>
          <w:rFonts w:ascii="Arial" w:hAnsi="Arial" w:cs="Arial"/>
        </w:rPr>
        <w:t>Critical Evaluation: Strengths, Tensions, and Gaps ...</w:t>
      </w:r>
      <w:r w:rsidR="008F4099">
        <w:rPr>
          <w:rFonts w:ascii="Arial" w:hAnsi="Arial" w:cs="Arial"/>
        </w:rPr>
        <w:t>.................................................6</w:t>
      </w:r>
      <w:r w:rsidRPr="003D2C5D">
        <w:rPr>
          <w:rFonts w:ascii="Arial" w:hAnsi="Arial" w:cs="Arial"/>
        </w:rPr>
        <w:t xml:space="preserve"> </w:t>
      </w:r>
    </w:p>
    <w:p w14:paraId="0964EF56" w14:textId="6CABCF92" w:rsidR="003D2C5D" w:rsidRPr="003D2C5D" w:rsidRDefault="003D2C5D" w:rsidP="003D2C5D">
      <w:pPr>
        <w:numPr>
          <w:ilvl w:val="0"/>
          <w:numId w:val="2"/>
        </w:numPr>
        <w:spacing w:line="360" w:lineRule="auto"/>
        <w:rPr>
          <w:rFonts w:ascii="Arial" w:hAnsi="Arial" w:cs="Arial"/>
        </w:rPr>
      </w:pPr>
      <w:r w:rsidRPr="003D2C5D">
        <w:rPr>
          <w:rFonts w:ascii="Arial" w:hAnsi="Arial" w:cs="Arial"/>
        </w:rPr>
        <w:t>Recommendations for Future Development .............</w:t>
      </w:r>
      <w:r w:rsidR="008F4099">
        <w:rPr>
          <w:rFonts w:ascii="Arial" w:hAnsi="Arial" w:cs="Arial"/>
        </w:rPr>
        <w:t>..................................................6</w:t>
      </w:r>
    </w:p>
    <w:p w14:paraId="003E5DA9" w14:textId="2AC214D0" w:rsidR="003D2C5D" w:rsidRPr="003D2C5D" w:rsidRDefault="003D2C5D" w:rsidP="003D2C5D">
      <w:pPr>
        <w:spacing w:line="360" w:lineRule="auto"/>
        <w:rPr>
          <w:rFonts w:ascii="Arial" w:hAnsi="Arial" w:cs="Arial"/>
        </w:rPr>
      </w:pPr>
      <w:r w:rsidRPr="003D2C5D">
        <w:rPr>
          <w:rFonts w:ascii="Arial" w:hAnsi="Arial" w:cs="Arial"/>
        </w:rPr>
        <w:t>Conclusion ...........................................................................</w:t>
      </w:r>
      <w:r w:rsidR="008F4099">
        <w:rPr>
          <w:rFonts w:ascii="Arial" w:hAnsi="Arial" w:cs="Arial"/>
        </w:rPr>
        <w:t>...................................................6</w:t>
      </w:r>
    </w:p>
    <w:p w14:paraId="69B44C66" w14:textId="2B4099B7" w:rsidR="003D2C5D" w:rsidRDefault="003D2C5D" w:rsidP="003D2C5D">
      <w:pPr>
        <w:spacing w:line="360" w:lineRule="auto"/>
        <w:rPr>
          <w:rFonts w:ascii="Arial" w:hAnsi="Arial" w:cs="Arial"/>
        </w:rPr>
      </w:pPr>
      <w:r w:rsidRPr="003D2C5D">
        <w:rPr>
          <w:rFonts w:ascii="Arial" w:hAnsi="Arial" w:cs="Arial"/>
        </w:rPr>
        <w:t>References .........................................................................</w:t>
      </w:r>
      <w:r w:rsidR="00027CB3">
        <w:rPr>
          <w:rFonts w:ascii="Arial" w:hAnsi="Arial" w:cs="Arial"/>
        </w:rPr>
        <w:t>.....................................................7</w:t>
      </w:r>
    </w:p>
    <w:p w14:paraId="5D4BE670" w14:textId="77777777" w:rsidR="003D2C5D" w:rsidRDefault="003D2C5D" w:rsidP="003D2C5D">
      <w:pPr>
        <w:spacing w:line="360" w:lineRule="auto"/>
        <w:rPr>
          <w:rFonts w:ascii="Arial" w:hAnsi="Arial" w:cs="Arial"/>
          <w:b/>
          <w:bCs/>
        </w:rPr>
      </w:pPr>
    </w:p>
    <w:p w14:paraId="6EAE4212" w14:textId="0DE31FE9" w:rsidR="00F77A30" w:rsidRPr="003D2C5D" w:rsidRDefault="00F77252" w:rsidP="003D2C5D">
      <w:pPr>
        <w:spacing w:line="360" w:lineRule="auto"/>
        <w:rPr>
          <w:rFonts w:ascii="Arial" w:hAnsi="Arial" w:cs="Arial"/>
        </w:rPr>
      </w:pPr>
      <w:r w:rsidRPr="00F77252">
        <w:rPr>
          <w:rFonts w:ascii="Arial" w:hAnsi="Arial" w:cs="Arial"/>
          <w:b/>
          <w:bCs/>
        </w:rPr>
        <w:t>Abstract</w:t>
      </w:r>
    </w:p>
    <w:p w14:paraId="744F3330" w14:textId="26EE518D" w:rsidR="00FB38CC" w:rsidRPr="00FB38CC" w:rsidRDefault="00FB38CC" w:rsidP="004B488F">
      <w:pPr>
        <w:spacing w:line="360" w:lineRule="auto"/>
        <w:jc w:val="both"/>
        <w:rPr>
          <w:rFonts w:ascii="Arial" w:hAnsi="Arial" w:cs="Arial"/>
        </w:rPr>
      </w:pPr>
      <w:r w:rsidRPr="00FB38CC">
        <w:rPr>
          <w:rFonts w:ascii="Arial" w:hAnsi="Arial" w:cs="Arial"/>
        </w:rPr>
        <w:t>This report explains the importance of person-centred care and partnership working in UK health and social care. It describes how person-centred care focuses on the individual’s needs, choices, and values, while partnership working brings different professionals together to provide joined-up care. The report discusses key benefits such as improved safety, trust, and independence, as well as challenges like staff shortages, time pressure, and poor communication. It also explores ethical issues, including balancing choice with safety and sharing information. Relevant laws and policies are outlined to show how practice is guided. The report highlights how both approaches work together in real settings, especially during discharge planning. It concludes that strong teamwork, clear communication, and ongoing training are needed to improve care quality and ensure people receive safe, respectful, and effective support</w:t>
      </w:r>
      <w:r>
        <w:rPr>
          <w:rFonts w:ascii="Arial" w:hAnsi="Arial" w:cs="Arial"/>
        </w:rPr>
        <w:t>.</w:t>
      </w:r>
    </w:p>
    <w:p w14:paraId="2E29AD31" w14:textId="77777777" w:rsidR="00F77A30" w:rsidRPr="008D7400" w:rsidRDefault="00F77A30" w:rsidP="004B488F">
      <w:pPr>
        <w:spacing w:line="360" w:lineRule="auto"/>
        <w:jc w:val="both"/>
        <w:rPr>
          <w:rFonts w:ascii="Arial" w:hAnsi="Arial" w:cs="Arial"/>
          <w:b/>
          <w:bCs/>
        </w:rPr>
      </w:pPr>
      <w:r w:rsidRPr="008D7400">
        <w:rPr>
          <w:rFonts w:ascii="Arial" w:hAnsi="Arial" w:cs="Arial"/>
          <w:b/>
          <w:bCs/>
        </w:rPr>
        <w:t>1. Introduction</w:t>
      </w:r>
    </w:p>
    <w:p w14:paraId="0FE605FF" w14:textId="7879D1BC" w:rsidR="00F77A30" w:rsidRPr="00F77A30" w:rsidRDefault="00F77A30" w:rsidP="004B488F">
      <w:pPr>
        <w:spacing w:line="360" w:lineRule="auto"/>
        <w:jc w:val="both"/>
        <w:rPr>
          <w:rFonts w:ascii="Arial" w:hAnsi="Arial" w:cs="Arial"/>
        </w:rPr>
      </w:pPr>
      <w:r w:rsidRPr="00F77A30">
        <w:rPr>
          <w:rFonts w:ascii="Arial" w:hAnsi="Arial" w:cs="Arial"/>
        </w:rPr>
        <w:t>Person-Centred Care (PCC) and Partnership Working (PW) are now essential parts of UK health and social care. PCC ensures that people are treated as individuals with their own wishes, goals, and preferences. PW means that different professionals, carers, organisations, and communities work together so the person receives joined</w:t>
      </w:r>
      <w:r w:rsidRPr="00F77A30">
        <w:rPr>
          <w:rFonts w:ascii="Arial" w:hAnsi="Arial" w:cs="Arial"/>
        </w:rPr>
        <w:noBreakHyphen/>
        <w:t>up and safe care. Policies like the Care Act 2014, NHS Long Term Plan (2019), and Health and Care Act 2022 require services to use PCC and PW. In real practice, PCC cannot happen without PW because people often need support from more than one service. Likewise, PW becomes meaningful only when it is centred around the person’s needs and goals</w:t>
      </w:r>
      <w:r w:rsidR="008D7400">
        <w:rPr>
          <w:rFonts w:ascii="Arial" w:hAnsi="Arial" w:cs="Arial"/>
        </w:rPr>
        <w:t xml:space="preserve"> </w:t>
      </w:r>
      <w:r w:rsidR="008D7400" w:rsidRPr="008D7400">
        <w:rPr>
          <w:rFonts w:ascii="Arial" w:hAnsi="Arial" w:cs="Arial"/>
        </w:rPr>
        <w:t>(Coulter and Oldham, 2016)</w:t>
      </w:r>
      <w:r w:rsidRPr="00F77A30">
        <w:rPr>
          <w:rFonts w:ascii="Arial" w:hAnsi="Arial" w:cs="Arial"/>
        </w:rPr>
        <w:t>.</w:t>
      </w:r>
    </w:p>
    <w:p w14:paraId="0680CF46" w14:textId="43EC25C9" w:rsidR="00F77A30" w:rsidRPr="00F2059B" w:rsidRDefault="00F77A30" w:rsidP="004B488F">
      <w:pPr>
        <w:spacing w:line="360" w:lineRule="auto"/>
        <w:jc w:val="both"/>
        <w:rPr>
          <w:rFonts w:ascii="Arial" w:hAnsi="Arial" w:cs="Arial"/>
          <w:b/>
          <w:bCs/>
        </w:rPr>
      </w:pPr>
      <w:r w:rsidRPr="00F2059B">
        <w:rPr>
          <w:rFonts w:ascii="Arial" w:hAnsi="Arial" w:cs="Arial"/>
          <w:b/>
          <w:bCs/>
        </w:rPr>
        <w:t>2.</w:t>
      </w:r>
      <w:r w:rsidR="00F2059B" w:rsidRPr="00F2059B">
        <w:rPr>
          <w:rFonts w:ascii="Arial" w:hAnsi="Arial" w:cs="Arial"/>
          <w:b/>
          <w:bCs/>
        </w:rPr>
        <w:t>1</w:t>
      </w:r>
      <w:r w:rsidRPr="00F2059B">
        <w:rPr>
          <w:rFonts w:ascii="Arial" w:hAnsi="Arial" w:cs="Arial"/>
          <w:b/>
          <w:bCs/>
        </w:rPr>
        <w:t xml:space="preserve"> Defining Person-Centred Care (PCC)</w:t>
      </w:r>
    </w:p>
    <w:p w14:paraId="169C566C" w14:textId="77777777" w:rsidR="00F77A30" w:rsidRPr="00F77A30" w:rsidRDefault="00F77A30" w:rsidP="004B488F">
      <w:pPr>
        <w:spacing w:line="360" w:lineRule="auto"/>
        <w:jc w:val="both"/>
        <w:rPr>
          <w:rFonts w:ascii="Arial" w:hAnsi="Arial" w:cs="Arial"/>
        </w:rPr>
      </w:pPr>
      <w:r w:rsidRPr="00F77A30">
        <w:rPr>
          <w:rFonts w:ascii="Arial" w:hAnsi="Arial" w:cs="Arial"/>
        </w:rPr>
        <w:t>PCC means looking at each person as an individual with their own strengths, background, culture, values, routines, and life experiences. It avoids ‘one size fits all’ approaches. In PCC, the person is seen as an active partner in decisions, not someone who is told what to do. Care plans must be shaped around what matters to the person, not only what is clinically necessary.</w:t>
      </w:r>
    </w:p>
    <w:p w14:paraId="06AC243C" w14:textId="13F95E07" w:rsidR="00F77A30" w:rsidRPr="00F77A30" w:rsidRDefault="00F77A30" w:rsidP="004B488F">
      <w:pPr>
        <w:spacing w:line="360" w:lineRule="auto"/>
        <w:jc w:val="both"/>
        <w:rPr>
          <w:rFonts w:ascii="Arial" w:hAnsi="Arial" w:cs="Arial"/>
        </w:rPr>
      </w:pPr>
      <w:r w:rsidRPr="00F77A30">
        <w:rPr>
          <w:rFonts w:ascii="Arial" w:hAnsi="Arial" w:cs="Arial"/>
        </w:rPr>
        <w:t xml:space="preserve">In social care, PCC links to the Care Act 2014, which says all decisions must promote the person’s wellbeing, independence, and choice. In the NHS, PCC links to shared decision-making and patient experience standards under NICE guidance </w:t>
      </w:r>
      <w:r w:rsidR="00F2059B">
        <w:rPr>
          <w:rFonts w:ascii="Arial" w:hAnsi="Arial" w:cs="Arial"/>
        </w:rPr>
        <w:t xml:space="preserve"> </w:t>
      </w:r>
      <w:r w:rsidR="00F2059B" w:rsidRPr="00F2059B">
        <w:rPr>
          <w:rFonts w:ascii="Arial" w:hAnsi="Arial" w:cs="Arial"/>
        </w:rPr>
        <w:t>(Byrne et al., 2020</w:t>
      </w:r>
      <w:r w:rsidR="008C3DF4">
        <w:rPr>
          <w:rFonts w:ascii="Arial" w:hAnsi="Arial" w:cs="Arial"/>
        </w:rPr>
        <w:t xml:space="preserve">, </w:t>
      </w:r>
      <w:r w:rsidR="008C3DF4" w:rsidRPr="008C3DF4">
        <w:rPr>
          <w:rFonts w:ascii="Arial" w:hAnsi="Arial" w:cs="Arial"/>
        </w:rPr>
        <w:t>National Institute for Health and Care Excellence, 2003)</w:t>
      </w:r>
      <w:r w:rsidRPr="00F77A30">
        <w:rPr>
          <w:rFonts w:ascii="Arial" w:hAnsi="Arial" w:cs="Arial"/>
        </w:rPr>
        <w:t>.</w:t>
      </w:r>
    </w:p>
    <w:p w14:paraId="14F6D1B7" w14:textId="2E40341F" w:rsidR="00F77A30" w:rsidRPr="008C3DF4" w:rsidRDefault="00F2059B" w:rsidP="004B488F">
      <w:pPr>
        <w:spacing w:line="360" w:lineRule="auto"/>
        <w:jc w:val="both"/>
        <w:rPr>
          <w:rFonts w:ascii="Arial" w:hAnsi="Arial" w:cs="Arial"/>
          <w:b/>
          <w:bCs/>
        </w:rPr>
      </w:pPr>
      <w:r w:rsidRPr="008C3DF4">
        <w:rPr>
          <w:rFonts w:ascii="Arial" w:hAnsi="Arial" w:cs="Arial"/>
          <w:b/>
          <w:bCs/>
        </w:rPr>
        <w:t>2.2</w:t>
      </w:r>
      <w:r w:rsidR="00F77A30" w:rsidRPr="008C3DF4">
        <w:rPr>
          <w:rFonts w:ascii="Arial" w:hAnsi="Arial" w:cs="Arial"/>
          <w:b/>
          <w:bCs/>
        </w:rPr>
        <w:t xml:space="preserve">. </w:t>
      </w:r>
      <w:r w:rsidRPr="008C3DF4">
        <w:rPr>
          <w:rFonts w:ascii="Arial" w:hAnsi="Arial" w:cs="Arial"/>
          <w:b/>
          <w:bCs/>
        </w:rPr>
        <w:t>Ad</w:t>
      </w:r>
      <w:r w:rsidR="008C3DF4" w:rsidRPr="008C3DF4">
        <w:rPr>
          <w:rFonts w:ascii="Arial" w:hAnsi="Arial" w:cs="Arial"/>
          <w:b/>
          <w:bCs/>
        </w:rPr>
        <w:t xml:space="preserve">vantages </w:t>
      </w:r>
      <w:proofErr w:type="spellStart"/>
      <w:r w:rsidR="008C3DF4" w:rsidRPr="008C3DF4">
        <w:rPr>
          <w:rFonts w:ascii="Arial" w:hAnsi="Arial" w:cs="Arial"/>
          <w:b/>
          <w:bCs/>
        </w:rPr>
        <w:t>Person-centered</w:t>
      </w:r>
      <w:proofErr w:type="spellEnd"/>
      <w:r w:rsidR="008C3DF4" w:rsidRPr="008C3DF4">
        <w:rPr>
          <w:rFonts w:ascii="Arial" w:hAnsi="Arial" w:cs="Arial"/>
          <w:b/>
          <w:bCs/>
        </w:rPr>
        <w:t xml:space="preserve"> care</w:t>
      </w:r>
    </w:p>
    <w:p w14:paraId="5BD80AA2" w14:textId="64115430" w:rsidR="00F77A30" w:rsidRDefault="00F77A30" w:rsidP="004B488F">
      <w:pPr>
        <w:spacing w:line="360" w:lineRule="auto"/>
        <w:jc w:val="both"/>
        <w:rPr>
          <w:rFonts w:ascii="Arial" w:hAnsi="Arial" w:cs="Arial"/>
        </w:rPr>
      </w:pPr>
      <w:r w:rsidRPr="00F77A30">
        <w:rPr>
          <w:rFonts w:ascii="Arial" w:hAnsi="Arial" w:cs="Arial"/>
        </w:rPr>
        <w:t>PCC has several benefits. It increases trust between professionals and the person. When people help design their care plan, they are more likely to follow it because it reflects their real-life needs. PCC improves independence by building confidence and self-management skills and has been shown to improve health outcomes (Coulter, 2012; Ekman et al., 2011). PCC also reduces complaints and safeguarding concerns, because people feel listened to, respected and involved</w:t>
      </w:r>
      <w:r w:rsidR="00EB1ED4">
        <w:rPr>
          <w:rFonts w:ascii="Arial" w:hAnsi="Arial" w:cs="Arial"/>
        </w:rPr>
        <w:t xml:space="preserve"> </w:t>
      </w:r>
      <w:r w:rsidR="00EB1ED4" w:rsidRPr="00EB1ED4">
        <w:rPr>
          <w:rFonts w:ascii="Arial" w:hAnsi="Arial" w:cs="Arial"/>
        </w:rPr>
        <w:t>(Summer Meranius et al., 2020)</w:t>
      </w:r>
      <w:r w:rsidRPr="00F77A30">
        <w:rPr>
          <w:rFonts w:ascii="Arial" w:hAnsi="Arial" w:cs="Arial"/>
        </w:rPr>
        <w:t>.</w:t>
      </w:r>
    </w:p>
    <w:p w14:paraId="7E28572B" w14:textId="1EF07E3E" w:rsidR="008C3DF4" w:rsidRPr="008C3DF4" w:rsidRDefault="008C3DF4" w:rsidP="004B488F">
      <w:pPr>
        <w:spacing w:line="360" w:lineRule="auto"/>
        <w:jc w:val="both"/>
        <w:rPr>
          <w:rFonts w:ascii="Arial" w:hAnsi="Arial" w:cs="Arial"/>
          <w:b/>
          <w:bCs/>
        </w:rPr>
      </w:pPr>
      <w:r w:rsidRPr="008C3DF4">
        <w:rPr>
          <w:rFonts w:ascii="Arial" w:hAnsi="Arial" w:cs="Arial"/>
          <w:b/>
          <w:bCs/>
        </w:rPr>
        <w:t>2.3 Limitations and challenges</w:t>
      </w:r>
    </w:p>
    <w:p w14:paraId="0A1CC8B0" w14:textId="5CC37A00" w:rsidR="00F77A30" w:rsidRDefault="00F77A30" w:rsidP="004B488F">
      <w:pPr>
        <w:spacing w:line="360" w:lineRule="auto"/>
        <w:jc w:val="both"/>
        <w:rPr>
          <w:rFonts w:ascii="Arial" w:hAnsi="Arial" w:cs="Arial"/>
        </w:rPr>
      </w:pPr>
      <w:r w:rsidRPr="00F77A30">
        <w:rPr>
          <w:rFonts w:ascii="Arial" w:hAnsi="Arial" w:cs="Arial"/>
        </w:rPr>
        <w:t>However, PCC also has limitations. Staff shortages, time pressure, or heavy caseloads make it difficult to hold detailed conversations. Communication barriers, such as low health literacy, cognitive impairment, or language differences, may stop people from fully understanding options. PCC may also fail if services are not joined up. A person may want a certain outcome, but if teams do not communicate, equipment is delayed or follow-up does not happen. These challenges show that PW is essential to make PCC successful in real settings</w:t>
      </w:r>
      <w:r w:rsidR="00FA63C0">
        <w:rPr>
          <w:rFonts w:ascii="Arial" w:hAnsi="Arial" w:cs="Arial"/>
        </w:rPr>
        <w:t xml:space="preserve"> </w:t>
      </w:r>
      <w:r w:rsidR="00FA63C0" w:rsidRPr="00FA63C0">
        <w:rPr>
          <w:rFonts w:ascii="Arial" w:hAnsi="Arial" w:cs="Arial"/>
        </w:rPr>
        <w:t>(West, Barron and Reeves, 2005)</w:t>
      </w:r>
      <w:r w:rsidRPr="00F77A30">
        <w:rPr>
          <w:rFonts w:ascii="Arial" w:hAnsi="Arial" w:cs="Arial"/>
        </w:rPr>
        <w:t>.</w:t>
      </w:r>
    </w:p>
    <w:p w14:paraId="34972645" w14:textId="77777777" w:rsidR="00FA63C0" w:rsidRDefault="00FA63C0" w:rsidP="004B488F">
      <w:pPr>
        <w:spacing w:line="360" w:lineRule="auto"/>
        <w:jc w:val="both"/>
        <w:rPr>
          <w:rFonts w:ascii="Arial" w:hAnsi="Arial" w:cs="Arial"/>
          <w:b/>
          <w:bCs/>
        </w:rPr>
      </w:pPr>
      <w:r w:rsidRPr="00A41F44">
        <w:rPr>
          <w:rFonts w:ascii="Arial" w:hAnsi="Arial" w:cs="Arial"/>
          <w:b/>
          <w:bCs/>
        </w:rPr>
        <w:t>3. Theory or Model that Underpins PCC</w:t>
      </w:r>
    </w:p>
    <w:p w14:paraId="2EEF0347" w14:textId="5D6D2470" w:rsidR="00A41F44" w:rsidRPr="00F77A30" w:rsidRDefault="00A27EBC" w:rsidP="004B488F">
      <w:pPr>
        <w:spacing w:line="360" w:lineRule="auto"/>
        <w:jc w:val="both"/>
        <w:rPr>
          <w:rFonts w:ascii="Arial" w:hAnsi="Arial" w:cs="Arial"/>
        </w:rPr>
      </w:pPr>
      <w:r>
        <w:rPr>
          <w:rFonts w:ascii="Arial" w:hAnsi="Arial" w:cs="Arial"/>
        </w:rPr>
        <w:t>3.1</w:t>
      </w:r>
      <w:r w:rsidR="00774814">
        <w:rPr>
          <w:rFonts w:ascii="Arial" w:hAnsi="Arial" w:cs="Arial"/>
        </w:rPr>
        <w:t xml:space="preserve"> </w:t>
      </w:r>
      <w:r w:rsidR="00A41F44" w:rsidRPr="00F77A30">
        <w:rPr>
          <w:rFonts w:ascii="Arial" w:hAnsi="Arial" w:cs="Arial"/>
        </w:rPr>
        <w:t>Carl Rogers’ humanistic theory supports PCC because it focuses on empathy, respect, and seeing the person’s point of view. Rogers believed people grow and thrive in environments that offer acceptance and understanding. This approach fits well with PCC principles and encourages professionals to build trusting relationships</w:t>
      </w:r>
      <w:r w:rsidR="00A41F44">
        <w:rPr>
          <w:rFonts w:ascii="Arial" w:hAnsi="Arial" w:cs="Arial"/>
        </w:rPr>
        <w:t xml:space="preserve"> </w:t>
      </w:r>
      <w:r w:rsidR="00A41F44" w:rsidRPr="00A41F44">
        <w:rPr>
          <w:rFonts w:ascii="Arial" w:hAnsi="Arial" w:cs="Arial"/>
        </w:rPr>
        <w:t>(National Center for Biotechnology Information, 2022)</w:t>
      </w:r>
      <w:r w:rsidR="00A41F44" w:rsidRPr="00F77A30">
        <w:rPr>
          <w:rFonts w:ascii="Arial" w:hAnsi="Arial" w:cs="Arial"/>
        </w:rPr>
        <w:t>.</w:t>
      </w:r>
    </w:p>
    <w:p w14:paraId="225D8726" w14:textId="4B4284FF" w:rsidR="00A41F44" w:rsidRPr="00F77A30" w:rsidRDefault="00A41F44" w:rsidP="004B488F">
      <w:pPr>
        <w:spacing w:line="360" w:lineRule="auto"/>
        <w:jc w:val="both"/>
        <w:rPr>
          <w:rFonts w:ascii="Arial" w:hAnsi="Arial" w:cs="Arial"/>
        </w:rPr>
      </w:pPr>
      <w:r w:rsidRPr="00F77A30">
        <w:rPr>
          <w:rFonts w:ascii="Arial" w:hAnsi="Arial" w:cs="Arial"/>
        </w:rPr>
        <w:t>The Person-Centred Practice Framework provides a structured way to apply PCC. It says that to deliver PCC, teams need the right training, values, leadership, and environment. It also highlights the importance of shared decision-making, communication, and meaningful involvement.</w:t>
      </w:r>
    </w:p>
    <w:p w14:paraId="41B3467B" w14:textId="15C5565E" w:rsidR="00A41F44" w:rsidRDefault="00A41F44" w:rsidP="004B488F">
      <w:pPr>
        <w:spacing w:line="360" w:lineRule="auto"/>
        <w:jc w:val="both"/>
        <w:rPr>
          <w:rFonts w:ascii="Arial" w:hAnsi="Arial" w:cs="Arial"/>
        </w:rPr>
      </w:pPr>
      <w:r w:rsidRPr="00F77A30">
        <w:rPr>
          <w:rFonts w:ascii="Arial" w:hAnsi="Arial" w:cs="Arial"/>
        </w:rPr>
        <w:t>However, these models require time and emotional labour. In busy settings, staff may struggle to give the deep attention PCC requires. Partnership working can help reduce this pressure because tasks can be shared among professionals</w:t>
      </w:r>
      <w:r w:rsidR="0034522C">
        <w:rPr>
          <w:rFonts w:ascii="Arial" w:hAnsi="Arial" w:cs="Arial"/>
        </w:rPr>
        <w:t xml:space="preserve"> </w:t>
      </w:r>
      <w:r w:rsidR="0034522C" w:rsidRPr="0034522C">
        <w:rPr>
          <w:rFonts w:ascii="Arial" w:hAnsi="Arial" w:cs="Arial"/>
        </w:rPr>
        <w:t>(McCance and McCormack, 2025)</w:t>
      </w:r>
      <w:r w:rsidRPr="00F77A30">
        <w:rPr>
          <w:rFonts w:ascii="Arial" w:hAnsi="Arial" w:cs="Arial"/>
        </w:rPr>
        <w:t>.</w:t>
      </w:r>
    </w:p>
    <w:p w14:paraId="73DB9DC6" w14:textId="19A8BAF2" w:rsidR="00236192" w:rsidRDefault="00236192" w:rsidP="004B488F">
      <w:pPr>
        <w:spacing w:line="360" w:lineRule="auto"/>
        <w:jc w:val="both"/>
        <w:rPr>
          <w:rFonts w:ascii="Arial" w:hAnsi="Arial" w:cs="Arial"/>
        </w:rPr>
      </w:pPr>
      <w:r>
        <w:rPr>
          <w:rFonts w:ascii="Arial" w:hAnsi="Arial" w:cs="Arial"/>
        </w:rPr>
        <w:t>3.2 Masl</w:t>
      </w:r>
      <w:r w:rsidR="003A65D8">
        <w:rPr>
          <w:rFonts w:ascii="Arial" w:hAnsi="Arial" w:cs="Arial"/>
        </w:rPr>
        <w:t>ow’s Hierarchy of Needs</w:t>
      </w:r>
    </w:p>
    <w:p w14:paraId="403351A2" w14:textId="3006C9DF" w:rsidR="009B2461" w:rsidRDefault="009B2461" w:rsidP="004B488F">
      <w:pPr>
        <w:spacing w:line="360" w:lineRule="auto"/>
        <w:jc w:val="both"/>
        <w:rPr>
          <w:rFonts w:ascii="Arial" w:hAnsi="Arial" w:cs="Arial"/>
        </w:rPr>
      </w:pPr>
      <w:r>
        <w:rPr>
          <w:rFonts w:ascii="Arial" w:hAnsi="Arial" w:cs="Arial"/>
        </w:rPr>
        <w:t>By BJ Card</w:t>
      </w:r>
      <w:r w:rsidR="008D48D7">
        <w:rPr>
          <w:rFonts w:ascii="Arial" w:hAnsi="Arial" w:cs="Arial"/>
        </w:rPr>
        <w:t>ucci . 2020 .</w:t>
      </w:r>
      <w:r w:rsidR="00E37E11">
        <w:rPr>
          <w:rFonts w:ascii="Arial" w:hAnsi="Arial" w:cs="Arial"/>
        </w:rPr>
        <w:t xml:space="preserve">cited by 50 _ The hierarchy </w:t>
      </w:r>
      <w:r w:rsidR="00543D88">
        <w:rPr>
          <w:rFonts w:ascii="Arial" w:hAnsi="Arial" w:cs="Arial"/>
        </w:rPr>
        <w:t>of needs; organize</w:t>
      </w:r>
      <w:r w:rsidR="00190A4C">
        <w:rPr>
          <w:rFonts w:ascii="Arial" w:hAnsi="Arial" w:cs="Arial"/>
        </w:rPr>
        <w:t xml:space="preserve">d from lowest and most powerful </w:t>
      </w:r>
      <w:r w:rsidR="00C67B5E">
        <w:rPr>
          <w:rFonts w:ascii="Arial" w:hAnsi="Arial" w:cs="Arial"/>
        </w:rPr>
        <w:t>to highest and least powerful.</w:t>
      </w:r>
    </w:p>
    <w:p w14:paraId="770798CD" w14:textId="1F5E1D3F" w:rsidR="008B1BCC" w:rsidRDefault="008B1BCC" w:rsidP="004B488F">
      <w:pPr>
        <w:spacing w:line="360" w:lineRule="auto"/>
        <w:jc w:val="both"/>
        <w:rPr>
          <w:rFonts w:ascii="Arial" w:hAnsi="Arial" w:cs="Arial"/>
        </w:rPr>
      </w:pPr>
      <w:r>
        <w:rPr>
          <w:rFonts w:ascii="Arial" w:hAnsi="Arial" w:cs="Arial"/>
        </w:rPr>
        <w:t xml:space="preserve">3.3 Holistic </w:t>
      </w:r>
      <w:r w:rsidR="004E6B70">
        <w:rPr>
          <w:rFonts w:ascii="Arial" w:hAnsi="Arial" w:cs="Arial"/>
        </w:rPr>
        <w:t>care theory is a comprehensive model of health care</w:t>
      </w:r>
      <w:r w:rsidR="00D347F9">
        <w:rPr>
          <w:rFonts w:ascii="Arial" w:hAnsi="Arial" w:cs="Arial"/>
        </w:rPr>
        <w:t xml:space="preserve"> that views a patient as a </w:t>
      </w:r>
      <w:r w:rsidR="00DF6F1E">
        <w:rPr>
          <w:rFonts w:ascii="Arial" w:hAnsi="Arial" w:cs="Arial"/>
        </w:rPr>
        <w:t>“whole” person _ an</w:t>
      </w:r>
      <w:r w:rsidR="007E5DEA">
        <w:rPr>
          <w:rFonts w:ascii="Arial" w:hAnsi="Arial" w:cs="Arial"/>
        </w:rPr>
        <w:t xml:space="preserve"> integrated entity of body, mind, emotion</w:t>
      </w:r>
      <w:r w:rsidR="001D3240">
        <w:rPr>
          <w:rFonts w:ascii="Arial" w:hAnsi="Arial" w:cs="Arial"/>
        </w:rPr>
        <w:t>, spirit and social cultural factors rather</w:t>
      </w:r>
      <w:r w:rsidR="0037528B">
        <w:rPr>
          <w:rFonts w:ascii="Arial" w:hAnsi="Arial" w:cs="Arial"/>
        </w:rPr>
        <w:t xml:space="preserve"> than</w:t>
      </w:r>
      <w:r w:rsidR="00F67BE3">
        <w:rPr>
          <w:rFonts w:ascii="Arial" w:hAnsi="Arial" w:cs="Arial"/>
        </w:rPr>
        <w:t xml:space="preserve"> just a sum of body </w:t>
      </w:r>
      <w:r w:rsidR="00E12CAE">
        <w:rPr>
          <w:rFonts w:ascii="Arial" w:hAnsi="Arial" w:cs="Arial"/>
        </w:rPr>
        <w:t>parts or a diagnosis.</w:t>
      </w:r>
      <w:r w:rsidR="002D1FD9">
        <w:rPr>
          <w:rFonts w:ascii="Arial" w:hAnsi="Arial" w:cs="Arial"/>
        </w:rPr>
        <w:t xml:space="preserve"> By M Sasemi . 2017 cited by </w:t>
      </w:r>
      <w:r w:rsidR="00772C37">
        <w:rPr>
          <w:rFonts w:ascii="Arial" w:hAnsi="Arial" w:cs="Arial"/>
        </w:rPr>
        <w:t>396_ it refers to the provision of care to patients that are based on a mutual understanding of their physical</w:t>
      </w:r>
      <w:r w:rsidR="002716F6">
        <w:rPr>
          <w:rFonts w:ascii="Arial" w:hAnsi="Arial" w:cs="Arial"/>
        </w:rPr>
        <w:t>.</w:t>
      </w:r>
    </w:p>
    <w:p w14:paraId="0D4BC7A1" w14:textId="65FD4E57" w:rsidR="00F77A30" w:rsidRPr="00A41F44" w:rsidRDefault="00F77A30" w:rsidP="004B488F">
      <w:pPr>
        <w:spacing w:line="360" w:lineRule="auto"/>
        <w:jc w:val="both"/>
        <w:rPr>
          <w:rFonts w:ascii="Arial" w:hAnsi="Arial" w:cs="Arial"/>
        </w:rPr>
      </w:pPr>
      <w:r w:rsidRPr="00A41F44">
        <w:rPr>
          <w:rFonts w:ascii="Arial" w:hAnsi="Arial" w:cs="Arial"/>
          <w:b/>
          <w:bCs/>
        </w:rPr>
        <w:t>4. Ethical Dilemmas in Person-Centred Care</w:t>
      </w:r>
    </w:p>
    <w:p w14:paraId="2F362E1A" w14:textId="77777777" w:rsidR="00F77A30" w:rsidRPr="00F77A30" w:rsidRDefault="00F77A30" w:rsidP="004B488F">
      <w:pPr>
        <w:spacing w:line="360" w:lineRule="auto"/>
        <w:jc w:val="both"/>
        <w:rPr>
          <w:rFonts w:ascii="Arial" w:hAnsi="Arial" w:cs="Arial"/>
        </w:rPr>
      </w:pPr>
      <w:r w:rsidRPr="00F77A30">
        <w:rPr>
          <w:rFonts w:ascii="Arial" w:hAnsi="Arial" w:cs="Arial"/>
        </w:rPr>
        <w:t>Ethical dilemmas happen when there is conflict between principles, values, or professional duties. In PCC, professionals must balance respect for the person’s wishes with the need to protect them from harm. This section expands on common ethical dilemmas in PCC.</w:t>
      </w:r>
    </w:p>
    <w:p w14:paraId="4C936147" w14:textId="46006EF6" w:rsidR="00F77A30" w:rsidRPr="00F77A30" w:rsidRDefault="00F77A30" w:rsidP="004B488F">
      <w:pPr>
        <w:spacing w:line="360" w:lineRule="auto"/>
        <w:jc w:val="both"/>
        <w:rPr>
          <w:rFonts w:ascii="Arial" w:hAnsi="Arial" w:cs="Arial"/>
        </w:rPr>
      </w:pPr>
      <w:r w:rsidRPr="00F77A30">
        <w:rPr>
          <w:rFonts w:ascii="Arial" w:hAnsi="Arial" w:cs="Arial"/>
        </w:rPr>
        <w:t>Autonomy vs Safety (Beneficence and Non-Maleficence): One major dilemma is when a person makes a decision that may put them at risk. For example, an older adult with falls risk may insist on living alone without carers. PCC requires respect for their choice (autonomy), but professionals also have a duty to reduce harm (non-maleficence). Balancing these duties is difficult. The Mental Capacity Act 2005 says people should be allowed to make unwise decisions if they have capacity, which can make professionals uncomfortable</w:t>
      </w:r>
      <w:r w:rsidR="001001B4">
        <w:rPr>
          <w:rFonts w:ascii="Arial" w:hAnsi="Arial" w:cs="Arial"/>
        </w:rPr>
        <w:t xml:space="preserve"> </w:t>
      </w:r>
      <w:r w:rsidR="001001B4" w:rsidRPr="001001B4">
        <w:rPr>
          <w:rFonts w:ascii="Arial" w:hAnsi="Arial" w:cs="Arial"/>
        </w:rPr>
        <w:t>(</w:t>
      </w:r>
      <w:proofErr w:type="spellStart"/>
      <w:r w:rsidR="001001B4" w:rsidRPr="001001B4">
        <w:rPr>
          <w:rFonts w:ascii="Arial" w:hAnsi="Arial" w:cs="Arial"/>
        </w:rPr>
        <w:t>Marnfeldt</w:t>
      </w:r>
      <w:proofErr w:type="spellEnd"/>
      <w:r w:rsidR="001001B4" w:rsidRPr="001001B4">
        <w:rPr>
          <w:rFonts w:ascii="Arial" w:hAnsi="Arial" w:cs="Arial"/>
        </w:rPr>
        <w:t xml:space="preserve"> and Wilber, 2025)</w:t>
      </w:r>
      <w:r w:rsidRPr="00F77A30">
        <w:rPr>
          <w:rFonts w:ascii="Arial" w:hAnsi="Arial" w:cs="Arial"/>
        </w:rPr>
        <w:t>.</w:t>
      </w:r>
    </w:p>
    <w:p w14:paraId="4D07C5B9" w14:textId="77777777" w:rsidR="00F77A30" w:rsidRPr="00F77A30" w:rsidRDefault="00F77A30" w:rsidP="004B488F">
      <w:pPr>
        <w:spacing w:line="360" w:lineRule="auto"/>
        <w:jc w:val="both"/>
        <w:rPr>
          <w:rFonts w:ascii="Arial" w:hAnsi="Arial" w:cs="Arial"/>
        </w:rPr>
      </w:pPr>
      <w:r w:rsidRPr="00F77A30">
        <w:rPr>
          <w:rFonts w:ascii="Arial" w:hAnsi="Arial" w:cs="Arial"/>
        </w:rPr>
        <w:t>Choice vs Service Limits: PCC encourages choice, but not all services or budgets can provide every option. This creates a dilemma: how can a person be offered ‘choice’ when only limited services exist? Offering ‘fake choice’ is not ethical, yet professionals must still try to support the person to make meaningful decisions within constraints.</w:t>
      </w:r>
    </w:p>
    <w:p w14:paraId="3E391762" w14:textId="528A8E8A" w:rsidR="00F77A30" w:rsidRPr="00F77A30" w:rsidRDefault="00F77A30" w:rsidP="004B488F">
      <w:pPr>
        <w:spacing w:line="360" w:lineRule="auto"/>
        <w:jc w:val="both"/>
        <w:rPr>
          <w:rFonts w:ascii="Arial" w:hAnsi="Arial" w:cs="Arial"/>
        </w:rPr>
      </w:pPr>
      <w:r w:rsidRPr="00F77A30">
        <w:rPr>
          <w:rFonts w:ascii="Arial" w:hAnsi="Arial" w:cs="Arial"/>
        </w:rPr>
        <w:t>Confidentiality vs Information Sharing: PCC values trust and confidentiality, but PW requires sharing relevant information with other professionals. Ethical tension appears when a person does not want information shared, even though it is needed for safe care. The Data Protection Act 2018 allows sharing for safety, but professionals must still consider dignity and respect</w:t>
      </w:r>
      <w:r w:rsidR="005C1FD2">
        <w:rPr>
          <w:rFonts w:ascii="Arial" w:hAnsi="Arial" w:cs="Arial"/>
        </w:rPr>
        <w:t xml:space="preserve"> </w:t>
      </w:r>
      <w:r w:rsidR="005C1FD2" w:rsidRPr="005C1FD2">
        <w:rPr>
          <w:rFonts w:ascii="Arial" w:hAnsi="Arial" w:cs="Arial"/>
        </w:rPr>
        <w:t>(Davies, 2020)</w:t>
      </w:r>
      <w:r w:rsidRPr="00F77A30">
        <w:rPr>
          <w:rFonts w:ascii="Arial" w:hAnsi="Arial" w:cs="Arial"/>
        </w:rPr>
        <w:t>.</w:t>
      </w:r>
    </w:p>
    <w:p w14:paraId="2F42E7E3" w14:textId="77777777" w:rsidR="00F77A30" w:rsidRPr="00F77A30" w:rsidRDefault="00F77A30" w:rsidP="004B488F">
      <w:pPr>
        <w:spacing w:line="360" w:lineRule="auto"/>
        <w:jc w:val="both"/>
        <w:rPr>
          <w:rFonts w:ascii="Arial" w:hAnsi="Arial" w:cs="Arial"/>
        </w:rPr>
      </w:pPr>
      <w:r w:rsidRPr="00F77A30">
        <w:rPr>
          <w:rFonts w:ascii="Arial" w:hAnsi="Arial" w:cs="Arial"/>
        </w:rPr>
        <w:t>Best Interests vs Family Views: When a person lacks capacity, professionals must make best</w:t>
      </w:r>
      <w:r w:rsidRPr="00F77A30">
        <w:rPr>
          <w:rFonts w:ascii="Arial" w:hAnsi="Arial" w:cs="Arial"/>
        </w:rPr>
        <w:noBreakHyphen/>
        <w:t>interest decisions under the Mental Capacity Act 2005. Sometimes family wishes conflict with what professionals believe is best for the person. PCC requires listening to the family as partners but not automatically following what they want. This can create conflict and emotional strain.</w:t>
      </w:r>
    </w:p>
    <w:p w14:paraId="34C6CEC6" w14:textId="64DBC7FB" w:rsidR="00F77A30" w:rsidRPr="00F77A30" w:rsidRDefault="00F77A30" w:rsidP="004B488F">
      <w:pPr>
        <w:spacing w:line="360" w:lineRule="auto"/>
        <w:jc w:val="both"/>
        <w:rPr>
          <w:rFonts w:ascii="Arial" w:hAnsi="Arial" w:cs="Arial"/>
        </w:rPr>
      </w:pPr>
      <w:r w:rsidRPr="00F77A30">
        <w:rPr>
          <w:rFonts w:ascii="Arial" w:hAnsi="Arial" w:cs="Arial"/>
        </w:rPr>
        <w:t>Cultural Values vs Organisational Routines: PCC means respecting cultural backgrounds and identity. Ethical dilemmas arise when cultural practices clash with hospital routines, dietary rules, or clinical recommendations. Professionals must balance cultural respect with clinical guidance and safety</w:t>
      </w:r>
      <w:r w:rsidR="005C1FD2">
        <w:rPr>
          <w:rFonts w:ascii="Arial" w:hAnsi="Arial" w:cs="Arial"/>
        </w:rPr>
        <w:t xml:space="preserve"> </w:t>
      </w:r>
      <w:r w:rsidR="005C1FD2" w:rsidRPr="005C1FD2">
        <w:rPr>
          <w:rFonts w:ascii="Arial" w:hAnsi="Arial" w:cs="Arial"/>
        </w:rPr>
        <w:t>(National Center for Biotechnology Information, 2022)</w:t>
      </w:r>
      <w:r w:rsidRPr="00F77A30">
        <w:rPr>
          <w:rFonts w:ascii="Arial" w:hAnsi="Arial" w:cs="Arial"/>
        </w:rPr>
        <w:t>.</w:t>
      </w:r>
    </w:p>
    <w:p w14:paraId="7B66AE62" w14:textId="3DE24870" w:rsidR="00F77A30" w:rsidRPr="00A41F44" w:rsidRDefault="00A87425" w:rsidP="004B488F">
      <w:pPr>
        <w:spacing w:line="360" w:lineRule="auto"/>
        <w:jc w:val="both"/>
        <w:rPr>
          <w:rFonts w:ascii="Arial" w:hAnsi="Arial" w:cs="Arial"/>
          <w:b/>
          <w:bCs/>
        </w:rPr>
      </w:pPr>
      <w:r>
        <w:rPr>
          <w:rFonts w:ascii="Arial" w:hAnsi="Arial" w:cs="Arial"/>
          <w:b/>
          <w:bCs/>
        </w:rPr>
        <w:t>5</w:t>
      </w:r>
      <w:r w:rsidR="00F77A30" w:rsidRPr="00A41F44">
        <w:rPr>
          <w:rFonts w:ascii="Arial" w:hAnsi="Arial" w:cs="Arial"/>
          <w:b/>
          <w:bCs/>
        </w:rPr>
        <w:t>. Evaluating Partnership Working (PW)</w:t>
      </w:r>
    </w:p>
    <w:p w14:paraId="2D3CDC24" w14:textId="25270BB3" w:rsidR="00F77A30" w:rsidRPr="00F77A30" w:rsidRDefault="00F77A30" w:rsidP="004B488F">
      <w:pPr>
        <w:spacing w:line="360" w:lineRule="auto"/>
        <w:jc w:val="both"/>
        <w:rPr>
          <w:rFonts w:ascii="Arial" w:hAnsi="Arial" w:cs="Arial"/>
        </w:rPr>
      </w:pPr>
      <w:r w:rsidRPr="00F77A30">
        <w:rPr>
          <w:rFonts w:ascii="Arial" w:hAnsi="Arial" w:cs="Arial"/>
        </w:rPr>
        <w:t>PW means bringing together professionals from different backgrounds, such as doctors, nurses, social workers, therapists, mental health workers, carers, and voluntary groups, to give coordinated care. PW helps reduce delays, repetition, and gaps in care</w:t>
      </w:r>
      <w:r w:rsidR="00AC2E3D">
        <w:rPr>
          <w:rFonts w:ascii="Arial" w:hAnsi="Arial" w:cs="Arial"/>
        </w:rPr>
        <w:t>.</w:t>
      </w:r>
      <w:r w:rsidRPr="00F77A30">
        <w:rPr>
          <w:rFonts w:ascii="Arial" w:hAnsi="Arial" w:cs="Arial"/>
        </w:rPr>
        <w:t xml:space="preserve"> </w:t>
      </w:r>
    </w:p>
    <w:p w14:paraId="12D61258" w14:textId="77777777" w:rsidR="00F77A30" w:rsidRPr="00F77A30" w:rsidRDefault="00F77A30" w:rsidP="004B488F">
      <w:pPr>
        <w:spacing w:line="360" w:lineRule="auto"/>
        <w:jc w:val="both"/>
        <w:rPr>
          <w:rFonts w:ascii="Arial" w:hAnsi="Arial" w:cs="Arial"/>
        </w:rPr>
      </w:pPr>
      <w:r w:rsidRPr="00F77A30">
        <w:rPr>
          <w:rFonts w:ascii="Arial" w:hAnsi="Arial" w:cs="Arial"/>
        </w:rPr>
        <w:t>The benefits of PW include improved safety, early intervention, better communication, and smoother transitions between services. It also supports safeguarding because professionals can share concerns and work together on risk management.</w:t>
      </w:r>
    </w:p>
    <w:p w14:paraId="149D74AF" w14:textId="77777777" w:rsidR="00FF5AA0" w:rsidRPr="00F77A30" w:rsidRDefault="00F77A30" w:rsidP="004B488F">
      <w:pPr>
        <w:spacing w:line="360" w:lineRule="auto"/>
        <w:jc w:val="both"/>
        <w:rPr>
          <w:rFonts w:ascii="Arial" w:hAnsi="Arial" w:cs="Arial"/>
        </w:rPr>
      </w:pPr>
      <w:r w:rsidRPr="00F77A30">
        <w:rPr>
          <w:rFonts w:ascii="Arial" w:hAnsi="Arial" w:cs="Arial"/>
        </w:rPr>
        <w:t>However, PW also has challenges. Different organisations may have different priorities, cultures, or rules. Power imbalances can make some voices dominate meetings. Poor digital systems can stop information flowing. Professionals may be unsure what they are allowed to share because of confusion about the Data Protection Act 2018. These challenges can weaken PCC because the person is left with fragmented care</w:t>
      </w:r>
      <w:r w:rsidR="00FF5AA0">
        <w:rPr>
          <w:rFonts w:ascii="Arial" w:hAnsi="Arial" w:cs="Arial"/>
        </w:rPr>
        <w:t xml:space="preserve"> </w:t>
      </w:r>
      <w:r w:rsidR="00FF5AA0" w:rsidRPr="00AC2E3D">
        <w:rPr>
          <w:rFonts w:ascii="Arial" w:hAnsi="Arial" w:cs="Arial"/>
        </w:rPr>
        <w:t>(Babiker et al., 2014)</w:t>
      </w:r>
      <w:r w:rsidR="00FF5AA0">
        <w:rPr>
          <w:rFonts w:ascii="Arial" w:hAnsi="Arial" w:cs="Arial"/>
        </w:rPr>
        <w:t>.</w:t>
      </w:r>
      <w:r w:rsidR="00FF5AA0" w:rsidRPr="00F77A30">
        <w:rPr>
          <w:rFonts w:ascii="Arial" w:hAnsi="Arial" w:cs="Arial"/>
        </w:rPr>
        <w:t xml:space="preserve"> </w:t>
      </w:r>
    </w:p>
    <w:p w14:paraId="0FC91240" w14:textId="0364B49F" w:rsidR="00F77A30" w:rsidRDefault="002C190B" w:rsidP="004B488F">
      <w:pPr>
        <w:spacing w:line="360" w:lineRule="auto"/>
        <w:jc w:val="both"/>
        <w:rPr>
          <w:rFonts w:ascii="Arial" w:hAnsi="Arial" w:cs="Arial"/>
          <w:b/>
          <w:bCs/>
        </w:rPr>
      </w:pPr>
      <w:r>
        <w:rPr>
          <w:rFonts w:ascii="Arial" w:hAnsi="Arial" w:cs="Arial"/>
          <w:b/>
          <w:bCs/>
        </w:rPr>
        <w:t>6</w:t>
      </w:r>
      <w:r w:rsidR="00F77A30" w:rsidRPr="008356A4">
        <w:rPr>
          <w:rFonts w:ascii="Arial" w:hAnsi="Arial" w:cs="Arial"/>
          <w:b/>
          <w:bCs/>
        </w:rPr>
        <w:t xml:space="preserve">. Partnership Working in Practice: </w:t>
      </w:r>
    </w:p>
    <w:p w14:paraId="461339A6" w14:textId="77777777" w:rsidR="001C1E96" w:rsidRPr="001C1E96" w:rsidRDefault="001C1E96" w:rsidP="004B488F">
      <w:pPr>
        <w:spacing w:line="360" w:lineRule="auto"/>
        <w:jc w:val="both"/>
        <w:rPr>
          <w:rFonts w:ascii="Arial" w:hAnsi="Arial" w:cs="Arial"/>
        </w:rPr>
      </w:pPr>
      <w:r w:rsidRPr="001C1E96">
        <w:rPr>
          <w:rFonts w:ascii="Arial" w:hAnsi="Arial" w:cs="Arial"/>
        </w:rPr>
        <w:t>In a hospital setting, partnership working and person-centred care should guide how stroke patients are supported after discharge. Patients may have goals such as walking safely indoors, preparing simple meals, and returning to hobbies like gardening. These goals should shape the care plan.</w:t>
      </w:r>
    </w:p>
    <w:p w14:paraId="6A976D6B" w14:textId="77777777" w:rsidR="001C1E96" w:rsidRPr="001C1E96" w:rsidRDefault="001C1E96" w:rsidP="004B488F">
      <w:pPr>
        <w:spacing w:line="360" w:lineRule="auto"/>
        <w:jc w:val="both"/>
        <w:rPr>
          <w:rFonts w:ascii="Arial" w:hAnsi="Arial" w:cs="Arial"/>
        </w:rPr>
      </w:pPr>
      <w:r w:rsidRPr="001C1E96">
        <w:rPr>
          <w:rFonts w:ascii="Arial" w:hAnsi="Arial" w:cs="Arial"/>
        </w:rPr>
        <w:t>Different professionals should work together to support recovery. This includes hospital staff, physiotherapists, occupational therapists, social workers, the GP, and a pharmacist. Discharge planning should begin early while the patient is still in hospital. The occupational therapist can assess the home and recommend equipment, while physiotherapists provide exercises. Social workers can arrange temporary home care, and the pharmacist checks medications.</w:t>
      </w:r>
    </w:p>
    <w:p w14:paraId="4E4D9316" w14:textId="4D9AF26C" w:rsidR="001C1E96" w:rsidRPr="001C1E96" w:rsidRDefault="001C1E96" w:rsidP="004B488F">
      <w:pPr>
        <w:spacing w:line="360" w:lineRule="auto"/>
        <w:jc w:val="both"/>
        <w:rPr>
          <w:rFonts w:ascii="Arial" w:hAnsi="Arial" w:cs="Arial"/>
        </w:rPr>
      </w:pPr>
      <w:r w:rsidRPr="001C1E96">
        <w:rPr>
          <w:rFonts w:ascii="Arial" w:hAnsi="Arial" w:cs="Arial"/>
        </w:rPr>
        <w:t>Good teamwork reduces risks such as falls or hospital readmission. It is recommended that all professionals communicate clearly and work together to provide safe, effective, and person-centred care</w:t>
      </w:r>
      <w:r w:rsidR="0089146B">
        <w:rPr>
          <w:rFonts w:ascii="Arial" w:hAnsi="Arial" w:cs="Arial"/>
        </w:rPr>
        <w:t xml:space="preserve"> </w:t>
      </w:r>
      <w:r w:rsidR="0089146B" w:rsidRPr="0089146B">
        <w:rPr>
          <w:rFonts w:ascii="Arial" w:hAnsi="Arial" w:cs="Arial"/>
        </w:rPr>
        <w:t>(Geese and Schmitt, 2023)</w:t>
      </w:r>
      <w:r w:rsidRPr="001C1E96">
        <w:rPr>
          <w:rFonts w:ascii="Arial" w:hAnsi="Arial" w:cs="Arial"/>
        </w:rPr>
        <w:t>.</w:t>
      </w:r>
    </w:p>
    <w:p w14:paraId="631CF688" w14:textId="0A2C9E99" w:rsidR="00F77A30" w:rsidRPr="001C1E96" w:rsidRDefault="001C1E96" w:rsidP="004B488F">
      <w:pPr>
        <w:spacing w:line="360" w:lineRule="auto"/>
        <w:jc w:val="both"/>
        <w:rPr>
          <w:rFonts w:ascii="Arial" w:hAnsi="Arial" w:cs="Arial"/>
          <w:b/>
          <w:bCs/>
        </w:rPr>
      </w:pPr>
      <w:r w:rsidRPr="001C1E96">
        <w:rPr>
          <w:rFonts w:ascii="Arial" w:hAnsi="Arial" w:cs="Arial"/>
          <w:b/>
          <w:bCs/>
        </w:rPr>
        <w:t>7.</w:t>
      </w:r>
      <w:r w:rsidR="00F77A30" w:rsidRPr="001C1E96">
        <w:rPr>
          <w:rFonts w:ascii="Arial" w:hAnsi="Arial" w:cs="Arial"/>
          <w:b/>
          <w:bCs/>
        </w:rPr>
        <w:t xml:space="preserve"> Policies and Legislation that Support PCC and PW</w:t>
      </w:r>
    </w:p>
    <w:p w14:paraId="692AA8E7" w14:textId="77777777" w:rsidR="00F77A30" w:rsidRPr="00F77A30" w:rsidRDefault="00F77A30" w:rsidP="004B488F">
      <w:pPr>
        <w:spacing w:line="360" w:lineRule="auto"/>
        <w:jc w:val="both"/>
        <w:rPr>
          <w:rFonts w:ascii="Arial" w:hAnsi="Arial" w:cs="Arial"/>
        </w:rPr>
      </w:pPr>
      <w:r w:rsidRPr="00F77A30">
        <w:rPr>
          <w:rFonts w:ascii="Arial" w:hAnsi="Arial" w:cs="Arial"/>
        </w:rPr>
        <w:t>Key policies and laws include: the Care Act 2014, which requires wellbeing, choice, and multi-agency safeguarding; the Health and Social Care Act 2012 and Health and Care Act 2022, which promote integrated care; and the NHS Long Term Plan (2019), which focuses on personalised care and community support.</w:t>
      </w:r>
    </w:p>
    <w:p w14:paraId="249E9C88" w14:textId="6247E6AB" w:rsidR="00F77A30" w:rsidRPr="00F77A30" w:rsidRDefault="00F77A30" w:rsidP="004B488F">
      <w:pPr>
        <w:spacing w:line="360" w:lineRule="auto"/>
        <w:jc w:val="both"/>
        <w:rPr>
          <w:rFonts w:ascii="Arial" w:hAnsi="Arial" w:cs="Arial"/>
        </w:rPr>
      </w:pPr>
      <w:r w:rsidRPr="00F77A30">
        <w:rPr>
          <w:rFonts w:ascii="Arial" w:hAnsi="Arial" w:cs="Arial"/>
        </w:rPr>
        <w:t>NICE guidance supports shared decision-making, patient experience, and medicines safety. The Mental Capacity Act 2005 explains how to make decisions for people who may lack capacity. The Equality Act 2010 requires reasonable adjustments, so services are fair and accessible. The Data Protection Act 2018 and Caldicott Principles guide safe and respectful information sharing</w:t>
      </w:r>
      <w:r w:rsidR="00F83D65">
        <w:rPr>
          <w:rFonts w:ascii="Arial" w:hAnsi="Arial" w:cs="Arial"/>
        </w:rPr>
        <w:t xml:space="preserve"> </w:t>
      </w:r>
      <w:r w:rsidR="00F83D65" w:rsidRPr="00F83D65">
        <w:rPr>
          <w:rFonts w:ascii="Arial" w:hAnsi="Arial" w:cs="Arial"/>
        </w:rPr>
        <w:t>(HM Government, 2025)</w:t>
      </w:r>
      <w:r w:rsidRPr="00F77A30">
        <w:rPr>
          <w:rFonts w:ascii="Arial" w:hAnsi="Arial" w:cs="Arial"/>
        </w:rPr>
        <w:t>.</w:t>
      </w:r>
    </w:p>
    <w:p w14:paraId="73E7D57C" w14:textId="6FB5F1A4" w:rsidR="00F77A30" w:rsidRPr="001C1E96" w:rsidRDefault="001C1E96" w:rsidP="004B488F">
      <w:pPr>
        <w:spacing w:line="360" w:lineRule="auto"/>
        <w:jc w:val="both"/>
        <w:rPr>
          <w:rFonts w:ascii="Arial" w:hAnsi="Arial" w:cs="Arial"/>
          <w:b/>
          <w:bCs/>
        </w:rPr>
      </w:pPr>
      <w:r w:rsidRPr="001C1E96">
        <w:rPr>
          <w:rFonts w:ascii="Arial" w:hAnsi="Arial" w:cs="Arial"/>
          <w:b/>
          <w:bCs/>
        </w:rPr>
        <w:t>8</w:t>
      </w:r>
      <w:r w:rsidR="00F77A30" w:rsidRPr="001C1E96">
        <w:rPr>
          <w:rFonts w:ascii="Arial" w:hAnsi="Arial" w:cs="Arial"/>
          <w:b/>
          <w:bCs/>
        </w:rPr>
        <w:t>. How PCC and PW Work Together in Everyday Practice</w:t>
      </w:r>
    </w:p>
    <w:p w14:paraId="1FF5EC36" w14:textId="77777777" w:rsidR="00F77A30" w:rsidRPr="00F77A30" w:rsidRDefault="00F77A30" w:rsidP="004B488F">
      <w:pPr>
        <w:spacing w:line="360" w:lineRule="auto"/>
        <w:jc w:val="both"/>
        <w:rPr>
          <w:rFonts w:ascii="Arial" w:hAnsi="Arial" w:cs="Arial"/>
        </w:rPr>
      </w:pPr>
      <w:r w:rsidRPr="00F77A30">
        <w:rPr>
          <w:rFonts w:ascii="Arial" w:hAnsi="Arial" w:cs="Arial"/>
        </w:rPr>
        <w:t>In assessments, PCC helps identify the person’s outcomes, while PW ensures different professionals contribute to a joint plan. In shared decision-making, PCC protects the person’s voice, while PW ensures choices are realistic across services.</w:t>
      </w:r>
    </w:p>
    <w:p w14:paraId="38739854" w14:textId="47DBA6A7" w:rsidR="00F77A30" w:rsidRPr="00F77A30" w:rsidRDefault="00F77A30" w:rsidP="004B488F">
      <w:pPr>
        <w:spacing w:line="360" w:lineRule="auto"/>
        <w:jc w:val="both"/>
        <w:rPr>
          <w:rFonts w:ascii="Arial" w:hAnsi="Arial" w:cs="Arial"/>
        </w:rPr>
      </w:pPr>
      <w:r w:rsidRPr="00F77A30">
        <w:rPr>
          <w:rFonts w:ascii="Arial" w:hAnsi="Arial" w:cs="Arial"/>
        </w:rPr>
        <w:t>Safe transitions require PW, for example, between hospital and home, so PCC plans do not collapse. Digital records support both approaches by helping teams share important information. Carers are recognised as key partners. Leadership and supervision help staff apply PCC consistently</w:t>
      </w:r>
      <w:r w:rsidR="001E2EC7">
        <w:rPr>
          <w:rFonts w:ascii="Arial" w:hAnsi="Arial" w:cs="Arial"/>
        </w:rPr>
        <w:t xml:space="preserve"> </w:t>
      </w:r>
      <w:r w:rsidR="001E2EC7" w:rsidRPr="001E2EC7">
        <w:rPr>
          <w:rFonts w:ascii="Arial" w:hAnsi="Arial" w:cs="Arial"/>
        </w:rPr>
        <w:t>(Jobe et al., 2020)</w:t>
      </w:r>
      <w:r w:rsidRPr="00F77A30">
        <w:rPr>
          <w:rFonts w:ascii="Arial" w:hAnsi="Arial" w:cs="Arial"/>
        </w:rPr>
        <w:t>.</w:t>
      </w:r>
    </w:p>
    <w:p w14:paraId="45A797A5" w14:textId="08CB0E56" w:rsidR="00F77A30" w:rsidRPr="001C1E96" w:rsidRDefault="001C1E96" w:rsidP="004B488F">
      <w:pPr>
        <w:spacing w:line="360" w:lineRule="auto"/>
        <w:jc w:val="both"/>
        <w:rPr>
          <w:rFonts w:ascii="Arial" w:hAnsi="Arial" w:cs="Arial"/>
          <w:b/>
          <w:bCs/>
        </w:rPr>
      </w:pPr>
      <w:r w:rsidRPr="001C1E96">
        <w:rPr>
          <w:rFonts w:ascii="Arial" w:hAnsi="Arial" w:cs="Arial"/>
          <w:b/>
          <w:bCs/>
        </w:rPr>
        <w:t>9</w:t>
      </w:r>
      <w:r w:rsidR="00F77A30" w:rsidRPr="001C1E96">
        <w:rPr>
          <w:rFonts w:ascii="Arial" w:hAnsi="Arial" w:cs="Arial"/>
          <w:b/>
          <w:bCs/>
        </w:rPr>
        <w:t>. Critical Evaluation: Strengths, Tensions, and Gaps</w:t>
      </w:r>
    </w:p>
    <w:p w14:paraId="49717992" w14:textId="77777777" w:rsidR="00F77A30" w:rsidRPr="00F77A30" w:rsidRDefault="00F77A30" w:rsidP="004B488F">
      <w:pPr>
        <w:spacing w:line="360" w:lineRule="auto"/>
        <w:jc w:val="both"/>
        <w:rPr>
          <w:rFonts w:ascii="Arial" w:hAnsi="Arial" w:cs="Arial"/>
        </w:rPr>
      </w:pPr>
      <w:r w:rsidRPr="00F77A30">
        <w:rPr>
          <w:rFonts w:ascii="Arial" w:hAnsi="Arial" w:cs="Arial"/>
        </w:rPr>
        <w:t>PCC improves satisfaction and supports independence. PW improves safety and reduces duplication. However, tensions exist, such as autonomy versus safeguarding, limited resources versus choice, or confidentiality versus information sharing.</w:t>
      </w:r>
    </w:p>
    <w:p w14:paraId="2151ADB5" w14:textId="6AFFFE36" w:rsidR="00F77A30" w:rsidRPr="00F77A30" w:rsidRDefault="00F77A30" w:rsidP="004B488F">
      <w:pPr>
        <w:spacing w:line="360" w:lineRule="auto"/>
        <w:jc w:val="both"/>
        <w:rPr>
          <w:rFonts w:ascii="Arial" w:hAnsi="Arial" w:cs="Arial"/>
        </w:rPr>
      </w:pPr>
      <w:r w:rsidRPr="00F77A30">
        <w:rPr>
          <w:rFonts w:ascii="Arial" w:hAnsi="Arial" w:cs="Arial"/>
        </w:rPr>
        <w:t>There are still gaps in practice. Some services struggle to measure outcomes that matter to people. Digital and data systems remain uneven. Staff shortages limit PCC and PW. More training, leadership, and co-production are needed</w:t>
      </w:r>
      <w:r w:rsidR="005E5C64">
        <w:rPr>
          <w:rFonts w:ascii="Arial" w:hAnsi="Arial" w:cs="Arial"/>
        </w:rPr>
        <w:t xml:space="preserve"> </w:t>
      </w:r>
      <w:r w:rsidR="005E5C64" w:rsidRPr="005E5C64">
        <w:rPr>
          <w:rFonts w:ascii="Arial" w:hAnsi="Arial" w:cs="Arial"/>
        </w:rPr>
        <w:t>(Engle et al., 2021)</w:t>
      </w:r>
      <w:r w:rsidRPr="00F77A30">
        <w:rPr>
          <w:rFonts w:ascii="Arial" w:hAnsi="Arial" w:cs="Arial"/>
        </w:rPr>
        <w:t>.</w:t>
      </w:r>
    </w:p>
    <w:p w14:paraId="5581C029" w14:textId="0111B0D1" w:rsidR="00F77A30" w:rsidRPr="001C1E96" w:rsidRDefault="00F77A30" w:rsidP="004B488F">
      <w:pPr>
        <w:spacing w:line="360" w:lineRule="auto"/>
        <w:jc w:val="both"/>
        <w:rPr>
          <w:rFonts w:ascii="Arial" w:hAnsi="Arial" w:cs="Arial"/>
          <w:b/>
          <w:bCs/>
        </w:rPr>
      </w:pPr>
      <w:r w:rsidRPr="001C1E96">
        <w:rPr>
          <w:rFonts w:ascii="Arial" w:hAnsi="Arial" w:cs="Arial"/>
          <w:b/>
          <w:bCs/>
        </w:rPr>
        <w:t>1</w:t>
      </w:r>
      <w:r w:rsidR="001C1E96" w:rsidRPr="001C1E96">
        <w:rPr>
          <w:rFonts w:ascii="Arial" w:hAnsi="Arial" w:cs="Arial"/>
          <w:b/>
          <w:bCs/>
        </w:rPr>
        <w:t>0</w:t>
      </w:r>
      <w:r w:rsidRPr="001C1E96">
        <w:rPr>
          <w:rFonts w:ascii="Arial" w:hAnsi="Arial" w:cs="Arial"/>
          <w:b/>
          <w:bCs/>
        </w:rPr>
        <w:t>. Recommendations for Future Development</w:t>
      </w:r>
    </w:p>
    <w:p w14:paraId="6DB5C2B4" w14:textId="77777777" w:rsidR="00F77A30" w:rsidRPr="00F77A30" w:rsidRDefault="00F77A30" w:rsidP="004B488F">
      <w:pPr>
        <w:spacing w:line="360" w:lineRule="auto"/>
        <w:jc w:val="both"/>
        <w:rPr>
          <w:rFonts w:ascii="Arial" w:hAnsi="Arial" w:cs="Arial"/>
        </w:rPr>
      </w:pPr>
      <w:r w:rsidRPr="00F77A30">
        <w:rPr>
          <w:rFonts w:ascii="Arial" w:hAnsi="Arial" w:cs="Arial"/>
        </w:rPr>
        <w:t>• Use shared decision-making tools in all settings.</w:t>
      </w:r>
    </w:p>
    <w:p w14:paraId="70FB5D1D" w14:textId="77777777" w:rsidR="00F77A30" w:rsidRPr="00F77A30" w:rsidRDefault="00F77A30" w:rsidP="004B488F">
      <w:pPr>
        <w:spacing w:line="360" w:lineRule="auto"/>
        <w:jc w:val="both"/>
        <w:rPr>
          <w:rFonts w:ascii="Arial" w:hAnsi="Arial" w:cs="Arial"/>
        </w:rPr>
      </w:pPr>
      <w:r w:rsidRPr="00F77A30">
        <w:rPr>
          <w:rFonts w:ascii="Arial" w:hAnsi="Arial" w:cs="Arial"/>
        </w:rPr>
        <w:t>• Strengthen multidisciplinary team structures.</w:t>
      </w:r>
    </w:p>
    <w:p w14:paraId="763006C3" w14:textId="77777777" w:rsidR="00F77A30" w:rsidRPr="00F77A30" w:rsidRDefault="00F77A30" w:rsidP="004B488F">
      <w:pPr>
        <w:spacing w:line="360" w:lineRule="auto"/>
        <w:jc w:val="both"/>
        <w:rPr>
          <w:rFonts w:ascii="Arial" w:hAnsi="Arial" w:cs="Arial"/>
        </w:rPr>
      </w:pPr>
      <w:r w:rsidRPr="00F77A30">
        <w:rPr>
          <w:rFonts w:ascii="Arial" w:hAnsi="Arial" w:cs="Arial"/>
        </w:rPr>
        <w:t>• Improve digital systems and record-sharing.</w:t>
      </w:r>
    </w:p>
    <w:p w14:paraId="2B804FF7" w14:textId="77777777" w:rsidR="00F77A30" w:rsidRPr="00F77A30" w:rsidRDefault="00F77A30" w:rsidP="004B488F">
      <w:pPr>
        <w:spacing w:line="360" w:lineRule="auto"/>
        <w:jc w:val="both"/>
        <w:rPr>
          <w:rFonts w:ascii="Arial" w:hAnsi="Arial" w:cs="Arial"/>
        </w:rPr>
      </w:pPr>
      <w:r w:rsidRPr="00F77A30">
        <w:rPr>
          <w:rFonts w:ascii="Arial" w:hAnsi="Arial" w:cs="Arial"/>
        </w:rPr>
        <w:t>• Expand workforce training on PCC, MCA, safeguarding, and trauma-informed care.</w:t>
      </w:r>
    </w:p>
    <w:p w14:paraId="74888A93" w14:textId="77777777" w:rsidR="00F77A30" w:rsidRPr="00F77A30" w:rsidRDefault="00F77A30" w:rsidP="004B488F">
      <w:pPr>
        <w:spacing w:line="360" w:lineRule="auto"/>
        <w:jc w:val="both"/>
        <w:rPr>
          <w:rFonts w:ascii="Arial" w:hAnsi="Arial" w:cs="Arial"/>
        </w:rPr>
      </w:pPr>
      <w:r w:rsidRPr="00F77A30">
        <w:rPr>
          <w:rFonts w:ascii="Arial" w:hAnsi="Arial" w:cs="Arial"/>
        </w:rPr>
        <w:t>• Involve people and carers in service design.</w:t>
      </w:r>
    </w:p>
    <w:p w14:paraId="35390D0F" w14:textId="77777777" w:rsidR="00F77A30" w:rsidRPr="00F77A30" w:rsidRDefault="00F77A30" w:rsidP="004B488F">
      <w:pPr>
        <w:spacing w:line="360" w:lineRule="auto"/>
        <w:jc w:val="both"/>
        <w:rPr>
          <w:rFonts w:ascii="Arial" w:hAnsi="Arial" w:cs="Arial"/>
        </w:rPr>
      </w:pPr>
      <w:r w:rsidRPr="00F77A30">
        <w:rPr>
          <w:rFonts w:ascii="Arial" w:hAnsi="Arial" w:cs="Arial"/>
        </w:rPr>
        <w:t>• Ensure equity and reasonable adjustments.</w:t>
      </w:r>
    </w:p>
    <w:p w14:paraId="68B6C267" w14:textId="77777777" w:rsidR="00F77A30" w:rsidRPr="00F77A30" w:rsidRDefault="00F77A30" w:rsidP="004B488F">
      <w:pPr>
        <w:spacing w:line="360" w:lineRule="auto"/>
        <w:jc w:val="both"/>
        <w:rPr>
          <w:rFonts w:ascii="Arial" w:hAnsi="Arial" w:cs="Arial"/>
        </w:rPr>
      </w:pPr>
      <w:r w:rsidRPr="00F77A30">
        <w:rPr>
          <w:rFonts w:ascii="Arial" w:hAnsi="Arial" w:cs="Arial"/>
        </w:rPr>
        <w:t>• Encourage reflective practice and learning from incidents.</w:t>
      </w:r>
    </w:p>
    <w:p w14:paraId="464CCDF9" w14:textId="77777777" w:rsidR="00F77A30" w:rsidRDefault="00F77A30" w:rsidP="004B488F">
      <w:pPr>
        <w:spacing w:line="360" w:lineRule="auto"/>
        <w:jc w:val="both"/>
        <w:rPr>
          <w:rFonts w:ascii="Arial" w:hAnsi="Arial" w:cs="Arial"/>
        </w:rPr>
      </w:pPr>
      <w:r w:rsidRPr="00F77A30">
        <w:rPr>
          <w:rFonts w:ascii="Arial" w:hAnsi="Arial" w:cs="Arial"/>
        </w:rPr>
        <w:t>PCC and PW work best when used together. PCC focuses on what matters to the person, while PW ensures the right people and systems work together to deliver it. UK laws require both approaches. Strengthening communication, training, co-production, and leadership will help services make care safer, fairer, and more person-centred.</w:t>
      </w:r>
    </w:p>
    <w:p w14:paraId="48D6AB16" w14:textId="77777777" w:rsidR="00665580" w:rsidRDefault="00665580" w:rsidP="004B488F">
      <w:pPr>
        <w:spacing w:line="360" w:lineRule="auto"/>
        <w:jc w:val="both"/>
        <w:rPr>
          <w:rFonts w:ascii="Arial" w:hAnsi="Arial" w:cs="Arial"/>
          <w:b/>
          <w:bCs/>
        </w:rPr>
      </w:pPr>
      <w:r w:rsidRPr="001C1E96">
        <w:rPr>
          <w:rFonts w:ascii="Arial" w:hAnsi="Arial" w:cs="Arial"/>
          <w:b/>
          <w:bCs/>
        </w:rPr>
        <w:t>C</w:t>
      </w:r>
      <w:r w:rsidR="001C1E96" w:rsidRPr="001C1E96">
        <w:rPr>
          <w:rFonts w:ascii="Arial" w:hAnsi="Arial" w:cs="Arial"/>
          <w:b/>
          <w:bCs/>
        </w:rPr>
        <w:t>onclusion</w:t>
      </w:r>
    </w:p>
    <w:p w14:paraId="5761BEFB" w14:textId="401132CC" w:rsidR="00665580" w:rsidRPr="00665580" w:rsidRDefault="00665580" w:rsidP="004B488F">
      <w:pPr>
        <w:spacing w:line="360" w:lineRule="auto"/>
        <w:jc w:val="both"/>
        <w:rPr>
          <w:rFonts w:ascii="Arial" w:hAnsi="Arial" w:cs="Arial"/>
          <w:b/>
          <w:bCs/>
        </w:rPr>
      </w:pPr>
      <w:r>
        <w:rPr>
          <w:rFonts w:ascii="Arial" w:hAnsi="Arial" w:cs="Arial"/>
        </w:rPr>
        <w:t>P</w:t>
      </w:r>
      <w:r w:rsidRPr="00665580">
        <w:rPr>
          <w:rFonts w:ascii="Arial" w:hAnsi="Arial" w:cs="Arial"/>
        </w:rPr>
        <w:t>erson-centred care and partnership working are both important for good quality care. They help make sure people are listened to, respected, and supported in a way that fits their needs. When professionals work together and include the person in decisions, care becomes safer and more effective. However, challenges like limited time, staff shortages, and poor communication can affect practice. It is important to improve teamwork, training, and communication systems. By doing this, services can provide better support and help people live more independent and meaningful lives while feeling valued and involved in their care.</w:t>
      </w:r>
    </w:p>
    <w:p w14:paraId="04C0FC57" w14:textId="77777777" w:rsidR="008F4099" w:rsidRDefault="00F77A30" w:rsidP="004B488F">
      <w:pPr>
        <w:spacing w:line="360" w:lineRule="auto"/>
        <w:jc w:val="both"/>
        <w:rPr>
          <w:rFonts w:ascii="Arial" w:hAnsi="Arial" w:cs="Arial"/>
          <w:b/>
          <w:bCs/>
        </w:rPr>
      </w:pPr>
      <w:r w:rsidRPr="00F77A30">
        <w:rPr>
          <w:rFonts w:ascii="Arial" w:hAnsi="Arial" w:cs="Arial"/>
        </w:rPr>
        <w:br/>
      </w:r>
    </w:p>
    <w:p w14:paraId="7DC78AC8" w14:textId="77777777" w:rsidR="008F4099" w:rsidRDefault="008F4099" w:rsidP="004B488F">
      <w:pPr>
        <w:spacing w:line="360" w:lineRule="auto"/>
        <w:jc w:val="both"/>
        <w:rPr>
          <w:rFonts w:ascii="Arial" w:hAnsi="Arial" w:cs="Arial"/>
          <w:b/>
          <w:bCs/>
        </w:rPr>
      </w:pPr>
    </w:p>
    <w:p w14:paraId="20C7AAE4" w14:textId="7A9D40B0" w:rsidR="008D7400" w:rsidRPr="00FB38CC" w:rsidRDefault="00F77A30" w:rsidP="004B488F">
      <w:pPr>
        <w:spacing w:line="360" w:lineRule="auto"/>
        <w:jc w:val="both"/>
        <w:rPr>
          <w:rFonts w:ascii="Arial" w:hAnsi="Arial" w:cs="Arial"/>
        </w:rPr>
      </w:pPr>
      <w:r w:rsidRPr="00F77A30">
        <w:rPr>
          <w:rFonts w:ascii="Arial" w:hAnsi="Arial" w:cs="Arial"/>
          <w:b/>
          <w:bCs/>
        </w:rPr>
        <w:t>References</w:t>
      </w:r>
    </w:p>
    <w:p w14:paraId="06DD5FBC" w14:textId="77777777" w:rsidR="00FB38CC" w:rsidRPr="00AC2E3D" w:rsidRDefault="00FB38CC" w:rsidP="004B488F">
      <w:pPr>
        <w:spacing w:line="360" w:lineRule="auto"/>
        <w:jc w:val="both"/>
        <w:rPr>
          <w:rFonts w:ascii="Arial" w:hAnsi="Arial" w:cs="Arial"/>
        </w:rPr>
      </w:pPr>
      <w:r w:rsidRPr="00AC2E3D">
        <w:rPr>
          <w:rFonts w:ascii="Arial" w:hAnsi="Arial" w:cs="Arial"/>
        </w:rPr>
        <w:t xml:space="preserve">Babiker, A., El Husseini, M., Al Nemri, A., Al Frayh, A., Al Juryyan, N., </w:t>
      </w:r>
      <w:proofErr w:type="spellStart"/>
      <w:r w:rsidRPr="00AC2E3D">
        <w:rPr>
          <w:rFonts w:ascii="Arial" w:hAnsi="Arial" w:cs="Arial"/>
        </w:rPr>
        <w:t>Faki</w:t>
      </w:r>
      <w:proofErr w:type="spellEnd"/>
      <w:r w:rsidRPr="00AC2E3D">
        <w:rPr>
          <w:rFonts w:ascii="Arial" w:hAnsi="Arial" w:cs="Arial"/>
        </w:rPr>
        <w:t xml:space="preserve">, M.O., </w:t>
      </w:r>
      <w:proofErr w:type="spellStart"/>
      <w:r w:rsidRPr="00AC2E3D">
        <w:rPr>
          <w:rFonts w:ascii="Arial" w:hAnsi="Arial" w:cs="Arial"/>
        </w:rPr>
        <w:t>Assiri</w:t>
      </w:r>
      <w:proofErr w:type="spellEnd"/>
      <w:r w:rsidRPr="00AC2E3D">
        <w:rPr>
          <w:rFonts w:ascii="Arial" w:hAnsi="Arial" w:cs="Arial"/>
        </w:rPr>
        <w:t xml:space="preserve">, A., Al Saadi, M., Shaikh, F. and Al Zamil, F. (2014) ‘Health care professional development: Working as a team to improve patient care’, </w:t>
      </w:r>
      <w:r w:rsidRPr="00AC2E3D">
        <w:rPr>
          <w:rFonts w:ascii="Arial" w:hAnsi="Arial" w:cs="Arial"/>
          <w:i/>
          <w:iCs/>
        </w:rPr>
        <w:t>Sudan Journal of Paediatrics</w:t>
      </w:r>
      <w:r w:rsidRPr="00AC2E3D">
        <w:rPr>
          <w:rFonts w:ascii="Arial" w:hAnsi="Arial" w:cs="Arial"/>
        </w:rPr>
        <w:t xml:space="preserve">, 14(2), pp. 9–16. Available at: </w:t>
      </w:r>
      <w:hyperlink r:id="rId7" w:history="1">
        <w:r w:rsidRPr="00AC2E3D">
          <w:rPr>
            <w:rStyle w:val="Hyperlink"/>
            <w:rFonts w:ascii="Arial" w:hAnsi="Arial" w:cs="Arial"/>
          </w:rPr>
          <w:t>https://www.ncbi.nlm.nih.gov/pmc/articles/PMC4949805/</w:t>
        </w:r>
      </w:hyperlink>
      <w:r w:rsidRPr="00AC2E3D">
        <w:rPr>
          <w:rFonts w:ascii="Arial" w:hAnsi="Arial" w:cs="Arial"/>
        </w:rPr>
        <w:t xml:space="preserve"> (Accessed: 23 March 2026).</w:t>
      </w:r>
    </w:p>
    <w:p w14:paraId="43E693E6" w14:textId="77777777" w:rsidR="00FB38CC" w:rsidRDefault="00FB38CC" w:rsidP="004B488F">
      <w:pPr>
        <w:spacing w:line="360" w:lineRule="auto"/>
        <w:jc w:val="both"/>
        <w:rPr>
          <w:rFonts w:ascii="Arial" w:hAnsi="Arial" w:cs="Arial"/>
        </w:rPr>
      </w:pPr>
    </w:p>
    <w:p w14:paraId="75AE52E3" w14:textId="69DC4F99" w:rsidR="00FB38CC" w:rsidRDefault="00FB38CC" w:rsidP="004B488F">
      <w:pPr>
        <w:spacing w:line="360" w:lineRule="auto"/>
        <w:jc w:val="both"/>
        <w:rPr>
          <w:rFonts w:ascii="Arial" w:hAnsi="Arial" w:cs="Arial"/>
          <w:b/>
          <w:bCs/>
        </w:rPr>
      </w:pPr>
      <w:r w:rsidRPr="00F2059B">
        <w:rPr>
          <w:rFonts w:ascii="Arial" w:hAnsi="Arial" w:cs="Arial"/>
        </w:rPr>
        <w:t xml:space="preserve">Byrne, A.L., Baldwin, A. and Harvey, C. (2020) ‘Whose centre is it anyway? Defining person-centred care in nursing: an integrative review’, </w:t>
      </w:r>
      <w:r w:rsidRPr="00F2059B">
        <w:rPr>
          <w:rFonts w:ascii="Arial" w:hAnsi="Arial" w:cs="Arial"/>
          <w:i/>
          <w:iCs/>
        </w:rPr>
        <w:t>PLoS One</w:t>
      </w:r>
      <w:r w:rsidRPr="00F2059B">
        <w:rPr>
          <w:rFonts w:ascii="Arial" w:hAnsi="Arial" w:cs="Arial"/>
        </w:rPr>
        <w:t xml:space="preserve">, 15(3), p. e0229923. Available at: </w:t>
      </w:r>
      <w:hyperlink r:id="rId8" w:tgtFrame="_new" w:history="1">
        <w:r w:rsidRPr="00F2059B">
          <w:rPr>
            <w:rStyle w:val="Hyperlink"/>
            <w:rFonts w:ascii="Arial" w:hAnsi="Arial" w:cs="Arial"/>
          </w:rPr>
          <w:t>https://doi.org/10.1371/journal.pone.0229923</w:t>
        </w:r>
      </w:hyperlink>
      <w:r w:rsidRPr="00F2059B">
        <w:rPr>
          <w:rFonts w:ascii="Arial" w:hAnsi="Arial" w:cs="Arial"/>
        </w:rPr>
        <w:t xml:space="preserve"> (Accessed: 23March 2026</w:t>
      </w:r>
      <w:r w:rsidRPr="00F2059B">
        <w:rPr>
          <w:rFonts w:ascii="Arial" w:hAnsi="Arial" w:cs="Arial"/>
          <w:b/>
          <w:bCs/>
        </w:rPr>
        <w:t>).</w:t>
      </w:r>
    </w:p>
    <w:p w14:paraId="36450A7F" w14:textId="77777777" w:rsidR="00FB38CC" w:rsidRDefault="00FB38CC" w:rsidP="004B488F">
      <w:pPr>
        <w:spacing w:line="360" w:lineRule="auto"/>
        <w:jc w:val="both"/>
        <w:rPr>
          <w:rFonts w:ascii="Arial" w:hAnsi="Arial" w:cs="Arial"/>
        </w:rPr>
      </w:pPr>
    </w:p>
    <w:p w14:paraId="3BAEB305" w14:textId="7FC4A6EF" w:rsidR="00FB38CC" w:rsidRPr="008D7400" w:rsidRDefault="00FB38CC" w:rsidP="004B488F">
      <w:pPr>
        <w:spacing w:line="360" w:lineRule="auto"/>
        <w:jc w:val="both"/>
        <w:rPr>
          <w:rFonts w:ascii="Arial" w:hAnsi="Arial" w:cs="Arial"/>
        </w:rPr>
      </w:pPr>
      <w:r w:rsidRPr="008D7400">
        <w:rPr>
          <w:rFonts w:ascii="Arial" w:hAnsi="Arial" w:cs="Arial"/>
        </w:rPr>
        <w:t xml:space="preserve">Coulter, A. and Oldham, J. (2016) ‘Person-centred care: what is it and how do we get there?’, </w:t>
      </w:r>
      <w:r w:rsidRPr="008D7400">
        <w:rPr>
          <w:rFonts w:ascii="Arial" w:hAnsi="Arial" w:cs="Arial"/>
          <w:i/>
          <w:iCs/>
        </w:rPr>
        <w:t>Future Hospital Journal</w:t>
      </w:r>
      <w:r w:rsidRPr="008D7400">
        <w:rPr>
          <w:rFonts w:ascii="Arial" w:hAnsi="Arial" w:cs="Arial"/>
        </w:rPr>
        <w:t xml:space="preserve">, 3(2), pp. 114–116. Available at: </w:t>
      </w:r>
      <w:hyperlink r:id="rId9" w:history="1">
        <w:r w:rsidRPr="00A67597">
          <w:rPr>
            <w:rStyle w:val="Hyperlink"/>
            <w:rFonts w:ascii="Arial" w:hAnsi="Arial" w:cs="Arial"/>
          </w:rPr>
          <w:t>https://doi.org/10.7861/futurehosp.3-2-114</w:t>
        </w:r>
      </w:hyperlink>
      <w:r>
        <w:rPr>
          <w:rFonts w:ascii="Arial" w:hAnsi="Arial" w:cs="Arial"/>
        </w:rPr>
        <w:t xml:space="preserve"> </w:t>
      </w:r>
      <w:r w:rsidRPr="008D7400">
        <w:rPr>
          <w:rFonts w:ascii="Arial" w:hAnsi="Arial" w:cs="Arial"/>
        </w:rPr>
        <w:t>(Accessed: 23March 2026). </w:t>
      </w:r>
    </w:p>
    <w:p w14:paraId="3BE09E33" w14:textId="77777777" w:rsidR="00FB38CC" w:rsidRDefault="00FB38CC" w:rsidP="004B488F">
      <w:pPr>
        <w:spacing w:line="360" w:lineRule="auto"/>
        <w:jc w:val="both"/>
        <w:rPr>
          <w:rFonts w:ascii="Arial" w:hAnsi="Arial" w:cs="Arial"/>
        </w:rPr>
      </w:pPr>
    </w:p>
    <w:p w14:paraId="381697AA" w14:textId="11B084BA" w:rsidR="00FB38CC" w:rsidRPr="005C1FD2" w:rsidRDefault="00FB38CC" w:rsidP="004B488F">
      <w:pPr>
        <w:spacing w:line="360" w:lineRule="auto"/>
        <w:jc w:val="both"/>
        <w:rPr>
          <w:rFonts w:ascii="Arial" w:hAnsi="Arial" w:cs="Arial"/>
        </w:rPr>
      </w:pPr>
      <w:r w:rsidRPr="005C1FD2">
        <w:rPr>
          <w:rFonts w:ascii="Arial" w:hAnsi="Arial" w:cs="Arial"/>
        </w:rPr>
        <w:t xml:space="preserve">Davies, B. (2020) ‘Responsibility and the limits of patient choice’, </w:t>
      </w:r>
      <w:r w:rsidRPr="005C1FD2">
        <w:rPr>
          <w:rFonts w:ascii="Arial" w:hAnsi="Arial" w:cs="Arial"/>
          <w:i/>
          <w:iCs/>
        </w:rPr>
        <w:t>Bioethics</w:t>
      </w:r>
      <w:r w:rsidRPr="005C1FD2">
        <w:rPr>
          <w:rFonts w:ascii="Arial" w:hAnsi="Arial" w:cs="Arial"/>
        </w:rPr>
        <w:t xml:space="preserve">, 34(5), pp. 459–466. Available at: </w:t>
      </w:r>
      <w:hyperlink r:id="rId10" w:history="1">
        <w:r w:rsidRPr="00A67597">
          <w:rPr>
            <w:rStyle w:val="Hyperlink"/>
            <w:rFonts w:ascii="Arial" w:hAnsi="Arial" w:cs="Arial"/>
          </w:rPr>
          <w:t>https://doi.org/10.1111/bioe.12693</w:t>
        </w:r>
      </w:hyperlink>
      <w:r w:rsidRPr="005C1FD2">
        <w:rPr>
          <w:rFonts w:ascii="Arial" w:hAnsi="Arial" w:cs="Arial"/>
        </w:rPr>
        <w:t xml:space="preserve"> (Accessed: 23 March 2026).</w:t>
      </w:r>
    </w:p>
    <w:p w14:paraId="35C44183" w14:textId="77777777" w:rsidR="00FB38CC" w:rsidRDefault="00FB38CC" w:rsidP="004B488F">
      <w:pPr>
        <w:spacing w:line="360" w:lineRule="auto"/>
        <w:jc w:val="both"/>
        <w:rPr>
          <w:rFonts w:ascii="Arial" w:hAnsi="Arial" w:cs="Arial"/>
        </w:rPr>
      </w:pPr>
    </w:p>
    <w:p w14:paraId="55C52E39" w14:textId="3321E112" w:rsidR="00FB38CC" w:rsidRPr="005E5C64" w:rsidRDefault="00FB38CC" w:rsidP="004B488F">
      <w:pPr>
        <w:spacing w:line="360" w:lineRule="auto"/>
        <w:jc w:val="both"/>
        <w:rPr>
          <w:rFonts w:ascii="Arial" w:hAnsi="Arial" w:cs="Arial"/>
        </w:rPr>
      </w:pPr>
      <w:r w:rsidRPr="005E5C64">
        <w:rPr>
          <w:rFonts w:ascii="Arial" w:hAnsi="Arial" w:cs="Arial"/>
        </w:rPr>
        <w:t xml:space="preserve">Engle, R.L., Mohr, D.C., Holmes, S.K., Seibert, M.N., Afable, M., Leyson, J. and </w:t>
      </w:r>
      <w:proofErr w:type="spellStart"/>
      <w:r w:rsidRPr="005E5C64">
        <w:rPr>
          <w:rFonts w:ascii="Arial" w:hAnsi="Arial" w:cs="Arial"/>
        </w:rPr>
        <w:t>Meterko</w:t>
      </w:r>
      <w:proofErr w:type="spellEnd"/>
      <w:r w:rsidRPr="005E5C64">
        <w:rPr>
          <w:rFonts w:ascii="Arial" w:hAnsi="Arial" w:cs="Arial"/>
        </w:rPr>
        <w:t xml:space="preserve">, M. (2021) ‘Evidence-based practice and </w:t>
      </w:r>
      <w:proofErr w:type="spellStart"/>
      <w:r w:rsidRPr="005E5C64">
        <w:rPr>
          <w:rFonts w:ascii="Arial" w:hAnsi="Arial" w:cs="Arial"/>
        </w:rPr>
        <w:t>patient-centered</w:t>
      </w:r>
      <w:proofErr w:type="spellEnd"/>
      <w:r w:rsidRPr="005E5C64">
        <w:rPr>
          <w:rFonts w:ascii="Arial" w:hAnsi="Arial" w:cs="Arial"/>
        </w:rPr>
        <w:t xml:space="preserve"> care: doing both well’, </w:t>
      </w:r>
      <w:r w:rsidRPr="005E5C64">
        <w:rPr>
          <w:rFonts w:ascii="Arial" w:hAnsi="Arial" w:cs="Arial"/>
          <w:i/>
          <w:iCs/>
        </w:rPr>
        <w:t>Health Care Management Review</w:t>
      </w:r>
      <w:r w:rsidRPr="005E5C64">
        <w:rPr>
          <w:rFonts w:ascii="Arial" w:hAnsi="Arial" w:cs="Arial"/>
        </w:rPr>
        <w:t xml:space="preserve">, 46(3), pp. 174–184. Available at: </w:t>
      </w:r>
      <w:hyperlink r:id="rId11" w:tgtFrame="_new" w:history="1">
        <w:r w:rsidRPr="005E5C64">
          <w:rPr>
            <w:rStyle w:val="Hyperlink"/>
            <w:rFonts w:ascii="Arial" w:hAnsi="Arial" w:cs="Arial"/>
          </w:rPr>
          <w:t>https://doi.org/10.1097/HMR.0000000000000254</w:t>
        </w:r>
      </w:hyperlink>
      <w:r w:rsidRPr="005E5C64">
        <w:rPr>
          <w:rFonts w:ascii="Arial" w:hAnsi="Arial" w:cs="Arial"/>
        </w:rPr>
        <w:t xml:space="preserve"> (Accessed: 23 March 2026).</w:t>
      </w:r>
    </w:p>
    <w:p w14:paraId="609C5883" w14:textId="77777777" w:rsidR="00FB38CC" w:rsidRDefault="00FB38CC" w:rsidP="004B488F">
      <w:pPr>
        <w:spacing w:line="360" w:lineRule="auto"/>
        <w:jc w:val="both"/>
        <w:rPr>
          <w:rFonts w:ascii="Arial" w:hAnsi="Arial" w:cs="Arial"/>
        </w:rPr>
      </w:pPr>
    </w:p>
    <w:p w14:paraId="088B15E7" w14:textId="45120D7D" w:rsidR="00FB38CC" w:rsidRPr="00CC520C" w:rsidRDefault="00FB38CC" w:rsidP="004B488F">
      <w:pPr>
        <w:spacing w:line="360" w:lineRule="auto"/>
        <w:jc w:val="both"/>
        <w:rPr>
          <w:rFonts w:ascii="Arial" w:hAnsi="Arial" w:cs="Arial"/>
        </w:rPr>
      </w:pPr>
      <w:r w:rsidRPr="00CC520C">
        <w:rPr>
          <w:rFonts w:ascii="Arial" w:hAnsi="Arial" w:cs="Arial"/>
        </w:rPr>
        <w:t xml:space="preserve">Geese, F. and Schmitt, K.U. (2023) ‘Interprofessional collaboration in complex patient care transition: a qualitative multi-perspective analysis’, </w:t>
      </w:r>
      <w:r w:rsidRPr="00CC520C">
        <w:rPr>
          <w:rFonts w:ascii="Arial" w:hAnsi="Arial" w:cs="Arial"/>
          <w:i/>
          <w:iCs/>
        </w:rPr>
        <w:t>Healthcare (Basel)</w:t>
      </w:r>
      <w:r w:rsidRPr="00CC520C">
        <w:rPr>
          <w:rFonts w:ascii="Arial" w:hAnsi="Arial" w:cs="Arial"/>
        </w:rPr>
        <w:t xml:space="preserve">, 11(3), p. 359. Available at: </w:t>
      </w:r>
      <w:hyperlink r:id="rId12" w:history="1">
        <w:r w:rsidRPr="00A67597">
          <w:rPr>
            <w:rStyle w:val="Hyperlink"/>
            <w:rFonts w:ascii="Arial" w:hAnsi="Arial" w:cs="Arial"/>
          </w:rPr>
          <w:t>https://doi.org/10.3390/healthcare11030359</w:t>
        </w:r>
      </w:hyperlink>
      <w:r w:rsidRPr="00CC520C">
        <w:rPr>
          <w:rFonts w:ascii="Arial" w:hAnsi="Arial" w:cs="Arial"/>
        </w:rPr>
        <w:t xml:space="preserve"> (Accessed: </w:t>
      </w:r>
      <w:r>
        <w:rPr>
          <w:rFonts w:ascii="Arial" w:hAnsi="Arial" w:cs="Arial"/>
        </w:rPr>
        <w:t>23</w:t>
      </w:r>
      <w:r w:rsidRPr="00CC520C">
        <w:rPr>
          <w:rFonts w:ascii="Arial" w:hAnsi="Arial" w:cs="Arial"/>
        </w:rPr>
        <w:t xml:space="preserve"> March 2026).</w:t>
      </w:r>
    </w:p>
    <w:p w14:paraId="3BC1E825" w14:textId="77777777" w:rsidR="00FB38CC" w:rsidRDefault="00FB38CC" w:rsidP="004B488F">
      <w:pPr>
        <w:spacing w:line="360" w:lineRule="auto"/>
        <w:jc w:val="both"/>
        <w:rPr>
          <w:rFonts w:ascii="Arial" w:hAnsi="Arial" w:cs="Arial"/>
        </w:rPr>
      </w:pPr>
    </w:p>
    <w:p w14:paraId="5AD4068C" w14:textId="68FC8D34" w:rsidR="00FB38CC" w:rsidRPr="00F83D65" w:rsidRDefault="00FB38CC" w:rsidP="004B488F">
      <w:pPr>
        <w:spacing w:line="360" w:lineRule="auto"/>
        <w:jc w:val="both"/>
        <w:rPr>
          <w:rFonts w:ascii="Arial" w:hAnsi="Arial" w:cs="Arial"/>
        </w:rPr>
      </w:pPr>
      <w:r w:rsidRPr="00F83D65">
        <w:rPr>
          <w:rFonts w:ascii="Arial" w:hAnsi="Arial" w:cs="Arial"/>
        </w:rPr>
        <w:t xml:space="preserve">HM Government (2025) </w:t>
      </w:r>
      <w:r w:rsidRPr="00F83D65">
        <w:rPr>
          <w:rFonts w:ascii="Arial" w:hAnsi="Arial" w:cs="Arial"/>
          <w:i/>
          <w:iCs/>
        </w:rPr>
        <w:t>Care and support statutory guidance</w:t>
      </w:r>
      <w:r w:rsidRPr="00F83D65">
        <w:rPr>
          <w:rFonts w:ascii="Arial" w:hAnsi="Arial" w:cs="Arial"/>
        </w:rPr>
        <w:t xml:space="preserve">. Available at: </w:t>
      </w:r>
      <w:hyperlink r:id="rId13" w:tgtFrame="_new" w:history="1">
        <w:r w:rsidRPr="00F83D65">
          <w:rPr>
            <w:rStyle w:val="Hyperlink"/>
            <w:rFonts w:ascii="Arial" w:hAnsi="Arial" w:cs="Arial"/>
          </w:rPr>
          <w:t>https://www.gov.uk/government/publications/care-act-statutory-guidance/care-and-support-statutory-guidance</w:t>
        </w:r>
      </w:hyperlink>
      <w:r w:rsidRPr="00F83D65">
        <w:rPr>
          <w:rFonts w:ascii="Arial" w:hAnsi="Arial" w:cs="Arial"/>
        </w:rPr>
        <w:t xml:space="preserve"> (Accessed: 23 March 2026).</w:t>
      </w:r>
    </w:p>
    <w:p w14:paraId="577F3280" w14:textId="77777777" w:rsidR="00FB38CC" w:rsidRDefault="00FB38CC" w:rsidP="004B488F">
      <w:pPr>
        <w:spacing w:line="360" w:lineRule="auto"/>
        <w:jc w:val="both"/>
        <w:rPr>
          <w:rFonts w:ascii="Arial" w:hAnsi="Arial" w:cs="Arial"/>
        </w:rPr>
      </w:pPr>
    </w:p>
    <w:p w14:paraId="130C1B94" w14:textId="18F3AEA2" w:rsidR="00FB38CC" w:rsidRPr="001001B4" w:rsidRDefault="00FB38CC" w:rsidP="004B488F">
      <w:pPr>
        <w:spacing w:line="360" w:lineRule="auto"/>
        <w:jc w:val="both"/>
        <w:rPr>
          <w:rFonts w:ascii="Arial" w:hAnsi="Arial" w:cs="Arial"/>
        </w:rPr>
      </w:pPr>
      <w:r w:rsidRPr="001001B4">
        <w:rPr>
          <w:rFonts w:ascii="Arial" w:hAnsi="Arial" w:cs="Arial"/>
        </w:rPr>
        <w:t xml:space="preserve">Marnfeldt, K. and Wilber, K. (2025) ‘The Safety-Autonomy Grid: A Flexible Framework for Navigating Protection and Independence for Older Adults’, </w:t>
      </w:r>
      <w:r w:rsidRPr="001001B4">
        <w:rPr>
          <w:rFonts w:ascii="Arial" w:hAnsi="Arial" w:cs="Arial"/>
          <w:i/>
          <w:iCs/>
        </w:rPr>
        <w:t>The Gerontologist</w:t>
      </w:r>
      <w:r w:rsidRPr="001001B4">
        <w:rPr>
          <w:rFonts w:ascii="Arial" w:hAnsi="Arial" w:cs="Arial"/>
        </w:rPr>
        <w:t xml:space="preserve">, 65(6), p. gnaf111. Available at: </w:t>
      </w:r>
      <w:hyperlink r:id="rId14" w:history="1">
        <w:r w:rsidRPr="00A67597">
          <w:rPr>
            <w:rStyle w:val="Hyperlink"/>
            <w:rFonts w:ascii="Arial" w:hAnsi="Arial" w:cs="Arial"/>
          </w:rPr>
          <w:t>https://doi.org/10.1093/geront/gnaf111</w:t>
        </w:r>
      </w:hyperlink>
      <w:r w:rsidRPr="001001B4">
        <w:rPr>
          <w:rFonts w:ascii="Arial" w:hAnsi="Arial" w:cs="Arial"/>
        </w:rPr>
        <w:t xml:space="preserve"> (Accessed: 23 March 2026).</w:t>
      </w:r>
    </w:p>
    <w:p w14:paraId="200581A9" w14:textId="77777777" w:rsidR="00FB38CC" w:rsidRDefault="00FB38CC" w:rsidP="004B488F">
      <w:pPr>
        <w:spacing w:line="360" w:lineRule="auto"/>
        <w:jc w:val="both"/>
        <w:rPr>
          <w:rFonts w:ascii="Arial" w:hAnsi="Arial" w:cs="Arial"/>
        </w:rPr>
      </w:pPr>
    </w:p>
    <w:p w14:paraId="528AB3C3" w14:textId="45C13470" w:rsidR="00FB38CC" w:rsidRPr="0034522C" w:rsidRDefault="00FB38CC" w:rsidP="004B488F">
      <w:pPr>
        <w:spacing w:line="360" w:lineRule="auto"/>
        <w:jc w:val="both"/>
        <w:rPr>
          <w:rFonts w:ascii="Arial" w:hAnsi="Arial" w:cs="Arial"/>
        </w:rPr>
      </w:pPr>
      <w:r w:rsidRPr="0034522C">
        <w:rPr>
          <w:rFonts w:ascii="Arial" w:hAnsi="Arial" w:cs="Arial"/>
        </w:rPr>
        <w:t xml:space="preserve">McCance, T. and McCormack, B. (2025) ‘The Person-centred Nursing Framework: a mid-range theory for nursing practice’, </w:t>
      </w:r>
      <w:r w:rsidRPr="0034522C">
        <w:rPr>
          <w:rFonts w:ascii="Arial" w:hAnsi="Arial" w:cs="Arial"/>
          <w:i/>
          <w:iCs/>
        </w:rPr>
        <w:t>Journal of Research in Nursing</w:t>
      </w:r>
      <w:r w:rsidRPr="0034522C">
        <w:rPr>
          <w:rFonts w:ascii="Arial" w:hAnsi="Arial" w:cs="Arial"/>
        </w:rPr>
        <w:t xml:space="preserve">, 30(1), pp. 47–60. Available at: </w:t>
      </w:r>
      <w:hyperlink r:id="rId15" w:history="1">
        <w:r w:rsidRPr="00A67597">
          <w:rPr>
            <w:rStyle w:val="Hyperlink"/>
            <w:rFonts w:ascii="Arial" w:hAnsi="Arial" w:cs="Arial"/>
          </w:rPr>
          <w:t>https://doi.org/10.1177/17449871241281428</w:t>
        </w:r>
      </w:hyperlink>
      <w:r>
        <w:rPr>
          <w:rFonts w:ascii="Arial" w:hAnsi="Arial" w:cs="Arial"/>
        </w:rPr>
        <w:t xml:space="preserve"> (Accessed: 23 March 2026).</w:t>
      </w:r>
    </w:p>
    <w:p w14:paraId="1054F4FB" w14:textId="77777777" w:rsidR="00FB38CC" w:rsidRDefault="00FB38CC" w:rsidP="004B488F">
      <w:pPr>
        <w:spacing w:line="360" w:lineRule="auto"/>
        <w:jc w:val="both"/>
        <w:rPr>
          <w:rFonts w:ascii="Arial" w:hAnsi="Arial" w:cs="Arial"/>
        </w:rPr>
      </w:pPr>
    </w:p>
    <w:p w14:paraId="2E1F261E" w14:textId="0E4BE320" w:rsidR="00FB38CC" w:rsidRPr="005C1FD2" w:rsidRDefault="00FB38CC" w:rsidP="004B488F">
      <w:pPr>
        <w:spacing w:line="360" w:lineRule="auto"/>
        <w:jc w:val="both"/>
        <w:rPr>
          <w:rFonts w:ascii="Arial" w:hAnsi="Arial" w:cs="Arial"/>
        </w:rPr>
      </w:pPr>
      <w:r w:rsidRPr="005C1FD2">
        <w:rPr>
          <w:rFonts w:ascii="Arial" w:hAnsi="Arial" w:cs="Arial"/>
        </w:rPr>
        <w:t xml:space="preserve">National Center for Biotechnology Information (2022) </w:t>
      </w:r>
      <w:r w:rsidRPr="005C1FD2">
        <w:rPr>
          <w:rFonts w:ascii="Arial" w:hAnsi="Arial" w:cs="Arial"/>
          <w:i/>
          <w:iCs/>
        </w:rPr>
        <w:t>Informed Consent</w:t>
      </w:r>
      <w:r w:rsidRPr="005C1FD2">
        <w:rPr>
          <w:rFonts w:ascii="Arial" w:hAnsi="Arial" w:cs="Arial"/>
        </w:rPr>
        <w:t xml:space="preserve">. In: StatPearls [Internet]. Treasure Island (FL): StatPearls Publishing. Available at: </w:t>
      </w:r>
      <w:hyperlink r:id="rId16" w:history="1">
        <w:r w:rsidRPr="00A67597">
          <w:rPr>
            <w:rStyle w:val="Hyperlink"/>
            <w:rFonts w:ascii="Arial" w:hAnsi="Arial" w:cs="Arial"/>
          </w:rPr>
          <w:t>https://www.ncbi.nlm.nih.gov/books/NBK538279/</w:t>
        </w:r>
      </w:hyperlink>
      <w:r w:rsidRPr="005C1FD2">
        <w:rPr>
          <w:rFonts w:ascii="Arial" w:hAnsi="Arial" w:cs="Arial"/>
        </w:rPr>
        <w:t xml:space="preserve"> (Accessed: 23 March 2026).</w:t>
      </w:r>
    </w:p>
    <w:p w14:paraId="7C062469" w14:textId="77777777" w:rsidR="00FB38CC" w:rsidRPr="00A41F44" w:rsidRDefault="00FB38CC" w:rsidP="004B488F">
      <w:pPr>
        <w:spacing w:line="360" w:lineRule="auto"/>
        <w:jc w:val="both"/>
        <w:rPr>
          <w:rFonts w:ascii="Arial" w:hAnsi="Arial" w:cs="Arial"/>
        </w:rPr>
      </w:pPr>
      <w:r w:rsidRPr="00A41F44">
        <w:rPr>
          <w:rFonts w:ascii="Arial" w:hAnsi="Arial" w:cs="Arial"/>
        </w:rPr>
        <w:t xml:space="preserve">National Center for Biotechnology Information (2022) </w:t>
      </w:r>
      <w:r w:rsidRPr="00A41F44">
        <w:rPr>
          <w:rFonts w:ascii="Arial" w:hAnsi="Arial" w:cs="Arial"/>
          <w:i/>
          <w:iCs/>
        </w:rPr>
        <w:t>Shared Decision Making</w:t>
      </w:r>
      <w:r w:rsidRPr="00A41F44">
        <w:rPr>
          <w:rFonts w:ascii="Arial" w:hAnsi="Arial" w:cs="Arial"/>
        </w:rPr>
        <w:t xml:space="preserve">. In: StatPearls [Internet]. Treasure Island (FL): StatPearls Publishing. Available at: </w:t>
      </w:r>
      <w:hyperlink r:id="rId17" w:history="1">
        <w:r w:rsidRPr="00A67597">
          <w:rPr>
            <w:rStyle w:val="Hyperlink"/>
            <w:rFonts w:ascii="Arial" w:hAnsi="Arial" w:cs="Arial"/>
          </w:rPr>
          <w:t>https://www.ncbi.nlm.nih.gov/books/NBK589708/</w:t>
        </w:r>
      </w:hyperlink>
      <w:r>
        <w:rPr>
          <w:rFonts w:ascii="Arial" w:hAnsi="Arial" w:cs="Arial"/>
        </w:rPr>
        <w:t xml:space="preserve"> </w:t>
      </w:r>
      <w:r w:rsidRPr="00A41F44">
        <w:rPr>
          <w:rFonts w:ascii="Arial" w:hAnsi="Arial" w:cs="Arial"/>
        </w:rPr>
        <w:t>(Accessed: 23 March 2026).</w:t>
      </w:r>
    </w:p>
    <w:p w14:paraId="0B80C4EE" w14:textId="77777777" w:rsidR="00FB38CC" w:rsidRDefault="00FB38CC" w:rsidP="004B488F">
      <w:pPr>
        <w:spacing w:line="360" w:lineRule="auto"/>
        <w:jc w:val="both"/>
        <w:rPr>
          <w:rFonts w:ascii="Arial" w:hAnsi="Arial" w:cs="Arial"/>
        </w:rPr>
      </w:pPr>
    </w:p>
    <w:p w14:paraId="12AFD658" w14:textId="2646F70F" w:rsidR="00FB38CC" w:rsidRPr="008C3DF4" w:rsidRDefault="00FB38CC" w:rsidP="004B488F">
      <w:pPr>
        <w:spacing w:line="360" w:lineRule="auto"/>
        <w:jc w:val="both"/>
        <w:rPr>
          <w:rFonts w:ascii="Arial" w:hAnsi="Arial" w:cs="Arial"/>
        </w:rPr>
      </w:pPr>
      <w:r w:rsidRPr="008C3DF4">
        <w:rPr>
          <w:rFonts w:ascii="Arial" w:hAnsi="Arial" w:cs="Arial"/>
        </w:rPr>
        <w:t xml:space="preserve">National Institute for Health and Care Excellence (2003– ) </w:t>
      </w:r>
      <w:r w:rsidRPr="008C3DF4">
        <w:rPr>
          <w:rFonts w:ascii="Arial" w:hAnsi="Arial" w:cs="Arial"/>
          <w:i/>
          <w:iCs/>
        </w:rPr>
        <w:t>Clinical guidelines</w:t>
      </w:r>
      <w:r w:rsidRPr="008C3DF4">
        <w:rPr>
          <w:rFonts w:ascii="Arial" w:hAnsi="Arial" w:cs="Arial"/>
        </w:rPr>
        <w:t xml:space="preserve">. London: National Institute for Health and Care Excellence. Available at: </w:t>
      </w:r>
      <w:hyperlink r:id="rId18" w:tgtFrame="_new" w:history="1">
        <w:r w:rsidRPr="008C3DF4">
          <w:rPr>
            <w:rStyle w:val="Hyperlink"/>
            <w:rFonts w:ascii="Arial" w:hAnsi="Arial" w:cs="Arial"/>
          </w:rPr>
          <w:t>https://www.ncbi.nlm.nih.gov/books/NBK11822/</w:t>
        </w:r>
      </w:hyperlink>
      <w:r w:rsidRPr="008C3DF4">
        <w:rPr>
          <w:rFonts w:ascii="Arial" w:hAnsi="Arial" w:cs="Arial"/>
        </w:rPr>
        <w:t xml:space="preserve"> (Accessed: 23 March 2026). </w:t>
      </w:r>
    </w:p>
    <w:p w14:paraId="01891165" w14:textId="77777777" w:rsidR="00FB38CC" w:rsidRDefault="00FB38CC" w:rsidP="004B488F">
      <w:pPr>
        <w:spacing w:line="360" w:lineRule="auto"/>
        <w:jc w:val="both"/>
        <w:rPr>
          <w:rFonts w:ascii="Arial" w:hAnsi="Arial" w:cs="Arial"/>
        </w:rPr>
      </w:pPr>
    </w:p>
    <w:p w14:paraId="7EBEADBB" w14:textId="660FA711" w:rsidR="00FB38CC" w:rsidRPr="00EB1ED4" w:rsidRDefault="00FB38CC" w:rsidP="004B488F">
      <w:pPr>
        <w:spacing w:line="360" w:lineRule="auto"/>
        <w:jc w:val="both"/>
        <w:rPr>
          <w:rFonts w:ascii="Arial" w:hAnsi="Arial" w:cs="Arial"/>
        </w:rPr>
      </w:pPr>
      <w:r w:rsidRPr="00EB1ED4">
        <w:rPr>
          <w:rFonts w:ascii="Arial" w:hAnsi="Arial" w:cs="Arial"/>
        </w:rPr>
        <w:t xml:space="preserve">Summer Meranius, M., Holmström, I.K., Håkansson, J., </w:t>
      </w:r>
      <w:proofErr w:type="spellStart"/>
      <w:r w:rsidRPr="00EB1ED4">
        <w:rPr>
          <w:rFonts w:ascii="Arial" w:hAnsi="Arial" w:cs="Arial"/>
        </w:rPr>
        <w:t>Breitholtz</w:t>
      </w:r>
      <w:proofErr w:type="spellEnd"/>
      <w:r w:rsidRPr="00EB1ED4">
        <w:rPr>
          <w:rFonts w:ascii="Arial" w:hAnsi="Arial" w:cs="Arial"/>
        </w:rPr>
        <w:t xml:space="preserve">, A., </w:t>
      </w:r>
      <w:proofErr w:type="spellStart"/>
      <w:r w:rsidRPr="00EB1ED4">
        <w:rPr>
          <w:rFonts w:ascii="Arial" w:hAnsi="Arial" w:cs="Arial"/>
        </w:rPr>
        <w:t>Moniri</w:t>
      </w:r>
      <w:proofErr w:type="spellEnd"/>
      <w:r w:rsidRPr="00EB1ED4">
        <w:rPr>
          <w:rFonts w:ascii="Arial" w:hAnsi="Arial" w:cs="Arial"/>
        </w:rPr>
        <w:t xml:space="preserve">, F., </w:t>
      </w:r>
      <w:proofErr w:type="spellStart"/>
      <w:r w:rsidRPr="00EB1ED4">
        <w:rPr>
          <w:rFonts w:ascii="Arial" w:hAnsi="Arial" w:cs="Arial"/>
        </w:rPr>
        <w:t>Skogevall</w:t>
      </w:r>
      <w:proofErr w:type="spellEnd"/>
      <w:r w:rsidRPr="00EB1ED4">
        <w:rPr>
          <w:rFonts w:ascii="Arial" w:hAnsi="Arial" w:cs="Arial"/>
        </w:rPr>
        <w:t xml:space="preserve">, S., Skoglund, K. and </w:t>
      </w:r>
      <w:proofErr w:type="spellStart"/>
      <w:r w:rsidRPr="00EB1ED4">
        <w:rPr>
          <w:rFonts w:ascii="Arial" w:hAnsi="Arial" w:cs="Arial"/>
        </w:rPr>
        <w:t>Rasoal</w:t>
      </w:r>
      <w:proofErr w:type="spellEnd"/>
      <w:r w:rsidRPr="00EB1ED4">
        <w:rPr>
          <w:rFonts w:ascii="Arial" w:hAnsi="Arial" w:cs="Arial"/>
        </w:rPr>
        <w:t xml:space="preserve">, D. (2020) ‘Paradoxes of person-centred care: A discussion paper’, </w:t>
      </w:r>
      <w:r w:rsidRPr="00EB1ED4">
        <w:rPr>
          <w:rFonts w:ascii="Arial" w:hAnsi="Arial" w:cs="Arial"/>
          <w:i/>
          <w:iCs/>
        </w:rPr>
        <w:t>Nursing Open</w:t>
      </w:r>
      <w:r w:rsidRPr="00EB1ED4">
        <w:rPr>
          <w:rFonts w:ascii="Arial" w:hAnsi="Arial" w:cs="Arial"/>
        </w:rPr>
        <w:t xml:space="preserve">, 7(5), pp. 1321–1329. Available at: </w:t>
      </w:r>
      <w:hyperlink r:id="rId19" w:history="1">
        <w:r w:rsidRPr="00A67597">
          <w:rPr>
            <w:rStyle w:val="Hyperlink"/>
            <w:rFonts w:ascii="Arial" w:hAnsi="Arial" w:cs="Arial"/>
          </w:rPr>
          <w:t>https://doi.org/10.1002/nop2.520</w:t>
        </w:r>
      </w:hyperlink>
      <w:r>
        <w:rPr>
          <w:rFonts w:ascii="Arial" w:hAnsi="Arial" w:cs="Arial"/>
        </w:rPr>
        <w:t xml:space="preserve"> </w:t>
      </w:r>
      <w:r w:rsidRPr="00EB1ED4">
        <w:rPr>
          <w:rFonts w:ascii="Arial" w:hAnsi="Arial" w:cs="Arial"/>
        </w:rPr>
        <w:t>(Accessed: 23 March 2026).</w:t>
      </w:r>
    </w:p>
    <w:p w14:paraId="295EEE78" w14:textId="77777777" w:rsidR="00FB38CC" w:rsidRDefault="00FB38CC" w:rsidP="004B488F">
      <w:pPr>
        <w:spacing w:line="360" w:lineRule="auto"/>
        <w:jc w:val="both"/>
        <w:rPr>
          <w:rFonts w:ascii="Arial" w:hAnsi="Arial" w:cs="Arial"/>
        </w:rPr>
      </w:pPr>
    </w:p>
    <w:p w14:paraId="741BCEE0" w14:textId="026CF77B" w:rsidR="00FB38CC" w:rsidRDefault="00FB38CC" w:rsidP="004B488F">
      <w:pPr>
        <w:spacing w:line="360" w:lineRule="auto"/>
        <w:jc w:val="both"/>
        <w:rPr>
          <w:rFonts w:ascii="Arial" w:hAnsi="Arial" w:cs="Arial"/>
        </w:rPr>
      </w:pPr>
      <w:r w:rsidRPr="00FA63C0">
        <w:rPr>
          <w:rFonts w:ascii="Arial" w:hAnsi="Arial" w:cs="Arial"/>
        </w:rPr>
        <w:t xml:space="preserve">West, E., Barron, D. and Reeves, R. (2005) ‘Overcoming the barriers to patient-centred care: Time, tools and training’, </w:t>
      </w:r>
      <w:r w:rsidRPr="00FA63C0">
        <w:rPr>
          <w:rFonts w:ascii="Arial" w:hAnsi="Arial" w:cs="Arial"/>
          <w:i/>
          <w:iCs/>
        </w:rPr>
        <w:t>Journal of Clinical Nursing</w:t>
      </w:r>
      <w:r w:rsidRPr="00FA63C0">
        <w:rPr>
          <w:rFonts w:ascii="Arial" w:hAnsi="Arial" w:cs="Arial"/>
        </w:rPr>
        <w:t xml:space="preserve">, 14(4), pp. 435–443. Available at: </w:t>
      </w:r>
      <w:hyperlink r:id="rId20" w:history="1">
        <w:r w:rsidRPr="00A67597">
          <w:rPr>
            <w:rStyle w:val="Hyperlink"/>
            <w:rFonts w:ascii="Arial" w:hAnsi="Arial" w:cs="Arial"/>
          </w:rPr>
          <w:t>https://doi.org/10.1111/j.1365-2702.2004.01091.x</w:t>
        </w:r>
      </w:hyperlink>
      <w:r>
        <w:rPr>
          <w:rFonts w:ascii="Arial" w:hAnsi="Arial" w:cs="Arial"/>
        </w:rPr>
        <w:t xml:space="preserve"> (Accessed: 23 March 2026).</w:t>
      </w:r>
    </w:p>
    <w:p w14:paraId="5A9E9D64" w14:textId="77777777" w:rsidR="008A3780" w:rsidRDefault="008A3780" w:rsidP="004B488F">
      <w:pPr>
        <w:jc w:val="both"/>
      </w:pPr>
    </w:p>
    <w:sectPr w:rsidR="008A378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A0BA3" w14:textId="77777777" w:rsidR="00E26495" w:rsidRDefault="00E26495" w:rsidP="003D2C5D">
      <w:pPr>
        <w:spacing w:after="0" w:line="240" w:lineRule="auto"/>
      </w:pPr>
      <w:r>
        <w:separator/>
      </w:r>
    </w:p>
  </w:endnote>
  <w:endnote w:type="continuationSeparator" w:id="0">
    <w:p w14:paraId="09333596" w14:textId="77777777" w:rsidR="00E26495" w:rsidRDefault="00E26495" w:rsidP="003D2C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0720047"/>
      <w:docPartObj>
        <w:docPartGallery w:val="Page Numbers (Bottom of Page)"/>
        <w:docPartUnique/>
      </w:docPartObj>
    </w:sdtPr>
    <w:sdtContent>
      <w:p w14:paraId="10540FE0" w14:textId="60CE88D6" w:rsidR="003D2C5D" w:rsidRDefault="003D2C5D">
        <w:pPr>
          <w:pStyle w:val="Footer"/>
          <w:jc w:val="center"/>
        </w:pPr>
        <w:r>
          <w:fldChar w:fldCharType="begin"/>
        </w:r>
        <w:r>
          <w:instrText>PAGE   \* MERGEFORMAT</w:instrText>
        </w:r>
        <w:r>
          <w:fldChar w:fldCharType="separate"/>
        </w:r>
        <w:r>
          <w:t>2</w:t>
        </w:r>
        <w:r>
          <w:fldChar w:fldCharType="end"/>
        </w:r>
      </w:p>
    </w:sdtContent>
  </w:sdt>
  <w:p w14:paraId="34824E84" w14:textId="77777777" w:rsidR="003D2C5D" w:rsidRDefault="003D2C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C88FE8" w14:textId="77777777" w:rsidR="00E26495" w:rsidRDefault="00E26495" w:rsidP="003D2C5D">
      <w:pPr>
        <w:spacing w:after="0" w:line="240" w:lineRule="auto"/>
      </w:pPr>
      <w:r>
        <w:separator/>
      </w:r>
    </w:p>
  </w:footnote>
  <w:footnote w:type="continuationSeparator" w:id="0">
    <w:p w14:paraId="15FFA262" w14:textId="77777777" w:rsidR="00E26495" w:rsidRDefault="00E26495" w:rsidP="003D2C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84D18"/>
    <w:multiLevelType w:val="hybridMultilevel"/>
    <w:tmpl w:val="AE20A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652CC1"/>
    <w:multiLevelType w:val="multilevel"/>
    <w:tmpl w:val="F3EC65F6"/>
    <w:lvl w:ilvl="0">
      <w:start w:val="1"/>
      <w:numFmt w:val="decimal"/>
      <w:lvlText w:val="%1."/>
      <w:lvlJc w:val="left"/>
      <w:pPr>
        <w:tabs>
          <w:tab w:val="num" w:pos="720"/>
        </w:tabs>
        <w:ind w:left="720" w:hanging="360"/>
      </w:pPr>
      <w:rPr>
        <w:rFonts w:ascii="Arial" w:eastAsiaTheme="minorHAnsi"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93360941">
    <w:abstractNumId w:val="0"/>
  </w:num>
  <w:num w:numId="2" w16cid:durableId="10400109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A30"/>
    <w:rsid w:val="00027CB3"/>
    <w:rsid w:val="000B7D07"/>
    <w:rsid w:val="001001B4"/>
    <w:rsid w:val="001651B3"/>
    <w:rsid w:val="00190A4C"/>
    <w:rsid w:val="001C1E96"/>
    <w:rsid w:val="001C5F78"/>
    <w:rsid w:val="001D3240"/>
    <w:rsid w:val="001E2EC7"/>
    <w:rsid w:val="00236192"/>
    <w:rsid w:val="002716F6"/>
    <w:rsid w:val="002C190B"/>
    <w:rsid w:val="002D1FD9"/>
    <w:rsid w:val="002D5D36"/>
    <w:rsid w:val="00315001"/>
    <w:rsid w:val="0034522C"/>
    <w:rsid w:val="0037528B"/>
    <w:rsid w:val="003A65D8"/>
    <w:rsid w:val="003D2C5D"/>
    <w:rsid w:val="00484335"/>
    <w:rsid w:val="004B488F"/>
    <w:rsid w:val="004E6B70"/>
    <w:rsid w:val="0051163F"/>
    <w:rsid w:val="00543D88"/>
    <w:rsid w:val="005C1FD2"/>
    <w:rsid w:val="005E5C64"/>
    <w:rsid w:val="00665580"/>
    <w:rsid w:val="00734914"/>
    <w:rsid w:val="00772C37"/>
    <w:rsid w:val="00774814"/>
    <w:rsid w:val="007E5DEA"/>
    <w:rsid w:val="008356A4"/>
    <w:rsid w:val="0089146B"/>
    <w:rsid w:val="008A3780"/>
    <w:rsid w:val="008B1BCC"/>
    <w:rsid w:val="008B2FA0"/>
    <w:rsid w:val="008C3DF4"/>
    <w:rsid w:val="008D48D7"/>
    <w:rsid w:val="008D7400"/>
    <w:rsid w:val="008F4099"/>
    <w:rsid w:val="008F56DC"/>
    <w:rsid w:val="00944CA4"/>
    <w:rsid w:val="009716B9"/>
    <w:rsid w:val="009B2461"/>
    <w:rsid w:val="009B336C"/>
    <w:rsid w:val="009E6A96"/>
    <w:rsid w:val="00A27EBC"/>
    <w:rsid w:val="00A41F44"/>
    <w:rsid w:val="00A87425"/>
    <w:rsid w:val="00AC2E3D"/>
    <w:rsid w:val="00B96FCF"/>
    <w:rsid w:val="00BD4B04"/>
    <w:rsid w:val="00C67B5E"/>
    <w:rsid w:val="00CC520C"/>
    <w:rsid w:val="00CF2271"/>
    <w:rsid w:val="00D347F9"/>
    <w:rsid w:val="00DF6F1E"/>
    <w:rsid w:val="00E0582F"/>
    <w:rsid w:val="00E12CAE"/>
    <w:rsid w:val="00E26495"/>
    <w:rsid w:val="00E37E11"/>
    <w:rsid w:val="00E75DF6"/>
    <w:rsid w:val="00EA65A4"/>
    <w:rsid w:val="00EB1ED4"/>
    <w:rsid w:val="00F2059B"/>
    <w:rsid w:val="00F67BE3"/>
    <w:rsid w:val="00F67E4E"/>
    <w:rsid w:val="00F77252"/>
    <w:rsid w:val="00F77A30"/>
    <w:rsid w:val="00F83D65"/>
    <w:rsid w:val="00FA63C0"/>
    <w:rsid w:val="00FB38CC"/>
    <w:rsid w:val="00FF5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F418E1"/>
  <w15:chartTrackingRefBased/>
  <w15:docId w15:val="{E2E4D1FC-2682-4A36-B44A-B1CA24924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7A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7A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7A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7A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7A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7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7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7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7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7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7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7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7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7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7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7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7A30"/>
    <w:rPr>
      <w:rFonts w:eastAsiaTheme="majorEastAsia" w:cstheme="majorBidi"/>
      <w:color w:val="272727" w:themeColor="text1" w:themeTint="D8"/>
    </w:rPr>
  </w:style>
  <w:style w:type="paragraph" w:styleId="Title">
    <w:name w:val="Title"/>
    <w:basedOn w:val="Normal"/>
    <w:next w:val="Normal"/>
    <w:link w:val="TitleChar"/>
    <w:uiPriority w:val="10"/>
    <w:qFormat/>
    <w:rsid w:val="00F77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7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7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7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7A30"/>
    <w:pPr>
      <w:spacing w:before="160"/>
      <w:jc w:val="center"/>
    </w:pPr>
    <w:rPr>
      <w:i/>
      <w:iCs/>
      <w:color w:val="404040" w:themeColor="text1" w:themeTint="BF"/>
    </w:rPr>
  </w:style>
  <w:style w:type="character" w:customStyle="1" w:styleId="QuoteChar">
    <w:name w:val="Quote Char"/>
    <w:basedOn w:val="DefaultParagraphFont"/>
    <w:link w:val="Quote"/>
    <w:uiPriority w:val="29"/>
    <w:rsid w:val="00F77A30"/>
    <w:rPr>
      <w:i/>
      <w:iCs/>
      <w:color w:val="404040" w:themeColor="text1" w:themeTint="BF"/>
    </w:rPr>
  </w:style>
  <w:style w:type="paragraph" w:styleId="ListParagraph">
    <w:name w:val="List Paragraph"/>
    <w:basedOn w:val="Normal"/>
    <w:uiPriority w:val="34"/>
    <w:qFormat/>
    <w:rsid w:val="00F77A30"/>
    <w:pPr>
      <w:ind w:left="720"/>
      <w:contextualSpacing/>
    </w:pPr>
  </w:style>
  <w:style w:type="character" w:styleId="IntenseEmphasis">
    <w:name w:val="Intense Emphasis"/>
    <w:basedOn w:val="DefaultParagraphFont"/>
    <w:uiPriority w:val="21"/>
    <w:qFormat/>
    <w:rsid w:val="00F77A30"/>
    <w:rPr>
      <w:i/>
      <w:iCs/>
      <w:color w:val="0F4761" w:themeColor="accent1" w:themeShade="BF"/>
    </w:rPr>
  </w:style>
  <w:style w:type="paragraph" w:styleId="IntenseQuote">
    <w:name w:val="Intense Quote"/>
    <w:basedOn w:val="Normal"/>
    <w:next w:val="Normal"/>
    <w:link w:val="IntenseQuoteChar"/>
    <w:uiPriority w:val="30"/>
    <w:qFormat/>
    <w:rsid w:val="00F77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7A30"/>
    <w:rPr>
      <w:i/>
      <w:iCs/>
      <w:color w:val="0F4761" w:themeColor="accent1" w:themeShade="BF"/>
    </w:rPr>
  </w:style>
  <w:style w:type="character" w:styleId="IntenseReference">
    <w:name w:val="Intense Reference"/>
    <w:basedOn w:val="DefaultParagraphFont"/>
    <w:uiPriority w:val="32"/>
    <w:qFormat/>
    <w:rsid w:val="00F77A30"/>
    <w:rPr>
      <w:b/>
      <w:bCs/>
      <w:smallCaps/>
      <w:color w:val="0F4761" w:themeColor="accent1" w:themeShade="BF"/>
      <w:spacing w:val="5"/>
    </w:rPr>
  </w:style>
  <w:style w:type="character" w:styleId="Hyperlink">
    <w:name w:val="Hyperlink"/>
    <w:basedOn w:val="DefaultParagraphFont"/>
    <w:uiPriority w:val="99"/>
    <w:unhideWhenUsed/>
    <w:rsid w:val="008D7400"/>
    <w:rPr>
      <w:color w:val="467886" w:themeColor="hyperlink"/>
      <w:u w:val="single"/>
    </w:rPr>
  </w:style>
  <w:style w:type="character" w:styleId="UnresolvedMention">
    <w:name w:val="Unresolved Mention"/>
    <w:basedOn w:val="DefaultParagraphFont"/>
    <w:uiPriority w:val="99"/>
    <w:semiHidden/>
    <w:unhideWhenUsed/>
    <w:rsid w:val="008D7400"/>
    <w:rPr>
      <w:color w:val="605E5C"/>
      <w:shd w:val="clear" w:color="auto" w:fill="E1DFDD"/>
    </w:rPr>
  </w:style>
  <w:style w:type="character" w:styleId="FollowedHyperlink">
    <w:name w:val="FollowedHyperlink"/>
    <w:basedOn w:val="DefaultParagraphFont"/>
    <w:uiPriority w:val="99"/>
    <w:semiHidden/>
    <w:unhideWhenUsed/>
    <w:rsid w:val="00FA63C0"/>
    <w:rPr>
      <w:color w:val="96607D" w:themeColor="followedHyperlink"/>
      <w:u w:val="single"/>
    </w:rPr>
  </w:style>
  <w:style w:type="paragraph" w:styleId="Header">
    <w:name w:val="header"/>
    <w:basedOn w:val="Normal"/>
    <w:link w:val="HeaderChar"/>
    <w:uiPriority w:val="99"/>
    <w:unhideWhenUsed/>
    <w:rsid w:val="003D2C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C5D"/>
  </w:style>
  <w:style w:type="paragraph" w:styleId="Footer">
    <w:name w:val="footer"/>
    <w:basedOn w:val="Normal"/>
    <w:link w:val="FooterChar"/>
    <w:uiPriority w:val="99"/>
    <w:unhideWhenUsed/>
    <w:rsid w:val="003D2C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C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29923" TargetMode="External"/><Relationship Id="rId13" Type="http://schemas.openxmlformats.org/officeDocument/2006/relationships/hyperlink" Target="https://www.gov.uk/government/publications/care-act-statutory-guidance/care-and-support-statutory-guidance" TargetMode="External"/><Relationship Id="rId18" Type="http://schemas.openxmlformats.org/officeDocument/2006/relationships/hyperlink" Target="https://www.ncbi.nlm.nih.gov/books/NBK11822/"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ncbi.nlm.nih.gov/pmc/articles/PMC4949805/" TargetMode="External"/><Relationship Id="rId12" Type="http://schemas.openxmlformats.org/officeDocument/2006/relationships/hyperlink" Target="https://doi.org/10.3390/healthcare11030359" TargetMode="External"/><Relationship Id="rId17" Type="http://schemas.openxmlformats.org/officeDocument/2006/relationships/hyperlink" Target="https://www.ncbi.nlm.nih.gov/books/NBK589708/" TargetMode="External"/><Relationship Id="rId2" Type="http://schemas.openxmlformats.org/officeDocument/2006/relationships/styles" Target="styles.xml"/><Relationship Id="rId16" Type="http://schemas.openxmlformats.org/officeDocument/2006/relationships/hyperlink" Target="https://www.ncbi.nlm.nih.gov/books/NBK538279/" TargetMode="External"/><Relationship Id="rId20" Type="http://schemas.openxmlformats.org/officeDocument/2006/relationships/hyperlink" Target="https://doi.org/10.1111/j.1365-2702.2004.01091.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97/HMR.0000000000000254" TargetMode="External"/><Relationship Id="rId5" Type="http://schemas.openxmlformats.org/officeDocument/2006/relationships/footnotes" Target="footnotes.xml"/><Relationship Id="rId15" Type="http://schemas.openxmlformats.org/officeDocument/2006/relationships/hyperlink" Target="https://doi.org/10.1177/17449871241281428" TargetMode="External"/><Relationship Id="rId23" Type="http://schemas.openxmlformats.org/officeDocument/2006/relationships/theme" Target="theme/theme1.xml"/><Relationship Id="rId10" Type="http://schemas.openxmlformats.org/officeDocument/2006/relationships/hyperlink" Target="https://doi.org/10.1111/bioe.12693" TargetMode="External"/><Relationship Id="rId19" Type="http://schemas.openxmlformats.org/officeDocument/2006/relationships/hyperlink" Target="https://doi.org/10.1002/nop2.520" TargetMode="External"/><Relationship Id="rId4" Type="http://schemas.openxmlformats.org/officeDocument/2006/relationships/webSettings" Target="webSettings.xml"/><Relationship Id="rId9" Type="http://schemas.openxmlformats.org/officeDocument/2006/relationships/hyperlink" Target="https://doi.org/10.7861/futurehosp.3-2-114" TargetMode="External"/><Relationship Id="rId14" Type="http://schemas.openxmlformats.org/officeDocument/2006/relationships/hyperlink" Target="https://doi.org/10.1093/geront/gnaf11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2899</Words>
  <Characters>16529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Lenge, Roger</dc:creator>
  <cp:keywords/>
  <dc:description/>
  <cp:lastModifiedBy>Mauricette Mhayerenge (2420920)</cp:lastModifiedBy>
  <cp:revision>33</cp:revision>
  <dcterms:created xsi:type="dcterms:W3CDTF">2026-03-24T21:39:00Z</dcterms:created>
  <dcterms:modified xsi:type="dcterms:W3CDTF">2026-03-25T19:32:00Z</dcterms:modified>
</cp:coreProperties>
</file>