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CFE" w:rsidRDefault="00F81CFE" w:rsidP="00F81CFE">
      <w:pPr>
        <w:pStyle w:val="NormalWeb"/>
        <w:spacing w:before="0" w:beforeAutospacing="0" w:after="0" w:afterAutospacing="0"/>
        <w:ind w:left="-180" w:right="-334"/>
      </w:pPr>
      <w:r>
        <w:rPr>
          <w:noProof/>
          <w:lang w:eastAsia="en-GB"/>
        </w:rPr>
        <w:drawing>
          <wp:inline distT="0" distB="0" distL="0" distR="0">
            <wp:extent cx="1909445" cy="635000"/>
            <wp:effectExtent l="19050" t="19050" r="14605"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srcRect/>
                    <a:stretch>
                      <a:fillRect/>
                    </a:stretch>
                  </pic:blipFill>
                  <pic:spPr bwMode="auto">
                    <a:xfrm>
                      <a:off x="0" y="0"/>
                      <a:ext cx="1909445" cy="635000"/>
                    </a:xfrm>
                    <a:prstGeom prst="rect">
                      <a:avLst/>
                    </a:prstGeom>
                    <a:noFill/>
                    <a:ln w="19050" cmpd="sng">
                      <a:solidFill>
                        <a:srgbClr val="000000"/>
                      </a:solidFill>
                      <a:miter lim="800000"/>
                      <a:headEnd/>
                      <a:tailEnd/>
                    </a:ln>
                    <a:effectLst/>
                  </pic:spPr>
                </pic:pic>
              </a:graphicData>
            </a:graphic>
          </wp:inline>
        </w:drawing>
      </w:r>
    </w:p>
    <w:p w:rsidR="00F81CFE" w:rsidRDefault="00F81CFE" w:rsidP="00F81CFE">
      <w:pPr>
        <w:pStyle w:val="NormalWeb"/>
        <w:spacing w:before="0" w:beforeAutospacing="0" w:after="0" w:afterAutospacing="0"/>
        <w:ind w:left="-180" w:right="-334"/>
      </w:pPr>
    </w:p>
    <w:p w:rsidR="00F81CFE" w:rsidRDefault="00F81CFE" w:rsidP="00F81CFE">
      <w:pPr>
        <w:pStyle w:val="NormalWeb"/>
        <w:spacing w:before="0" w:beforeAutospacing="0" w:after="0" w:afterAutospacing="0"/>
        <w:ind w:left="-180" w:right="-334"/>
      </w:pPr>
    </w:p>
    <w:p w:rsidR="00F81CFE" w:rsidRDefault="00F81CFE" w:rsidP="00F81CF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F81CFE" w:rsidRPr="00230F35" w:rsidRDefault="00F81CFE" w:rsidP="00F81CF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F81CFE" w:rsidRPr="00230F35" w:rsidRDefault="00F81CFE" w:rsidP="00F81CFE">
      <w:pPr>
        <w:rPr>
          <w:rFonts w:ascii="Arial" w:hAnsi="Arial" w:cs="Arial"/>
          <w:sz w:val="28"/>
          <w:szCs w:val="28"/>
          <w:lang w:val="cy-GB"/>
        </w:rPr>
      </w:pPr>
    </w:p>
    <w:p w:rsidR="00F81CFE" w:rsidRDefault="00F81CFE" w:rsidP="00F81CFE">
      <w:pPr>
        <w:pStyle w:val="Heading3"/>
        <w:jc w:val="center"/>
        <w:rPr>
          <w:lang w:val="cy-GB"/>
        </w:rPr>
      </w:pPr>
      <w:r>
        <w:rPr>
          <w:lang w:val="cy-GB"/>
        </w:rPr>
        <w:t>THIS SHEET MUST BE THE FIRST PAGE OF THE ASSIGNMENT YOU ARE SUBMITTING  (DO NOT SEND AS A SEPARATE FILE)</w:t>
      </w:r>
    </w:p>
    <w:p w:rsidR="00F81CFE" w:rsidRDefault="00F81CFE" w:rsidP="00F81CF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F81CFE" w:rsidRPr="00230F35" w:rsidTr="006F479B">
        <w:trPr>
          <w:trHeight w:val="614"/>
        </w:trPr>
        <w:tc>
          <w:tcPr>
            <w:tcW w:w="8856" w:type="dxa"/>
            <w:gridSpan w:val="5"/>
          </w:tcPr>
          <w:p w:rsidR="00F81CFE" w:rsidRPr="00230F35"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81CFE" w:rsidRPr="00230F35" w:rsidTr="006F479B">
        <w:trPr>
          <w:trHeight w:val="718"/>
        </w:trPr>
        <w:tc>
          <w:tcPr>
            <w:tcW w:w="8856" w:type="dxa"/>
            <w:gridSpan w:val="5"/>
          </w:tcPr>
          <w:p w:rsidR="00F81CFE"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5E47BD">
              <w:rPr>
                <w:rFonts w:ascii="Arial" w:hAnsi="Arial" w:cs="Arial"/>
                <w:sz w:val="22"/>
                <w:szCs w:val="22"/>
              </w:rPr>
              <w:t xml:space="preserve"> Ffranses Dawn</w:t>
            </w:r>
          </w:p>
          <w:p w:rsidR="00F81CFE" w:rsidRPr="00230F35" w:rsidRDefault="00F81CFE" w:rsidP="006F479B">
            <w:pPr>
              <w:pStyle w:val="NormalWeb"/>
              <w:spacing w:before="0" w:beforeAutospacing="0" w:after="0" w:afterAutospacing="0"/>
              <w:ind w:right="34"/>
              <w:rPr>
                <w:rFonts w:ascii="Arial" w:hAnsi="Arial" w:cs="Arial"/>
                <w:sz w:val="22"/>
                <w:szCs w:val="22"/>
              </w:rPr>
            </w:pPr>
          </w:p>
          <w:p w:rsidR="00F81CFE" w:rsidRPr="00230F35"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5E47BD">
              <w:rPr>
                <w:rFonts w:ascii="Arial" w:hAnsi="Arial" w:cs="Arial"/>
                <w:sz w:val="22"/>
                <w:szCs w:val="22"/>
              </w:rPr>
              <w:t>2518607@student.</w:t>
            </w:r>
            <w:r w:rsidR="00B30BF3">
              <w:rPr>
                <w:rFonts w:ascii="Arial" w:hAnsi="Arial" w:cs="Arial"/>
                <w:sz w:val="22"/>
                <w:szCs w:val="22"/>
              </w:rPr>
              <w:t>uwtsd.ac.uk</w:t>
            </w:r>
          </w:p>
        </w:tc>
      </w:tr>
      <w:tr w:rsidR="00F81CFE" w:rsidRPr="00230F35" w:rsidTr="006F479B">
        <w:trPr>
          <w:trHeight w:val="849"/>
        </w:trPr>
        <w:tc>
          <w:tcPr>
            <w:tcW w:w="4788" w:type="dxa"/>
          </w:tcPr>
          <w:p w:rsidR="00F81CFE" w:rsidRPr="00230F35"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B30BF3">
              <w:rPr>
                <w:rFonts w:ascii="Arial" w:hAnsi="Arial" w:cs="Arial"/>
                <w:sz w:val="22"/>
                <w:szCs w:val="22"/>
              </w:rPr>
              <w:t>HPCA7015</w:t>
            </w:r>
          </w:p>
          <w:p w:rsidR="00F81CFE" w:rsidRPr="00230F35" w:rsidRDefault="00F81CFE" w:rsidP="006F479B">
            <w:pPr>
              <w:pStyle w:val="NormalWeb"/>
              <w:spacing w:before="0" w:beforeAutospacing="0" w:after="0" w:afterAutospacing="0"/>
              <w:ind w:right="34"/>
              <w:rPr>
                <w:rFonts w:ascii="Arial" w:hAnsi="Arial" w:cs="Arial"/>
                <w:sz w:val="22"/>
                <w:szCs w:val="22"/>
              </w:rPr>
            </w:pPr>
          </w:p>
          <w:p w:rsidR="00F81CFE"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B30BF3">
              <w:rPr>
                <w:rFonts w:ascii="Arial" w:hAnsi="Arial" w:cs="Arial"/>
                <w:sz w:val="22"/>
                <w:szCs w:val="22"/>
              </w:rPr>
              <w:t>Foundations in Cultural Astonomy and Astrology</w:t>
            </w:r>
          </w:p>
          <w:p w:rsidR="00F81CFE" w:rsidRDefault="00F81CFE" w:rsidP="006F479B">
            <w:pPr>
              <w:pStyle w:val="NormalWeb"/>
              <w:spacing w:before="0" w:beforeAutospacing="0" w:after="0" w:afterAutospacing="0"/>
              <w:ind w:right="34"/>
              <w:rPr>
                <w:rFonts w:ascii="Arial" w:hAnsi="Arial" w:cs="Arial"/>
                <w:sz w:val="22"/>
                <w:szCs w:val="22"/>
              </w:rPr>
            </w:pPr>
          </w:p>
          <w:p w:rsidR="00F81CFE" w:rsidRPr="00230F35" w:rsidRDefault="00F81CFE" w:rsidP="006F479B">
            <w:pPr>
              <w:pStyle w:val="NormalWeb"/>
              <w:spacing w:before="0" w:beforeAutospacing="0" w:after="0" w:afterAutospacing="0"/>
              <w:ind w:right="34"/>
              <w:rPr>
                <w:rFonts w:ascii="Arial" w:hAnsi="Arial" w:cs="Arial"/>
                <w:sz w:val="22"/>
                <w:szCs w:val="22"/>
              </w:rPr>
            </w:pPr>
          </w:p>
        </w:tc>
        <w:tc>
          <w:tcPr>
            <w:tcW w:w="2266" w:type="dxa"/>
            <w:gridSpan w:val="3"/>
          </w:tcPr>
          <w:p w:rsidR="00F81CFE"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B30BF3" w:rsidRPr="00230F35" w:rsidRDefault="00B30BF3" w:rsidP="006F479B">
            <w:pPr>
              <w:pStyle w:val="NormalWeb"/>
              <w:spacing w:before="0" w:beforeAutospacing="0" w:after="0" w:afterAutospacing="0"/>
              <w:ind w:right="34"/>
              <w:rPr>
                <w:rFonts w:ascii="Arial" w:hAnsi="Arial" w:cs="Arial"/>
                <w:sz w:val="22"/>
                <w:szCs w:val="22"/>
              </w:rPr>
            </w:pPr>
            <w:r>
              <w:rPr>
                <w:rFonts w:ascii="Arial" w:hAnsi="Arial" w:cs="Arial"/>
                <w:sz w:val="22"/>
                <w:szCs w:val="22"/>
              </w:rPr>
              <w:t>2518607</w:t>
            </w:r>
          </w:p>
        </w:tc>
        <w:tc>
          <w:tcPr>
            <w:tcW w:w="1802" w:type="dxa"/>
          </w:tcPr>
          <w:p w:rsidR="00F81CFE" w:rsidRPr="00230F35"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F81CFE" w:rsidRPr="00230F35" w:rsidRDefault="00F81CFE" w:rsidP="006F479B">
            <w:pPr>
              <w:pStyle w:val="NormalWeb"/>
              <w:spacing w:before="0" w:beforeAutospacing="0" w:after="0" w:afterAutospacing="0"/>
              <w:ind w:right="34"/>
              <w:rPr>
                <w:rFonts w:ascii="Arial" w:hAnsi="Arial" w:cs="Arial"/>
                <w:sz w:val="22"/>
                <w:szCs w:val="22"/>
              </w:rPr>
            </w:pPr>
            <w:r w:rsidRPr="00391A5E">
              <w:rPr>
                <w:rFonts w:ascii="Arial" w:hAnsi="Arial" w:cs="Arial"/>
                <w:sz w:val="22"/>
                <w:szCs w:val="22"/>
              </w:rPr>
              <w:t>No</w:t>
            </w:r>
          </w:p>
        </w:tc>
      </w:tr>
      <w:tr w:rsidR="00F81CFE" w:rsidRPr="00230F35" w:rsidTr="006F479B">
        <w:trPr>
          <w:trHeight w:val="1139"/>
        </w:trPr>
        <w:tc>
          <w:tcPr>
            <w:tcW w:w="8856" w:type="dxa"/>
            <w:gridSpan w:val="5"/>
          </w:tcPr>
          <w:p w:rsidR="00B30BF3" w:rsidRPr="002225C2" w:rsidRDefault="00F81CFE" w:rsidP="002225C2">
            <w:r w:rsidRPr="00230F35">
              <w:rPr>
                <w:rFonts w:ascii="Arial" w:hAnsi="Arial" w:cs="Arial"/>
              </w:rPr>
              <w:t>Assignment title:</w:t>
            </w:r>
            <w:r w:rsidR="002225C2">
              <w:rPr>
                <w:rFonts w:ascii="Arial" w:hAnsi="Arial" w:cs="Arial"/>
              </w:rPr>
              <w:t xml:space="preserve"> </w:t>
            </w:r>
            <w:r w:rsidR="002225C2">
              <w:t xml:space="preserve">A Critical Comparison of Two Secondary </w:t>
            </w:r>
            <w:r w:rsidR="00DE61A8">
              <w:t xml:space="preserve">Sources  </w:t>
            </w:r>
            <w:r w:rsidR="00216C3D">
              <w:t>(word count 2011)</w:t>
            </w:r>
            <w:r w:rsidR="00DE61A8">
              <w:t xml:space="preserve"> </w:t>
            </w:r>
          </w:p>
          <w:p w:rsidR="00F81CFE" w:rsidRPr="00230F35" w:rsidRDefault="00DE61A8" w:rsidP="00B30BF3">
            <w:pPr>
              <w:pStyle w:val="NormalWeb"/>
              <w:spacing w:before="0" w:beforeAutospacing="0" w:after="0" w:afterAutospacing="0"/>
              <w:ind w:right="34"/>
              <w:rPr>
                <w:rFonts w:ascii="Arial" w:hAnsi="Arial" w:cs="Arial"/>
                <w:sz w:val="22"/>
                <w:szCs w:val="22"/>
              </w:rPr>
            </w:pPr>
            <w:r>
              <w:rPr>
                <w:rFonts w:ascii="Arial" w:hAnsi="Arial" w:cs="Arial"/>
                <w:sz w:val="22"/>
                <w:szCs w:val="22"/>
              </w:rPr>
              <w:t>a</w:t>
            </w:r>
            <w:r w:rsidR="00F81CFE" w:rsidRPr="00230F35">
              <w:rPr>
                <w:rFonts w:ascii="Arial" w:hAnsi="Arial" w:cs="Arial"/>
                <w:sz w:val="22"/>
                <w:szCs w:val="22"/>
              </w:rPr>
              <w:t>ssignment due date:</w:t>
            </w:r>
            <w:r w:rsidR="00B30BF3">
              <w:rPr>
                <w:rFonts w:ascii="Arial" w:hAnsi="Arial" w:cs="Arial"/>
                <w:sz w:val="22"/>
                <w:szCs w:val="22"/>
              </w:rPr>
              <w:t>November 4</w:t>
            </w:r>
            <w:r w:rsidR="00B30BF3" w:rsidRPr="00B30BF3">
              <w:rPr>
                <w:rFonts w:ascii="Arial" w:hAnsi="Arial" w:cs="Arial"/>
                <w:sz w:val="22"/>
                <w:szCs w:val="22"/>
                <w:vertAlign w:val="superscript"/>
              </w:rPr>
              <w:t>th</w:t>
            </w:r>
            <w:r w:rsidR="00B30BF3">
              <w:rPr>
                <w:rFonts w:ascii="Arial" w:hAnsi="Arial" w:cs="Arial"/>
                <w:sz w:val="22"/>
                <w:szCs w:val="22"/>
              </w:rPr>
              <w:t xml:space="preserve"> 2025</w:t>
            </w:r>
          </w:p>
        </w:tc>
      </w:tr>
      <w:tr w:rsidR="00F81CFE" w:rsidRPr="00230F35" w:rsidTr="006F479B">
        <w:trPr>
          <w:trHeight w:val="978"/>
        </w:trPr>
        <w:tc>
          <w:tcPr>
            <w:tcW w:w="8856" w:type="dxa"/>
            <w:gridSpan w:val="5"/>
            <w:tcBorders>
              <w:bottom w:val="single" w:sz="4" w:space="0" w:color="000000"/>
            </w:tcBorders>
          </w:tcPr>
          <w:p w:rsidR="00F81CFE" w:rsidRPr="00230F35" w:rsidRDefault="00F81CFE" w:rsidP="006F479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76042E" w:rsidRPr="00B30BF3">
              <w:rPr>
                <w:rFonts w:ascii="Arial" w:hAnsi="Arial" w:cs="Arial"/>
                <w:highlight w:val="yellow"/>
              </w:rPr>
              <w:fldChar w:fldCharType="begin">
                <w:ffData>
                  <w:name w:val="Check13"/>
                  <w:enabled/>
                  <w:calcOnExit w:val="0"/>
                  <w:checkBox>
                    <w:sizeAuto/>
                    <w:default w:val="0"/>
                  </w:checkBox>
                </w:ffData>
              </w:fldChar>
            </w:r>
            <w:bookmarkStart w:id="0" w:name="Check13"/>
            <w:r w:rsidRPr="00B30BF3">
              <w:rPr>
                <w:rFonts w:ascii="Arial" w:hAnsi="Arial" w:cs="Arial"/>
                <w:highlight w:val="yellow"/>
              </w:rPr>
              <w:instrText xml:space="preserve"> FORMCHECKBOX </w:instrText>
            </w:r>
            <w:r w:rsidR="0076042E" w:rsidRPr="00B30BF3">
              <w:rPr>
                <w:rFonts w:ascii="Arial" w:hAnsi="Arial" w:cs="Arial"/>
                <w:highlight w:val="yellow"/>
              </w:rPr>
            </w:r>
            <w:r w:rsidR="0076042E" w:rsidRPr="00B30BF3">
              <w:rPr>
                <w:rFonts w:ascii="Arial" w:hAnsi="Arial" w:cs="Arial"/>
                <w:highlight w:val="yellow"/>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76042E"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76042E" w:rsidRPr="00230F35">
              <w:rPr>
                <w:rFonts w:ascii="Arial" w:hAnsi="Arial" w:cs="Arial"/>
              </w:rPr>
            </w:r>
            <w:r w:rsidR="0076042E"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76042E"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76042E" w:rsidRPr="00230F35">
              <w:rPr>
                <w:rFonts w:ascii="Arial" w:hAnsi="Arial" w:cs="Arial"/>
              </w:rPr>
            </w:r>
            <w:r w:rsidR="0076042E"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76042E"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76042E" w:rsidRPr="00230F35">
              <w:rPr>
                <w:rFonts w:ascii="Arial" w:hAnsi="Arial" w:cs="Arial"/>
              </w:rPr>
            </w:r>
            <w:r w:rsidR="0076042E"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76042E"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76042E" w:rsidRPr="00230F35">
              <w:rPr>
                <w:rFonts w:ascii="Arial" w:hAnsi="Arial" w:cs="Arial"/>
              </w:rPr>
            </w:r>
            <w:r w:rsidR="0076042E"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76042E"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76042E" w:rsidRPr="00230F35">
              <w:rPr>
                <w:rFonts w:ascii="Arial" w:hAnsi="Arial" w:cs="Arial"/>
              </w:rPr>
            </w:r>
            <w:r w:rsidR="0076042E"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81CFE" w:rsidRPr="00230F35" w:rsidTr="006F479B">
        <w:trPr>
          <w:trHeight w:val="978"/>
        </w:trPr>
        <w:tc>
          <w:tcPr>
            <w:tcW w:w="8856" w:type="dxa"/>
            <w:gridSpan w:val="5"/>
            <w:shd w:val="clear" w:color="auto" w:fill="D9D9D9"/>
          </w:tcPr>
          <w:p w:rsidR="00F81CFE" w:rsidRPr="00230F35"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F81CFE" w:rsidRDefault="00F81CFE" w:rsidP="006F479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2225C2">
              <w:rPr>
                <w:rFonts w:ascii="Arial" w:hAnsi="Arial" w:cs="Arial"/>
                <w:sz w:val="22"/>
                <w:szCs w:val="22"/>
              </w:rPr>
              <w:t>Ffranses Dawn</w:t>
            </w:r>
            <w:r w:rsidRPr="00230F35">
              <w:rPr>
                <w:rFonts w:ascii="Arial" w:hAnsi="Arial" w:cs="Arial"/>
                <w:sz w:val="22"/>
                <w:szCs w:val="22"/>
              </w:rPr>
              <w:t>………………………………………………………</w:t>
            </w:r>
          </w:p>
          <w:p w:rsidR="00F81CFE" w:rsidRDefault="00F81CFE" w:rsidP="006F479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2225C2">
              <w:rPr>
                <w:rFonts w:ascii="Calibri" w:hAnsi="Calibri" w:cs="Calibri"/>
                <w:b/>
                <w:sz w:val="44"/>
                <w:szCs w:val="44"/>
                <w:highlight w:val="yellow"/>
              </w:rPr>
              <w:t>□</w:t>
            </w:r>
          </w:p>
          <w:p w:rsidR="00F81CFE" w:rsidRPr="00230F35" w:rsidRDefault="00F81CFE" w:rsidP="006F479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81CFE" w:rsidRPr="00230F35" w:rsidTr="006F479B">
        <w:trPr>
          <w:trHeight w:val="3972"/>
        </w:trPr>
        <w:tc>
          <w:tcPr>
            <w:tcW w:w="8856" w:type="dxa"/>
            <w:gridSpan w:val="5"/>
          </w:tcPr>
          <w:p w:rsidR="00F81CFE" w:rsidRDefault="00F81CFE" w:rsidP="006F479B">
            <w:pPr>
              <w:rPr>
                <w:rFonts w:ascii="Arial" w:hAnsi="Arial"/>
                <w:b/>
              </w:rPr>
            </w:pPr>
          </w:p>
          <w:p w:rsidR="00F81CFE" w:rsidRPr="00116CE6" w:rsidRDefault="00F81CFE" w:rsidP="006F479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F81CFE" w:rsidRPr="00116CE6" w:rsidTr="006F479B">
              <w:tc>
                <w:tcPr>
                  <w:tcW w:w="6970" w:type="dxa"/>
                </w:tcPr>
                <w:p w:rsidR="00F81CFE" w:rsidRPr="00116CE6" w:rsidRDefault="00F81CFE" w:rsidP="006F479B">
                  <w:pPr>
                    <w:rPr>
                      <w:rFonts w:ascii="Arial" w:hAnsi="Arial"/>
                      <w:sz w:val="20"/>
                      <w:szCs w:val="20"/>
                    </w:rPr>
                  </w:pPr>
                </w:p>
                <w:p w:rsidR="00F81CFE" w:rsidRPr="00116CE6" w:rsidRDefault="00F81CFE" w:rsidP="006F479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F81CFE" w:rsidRPr="00116CE6" w:rsidRDefault="00F81CFE" w:rsidP="006F479B">
                  <w:pPr>
                    <w:rPr>
                      <w:rFonts w:ascii="Arial" w:hAnsi="Arial"/>
                      <w:sz w:val="20"/>
                      <w:szCs w:val="20"/>
                    </w:rPr>
                  </w:pPr>
                </w:p>
              </w:tc>
            </w:tr>
            <w:tr w:rsidR="00F81CFE" w:rsidRPr="00116CE6" w:rsidTr="006F479B">
              <w:tc>
                <w:tcPr>
                  <w:tcW w:w="6970" w:type="dxa"/>
                </w:tcPr>
                <w:p w:rsidR="00F81CFE" w:rsidRPr="00116CE6" w:rsidRDefault="00F81CFE" w:rsidP="006F479B">
                  <w:pPr>
                    <w:rPr>
                      <w:rFonts w:ascii="Arial" w:hAnsi="Arial"/>
                      <w:sz w:val="20"/>
                      <w:szCs w:val="20"/>
                    </w:rPr>
                  </w:pPr>
                </w:p>
                <w:p w:rsidR="00F81CFE" w:rsidRPr="00116CE6" w:rsidRDefault="00F81CFE" w:rsidP="006F479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F81CFE" w:rsidRPr="00116CE6" w:rsidRDefault="00F81CFE" w:rsidP="006F479B">
                  <w:pPr>
                    <w:rPr>
                      <w:rFonts w:ascii="Arial" w:hAnsi="Arial"/>
                      <w:sz w:val="20"/>
                      <w:szCs w:val="20"/>
                    </w:rPr>
                  </w:pPr>
                </w:p>
              </w:tc>
            </w:tr>
            <w:tr w:rsidR="00F81CFE" w:rsidRPr="00116CE6" w:rsidTr="006F479B">
              <w:tc>
                <w:tcPr>
                  <w:tcW w:w="6970" w:type="dxa"/>
                </w:tcPr>
                <w:p w:rsidR="00F81CFE" w:rsidRPr="00116CE6" w:rsidRDefault="00F81CFE" w:rsidP="006F479B">
                  <w:pPr>
                    <w:rPr>
                      <w:rFonts w:ascii="Arial" w:hAnsi="Arial"/>
                      <w:sz w:val="20"/>
                      <w:szCs w:val="20"/>
                    </w:rPr>
                  </w:pPr>
                </w:p>
                <w:p w:rsidR="00F81CFE" w:rsidRPr="00116CE6" w:rsidRDefault="00F81CFE" w:rsidP="006F479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F81CFE" w:rsidRPr="00116CE6" w:rsidRDefault="00F81CFE" w:rsidP="006F479B">
                  <w:pPr>
                    <w:rPr>
                      <w:rFonts w:ascii="Arial" w:hAnsi="Arial"/>
                      <w:sz w:val="20"/>
                      <w:szCs w:val="20"/>
                    </w:rPr>
                  </w:pPr>
                </w:p>
              </w:tc>
            </w:tr>
            <w:tr w:rsidR="00F81CFE" w:rsidRPr="00116CE6" w:rsidTr="006F479B">
              <w:tc>
                <w:tcPr>
                  <w:tcW w:w="6970" w:type="dxa"/>
                </w:tcPr>
                <w:p w:rsidR="00F81CFE" w:rsidRDefault="00F81CFE" w:rsidP="006F479B">
                  <w:pPr>
                    <w:rPr>
                      <w:rFonts w:ascii="Arial" w:hAnsi="Arial"/>
                      <w:sz w:val="20"/>
                      <w:szCs w:val="20"/>
                    </w:rPr>
                  </w:pPr>
                </w:p>
                <w:p w:rsidR="00F81CFE" w:rsidRPr="00022345" w:rsidRDefault="00F81CFE" w:rsidP="006F479B">
                  <w:pPr>
                    <w:rPr>
                      <w:rFonts w:ascii="Arial" w:hAnsi="Arial"/>
                      <w:b/>
                      <w:sz w:val="20"/>
                      <w:szCs w:val="20"/>
                    </w:rPr>
                  </w:pPr>
                  <w:r w:rsidRPr="00022345">
                    <w:rPr>
                      <w:rFonts w:ascii="Arial" w:hAnsi="Arial"/>
                      <w:b/>
                      <w:sz w:val="20"/>
                      <w:szCs w:val="20"/>
                    </w:rPr>
                    <w:t>Final Mark</w:t>
                  </w:r>
                </w:p>
                <w:p w:rsidR="00F81CFE" w:rsidRPr="00116CE6" w:rsidRDefault="00F81CFE" w:rsidP="006F479B">
                  <w:pPr>
                    <w:rPr>
                      <w:rFonts w:ascii="Arial" w:hAnsi="Arial"/>
                      <w:sz w:val="20"/>
                      <w:szCs w:val="20"/>
                    </w:rPr>
                  </w:pPr>
                </w:p>
              </w:tc>
              <w:tc>
                <w:tcPr>
                  <w:tcW w:w="1660" w:type="dxa"/>
                </w:tcPr>
                <w:p w:rsidR="00F81CFE" w:rsidRPr="00116CE6" w:rsidRDefault="00F81CFE" w:rsidP="006F479B">
                  <w:pPr>
                    <w:rPr>
                      <w:rFonts w:ascii="Arial" w:hAnsi="Arial"/>
                      <w:sz w:val="20"/>
                      <w:szCs w:val="20"/>
                    </w:rPr>
                  </w:pPr>
                </w:p>
              </w:tc>
            </w:tr>
          </w:tbl>
          <w:p w:rsidR="00F81CFE" w:rsidRDefault="00F81CFE" w:rsidP="006F479B">
            <w:pPr>
              <w:pStyle w:val="NormalWeb"/>
              <w:spacing w:before="0" w:beforeAutospacing="0" w:after="0" w:afterAutospacing="0"/>
              <w:ind w:left="142" w:right="34"/>
              <w:rPr>
                <w:rFonts w:ascii="Arial" w:hAnsi="Arial" w:cs="Arial"/>
                <w:b/>
                <w:sz w:val="22"/>
                <w:szCs w:val="22"/>
              </w:rPr>
            </w:pPr>
          </w:p>
          <w:p w:rsidR="00F81CFE" w:rsidRPr="00230F35" w:rsidRDefault="00F81CFE" w:rsidP="006F479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F81CFE" w:rsidRDefault="00F81CFE" w:rsidP="006F479B">
            <w:pPr>
              <w:pStyle w:val="NormalWeb"/>
              <w:spacing w:before="0" w:beforeAutospacing="0" w:after="0" w:afterAutospacing="0"/>
              <w:rPr>
                <w:rFonts w:ascii="Arial" w:hAnsi="Arial" w:cs="Arial"/>
                <w:b/>
                <w:sz w:val="22"/>
                <w:szCs w:val="22"/>
              </w:rPr>
            </w:pPr>
          </w:p>
          <w:p w:rsidR="00F81CFE" w:rsidRDefault="00F81CFE" w:rsidP="006F479B">
            <w:pPr>
              <w:pStyle w:val="NormalWeb"/>
              <w:spacing w:before="0" w:beforeAutospacing="0" w:after="0" w:afterAutospacing="0"/>
              <w:rPr>
                <w:rFonts w:ascii="Arial" w:hAnsi="Arial" w:cs="Arial"/>
                <w:b/>
                <w:sz w:val="22"/>
                <w:szCs w:val="22"/>
              </w:rPr>
            </w:pPr>
          </w:p>
          <w:p w:rsidR="00F81CFE" w:rsidRDefault="00F81CFE" w:rsidP="006F479B">
            <w:pPr>
              <w:pStyle w:val="NormalWeb"/>
              <w:spacing w:before="0" w:beforeAutospacing="0" w:after="0" w:afterAutospacing="0"/>
              <w:rPr>
                <w:rFonts w:ascii="Arial" w:hAnsi="Arial" w:cs="Arial"/>
                <w:b/>
                <w:sz w:val="22"/>
                <w:szCs w:val="22"/>
              </w:rPr>
            </w:pPr>
          </w:p>
          <w:p w:rsidR="00F81CFE" w:rsidRDefault="00F81CFE" w:rsidP="006F479B">
            <w:pPr>
              <w:pStyle w:val="NormalWeb"/>
              <w:spacing w:before="0" w:beforeAutospacing="0" w:after="0" w:afterAutospacing="0"/>
              <w:rPr>
                <w:rFonts w:ascii="Arial" w:hAnsi="Arial" w:cs="Arial"/>
                <w:b/>
                <w:sz w:val="22"/>
                <w:szCs w:val="22"/>
              </w:rPr>
            </w:pPr>
          </w:p>
          <w:p w:rsidR="00F81CFE" w:rsidRDefault="00F81CFE" w:rsidP="006F479B">
            <w:pPr>
              <w:pStyle w:val="NormalWeb"/>
              <w:spacing w:before="0" w:beforeAutospacing="0" w:after="0" w:afterAutospacing="0"/>
              <w:rPr>
                <w:rFonts w:ascii="Arial" w:hAnsi="Arial" w:cs="Arial"/>
                <w:b/>
                <w:sz w:val="22"/>
                <w:szCs w:val="22"/>
              </w:rPr>
            </w:pPr>
          </w:p>
          <w:p w:rsidR="00F81CFE" w:rsidRPr="00230F35" w:rsidRDefault="00F81CFE" w:rsidP="006F479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F81CFE" w:rsidRDefault="00F81CFE" w:rsidP="006F479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F81CFE" w:rsidRPr="00001C3B" w:rsidRDefault="00F81CFE" w:rsidP="006F479B">
            <w:pPr>
              <w:pStyle w:val="NormalWeb"/>
              <w:rPr>
                <w:rFonts w:ascii="Arial" w:hAnsi="Arial" w:cs="Arial"/>
                <w:sz w:val="22"/>
                <w:szCs w:val="22"/>
              </w:rPr>
            </w:pPr>
          </w:p>
        </w:tc>
      </w:tr>
      <w:tr w:rsidR="00F81CFE" w:rsidRPr="00230F35" w:rsidTr="006F479B">
        <w:trPr>
          <w:trHeight w:val="492"/>
        </w:trPr>
        <w:tc>
          <w:tcPr>
            <w:tcW w:w="6768" w:type="dxa"/>
            <w:gridSpan w:val="3"/>
          </w:tcPr>
          <w:p w:rsidR="00F81CFE" w:rsidRPr="00230F35" w:rsidRDefault="00F81CFE" w:rsidP="006F479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F81CFE" w:rsidRPr="00230F35" w:rsidRDefault="00F81CFE" w:rsidP="006F479B">
            <w:pPr>
              <w:pStyle w:val="NormalWeb"/>
              <w:spacing w:after="0"/>
              <w:ind w:left="142" w:right="34"/>
              <w:rPr>
                <w:rFonts w:ascii="Arial" w:hAnsi="Arial" w:cs="Arial"/>
                <w:sz w:val="22"/>
                <w:szCs w:val="22"/>
              </w:rPr>
            </w:pPr>
            <w:r w:rsidRPr="00230F35">
              <w:rPr>
                <w:rFonts w:ascii="Arial" w:hAnsi="Arial" w:cs="Arial"/>
                <w:sz w:val="22"/>
                <w:szCs w:val="22"/>
              </w:rPr>
              <w:t>Date:</w:t>
            </w:r>
          </w:p>
        </w:tc>
      </w:tr>
      <w:tr w:rsidR="00F81CFE" w:rsidRPr="002F467C" w:rsidTr="006F479B">
        <w:tc>
          <w:tcPr>
            <w:tcW w:w="8856" w:type="dxa"/>
            <w:gridSpan w:val="5"/>
          </w:tcPr>
          <w:p w:rsidR="00F81CFE" w:rsidRPr="00230F35" w:rsidRDefault="00F81CFE" w:rsidP="006F479B">
            <w:pPr>
              <w:pStyle w:val="NormalWeb"/>
              <w:spacing w:before="0" w:beforeAutospacing="0" w:after="0" w:afterAutospacing="0"/>
              <w:ind w:right="-334"/>
              <w:rPr>
                <w:rFonts w:ascii="Arial" w:hAnsi="Arial" w:cs="Arial"/>
                <w:bCs/>
                <w:i/>
                <w:sz w:val="22"/>
                <w:szCs w:val="22"/>
              </w:rPr>
            </w:pPr>
          </w:p>
          <w:p w:rsidR="00F81CFE" w:rsidRPr="00230F35" w:rsidRDefault="00F81CFE" w:rsidP="006F479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F81CFE" w:rsidRPr="00230F35" w:rsidRDefault="00F81CFE" w:rsidP="006F479B">
            <w:pPr>
              <w:pStyle w:val="NormalWeb"/>
              <w:spacing w:before="0" w:beforeAutospacing="0" w:after="0" w:afterAutospacing="0"/>
              <w:ind w:right="-334"/>
              <w:rPr>
                <w:rFonts w:ascii="Arial" w:hAnsi="Arial" w:cs="Arial"/>
                <w:b/>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tc>
      </w:tr>
      <w:tr w:rsidR="00F81CFE" w:rsidRPr="002F467C" w:rsidTr="006F479B">
        <w:trPr>
          <w:trHeight w:val="720"/>
        </w:trPr>
        <w:tc>
          <w:tcPr>
            <w:tcW w:w="5211" w:type="dxa"/>
            <w:gridSpan w:val="2"/>
          </w:tcPr>
          <w:p w:rsidR="00F81CFE" w:rsidRPr="00230F35" w:rsidRDefault="00F81CFE" w:rsidP="006F479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F81CFE" w:rsidRPr="00230F35" w:rsidRDefault="00F81CFE" w:rsidP="006F479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81CFE" w:rsidRPr="002F467C" w:rsidTr="006F479B">
        <w:trPr>
          <w:trHeight w:val="720"/>
        </w:trPr>
        <w:tc>
          <w:tcPr>
            <w:tcW w:w="8856" w:type="dxa"/>
            <w:gridSpan w:val="5"/>
          </w:tcPr>
          <w:p w:rsidR="00F81CFE" w:rsidRPr="00B34964" w:rsidRDefault="00F81CFE" w:rsidP="006F479B">
            <w:pPr>
              <w:rPr>
                <w:rFonts w:ascii="Arial" w:hAnsi="Arial" w:cs="Arial"/>
                <w:b/>
              </w:rPr>
            </w:pPr>
            <w:r w:rsidRPr="00B34964">
              <w:rPr>
                <w:rFonts w:ascii="Arial" w:hAnsi="Arial" w:cs="Arial"/>
                <w:b/>
              </w:rPr>
              <w:lastRenderedPageBreak/>
              <w:t>External Examiner’s comments (if relevant)</w:t>
            </w: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p w:rsidR="00F81CFE" w:rsidRPr="00230F35" w:rsidRDefault="00F81CFE" w:rsidP="006F479B">
            <w:pPr>
              <w:pStyle w:val="NormalWeb"/>
              <w:spacing w:before="0" w:beforeAutospacing="0" w:after="0" w:afterAutospacing="0"/>
              <w:ind w:right="-334"/>
              <w:rPr>
                <w:rFonts w:ascii="Arial" w:hAnsi="Arial" w:cs="Arial"/>
                <w:bCs/>
                <w:sz w:val="22"/>
                <w:szCs w:val="22"/>
              </w:rPr>
            </w:pPr>
          </w:p>
        </w:tc>
      </w:tr>
      <w:tr w:rsidR="00F81CFE" w:rsidRPr="002F467C" w:rsidTr="006F479B">
        <w:trPr>
          <w:trHeight w:val="720"/>
        </w:trPr>
        <w:tc>
          <w:tcPr>
            <w:tcW w:w="5211" w:type="dxa"/>
            <w:gridSpan w:val="2"/>
          </w:tcPr>
          <w:p w:rsidR="00F81CFE" w:rsidRPr="00230F35" w:rsidRDefault="00F81CFE" w:rsidP="006F479B">
            <w:pPr>
              <w:rPr>
                <w:rFonts w:ascii="Arial" w:hAnsi="Arial" w:cs="Arial"/>
              </w:rPr>
            </w:pPr>
            <w:r w:rsidRPr="00230F35">
              <w:rPr>
                <w:rFonts w:ascii="Arial" w:hAnsi="Arial" w:cs="Arial"/>
              </w:rPr>
              <w:t>External Examiner’s Signature:</w:t>
            </w:r>
          </w:p>
        </w:tc>
        <w:tc>
          <w:tcPr>
            <w:tcW w:w="3645" w:type="dxa"/>
            <w:gridSpan w:val="3"/>
          </w:tcPr>
          <w:p w:rsidR="00F81CFE" w:rsidRPr="00230F35" w:rsidRDefault="00F81CFE" w:rsidP="006F479B">
            <w:pPr>
              <w:rPr>
                <w:rFonts w:ascii="Arial" w:hAnsi="Arial" w:cs="Arial"/>
              </w:rPr>
            </w:pPr>
            <w:r w:rsidRPr="00230F35">
              <w:rPr>
                <w:rFonts w:ascii="Arial" w:hAnsi="Arial" w:cs="Arial"/>
              </w:rPr>
              <w:t>Date:</w:t>
            </w:r>
          </w:p>
        </w:tc>
      </w:tr>
    </w:tbl>
    <w:p w:rsidR="00391A5E" w:rsidRDefault="00391A5E" w:rsidP="007C20C3">
      <w:pPr>
        <w:jc w:val="both"/>
        <w:rPr>
          <w:rFonts w:ascii="Trebuchet MS" w:eastAsia="SimSun" w:hAnsi="Trebuchet MS" w:cs="Tahoma"/>
          <w:bCs/>
          <w:color w:val="000000"/>
          <w:sz w:val="24"/>
          <w:szCs w:val="24"/>
          <w:lang w:eastAsia="zh-CN"/>
        </w:rPr>
      </w:pPr>
    </w:p>
    <w:p w:rsidR="00FA0DFF" w:rsidRDefault="0097132D" w:rsidP="007C20C3">
      <w:pPr>
        <w:jc w:val="both"/>
      </w:pPr>
      <w:r>
        <w:t xml:space="preserve">A </w:t>
      </w:r>
      <w:r w:rsidR="000015D2">
        <w:t>C</w:t>
      </w:r>
      <w:r>
        <w:t xml:space="preserve">ritical </w:t>
      </w:r>
      <w:r w:rsidR="000015D2">
        <w:t>C</w:t>
      </w:r>
      <w:r>
        <w:t xml:space="preserve">omparison of </w:t>
      </w:r>
      <w:r w:rsidR="000015D2">
        <w:t>T</w:t>
      </w:r>
      <w:r>
        <w:t xml:space="preserve">wo </w:t>
      </w:r>
      <w:r w:rsidR="000015D2">
        <w:t>S</w:t>
      </w:r>
      <w:r>
        <w:t xml:space="preserve">econdary </w:t>
      </w:r>
      <w:r w:rsidR="000015D2">
        <w:t>S</w:t>
      </w:r>
      <w:r>
        <w:t>ources</w:t>
      </w:r>
    </w:p>
    <w:p w:rsidR="00463DF0" w:rsidRDefault="00463DF0" w:rsidP="007C20C3">
      <w:pPr>
        <w:jc w:val="both"/>
      </w:pPr>
      <w:r>
        <w:t>This essay</w:t>
      </w:r>
      <w:r w:rsidR="000015D2">
        <w:t xml:space="preserve"> critically</w:t>
      </w:r>
      <w:r>
        <w:t xml:space="preserve"> compares and contrasts </w:t>
      </w:r>
      <w:r w:rsidR="000015D2">
        <w:t>two JSTOR papers.  The two papers chosen are Nancy Siraisi</w:t>
      </w:r>
      <w:r w:rsidR="002F49BE">
        <w:t>, ‘Anatomizing</w:t>
      </w:r>
      <w:r>
        <w:t xml:space="preserve"> the Past: Physicians and History in Renaissance Culture.’ </w:t>
      </w:r>
      <w:r w:rsidRPr="000015D2">
        <w:rPr>
          <w:i/>
        </w:rPr>
        <w:t xml:space="preserve"> Renaissance Quarterly</w:t>
      </w:r>
      <w:r>
        <w:t xml:space="preserve"> 53, no. 1 (2000): 1-30 and </w:t>
      </w:r>
      <w:r w:rsidR="000015D2">
        <w:t>Alisha Rankin</w:t>
      </w:r>
      <w:r w:rsidR="00CE6EB9">
        <w:t>, ‘Telling</w:t>
      </w:r>
      <w:r>
        <w:t xml:space="preserve"> Time through Medicine: A Gendered Perspective.'  </w:t>
      </w:r>
      <w:r w:rsidRPr="000015D2">
        <w:rPr>
          <w:i/>
        </w:rPr>
        <w:t>Gendered Temporalities in the Early Modern World,</w:t>
      </w:r>
      <w:r>
        <w:t xml:space="preserve"> edited by Merry E. Wiesner-Hanks, 95-114: Amsterdam University Press, 2018.  My aim is to place each article </w:t>
      </w:r>
      <w:r w:rsidR="00FE22BA">
        <w:t xml:space="preserve">and author </w:t>
      </w:r>
      <w:r>
        <w:t>in contex</w:t>
      </w:r>
      <w:r w:rsidR="00F85982">
        <w:t>t, who the authors</w:t>
      </w:r>
      <w:r w:rsidR="00FE22BA">
        <w:t xml:space="preserve"> are, who they are writing for, </w:t>
      </w:r>
      <w:r w:rsidR="000015D2">
        <w:t xml:space="preserve">including a critical look at the </w:t>
      </w:r>
      <w:r>
        <w:t>tim</w:t>
      </w:r>
      <w:r w:rsidR="000015D2">
        <w:t>ing of the articles</w:t>
      </w:r>
      <w:r w:rsidR="00776166">
        <w:t>, particulary Siraisi</w:t>
      </w:r>
      <w:r w:rsidR="00FE22BA">
        <w:t xml:space="preserve">, where and how </w:t>
      </w:r>
      <w:r w:rsidR="000015D2">
        <w:t>they were</w:t>
      </w:r>
      <w:r w:rsidR="00FE22BA">
        <w:t xml:space="preserve"> published and who</w:t>
      </w:r>
      <w:r w:rsidR="00CE6EB9">
        <w:t xml:space="preserve"> their respective audiences are</w:t>
      </w:r>
      <w:r w:rsidR="00776166">
        <w:t>,</w:t>
      </w:r>
      <w:r w:rsidR="00CE6EB9">
        <w:t xml:space="preserve"> as well as a brief overvi</w:t>
      </w:r>
      <w:r w:rsidR="00776166">
        <w:t xml:space="preserve">ew of the content of each paper, </w:t>
      </w:r>
      <w:r w:rsidR="00FE22BA">
        <w:t xml:space="preserve">I </w:t>
      </w:r>
      <w:r w:rsidR="00FE22BA" w:rsidRPr="00776166">
        <w:t>will</w:t>
      </w:r>
      <w:r w:rsidR="00776166" w:rsidRPr="00776166">
        <w:t xml:space="preserve"> then</w:t>
      </w:r>
      <w:r w:rsidR="00FE22BA" w:rsidRPr="00776166">
        <w:t xml:space="preserve"> compare and contrast the two pieces detailing similarities and differences between their styles, content, focus and their use of sources</w:t>
      </w:r>
      <w:r w:rsidR="001B70FC" w:rsidRPr="00776166">
        <w:t xml:space="preserve"> and end with my conclusions.</w:t>
      </w:r>
      <w:r w:rsidR="00D6553F" w:rsidRPr="00776166">
        <w:t xml:space="preserve">  </w:t>
      </w:r>
    </w:p>
    <w:p w:rsidR="00955E0A" w:rsidRDefault="00F85982" w:rsidP="007C20C3">
      <w:pPr>
        <w:ind w:firstLine="720"/>
        <w:jc w:val="both"/>
      </w:pPr>
      <w:r>
        <w:t xml:space="preserve">I will start </w:t>
      </w:r>
      <w:r w:rsidR="005F0F3E">
        <w:t xml:space="preserve">with </w:t>
      </w:r>
      <w:r w:rsidR="009B0D71">
        <w:t xml:space="preserve">the doyenne of Renaissance History, </w:t>
      </w:r>
      <w:r w:rsidR="005F0F3E">
        <w:t>Nancy</w:t>
      </w:r>
      <w:r w:rsidR="00CE6EB9">
        <w:t xml:space="preserve"> </w:t>
      </w:r>
      <w:r>
        <w:t>Siraisi</w:t>
      </w:r>
      <w:r w:rsidR="003129CD">
        <w:rPr>
          <w:rStyle w:val="FootnoteReference"/>
        </w:rPr>
        <w:footnoteReference w:id="1"/>
      </w:r>
      <w:r w:rsidR="009B0D71">
        <w:t xml:space="preserve"> b</w:t>
      </w:r>
      <w:r>
        <w:t>orn in 1932 and still aliv</w:t>
      </w:r>
      <w:r w:rsidR="009B0D71">
        <w:t>e today at the age of 93, she</w:t>
      </w:r>
      <w:r>
        <w:t xml:space="preserve"> is one of a cadre of</w:t>
      </w:r>
      <w:r w:rsidR="00437D19">
        <w:t xml:space="preserve"> </w:t>
      </w:r>
      <w:r w:rsidR="00351B61">
        <w:t>women academics</w:t>
      </w:r>
      <w:r w:rsidR="009B0D71">
        <w:t>, particularly at City University of New York (CUNY)</w:t>
      </w:r>
      <w:r w:rsidR="00DE61A8">
        <w:t xml:space="preserve"> who in the </w:t>
      </w:r>
      <w:r w:rsidR="00351B61">
        <w:t>20</w:t>
      </w:r>
      <w:r w:rsidR="00351B61" w:rsidRPr="00351B61">
        <w:rPr>
          <w:vertAlign w:val="superscript"/>
        </w:rPr>
        <w:t>th</w:t>
      </w:r>
      <w:r w:rsidR="00DE61A8">
        <w:t xml:space="preserve"> century </w:t>
      </w:r>
      <w:r>
        <w:t>forged out academic acclaim via History, particularly focussing upon various aspects of the Renaissance period.</w:t>
      </w:r>
      <w:r w:rsidR="000631ED">
        <w:rPr>
          <w:rStyle w:val="FootnoteReference"/>
        </w:rPr>
        <w:footnoteReference w:id="2"/>
      </w:r>
      <w:r>
        <w:t xml:space="preserve"> </w:t>
      </w:r>
      <w:r w:rsidR="00776166">
        <w:t xml:space="preserve"> </w:t>
      </w:r>
      <w:r w:rsidR="00765C3A">
        <w:t>There’s a multiplicity</w:t>
      </w:r>
      <w:r>
        <w:t xml:space="preserve"> inherent in Siraisi’s presentation, on the one hand she </w:t>
      </w:r>
      <w:r w:rsidR="002F49BE">
        <w:t xml:space="preserve">is cataloguing or ‘anatomizing’ the </w:t>
      </w:r>
      <w:r>
        <w:t xml:space="preserve">past, </w:t>
      </w:r>
      <w:r w:rsidR="00CE6EB9">
        <w:t xml:space="preserve">tracking </w:t>
      </w:r>
      <w:r w:rsidR="00955E0A">
        <w:t xml:space="preserve"> her speciality; </w:t>
      </w:r>
      <w:r w:rsidR="00CE6EB9">
        <w:t>the presentation of history through the male  academic culture of physicians, who in the Renaissance period experienced their medical studies and careers as inseparable from the academia and lineage of the past,</w:t>
      </w:r>
      <w:r w:rsidR="00DE61A8">
        <w:t xml:space="preserve">  writing journals, treatise, critiques and</w:t>
      </w:r>
      <w:r w:rsidR="00CE6EB9">
        <w:t xml:space="preserve"> translations of Plato, </w:t>
      </w:r>
      <w:r w:rsidR="00583C86">
        <w:t>Aristotle</w:t>
      </w:r>
      <w:r w:rsidR="00CE6EB9">
        <w:t xml:space="preserve">, </w:t>
      </w:r>
      <w:r w:rsidR="007C20C3">
        <w:t xml:space="preserve"> Hippocrates and Galen</w:t>
      </w:r>
      <w:r w:rsidR="00955E0A">
        <w:t>, citing their forefathers</w:t>
      </w:r>
      <w:r w:rsidR="00DE61A8">
        <w:t xml:space="preserve"> as part</w:t>
      </w:r>
      <w:r w:rsidR="00CE6EB9">
        <w:t xml:space="preserve"> of the</w:t>
      </w:r>
      <w:r w:rsidR="00DE61A8">
        <w:t xml:space="preserve"> science of their </w:t>
      </w:r>
      <w:r w:rsidR="00807914">
        <w:t>healing art, spotlighting  the growing role of the  narrative discourse within medicine.</w:t>
      </w:r>
      <w:r w:rsidR="00CE6EB9">
        <w:t xml:space="preserve"> On the other ha</w:t>
      </w:r>
      <w:r w:rsidR="00583C86">
        <w:t>n</w:t>
      </w:r>
      <w:r w:rsidR="00DE61A8">
        <w:t>d she makes</w:t>
      </w:r>
      <w:r w:rsidR="00765C3A">
        <w:t xml:space="preserve"> great </w:t>
      </w:r>
      <w:r w:rsidR="002F49BE">
        <w:t xml:space="preserve">embodied </w:t>
      </w:r>
      <w:r w:rsidR="00DE61A8">
        <w:t>use of her</w:t>
      </w:r>
      <w:r w:rsidR="007C20C3">
        <w:t xml:space="preserve"> personal</w:t>
      </w:r>
      <w:r w:rsidR="00765C3A">
        <w:t xml:space="preserve"> platform to do</w:t>
      </w:r>
      <w:r w:rsidR="00351B61">
        <w:t xml:space="preserve"> a</w:t>
      </w:r>
      <w:r w:rsidR="00CE6EB9">
        <w:t xml:space="preserve"> similar </w:t>
      </w:r>
      <w:r w:rsidR="00765C3A">
        <w:t>retrospective</w:t>
      </w:r>
      <w:r w:rsidR="00CE6EB9">
        <w:t xml:space="preserve"> for the role of</w:t>
      </w:r>
      <w:r w:rsidR="009B0D71">
        <w:t xml:space="preserve"> 20</w:t>
      </w:r>
      <w:r w:rsidR="009B0D71" w:rsidRPr="009B0D71">
        <w:rPr>
          <w:vertAlign w:val="superscript"/>
        </w:rPr>
        <w:t>th</w:t>
      </w:r>
      <w:r w:rsidR="009B0D71">
        <w:t xml:space="preserve"> century</w:t>
      </w:r>
      <w:r w:rsidR="00CE6EB9">
        <w:t xml:space="preserve"> </w:t>
      </w:r>
      <w:r w:rsidR="00CE6EB9">
        <w:lastRenderedPageBreak/>
        <w:t>women</w:t>
      </w:r>
      <w:r w:rsidR="00351B61">
        <w:t xml:space="preserve"> academics</w:t>
      </w:r>
      <w:r w:rsidR="00765C3A">
        <w:t>, s</w:t>
      </w:r>
      <w:r w:rsidR="00CE6EB9">
        <w:t xml:space="preserve">he herself was one of </w:t>
      </w:r>
      <w:r w:rsidR="005F0F3E">
        <w:t xml:space="preserve">the </w:t>
      </w:r>
      <w:r w:rsidR="00CE6EB9">
        <w:t>women Pre</w:t>
      </w:r>
      <w:r w:rsidR="00A22F50">
        <w:t>sidents of the Renaissance Society of America</w:t>
      </w:r>
      <w:r w:rsidR="003129CD">
        <w:rPr>
          <w:rStyle w:val="FootnoteReference"/>
        </w:rPr>
        <w:footnoteReference w:id="3"/>
      </w:r>
      <w:r w:rsidR="009B0D71">
        <w:t xml:space="preserve"> and her paper is </w:t>
      </w:r>
      <w:r w:rsidR="005F0F3E">
        <w:t>the Josephine Waters Bennett Lecture</w:t>
      </w:r>
      <w:r w:rsidR="005F0F3E">
        <w:rPr>
          <w:rStyle w:val="FootnoteReference"/>
        </w:rPr>
        <w:footnoteReference w:id="4"/>
      </w:r>
      <w:r w:rsidR="005F0F3E">
        <w:t xml:space="preserve"> given at the </w:t>
      </w:r>
      <w:r w:rsidR="00810CB5">
        <w:t>1999</w:t>
      </w:r>
      <w:r w:rsidR="00A22F50">
        <w:t xml:space="preserve"> </w:t>
      </w:r>
      <w:r w:rsidR="00955E0A">
        <w:t>C</w:t>
      </w:r>
      <w:r w:rsidR="009B0D71">
        <w:t>onference,</w:t>
      </w:r>
      <w:r w:rsidR="00583C86">
        <w:t xml:space="preserve"> therefore</w:t>
      </w:r>
      <w:r w:rsidR="00A22F50">
        <w:t xml:space="preserve"> following tradition and etiquette the lecture is published in the Renaissance Quarterly</w:t>
      </w:r>
      <w:r w:rsidR="00810CB5">
        <w:t>, the dat</w:t>
      </w:r>
      <w:r w:rsidR="009B0D71">
        <w:t>e of which is Spring 2000 and thereby</w:t>
      </w:r>
      <w:r w:rsidR="00810CB5">
        <w:t xml:space="preserve"> gains the number 1 of Volume 53. </w:t>
      </w:r>
      <w:r w:rsidR="00A22F50">
        <w:t xml:space="preserve"> </w:t>
      </w:r>
      <w:r w:rsidR="00810CB5">
        <w:t xml:space="preserve">So at the dawning of the new millennium she </w:t>
      </w:r>
      <w:r w:rsidR="001A546A">
        <w:t xml:space="preserve">makes her </w:t>
      </w:r>
      <w:r w:rsidR="002F12AC">
        <w:t>point</w:t>
      </w:r>
      <w:r w:rsidR="001A546A">
        <w:t xml:space="preserve"> and takes her place </w:t>
      </w:r>
      <w:r w:rsidR="00583C86">
        <w:t>as a woman academic</w:t>
      </w:r>
      <w:r w:rsidR="002F12AC">
        <w:t xml:space="preserve"> going into the future</w:t>
      </w:r>
      <w:r w:rsidR="00583C86">
        <w:t>, under a woman’s Presidency</w:t>
      </w:r>
      <w:r w:rsidR="00583C86">
        <w:rPr>
          <w:rStyle w:val="FootnoteReference"/>
        </w:rPr>
        <w:footnoteReference w:id="5"/>
      </w:r>
      <w:r w:rsidR="002F12AC">
        <w:t xml:space="preserve"> from </w:t>
      </w:r>
      <w:r w:rsidR="00955E0A">
        <w:t xml:space="preserve">her lineage.  </w:t>
      </w:r>
    </w:p>
    <w:p w:rsidR="00776166" w:rsidRDefault="00955E0A" w:rsidP="002E4E4B">
      <w:pPr>
        <w:ind w:firstLine="720"/>
        <w:jc w:val="both"/>
      </w:pPr>
      <w:r>
        <w:t>S</w:t>
      </w:r>
      <w:r w:rsidR="001A546A">
        <w:t xml:space="preserve">he </w:t>
      </w:r>
      <w:r w:rsidR="00A22F50">
        <w:t xml:space="preserve">opens her paper speaking of </w:t>
      </w:r>
      <w:r w:rsidR="001A546A">
        <w:t>a ‘</w:t>
      </w:r>
      <w:r w:rsidR="002F49BE">
        <w:t>royal example’ that ‘buttresses</w:t>
      </w:r>
      <w:r w:rsidR="001A546A">
        <w:t xml:space="preserve"> the claim</w:t>
      </w:r>
      <w:r w:rsidR="002F49BE">
        <w:t>’</w:t>
      </w:r>
      <w:r w:rsidR="001A546A">
        <w:rPr>
          <w:rStyle w:val="FootnoteReference"/>
        </w:rPr>
        <w:footnoteReference w:id="6"/>
      </w:r>
      <w:r w:rsidR="001A546A">
        <w:t xml:space="preserve"> </w:t>
      </w:r>
      <w:r w:rsidR="002F49BE">
        <w:t xml:space="preserve"> </w:t>
      </w:r>
      <w:r w:rsidR="001A546A">
        <w:t>that reading history could ‘cure all serious illnesses of the body and mind’</w:t>
      </w:r>
      <w:r w:rsidR="001A546A">
        <w:rPr>
          <w:rStyle w:val="FootnoteReference"/>
        </w:rPr>
        <w:footnoteReference w:id="7"/>
      </w:r>
      <w:r w:rsidR="00026039">
        <w:t xml:space="preserve"> and </w:t>
      </w:r>
      <w:r w:rsidR="001A546A">
        <w:t>goes on to actually mention the</w:t>
      </w:r>
      <w:r w:rsidR="002135C8">
        <w:t xml:space="preserve"> current</w:t>
      </w:r>
      <w:r w:rsidR="001A546A">
        <w:t xml:space="preserve"> date to reinforce the shift into the millennium which she herself is at the spearhead of </w:t>
      </w:r>
      <w:r w:rsidR="00566FC0">
        <w:t xml:space="preserve"> </w:t>
      </w:r>
      <w:r w:rsidR="001A546A">
        <w:t xml:space="preserve">‘The idea of the healing power of history – however implausible it may look at the end of the twentieth century –‘ </w:t>
      </w:r>
      <w:r w:rsidR="001A546A">
        <w:rPr>
          <w:rStyle w:val="FootnoteReference"/>
        </w:rPr>
        <w:footnoteReference w:id="8"/>
      </w:r>
      <w:r w:rsidR="008C7CDB">
        <w:t xml:space="preserve">  and througho</w:t>
      </w:r>
      <w:r w:rsidR="00DE61A8">
        <w:t xml:space="preserve">ut her delivery she cites </w:t>
      </w:r>
      <w:r w:rsidR="00DE61A8" w:rsidRPr="006545AE">
        <w:t>over 100</w:t>
      </w:r>
      <w:r w:rsidR="008C7CDB">
        <w:t xml:space="preserve"> men from past history but mentions more </w:t>
      </w:r>
      <w:r w:rsidR="002F49BE">
        <w:t xml:space="preserve">current </w:t>
      </w:r>
      <w:r w:rsidR="008C7CDB">
        <w:t xml:space="preserve">women </w:t>
      </w:r>
      <w:r w:rsidR="002F49BE" w:rsidRPr="002F49BE">
        <w:t xml:space="preserve">academics and researchers or when she </w:t>
      </w:r>
      <w:r w:rsidR="006545AE">
        <w:t>once</w:t>
      </w:r>
      <w:r w:rsidR="002F49BE" w:rsidRPr="002F49BE">
        <w:t xml:space="preserve"> mention</w:t>
      </w:r>
      <w:r w:rsidR="006545AE">
        <w:t>s</w:t>
      </w:r>
      <w:r w:rsidR="00807914">
        <w:t xml:space="preserve"> a man and woman</w:t>
      </w:r>
      <w:r w:rsidR="002E4E4B">
        <w:t>’</w:t>
      </w:r>
      <w:r w:rsidR="00807914">
        <w:t xml:space="preserve">s </w:t>
      </w:r>
      <w:r w:rsidR="002F49BE" w:rsidRPr="002F49BE">
        <w:t>name</w:t>
      </w:r>
      <w:r w:rsidR="00807914">
        <w:t xml:space="preserve"> together</w:t>
      </w:r>
      <w:r w:rsidR="002F49BE" w:rsidRPr="002F49BE">
        <w:t xml:space="preserve">, </w:t>
      </w:r>
      <w:r w:rsidR="00776166">
        <w:t>his comes second, i.e.</w:t>
      </w:r>
      <w:r w:rsidR="006545AE">
        <w:t xml:space="preserve"> ‘Paula Findlen, Harold Cook’ </w:t>
      </w:r>
      <w:r w:rsidR="006545AE">
        <w:rPr>
          <w:rStyle w:val="FootnoteReference"/>
        </w:rPr>
        <w:footnoteReference w:id="9"/>
      </w:r>
    </w:p>
    <w:p w:rsidR="00765C3A" w:rsidRPr="0019494B" w:rsidRDefault="00807914" w:rsidP="002E4E4B">
      <w:pPr>
        <w:ind w:firstLine="720"/>
        <w:jc w:val="both"/>
      </w:pPr>
      <w:r>
        <w:t xml:space="preserve"> </w:t>
      </w:r>
      <w:r w:rsidR="002E4E4B">
        <w:t xml:space="preserve">The contrasting </w:t>
      </w:r>
      <w:r w:rsidR="00566FC0">
        <w:t xml:space="preserve">paper </w:t>
      </w:r>
      <w:r w:rsidR="00351B61">
        <w:t xml:space="preserve">is by Alisha Rankin </w:t>
      </w:r>
      <w:r w:rsidR="00026039">
        <w:rPr>
          <w:rStyle w:val="FootnoteReference"/>
        </w:rPr>
        <w:footnoteReference w:id="10"/>
      </w:r>
      <w:r w:rsidR="00351B61">
        <w:t>and like Siraisi</w:t>
      </w:r>
      <w:r w:rsidR="00026039">
        <w:rPr>
          <w:rStyle w:val="FootnoteReference"/>
        </w:rPr>
        <w:footnoteReference w:id="11"/>
      </w:r>
      <w:r w:rsidR="002F49BE">
        <w:t xml:space="preserve"> she</w:t>
      </w:r>
      <w:r w:rsidR="00351B61">
        <w:t xml:space="preserve"> is a white American middle class multi-lingual</w:t>
      </w:r>
      <w:r w:rsidR="00026039">
        <w:t xml:space="preserve"> Professor,</w:t>
      </w:r>
      <w:r w:rsidR="00351B61">
        <w:t xml:space="preserve"> a </w:t>
      </w:r>
      <w:r w:rsidR="00CE5129">
        <w:t>History Chair</w:t>
      </w:r>
      <w:r w:rsidR="00026039">
        <w:t xml:space="preserve"> in the 21</w:t>
      </w:r>
      <w:r w:rsidR="00026039" w:rsidRPr="00026039">
        <w:rPr>
          <w:vertAlign w:val="superscript"/>
        </w:rPr>
        <w:t>st</w:t>
      </w:r>
      <w:r w:rsidR="00026039">
        <w:t xml:space="preserve"> century </w:t>
      </w:r>
      <w:r w:rsidR="00566FC0">
        <w:t>at Tufts University</w:t>
      </w:r>
      <w:r w:rsidR="00437D19">
        <w:t xml:space="preserve"> in Renaissance &amp; Re</w:t>
      </w:r>
      <w:r w:rsidR="00D70D73">
        <w:t>formation course development,</w:t>
      </w:r>
      <w:r w:rsidR="00437D19">
        <w:t xml:space="preserve"> teaching as well as publishing books and papers and like Siraisi winning academic awards and prizes.</w:t>
      </w:r>
      <w:r w:rsidR="009B0D71">
        <w:rPr>
          <w:rStyle w:val="FootnoteReference"/>
        </w:rPr>
        <w:footnoteReference w:id="12"/>
      </w:r>
      <w:r w:rsidR="00437D19">
        <w:t xml:space="preserve"> She too </w:t>
      </w:r>
      <w:r w:rsidR="00215386">
        <w:t xml:space="preserve">focuses on medicine and early modern European history (c.1450-1700), yet from a very different perspective, that </w:t>
      </w:r>
      <w:r w:rsidR="00351B61">
        <w:t>of underrepresented groups in</w:t>
      </w:r>
      <w:r w:rsidR="00215386">
        <w:t xml:space="preserve"> history, ‘I am particularly interested in the intersection of scholarly and lay knowledge in the history of medicine and pharmacy’ </w:t>
      </w:r>
      <w:r w:rsidR="00215386">
        <w:rPr>
          <w:rStyle w:val="FootnoteReference"/>
        </w:rPr>
        <w:footnoteReference w:id="13"/>
      </w:r>
      <w:r w:rsidR="000B7949">
        <w:t xml:space="preserve"> </w:t>
      </w:r>
      <w:r w:rsidR="00437D19">
        <w:t>Her paper is Chapter 4 of her book</w:t>
      </w:r>
      <w:r w:rsidR="00437D19">
        <w:rPr>
          <w:rStyle w:val="FootnoteReference"/>
        </w:rPr>
        <w:footnoteReference w:id="14"/>
      </w:r>
      <w:r w:rsidR="002F12AC">
        <w:t xml:space="preserve">  and </w:t>
      </w:r>
      <w:r w:rsidR="00437D19">
        <w:t>has a totally differ</w:t>
      </w:r>
      <w:r w:rsidR="00CE5129">
        <w:t xml:space="preserve">ent aim and audience, </w:t>
      </w:r>
      <w:r w:rsidR="00D70D73">
        <w:t xml:space="preserve"> the focus of the</w:t>
      </w:r>
      <w:r w:rsidR="00765C3A">
        <w:t xml:space="preserve"> chapter has a very tight lens, </w:t>
      </w:r>
      <w:r w:rsidR="00193C3B">
        <w:t xml:space="preserve"> </w:t>
      </w:r>
      <w:r w:rsidR="00765C3A">
        <w:t xml:space="preserve">she zooms in </w:t>
      </w:r>
      <w:r w:rsidR="008458FC">
        <w:t xml:space="preserve"> on </w:t>
      </w:r>
      <w:r w:rsidR="00765C3A">
        <w:t>the primary source of correspondence  letters</w:t>
      </w:r>
      <w:r w:rsidR="00AF2AEA">
        <w:t xml:space="preserve"> from 1557</w:t>
      </w:r>
      <w:r w:rsidR="0019494B">
        <w:t>-75</w:t>
      </w:r>
      <w:r w:rsidR="00765C3A">
        <w:t xml:space="preserve"> between two aristocratic women to reveal the elements of</w:t>
      </w:r>
      <w:r w:rsidR="00E509CB">
        <w:t xml:space="preserve"> how women experienced </w:t>
      </w:r>
      <w:r w:rsidR="00765C3A">
        <w:t xml:space="preserve">time, </w:t>
      </w:r>
      <w:r w:rsidR="00E509CB">
        <w:t xml:space="preserve">‘Drawing on letters and medicinal recipes, it argues </w:t>
      </w:r>
      <w:r w:rsidR="000A538B">
        <w:t>that women both reflected broader  r</w:t>
      </w:r>
      <w:r w:rsidR="000F31EB">
        <w:t>e</w:t>
      </w:r>
      <w:r w:rsidR="000A538B">
        <w:t xml:space="preserve">ckonings of time and drew their own concepts of medical </w:t>
      </w:r>
      <w:r w:rsidR="000F31EB">
        <w:t>temporality</w:t>
      </w:r>
      <w:r w:rsidR="000A538B">
        <w:t xml:space="preserve"> from th</w:t>
      </w:r>
      <w:r w:rsidR="000F31EB">
        <w:t>e</w:t>
      </w:r>
      <w:r w:rsidR="000A538B">
        <w:t xml:space="preserve"> female body’</w:t>
      </w:r>
      <w:r w:rsidR="000F31EB">
        <w:rPr>
          <w:rStyle w:val="FootnoteReference"/>
        </w:rPr>
        <w:footnoteReference w:id="15"/>
      </w:r>
      <w:r w:rsidR="00AF2AEA">
        <w:t xml:space="preserve"> </w:t>
      </w:r>
      <w:r w:rsidR="00193C3B">
        <w:t xml:space="preserve"> she draws parallels with current research in the fields of philosophy and sociology and the view of how women’s bodies still have a ‘disjunction with medical time as prescribed in hospitals’</w:t>
      </w:r>
      <w:r w:rsidR="00193C3B">
        <w:rPr>
          <w:rStyle w:val="FootnoteReference"/>
        </w:rPr>
        <w:footnoteReference w:id="16"/>
      </w:r>
      <w:r w:rsidR="00193C3B">
        <w:t xml:space="preserve"> citing work by Thomas </w:t>
      </w:r>
      <w:r w:rsidR="00193C3B">
        <w:rPr>
          <w:rStyle w:val="FootnoteReference"/>
        </w:rPr>
        <w:footnoteReference w:id="17"/>
      </w:r>
      <w:r w:rsidR="001C7812">
        <w:t xml:space="preserve"> O</w:t>
      </w:r>
      <w:r w:rsidR="00AF2AEA">
        <w:t xml:space="preserve">ther </w:t>
      </w:r>
      <w:r w:rsidR="001C7812">
        <w:t xml:space="preserve"> primary sources are</w:t>
      </w:r>
      <w:r w:rsidR="00AF2AEA">
        <w:t xml:space="preserve"> specific letters from 1578</w:t>
      </w:r>
      <w:r w:rsidR="0019494B">
        <w:t>, 1580</w:t>
      </w:r>
      <w:r w:rsidR="00AF2AEA">
        <w:t xml:space="preserve"> and </w:t>
      </w:r>
      <w:r w:rsidR="00AF2AEA">
        <w:lastRenderedPageBreak/>
        <w:t>an almanac for the year</w:t>
      </w:r>
      <w:r w:rsidR="002E4E4B">
        <w:t xml:space="preserve"> 1571 by physician and ‘Krakow U</w:t>
      </w:r>
      <w:r w:rsidR="00AF2AEA">
        <w:t>niversity astrologer’</w:t>
      </w:r>
      <w:r w:rsidR="00A658DB">
        <w:t xml:space="preserve"> Peter Slovacius</w:t>
      </w:r>
      <w:r w:rsidR="00A658DB">
        <w:rPr>
          <w:rStyle w:val="FootnoteReference"/>
        </w:rPr>
        <w:footnoteReference w:id="18"/>
      </w:r>
      <w:r w:rsidR="009E5BBA">
        <w:t xml:space="preserve"> although in the title of the picture Figure 4.2 the year reads 1581 as does the reference ‘Slovacius, </w:t>
      </w:r>
      <w:r w:rsidR="009E5BBA">
        <w:rPr>
          <w:i/>
        </w:rPr>
        <w:t>Almanach auff das 1581 jar’</w:t>
      </w:r>
      <w:r w:rsidR="003C1837">
        <w:rPr>
          <w:rStyle w:val="FootnoteReference"/>
          <w:i/>
        </w:rPr>
        <w:footnoteReference w:id="19"/>
      </w:r>
      <w:r w:rsidR="0019494B">
        <w:t xml:space="preserve"> a possible typo error that would have made her cross I’m sure. </w:t>
      </w:r>
    </w:p>
    <w:p w:rsidR="00D70D73" w:rsidRDefault="00765C3A" w:rsidP="009C6628">
      <w:pPr>
        <w:ind w:firstLine="720"/>
        <w:jc w:val="both"/>
      </w:pPr>
      <w:r>
        <w:t>The language of the t</w:t>
      </w:r>
      <w:r w:rsidR="00776166">
        <w:t>wo pieces is completely different</w:t>
      </w:r>
      <w:r w:rsidR="00EA3C31">
        <w:t xml:space="preserve"> due to their intended audiences and formats.</w:t>
      </w:r>
      <w:r>
        <w:t xml:space="preserve"> Siraisi’s is firstly a</w:t>
      </w:r>
      <w:r w:rsidR="002F49BE">
        <w:t xml:space="preserve"> live</w:t>
      </w:r>
      <w:r>
        <w:t xml:space="preserve"> speech at</w:t>
      </w:r>
      <w:r w:rsidR="002F49BE">
        <w:t xml:space="preserve"> the RSA Conference and</w:t>
      </w:r>
      <w:r>
        <w:t xml:space="preserve"> has an </w:t>
      </w:r>
      <w:r w:rsidR="005F7837">
        <w:t>intimacy; her</w:t>
      </w:r>
      <w:r>
        <w:t xml:space="preserve"> au</w:t>
      </w:r>
      <w:r w:rsidR="00CF3EF2">
        <w:t>dience are</w:t>
      </w:r>
      <w:r>
        <w:t xml:space="preserve"> professional peers</w:t>
      </w:r>
      <w:r w:rsidR="00CF4A6B">
        <w:t xml:space="preserve"> and friends</w:t>
      </w:r>
      <w:r w:rsidR="008458FC">
        <w:t xml:space="preserve">. There are points in the paper where </w:t>
      </w:r>
      <w:r w:rsidR="00A44C28">
        <w:t xml:space="preserve">the </w:t>
      </w:r>
      <w:r w:rsidR="008458FC">
        <w:t>humour</w:t>
      </w:r>
      <w:r w:rsidR="00A44C28">
        <w:t xml:space="preserve"> of shared jokes in history</w:t>
      </w:r>
      <w:r w:rsidR="008458FC">
        <w:t xml:space="preserve"> comes through and you can imagine the t</w:t>
      </w:r>
      <w:r w:rsidR="00D70D73">
        <w:t>one of her voice changing to express this</w:t>
      </w:r>
      <w:r w:rsidR="008458FC">
        <w:t xml:space="preserve">, </w:t>
      </w:r>
      <w:r w:rsidR="008458FC" w:rsidRPr="00807914">
        <w:t>plus</w:t>
      </w:r>
      <w:r w:rsidR="008458FC">
        <w:t xml:space="preserve"> the last woman President, </w:t>
      </w:r>
      <w:r w:rsidR="008458FC" w:rsidRPr="008458FC">
        <w:t>Barbara C Bowen</w:t>
      </w:r>
      <w:r w:rsidR="008458FC">
        <w:rPr>
          <w:rStyle w:val="FootnoteReference"/>
        </w:rPr>
        <w:footnoteReference w:id="20"/>
      </w:r>
      <w:r w:rsidR="008458FC" w:rsidRPr="008458FC">
        <w:t xml:space="preserve"> </w:t>
      </w:r>
      <w:r w:rsidR="008458FC">
        <w:t>was known for her humour and this i</w:t>
      </w:r>
      <w:r w:rsidR="00D70D73">
        <w:t xml:space="preserve">s mirrored as a </w:t>
      </w:r>
      <w:r w:rsidR="002F49BE">
        <w:t xml:space="preserve">collective </w:t>
      </w:r>
      <w:r w:rsidR="00D70D73">
        <w:t xml:space="preserve">shared </w:t>
      </w:r>
      <w:r w:rsidR="002F49BE">
        <w:t>recognition</w:t>
      </w:r>
      <w:r w:rsidR="00873FE7">
        <w:t xml:space="preserve"> between the past and the present</w:t>
      </w:r>
      <w:r w:rsidR="00CF4A6B">
        <w:t xml:space="preserve"> </w:t>
      </w:r>
      <w:r w:rsidR="00A44C28">
        <w:t>‘Laurent Joubert, professor and chancellor</w:t>
      </w:r>
      <w:r w:rsidR="00CF3EF2">
        <w:t xml:space="preserve"> of the University of Montpellier, is probably best remembered today for his vernacular treatises on popular errors and on laughter’</w:t>
      </w:r>
      <w:r w:rsidR="00CF3EF2">
        <w:rPr>
          <w:rStyle w:val="FootnoteReference"/>
        </w:rPr>
        <w:footnoteReference w:id="21"/>
      </w:r>
      <w:r w:rsidR="00CF3EF2">
        <w:t xml:space="preserve"> and other small anecdotes</w:t>
      </w:r>
      <w:r w:rsidR="00B66719">
        <w:t xml:space="preserve"> </w:t>
      </w:r>
      <w:r w:rsidR="00D70D73">
        <w:t xml:space="preserve"> to lighten the tone and possibly </w:t>
      </w:r>
      <w:r w:rsidR="00B66719">
        <w:t xml:space="preserve">spoken </w:t>
      </w:r>
      <w:r w:rsidR="00D70D73">
        <w:t xml:space="preserve"> ‘- as one must say --  gossipy.’ </w:t>
      </w:r>
      <w:r w:rsidR="00D70D73">
        <w:rPr>
          <w:rStyle w:val="FootnoteReference"/>
        </w:rPr>
        <w:footnoteReference w:id="22"/>
      </w:r>
      <w:r w:rsidR="00B66719">
        <w:t xml:space="preserve">to the audience e.g. </w:t>
      </w:r>
      <w:r w:rsidR="00CF3EF2">
        <w:t xml:space="preserve"> ‘his important work on the natural history of fish’</w:t>
      </w:r>
      <w:r w:rsidR="00CF3EF2">
        <w:rPr>
          <w:rStyle w:val="FootnoteReference"/>
        </w:rPr>
        <w:footnoteReference w:id="23"/>
      </w:r>
      <w:r w:rsidR="00712D77">
        <w:t xml:space="preserve"> and ‘we learn about the scandal  caused by Rondelet’s </w:t>
      </w:r>
      <w:r w:rsidR="00E509CB">
        <w:t>dissection of the dead body of his son’</w:t>
      </w:r>
      <w:r w:rsidR="00E509CB">
        <w:rPr>
          <w:rStyle w:val="FootnoteReference"/>
        </w:rPr>
        <w:footnoteReference w:id="24"/>
      </w:r>
      <w:r w:rsidR="00D70D73">
        <w:t xml:space="preserve"> and ‘that he had been given poison by a prostitute’.</w:t>
      </w:r>
      <w:r w:rsidR="00D70D73">
        <w:rPr>
          <w:rStyle w:val="FootnoteReference"/>
        </w:rPr>
        <w:footnoteReference w:id="25"/>
      </w:r>
      <w:r w:rsidR="00D70D73">
        <w:t xml:space="preserve"> </w:t>
      </w:r>
      <w:r w:rsidR="00B66719">
        <w:t xml:space="preserve"> Then later her speech is available to the whole </w:t>
      </w:r>
      <w:r>
        <w:t>readership of the RSA</w:t>
      </w:r>
      <w:r w:rsidR="005F7837">
        <w:t xml:space="preserve"> via the Spring Quarterly</w:t>
      </w:r>
      <w:r w:rsidR="00B66719">
        <w:t xml:space="preserve">, where </w:t>
      </w:r>
      <w:r>
        <w:t xml:space="preserve">she gives them the delight of </w:t>
      </w:r>
      <w:r w:rsidR="004F2411">
        <w:t xml:space="preserve">reading copious </w:t>
      </w:r>
      <w:r>
        <w:t>footno</w:t>
      </w:r>
      <w:r w:rsidR="00B66719">
        <w:t>tes</w:t>
      </w:r>
      <w:r w:rsidR="004F2411">
        <w:t>, 93 in total</w:t>
      </w:r>
      <w:r w:rsidR="00B66719">
        <w:t xml:space="preserve"> in Latin, French and Italian</w:t>
      </w:r>
      <w:r>
        <w:t xml:space="preserve"> to enjoy over morning coffee to g</w:t>
      </w:r>
      <w:r w:rsidR="00B66719">
        <w:t>o with their cryptic crossword and a comprehensive bibliography</w:t>
      </w:r>
      <w:r w:rsidR="00D62B4C">
        <w:t xml:space="preserve"> of 222</w:t>
      </w:r>
      <w:r w:rsidR="00873FE7">
        <w:t xml:space="preserve"> to peruse</w:t>
      </w:r>
      <w:r w:rsidR="00B66719">
        <w:t xml:space="preserve">, </w:t>
      </w:r>
      <w:r w:rsidR="00873FE7">
        <w:t>a m</w:t>
      </w:r>
      <w:r w:rsidR="000865D0">
        <w:t xml:space="preserve">illennial treat from </w:t>
      </w:r>
      <w:r w:rsidR="00807914">
        <w:t xml:space="preserve">the royalty of the </w:t>
      </w:r>
      <w:r w:rsidR="000865D0">
        <w:t>RSA</w:t>
      </w:r>
      <w:r>
        <w:t xml:space="preserve"> for their New Year pleasure. </w:t>
      </w:r>
    </w:p>
    <w:p w:rsidR="00463DF0" w:rsidRPr="004D7571" w:rsidRDefault="00D70D73" w:rsidP="00606C11">
      <w:pPr>
        <w:ind w:firstLine="720"/>
        <w:jc w:val="both"/>
        <w:rPr>
          <w:highlight w:val="yellow"/>
        </w:rPr>
      </w:pPr>
      <w:r>
        <w:t xml:space="preserve">Rankin </w:t>
      </w:r>
      <w:r w:rsidR="00CE5129">
        <w:t>uses</w:t>
      </w:r>
      <w:r w:rsidR="00437D19">
        <w:t xml:space="preserve"> </w:t>
      </w:r>
      <w:r w:rsidR="002F12AC">
        <w:t xml:space="preserve">a </w:t>
      </w:r>
      <w:r w:rsidR="00437D19">
        <w:t>straightforward</w:t>
      </w:r>
      <w:r w:rsidR="002F12AC">
        <w:t xml:space="preserve">, plain English </w:t>
      </w:r>
      <w:r w:rsidR="00437D19">
        <w:t>di</w:t>
      </w:r>
      <w:r w:rsidR="00F556F8">
        <w:t>dactic format, there is a longer abstract</w:t>
      </w:r>
      <w:r w:rsidR="00776166">
        <w:t xml:space="preserve"> at the start of her </w:t>
      </w:r>
      <w:r w:rsidR="00437D19">
        <w:t xml:space="preserve">chapter and unlike Siraisi doesn’t use any </w:t>
      </w:r>
      <w:r w:rsidR="00D37A6B">
        <w:t xml:space="preserve">jargon/foreign words scattered through the piece unless she explains them </w:t>
      </w:r>
      <w:r w:rsidR="00351B61">
        <w:t xml:space="preserve"> i.e. </w:t>
      </w:r>
      <w:r w:rsidR="00D37A6B">
        <w:t xml:space="preserve">‘Early modern physicians’ case studies of individual patients, published in collections known as </w:t>
      </w:r>
      <w:r w:rsidR="00D37A6B">
        <w:rPr>
          <w:i/>
        </w:rPr>
        <w:t xml:space="preserve">Curationes </w:t>
      </w:r>
      <w:r w:rsidR="00D37A6B">
        <w:t xml:space="preserve">and </w:t>
      </w:r>
      <w:r w:rsidR="00D37A6B">
        <w:rPr>
          <w:i/>
        </w:rPr>
        <w:t>Observationes’</w:t>
      </w:r>
      <w:r w:rsidR="00D37A6B">
        <w:rPr>
          <w:rStyle w:val="FootnoteReference"/>
          <w:i/>
        </w:rPr>
        <w:footnoteReference w:id="26"/>
      </w:r>
      <w:r w:rsidR="00355A71">
        <w:rPr>
          <w:i/>
        </w:rPr>
        <w:t xml:space="preserve"> </w:t>
      </w:r>
      <w:r w:rsidR="00D6553F">
        <w:rPr>
          <w:i/>
        </w:rPr>
        <w:t xml:space="preserve"> </w:t>
      </w:r>
      <w:r w:rsidR="00FA7CC4">
        <w:t>and ‘Astrological information was usually included in the small, folded books known as</w:t>
      </w:r>
      <w:r w:rsidR="00D6553F">
        <w:t xml:space="preserve"> </w:t>
      </w:r>
      <w:r w:rsidR="00FA7CC4">
        <w:t>‘</w:t>
      </w:r>
      <w:r w:rsidR="00D6553F">
        <w:rPr>
          <w:i/>
        </w:rPr>
        <w:t>vade mecum</w:t>
      </w:r>
      <w:r w:rsidR="00FA7CC4">
        <w:rPr>
          <w:i/>
        </w:rPr>
        <w:t>’</w:t>
      </w:r>
      <w:r w:rsidR="00D6553F">
        <w:rPr>
          <w:i/>
        </w:rPr>
        <w:t xml:space="preserve"> </w:t>
      </w:r>
      <w:r w:rsidR="00FA7CC4">
        <w:rPr>
          <w:i/>
        </w:rPr>
        <w:t xml:space="preserve"> </w:t>
      </w:r>
      <w:r w:rsidR="00FA7CC4">
        <w:t>that physicians sometimes carried’</w:t>
      </w:r>
      <w:r w:rsidR="00FA7CC4">
        <w:rPr>
          <w:rStyle w:val="FootnoteReference"/>
        </w:rPr>
        <w:footnoteReference w:id="27"/>
      </w:r>
      <w:r w:rsidR="00A64945">
        <w:t xml:space="preserve"> </w:t>
      </w:r>
      <w:r w:rsidR="004F2411">
        <w:rPr>
          <w:i/>
        </w:rPr>
        <w:t xml:space="preserve"> </w:t>
      </w:r>
      <w:r w:rsidR="00A64945">
        <w:t xml:space="preserve">Her </w:t>
      </w:r>
      <w:r w:rsidR="004F2411">
        <w:t>use of footnotes is kept to a bare minimum, 57 in tot</w:t>
      </w:r>
      <w:r w:rsidR="009C6628">
        <w:t xml:space="preserve">al which are brief and functional </w:t>
      </w:r>
      <w:r w:rsidR="00D62B4C">
        <w:t>and h</w:t>
      </w:r>
      <w:r w:rsidR="004F2411">
        <w:t xml:space="preserve">er </w:t>
      </w:r>
      <w:r w:rsidR="00D62B4C">
        <w:t xml:space="preserve">conservative </w:t>
      </w:r>
      <w:r w:rsidR="004F2411">
        <w:t>bibliography</w:t>
      </w:r>
      <w:r w:rsidR="00D62B4C">
        <w:t xml:space="preserve"> of 50 </w:t>
      </w:r>
      <w:r w:rsidR="004F2411">
        <w:t xml:space="preserve">reflects </w:t>
      </w:r>
      <w:r w:rsidR="00D62B4C">
        <w:t>the works cited in her tightly focussed Chapter 4.</w:t>
      </w:r>
    </w:p>
    <w:p w:rsidR="000865D0" w:rsidRDefault="000865D0" w:rsidP="00606C11">
      <w:pPr>
        <w:ind w:firstLine="720"/>
        <w:jc w:val="both"/>
      </w:pPr>
      <w:r>
        <w:t xml:space="preserve">The two papers </w:t>
      </w:r>
      <w:r w:rsidR="006545AE">
        <w:t xml:space="preserve"> share a </w:t>
      </w:r>
      <w:r w:rsidR="00DB739B">
        <w:t>focus on m</w:t>
      </w:r>
      <w:r>
        <w:t>edicine in the Renaissance period</w:t>
      </w:r>
      <w:r w:rsidR="00DB739B">
        <w:t>, Siraisi from the men involved in the profession</w:t>
      </w:r>
      <w:r w:rsidR="00CC4D93">
        <w:t xml:space="preserve"> and their ‘fascination with remote antiquity’</w:t>
      </w:r>
      <w:r w:rsidR="00CC4D93">
        <w:rPr>
          <w:rStyle w:val="FootnoteReference"/>
        </w:rPr>
        <w:footnoteReference w:id="28"/>
      </w:r>
      <w:r w:rsidR="00DB739B">
        <w:t xml:space="preserve"> </w:t>
      </w:r>
      <w:r w:rsidR="00CC4D93">
        <w:t xml:space="preserve"> and the subsequent ‘emergence of a new genre, the biography of a celebrated modern physician’</w:t>
      </w:r>
      <w:r w:rsidR="00CC4D93">
        <w:rPr>
          <w:rStyle w:val="FootnoteReference"/>
        </w:rPr>
        <w:footnoteReference w:id="29"/>
      </w:r>
      <w:r w:rsidR="0041170A">
        <w:t xml:space="preserve">   in her lecture </w:t>
      </w:r>
      <w:r w:rsidR="002F0EB2">
        <w:t xml:space="preserve"> she </w:t>
      </w:r>
      <w:r w:rsidR="0041170A">
        <w:t xml:space="preserve">cites many physicians who critique Hippocrates, most notably Galen who was ‘a pioneer of historical </w:t>
      </w:r>
      <w:r w:rsidR="0041170A">
        <w:lastRenderedPageBreak/>
        <w:t>scholarship on Hippocrates’</w:t>
      </w:r>
      <w:r w:rsidR="0041170A">
        <w:rPr>
          <w:rStyle w:val="FootnoteReference"/>
        </w:rPr>
        <w:footnoteReference w:id="30"/>
      </w:r>
      <w:r w:rsidR="0041170A">
        <w:t xml:space="preserve">  </w:t>
      </w:r>
      <w:r w:rsidR="002F0EB2">
        <w:t>and goes onto the Gabriel Naud</w:t>
      </w:r>
      <w:r w:rsidR="002F0EB2">
        <w:rPr>
          <w:rFonts w:cstheme="minorHAnsi"/>
        </w:rPr>
        <w:t>é</w:t>
      </w:r>
      <w:r w:rsidR="002F0EB2">
        <w:t>s biography on the life of  the physician Girolamo Cardano from the 16</w:t>
      </w:r>
      <w:r w:rsidR="002F0EB2" w:rsidRPr="002F0EB2">
        <w:rPr>
          <w:vertAlign w:val="superscript"/>
        </w:rPr>
        <w:t>th</w:t>
      </w:r>
      <w:r w:rsidR="002F0EB2">
        <w:t xml:space="preserve"> century. Cardano is a resource that both women mention, Rankin using his ‘careful records on his own diet’ and referencing Siraisi’s own book</w:t>
      </w:r>
      <w:r w:rsidR="002F0EB2">
        <w:rPr>
          <w:rStyle w:val="FootnoteReference"/>
        </w:rPr>
        <w:footnoteReference w:id="31"/>
      </w:r>
      <w:r w:rsidR="00B41966">
        <w:t xml:space="preserve"> to highlight the passage of time in relation to diet and ageing. </w:t>
      </w:r>
      <w:r w:rsidR="00CC4D93">
        <w:t>Rankin’s perspective is predominantly feminine and details how busy</w:t>
      </w:r>
      <w:r w:rsidR="0041170A">
        <w:t xml:space="preserve"> the women were with planning, harvesting, making tinctures and salves and treating the poor who queued up at the back door to be treated whilst critiquing the concept of time and how th</w:t>
      </w:r>
      <w:r w:rsidR="004D7571">
        <w:t xml:space="preserve">eir </w:t>
      </w:r>
      <w:r w:rsidR="0041170A">
        <w:t>lives experienced all the various models of time</w:t>
      </w:r>
      <w:r w:rsidR="004D7571">
        <w:t>,</w:t>
      </w:r>
      <w:r w:rsidR="00B41966">
        <w:t xml:space="preserve"> ‘a</w:t>
      </w:r>
      <w:r w:rsidR="00DE4B22">
        <w:t xml:space="preserve">strological, seasonal, liturgical’ </w:t>
      </w:r>
      <w:r w:rsidR="00DE4B22">
        <w:rPr>
          <w:rStyle w:val="FootnoteReference"/>
        </w:rPr>
        <w:footnoteReference w:id="32"/>
      </w:r>
      <w:r w:rsidR="005F0080">
        <w:t xml:space="preserve"> as well as ‘the background of horological time’</w:t>
      </w:r>
      <w:r w:rsidR="006724E4">
        <w:rPr>
          <w:rStyle w:val="FootnoteReference"/>
        </w:rPr>
        <w:footnoteReference w:id="33"/>
      </w:r>
      <w:r w:rsidR="00076A9B">
        <w:t xml:space="preserve"> and</w:t>
      </w:r>
      <w:r w:rsidR="006724E4">
        <w:t xml:space="preserve"> how time was  ‘central to the  theory of the four humors, and several Hippocratic and Galenic texts addressed the topic specifically’</w:t>
      </w:r>
      <w:r w:rsidR="006724E4">
        <w:rPr>
          <w:rStyle w:val="FootnoteReference"/>
        </w:rPr>
        <w:footnoteReference w:id="34"/>
      </w:r>
      <w:r>
        <w:t xml:space="preserve">  </w:t>
      </w:r>
      <w:r w:rsidR="0041170A">
        <w:t xml:space="preserve"> </w:t>
      </w:r>
    </w:p>
    <w:p w:rsidR="006F479B" w:rsidRDefault="000F309E" w:rsidP="00606C11">
      <w:pPr>
        <w:ind w:firstLine="720"/>
        <w:jc w:val="both"/>
      </w:pPr>
      <w:r>
        <w:t xml:space="preserve">Medical time and observation </w:t>
      </w:r>
      <w:r w:rsidR="00076A9B">
        <w:t xml:space="preserve">of the heavens is expressed </w:t>
      </w:r>
      <w:r>
        <w:t>by Rankin when she quotes Wilberding, ‘The interwoven system of humours, diseases, and the movement of the stars and planets is striking in its cyclical nature – it relied on patterns t</w:t>
      </w:r>
      <w:r w:rsidR="005F7837">
        <w:t>hat returned. It</w:t>
      </w:r>
      <w:r>
        <w:t xml:space="preserve"> featured the </w:t>
      </w:r>
      <w:r w:rsidR="005F7837">
        <w:t>microcosm</w:t>
      </w:r>
      <w:r>
        <w:t xml:space="preserve"> of the human embedded in a </w:t>
      </w:r>
      <w:r w:rsidR="005F7837">
        <w:t>macrocosm</w:t>
      </w:r>
      <w:r>
        <w:t xml:space="preserve"> of time, a theme that became even more important in Renaissance scholarship, with increasing Neoplatonic influence’ </w:t>
      </w:r>
      <w:r>
        <w:rPr>
          <w:rStyle w:val="FootnoteReference"/>
        </w:rPr>
        <w:footnoteReference w:id="35"/>
      </w:r>
      <w:r w:rsidR="00193C3B">
        <w:t xml:space="preserve"> </w:t>
      </w:r>
      <w:r w:rsidR="000865D0">
        <w:t xml:space="preserve"> this quote encapsulates precisely as a metaphor  what the two papers are doing, </w:t>
      </w:r>
      <w:r w:rsidR="00C40292">
        <w:t>Siraisi</w:t>
      </w:r>
      <w:r w:rsidR="000865D0">
        <w:t xml:space="preserve"> is the macrocosmic to Rankin’s microcosmic</w:t>
      </w:r>
      <w:r w:rsidR="006F479B">
        <w:t>, or</w:t>
      </w:r>
      <w:r w:rsidR="004D7571">
        <w:t>,</w:t>
      </w:r>
      <w:r w:rsidR="006F479B">
        <w:t xml:space="preserve"> as Rankin calls it ‘big time’</w:t>
      </w:r>
      <w:r w:rsidR="006F479B">
        <w:rPr>
          <w:rStyle w:val="FootnoteReference"/>
        </w:rPr>
        <w:footnoteReference w:id="36"/>
      </w:r>
      <w:r w:rsidR="006F479B">
        <w:t xml:space="preserve"> to</w:t>
      </w:r>
      <w:r w:rsidR="00C40292">
        <w:t xml:space="preserve"> ‘the ni</w:t>
      </w:r>
      <w:r w:rsidR="009C6628">
        <w:t xml:space="preserve">tty-gritty’ </w:t>
      </w:r>
      <w:r w:rsidR="006F479B">
        <w:rPr>
          <w:rStyle w:val="FootnoteReference"/>
        </w:rPr>
        <w:footnoteReference w:id="37"/>
      </w:r>
      <w:r w:rsidR="006F479B">
        <w:t xml:space="preserve"> where she quotes Hohberg directly.</w:t>
      </w:r>
      <w:r w:rsidR="006F479B">
        <w:rPr>
          <w:rStyle w:val="FootnoteReference"/>
        </w:rPr>
        <w:footnoteReference w:id="38"/>
      </w:r>
      <w:r w:rsidR="00C40292">
        <w:t xml:space="preserve">  Siraisi in her paper speaks about ‘the strong competitive or performative element in academic life encouraged a display of historical learning in prefaces and opening lectures’</w:t>
      </w:r>
      <w:r w:rsidR="00C40292">
        <w:rPr>
          <w:rStyle w:val="FootnoteReference"/>
        </w:rPr>
        <w:footnoteReference w:id="39"/>
      </w:r>
      <w:r w:rsidR="00200175">
        <w:t xml:space="preserve"> and this is precisely what she herself is doing, having had to compete in a man’s world for a place in </w:t>
      </w:r>
      <w:r w:rsidR="00A51D14">
        <w:t>Academia,</w:t>
      </w:r>
      <w:r w:rsidR="00200175">
        <w:t xml:space="preserve"> so</w:t>
      </w:r>
      <w:r w:rsidR="00A51D14">
        <w:t xml:space="preserve"> that</w:t>
      </w:r>
      <w:r w:rsidR="00200175">
        <w:t xml:space="preserve"> now many more women like Rankin can access and lead History forward into new territory; the overlooked, the hidden, the missing voices. </w:t>
      </w:r>
    </w:p>
    <w:p w:rsidR="00463DF0" w:rsidRDefault="00710BB2" w:rsidP="00606C11">
      <w:pPr>
        <w:tabs>
          <w:tab w:val="right" w:pos="9026"/>
        </w:tabs>
        <w:jc w:val="both"/>
      </w:pPr>
      <w:r>
        <w:t>To conclude I have e</w:t>
      </w:r>
      <w:r w:rsidR="00076A9B">
        <w:t>xplored who each woman is, their</w:t>
      </w:r>
      <w:r>
        <w:t xml:space="preserve"> academic background and the context of where they</w:t>
      </w:r>
      <w:r w:rsidR="004D7571">
        <w:t xml:space="preserve"> work and teach, I have detailed</w:t>
      </w:r>
      <w:r>
        <w:t xml:space="preserve"> the differences between the style of each paper, who the intended a</w:t>
      </w:r>
      <w:r w:rsidR="004D7571">
        <w:t>udience is and what</w:t>
      </w:r>
      <w:r w:rsidR="00076A9B">
        <w:t xml:space="preserve"> format </w:t>
      </w:r>
      <w:r>
        <w:t xml:space="preserve">and register is used. I’ve drawn out areas of similarity such as the Renaissance period, medicine and academia and the concept of time and shared references and highlighted the different viewpoints of gender within history and </w:t>
      </w:r>
      <w:r w:rsidR="009C6628">
        <w:t xml:space="preserve"> the evolving academic profession</w:t>
      </w:r>
      <w:r>
        <w:t xml:space="preserve"> itself. </w:t>
      </w:r>
      <w:r w:rsidR="005F7837">
        <w:tab/>
      </w:r>
    </w:p>
    <w:p w:rsidR="005F0EB2" w:rsidRDefault="005F0EB2"/>
    <w:sectPr w:rsidR="005F0EB2" w:rsidSect="005F0EB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F90" w:rsidRDefault="00BF1F90" w:rsidP="00FA0DFF">
      <w:pPr>
        <w:spacing w:after="0" w:line="240" w:lineRule="auto"/>
      </w:pPr>
      <w:r>
        <w:separator/>
      </w:r>
    </w:p>
  </w:endnote>
  <w:endnote w:type="continuationSeparator" w:id="0">
    <w:p w:rsidR="00BF1F90" w:rsidRDefault="00BF1F90" w:rsidP="00FA0D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182" w:rsidRDefault="001641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6261857"/>
      <w:docPartObj>
        <w:docPartGallery w:val="Page Numbers (Bottom of Page)"/>
        <w:docPartUnique/>
      </w:docPartObj>
    </w:sdtPr>
    <w:sdtContent>
      <w:p w:rsidR="00281491" w:rsidRDefault="0076042E">
        <w:pPr>
          <w:pStyle w:val="Footer"/>
          <w:jc w:val="right"/>
        </w:pPr>
        <w:fldSimple w:instr=" PAGE   \* MERGEFORMAT ">
          <w:r w:rsidR="00164182">
            <w:rPr>
              <w:noProof/>
            </w:rPr>
            <w:t>1</w:t>
          </w:r>
        </w:fldSimple>
      </w:p>
    </w:sdtContent>
  </w:sdt>
  <w:p w:rsidR="00CC4D93" w:rsidRDefault="00CC4D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182" w:rsidRDefault="001641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F90" w:rsidRDefault="00BF1F90" w:rsidP="00FA0DFF">
      <w:pPr>
        <w:spacing w:after="0" w:line="240" w:lineRule="auto"/>
      </w:pPr>
      <w:r>
        <w:separator/>
      </w:r>
    </w:p>
  </w:footnote>
  <w:footnote w:type="continuationSeparator" w:id="0">
    <w:p w:rsidR="00BF1F90" w:rsidRDefault="00BF1F90" w:rsidP="00FA0DFF">
      <w:pPr>
        <w:spacing w:after="0" w:line="240" w:lineRule="auto"/>
      </w:pPr>
      <w:r>
        <w:continuationSeparator/>
      </w:r>
    </w:p>
  </w:footnote>
  <w:footnote w:id="1">
    <w:p w:rsidR="00CC4D93" w:rsidRDefault="00CC4D93">
      <w:pPr>
        <w:pStyle w:val="FootnoteText"/>
      </w:pPr>
      <w:r>
        <w:rPr>
          <w:rStyle w:val="FootnoteReference"/>
        </w:rPr>
        <w:footnoteRef/>
      </w:r>
      <w:r>
        <w:t xml:space="preserve"> Nancy Siraisi 1932- present day, Professor Emerita in History at Hunter College and City University of New York Wikipedia </w:t>
      </w:r>
    </w:p>
  </w:footnote>
  <w:footnote w:id="2">
    <w:p w:rsidR="00CC4D93" w:rsidRDefault="00CC4D93">
      <w:pPr>
        <w:pStyle w:val="FootnoteText"/>
      </w:pPr>
      <w:r>
        <w:rPr>
          <w:rStyle w:val="FootnoteReference"/>
        </w:rPr>
        <w:footnoteRef/>
      </w:r>
      <w:r>
        <w:t xml:space="preserve"> Pearl Kibre 1900-1985 on the faculty of Hunter College from 1937 until she retired in 1971, helped found the doctoral program in history at the Graduate Center of the City University of New York. Many papers cited to her specialising in the Renaissance era. C Doris Hellman 1910-1973 specialising in 16</w:t>
      </w:r>
      <w:r w:rsidRPr="000631ED">
        <w:rPr>
          <w:vertAlign w:val="superscript"/>
        </w:rPr>
        <w:t>th</w:t>
      </w:r>
      <w:r>
        <w:t xml:space="preserve"> 17</w:t>
      </w:r>
      <w:r w:rsidRPr="000631ED">
        <w:rPr>
          <w:vertAlign w:val="superscript"/>
        </w:rPr>
        <w:t>th</w:t>
      </w:r>
      <w:r>
        <w:t xml:space="preserve"> century astronomy and a translator of a biography of Johannes Kepler. Professor at Pratt Institute  and later at Queens College, City University of New York Wikipedia </w:t>
      </w:r>
    </w:p>
  </w:footnote>
  <w:footnote w:id="3">
    <w:p w:rsidR="00CC4D93" w:rsidRDefault="00CC4D93">
      <w:pPr>
        <w:pStyle w:val="FootnoteText"/>
      </w:pPr>
      <w:r>
        <w:rPr>
          <w:rStyle w:val="FootnoteReference"/>
        </w:rPr>
        <w:footnoteRef/>
      </w:r>
      <w:r>
        <w:t xml:space="preserve"> RSA women Presidents Josephine Waters Bennett 1963-1964,  Phyllis W.G. Gordon 1967-1968, Phyllis Pray Bober 1983, Elizabeth Eisenstein 1986, Louise George Clubb 1991, Nancy Siraisi 1994-96, Barbara C Bowen 1996-98, Patricia Fortini Brown 2000-02, Jessie Ann Owens 2004-06, Elizabeth Cropper 2010-12, Pamela H Smith 2016-18, Clare Carroll 2018-20, Mara Wade 2020-22  (</w:t>
      </w:r>
      <w:r w:rsidRPr="005F0F3E">
        <w:t>https://www.rsa.org/page/Presidents</w:t>
      </w:r>
      <w:r>
        <w:t>)</w:t>
      </w:r>
    </w:p>
  </w:footnote>
  <w:footnote w:id="4">
    <w:p w:rsidR="00CC4D93" w:rsidRDefault="00CC4D93">
      <w:pPr>
        <w:pStyle w:val="FootnoteText"/>
      </w:pPr>
      <w:r>
        <w:rPr>
          <w:rStyle w:val="FootnoteReference"/>
        </w:rPr>
        <w:footnoteRef/>
      </w:r>
      <w:r w:rsidR="002E4E4B">
        <w:t xml:space="preserve"> </w:t>
      </w:r>
      <w:r>
        <w:t>First woman President of the RSA (</w:t>
      </w:r>
      <w:r w:rsidRPr="005F0F3E">
        <w:t>https://www.rsa.org/page/Presidents</w:t>
      </w:r>
      <w:r>
        <w:t>)</w:t>
      </w:r>
    </w:p>
  </w:footnote>
  <w:footnote w:id="5">
    <w:p w:rsidR="00CC4D93" w:rsidRDefault="00CC4D93">
      <w:pPr>
        <w:pStyle w:val="FootnoteText"/>
      </w:pPr>
      <w:r>
        <w:rPr>
          <w:rStyle w:val="FootnoteReference"/>
        </w:rPr>
        <w:footnoteRef/>
      </w:r>
      <w:r>
        <w:t xml:space="preserve"> Patricia Fortini Brown 2000-02 ((</w:t>
      </w:r>
      <w:r w:rsidRPr="005F0F3E">
        <w:t>https://www.rsa.org/page/Presidents</w:t>
      </w:r>
      <w:r>
        <w:t>)</w:t>
      </w:r>
    </w:p>
  </w:footnote>
  <w:footnote w:id="6">
    <w:p w:rsidR="00CC4D93" w:rsidRDefault="00CC4D93">
      <w:pPr>
        <w:pStyle w:val="FootnoteText"/>
      </w:pPr>
      <w:r>
        <w:rPr>
          <w:rStyle w:val="FootnoteReference"/>
        </w:rPr>
        <w:footnoteRef/>
      </w:r>
      <w:r>
        <w:t xml:space="preserve"> ‘Bodin….butressed the claim with royal examples’  N Siraisi Nancy,  'Anatomizing the Past: Physicians and History in Renaissance Culture.’ </w:t>
      </w:r>
      <w:r w:rsidRPr="000015D2">
        <w:rPr>
          <w:i/>
        </w:rPr>
        <w:t xml:space="preserve"> Renaissance Quarterly</w:t>
      </w:r>
      <w:r>
        <w:t xml:space="preserve"> 53, no. 1 (2000): 1</w:t>
      </w:r>
    </w:p>
  </w:footnote>
  <w:footnote w:id="7">
    <w:p w:rsidR="00CC4D93" w:rsidRDefault="00CC4D93">
      <w:pPr>
        <w:pStyle w:val="FootnoteText"/>
      </w:pPr>
      <w:r>
        <w:rPr>
          <w:rStyle w:val="FootnoteReference"/>
        </w:rPr>
        <w:footnoteRef/>
      </w:r>
      <w:r>
        <w:t xml:space="preserve"> ibid</w:t>
      </w:r>
    </w:p>
  </w:footnote>
  <w:footnote w:id="8">
    <w:p w:rsidR="00CC4D93" w:rsidRDefault="00CC4D93">
      <w:pPr>
        <w:pStyle w:val="FootnoteText"/>
      </w:pPr>
      <w:r>
        <w:rPr>
          <w:rStyle w:val="FootnoteReference"/>
        </w:rPr>
        <w:footnoteRef/>
      </w:r>
      <w:r>
        <w:t xml:space="preserve"> ibid</w:t>
      </w:r>
    </w:p>
  </w:footnote>
  <w:footnote w:id="9">
    <w:p w:rsidR="00CC4D93" w:rsidRDefault="00CC4D93">
      <w:pPr>
        <w:pStyle w:val="FootnoteText"/>
      </w:pPr>
      <w:r>
        <w:rPr>
          <w:rStyle w:val="FootnoteReference"/>
        </w:rPr>
        <w:footnoteRef/>
      </w:r>
      <w:r>
        <w:t xml:space="preserve"> Ibid:3</w:t>
      </w:r>
    </w:p>
  </w:footnote>
  <w:footnote w:id="10">
    <w:p w:rsidR="00CC4D93" w:rsidRDefault="00CC4D93">
      <w:pPr>
        <w:pStyle w:val="FootnoteText"/>
      </w:pPr>
      <w:r>
        <w:rPr>
          <w:rStyle w:val="FootnoteReference"/>
        </w:rPr>
        <w:footnoteRef/>
      </w:r>
      <w:r>
        <w:t xml:space="preserve"> English, German, Spanish</w:t>
      </w:r>
    </w:p>
  </w:footnote>
  <w:footnote w:id="11">
    <w:p w:rsidR="00CC4D93" w:rsidRDefault="00CC4D93">
      <w:pPr>
        <w:pStyle w:val="FootnoteText"/>
      </w:pPr>
      <w:r>
        <w:rPr>
          <w:rStyle w:val="FootnoteReference"/>
        </w:rPr>
        <w:footnoteRef/>
      </w:r>
      <w:r>
        <w:t xml:space="preserve"> English, Latin, Italian </w:t>
      </w:r>
    </w:p>
  </w:footnote>
  <w:footnote w:id="12">
    <w:p w:rsidR="00CC4D93" w:rsidRDefault="00CC4D93">
      <w:pPr>
        <w:pStyle w:val="FootnoteText"/>
      </w:pPr>
      <w:r>
        <w:rPr>
          <w:rStyle w:val="FootnoteReference"/>
        </w:rPr>
        <w:footnoteRef/>
      </w:r>
      <w:r>
        <w:t xml:space="preserve"> Alisha Rankin, Department of History, Tufts University, School of Arts and Sciences (as.tufts.edu)</w:t>
      </w:r>
    </w:p>
  </w:footnote>
  <w:footnote w:id="13">
    <w:p w:rsidR="00CC4D93" w:rsidRDefault="00CC4D93">
      <w:pPr>
        <w:pStyle w:val="FootnoteText"/>
      </w:pPr>
      <w:r>
        <w:rPr>
          <w:rStyle w:val="FootnoteReference"/>
        </w:rPr>
        <w:footnoteRef/>
      </w:r>
      <w:r>
        <w:t xml:space="preserve"> ibid</w:t>
      </w:r>
    </w:p>
  </w:footnote>
  <w:footnote w:id="14">
    <w:p w:rsidR="00CC4D93" w:rsidRDefault="00CC4D93">
      <w:pPr>
        <w:pStyle w:val="FootnoteText"/>
      </w:pPr>
      <w:r>
        <w:rPr>
          <w:rStyle w:val="FootnoteReference"/>
        </w:rPr>
        <w:footnoteRef/>
      </w:r>
      <w:r>
        <w:t xml:space="preserve"> Gendered Temporalities in the Early Modern World, ed. Merry E. Wiesner-Hanks, pub Amsterdam University Press (2018)</w:t>
      </w:r>
    </w:p>
  </w:footnote>
  <w:footnote w:id="15">
    <w:p w:rsidR="00CC4D93" w:rsidRDefault="00CC4D93">
      <w:pPr>
        <w:pStyle w:val="FootnoteText"/>
      </w:pPr>
      <w:r>
        <w:rPr>
          <w:rStyle w:val="FootnoteReference"/>
        </w:rPr>
        <w:footnoteRef/>
      </w:r>
      <w:r>
        <w:t xml:space="preserve"> ibid Telling Time Chap 4, Abstract </w:t>
      </w:r>
    </w:p>
  </w:footnote>
  <w:footnote w:id="16">
    <w:p w:rsidR="00CC4D93" w:rsidRDefault="00CC4D93">
      <w:pPr>
        <w:pStyle w:val="FootnoteText"/>
      </w:pPr>
      <w:r>
        <w:rPr>
          <w:rStyle w:val="FootnoteReference"/>
        </w:rPr>
        <w:footnoteRef/>
      </w:r>
      <w:r w:rsidR="009C6628">
        <w:t xml:space="preserve"> i</w:t>
      </w:r>
      <w:r>
        <w:t>bid :97</w:t>
      </w:r>
    </w:p>
  </w:footnote>
  <w:footnote w:id="17">
    <w:p w:rsidR="00CC4D93" w:rsidRDefault="00CC4D93">
      <w:pPr>
        <w:pStyle w:val="FootnoteText"/>
      </w:pPr>
      <w:r>
        <w:rPr>
          <w:rStyle w:val="FootnoteReference"/>
        </w:rPr>
        <w:footnoteRef/>
      </w:r>
      <w:r>
        <w:t xml:space="preserve"> Thomas Hilary, ‘Time and the Cervix: Pizzini, ‘Women’s Time’ Zeiler and K</w:t>
      </w:r>
      <w:r>
        <w:rPr>
          <w:rFonts w:cstheme="minorHAnsi"/>
        </w:rPr>
        <w:t>ä</w:t>
      </w:r>
      <w:r>
        <w:t xml:space="preserve">ll, ed., </w:t>
      </w:r>
      <w:r w:rsidRPr="001C7812">
        <w:rPr>
          <w:i/>
        </w:rPr>
        <w:t>Feminist  Phenomenology and Medicine</w:t>
      </w:r>
    </w:p>
  </w:footnote>
  <w:footnote w:id="18">
    <w:p w:rsidR="00CC4D93" w:rsidRDefault="00CC4D93">
      <w:pPr>
        <w:pStyle w:val="FootnoteText"/>
      </w:pPr>
      <w:r>
        <w:rPr>
          <w:rStyle w:val="FootnoteReference"/>
        </w:rPr>
        <w:footnoteRef/>
      </w:r>
      <w:r w:rsidR="009C6628">
        <w:t xml:space="preserve"> i</w:t>
      </w:r>
      <w:r>
        <w:t>bid :101</w:t>
      </w:r>
    </w:p>
  </w:footnote>
  <w:footnote w:id="19">
    <w:p w:rsidR="00CC4D93" w:rsidRDefault="00CC4D93">
      <w:pPr>
        <w:pStyle w:val="FootnoteText"/>
      </w:pPr>
      <w:r>
        <w:rPr>
          <w:rStyle w:val="FootnoteReference"/>
        </w:rPr>
        <w:footnoteRef/>
      </w:r>
      <w:r w:rsidR="009C6628">
        <w:t xml:space="preserve"> i</w:t>
      </w:r>
      <w:r>
        <w:t>bid :101</w:t>
      </w:r>
    </w:p>
  </w:footnote>
  <w:footnote w:id="20">
    <w:p w:rsidR="00CC4D93" w:rsidRDefault="00CC4D93">
      <w:pPr>
        <w:pStyle w:val="FootnoteText"/>
      </w:pPr>
      <w:r>
        <w:rPr>
          <w:rStyle w:val="FootnoteReference"/>
        </w:rPr>
        <w:footnoteRef/>
      </w:r>
      <w:r>
        <w:t xml:space="preserve"> </w:t>
      </w:r>
      <w:r>
        <w:rPr>
          <w:bCs/>
        </w:rPr>
        <w:t>B</w:t>
      </w:r>
      <w:r w:rsidRPr="008458FC">
        <w:rPr>
          <w:bCs/>
        </w:rPr>
        <w:t xml:space="preserve">arbara C. Bowen </w:t>
      </w:r>
      <w:r>
        <w:rPr>
          <w:bCs/>
        </w:rPr>
        <w:t>‘</w:t>
      </w:r>
      <w:r w:rsidRPr="008458FC">
        <w:rPr>
          <w:bCs/>
        </w:rPr>
        <w:t xml:space="preserve">Humour </w:t>
      </w:r>
      <w:r>
        <w:rPr>
          <w:bCs/>
        </w:rPr>
        <w:t xml:space="preserve">and Humanism in the Renaissance’ </w:t>
      </w:r>
      <w:r w:rsidRPr="00CF4A6B">
        <w:rPr>
          <w:bCs/>
        </w:rPr>
        <w:t>- Variorum Collected Studies</w:t>
      </w:r>
      <w:r>
        <w:rPr>
          <w:bCs/>
        </w:rPr>
        <w:t xml:space="preserve">, </w:t>
      </w:r>
      <w:r>
        <w:rPr>
          <w:bCs/>
          <w:i/>
        </w:rPr>
        <w:t xml:space="preserve">Routledge </w:t>
      </w:r>
      <w:r>
        <w:rPr>
          <w:bCs/>
        </w:rPr>
        <w:t>(2019)</w:t>
      </w:r>
    </w:p>
  </w:footnote>
  <w:footnote w:id="21">
    <w:p w:rsidR="00CC4D93" w:rsidRDefault="00CC4D93">
      <w:pPr>
        <w:pStyle w:val="FootnoteText"/>
      </w:pPr>
      <w:r>
        <w:rPr>
          <w:rStyle w:val="FootnoteReference"/>
        </w:rPr>
        <w:footnoteRef/>
      </w:r>
      <w:r>
        <w:t xml:space="preserve"> Nancy Siraisi,  'Anatomizing the Past: Physicians and History in Renaissance Culture.’ </w:t>
      </w:r>
      <w:r w:rsidRPr="000015D2">
        <w:rPr>
          <w:i/>
        </w:rPr>
        <w:t xml:space="preserve"> Renaissance Quarterly</w:t>
      </w:r>
      <w:r>
        <w:t xml:space="preserve"> 53, no. 1 (2000): 17</w:t>
      </w:r>
    </w:p>
  </w:footnote>
  <w:footnote w:id="22">
    <w:p w:rsidR="00CC4D93" w:rsidRDefault="00CC4D93">
      <w:pPr>
        <w:pStyle w:val="FootnoteText"/>
      </w:pPr>
      <w:r>
        <w:rPr>
          <w:rStyle w:val="FootnoteReference"/>
        </w:rPr>
        <w:footnoteRef/>
      </w:r>
      <w:r>
        <w:t xml:space="preserve"> ibid :18</w:t>
      </w:r>
    </w:p>
  </w:footnote>
  <w:footnote w:id="23">
    <w:p w:rsidR="00CC4D93" w:rsidRDefault="00CC4D93">
      <w:pPr>
        <w:pStyle w:val="FootnoteText"/>
      </w:pPr>
      <w:r>
        <w:rPr>
          <w:rStyle w:val="FootnoteReference"/>
        </w:rPr>
        <w:footnoteRef/>
      </w:r>
      <w:r>
        <w:t xml:space="preserve"> ibid </w:t>
      </w:r>
    </w:p>
  </w:footnote>
  <w:footnote w:id="24">
    <w:p w:rsidR="00CC4D93" w:rsidRDefault="00CC4D93">
      <w:pPr>
        <w:pStyle w:val="FootnoteText"/>
      </w:pPr>
      <w:r>
        <w:rPr>
          <w:rStyle w:val="FootnoteReference"/>
        </w:rPr>
        <w:footnoteRef/>
      </w:r>
      <w:r>
        <w:t xml:space="preserve"> ibid</w:t>
      </w:r>
    </w:p>
  </w:footnote>
  <w:footnote w:id="25">
    <w:p w:rsidR="00CC4D93" w:rsidRDefault="00CC4D93">
      <w:pPr>
        <w:pStyle w:val="FootnoteText"/>
      </w:pPr>
      <w:r>
        <w:rPr>
          <w:rStyle w:val="FootnoteReference"/>
        </w:rPr>
        <w:footnoteRef/>
      </w:r>
      <w:r>
        <w:t xml:space="preserve"> ibid</w:t>
      </w:r>
    </w:p>
  </w:footnote>
  <w:footnote w:id="26">
    <w:p w:rsidR="00CC4D93" w:rsidRDefault="00CC4D93">
      <w:pPr>
        <w:pStyle w:val="FootnoteText"/>
      </w:pPr>
      <w:r>
        <w:rPr>
          <w:rStyle w:val="FootnoteReference"/>
        </w:rPr>
        <w:footnoteRef/>
      </w:r>
      <w:r>
        <w:t xml:space="preserve"> ibid : 99</w:t>
      </w:r>
    </w:p>
  </w:footnote>
  <w:footnote w:id="27">
    <w:p w:rsidR="00CC4D93" w:rsidRDefault="00CC4D93">
      <w:pPr>
        <w:pStyle w:val="FootnoteText"/>
      </w:pPr>
      <w:r>
        <w:rPr>
          <w:rStyle w:val="FootnoteReference"/>
        </w:rPr>
        <w:footnoteRef/>
      </w:r>
      <w:r>
        <w:t xml:space="preserve"> ibid :100</w:t>
      </w:r>
    </w:p>
  </w:footnote>
  <w:footnote w:id="28">
    <w:p w:rsidR="00CC4D93" w:rsidRDefault="00CC4D93">
      <w:pPr>
        <w:pStyle w:val="FootnoteText"/>
      </w:pPr>
      <w:r>
        <w:rPr>
          <w:rStyle w:val="FootnoteReference"/>
        </w:rPr>
        <w:footnoteRef/>
      </w:r>
      <w:r>
        <w:t xml:space="preserve"> ibid:16</w:t>
      </w:r>
    </w:p>
  </w:footnote>
  <w:footnote w:id="29">
    <w:p w:rsidR="00CC4D93" w:rsidRDefault="00CC4D93">
      <w:pPr>
        <w:pStyle w:val="FootnoteText"/>
      </w:pPr>
      <w:r>
        <w:rPr>
          <w:rStyle w:val="FootnoteReference"/>
        </w:rPr>
        <w:footnoteRef/>
      </w:r>
      <w:r>
        <w:t xml:space="preserve"> ibid:16</w:t>
      </w:r>
    </w:p>
  </w:footnote>
  <w:footnote w:id="30">
    <w:p w:rsidR="0041170A" w:rsidRDefault="0041170A" w:rsidP="0041170A">
      <w:pPr>
        <w:pStyle w:val="FootnoteText"/>
      </w:pPr>
      <w:r>
        <w:rPr>
          <w:rStyle w:val="FootnoteReference"/>
        </w:rPr>
        <w:footnoteRef/>
      </w:r>
      <w:r>
        <w:t xml:space="preserve"> Nancy Siraisi,  'Anatomizing the Past: Physicians and History in Renaissance Culture.’ </w:t>
      </w:r>
      <w:r w:rsidRPr="000015D2">
        <w:rPr>
          <w:i/>
        </w:rPr>
        <w:t xml:space="preserve"> Renaissance Quarterly</w:t>
      </w:r>
      <w:r>
        <w:t xml:space="preserve"> 53, no. 1 (2000): 9</w:t>
      </w:r>
    </w:p>
  </w:footnote>
  <w:footnote w:id="31">
    <w:p w:rsidR="002F0EB2" w:rsidRDefault="002F0EB2">
      <w:pPr>
        <w:pStyle w:val="FootnoteText"/>
      </w:pPr>
      <w:r>
        <w:rPr>
          <w:rStyle w:val="FootnoteReference"/>
        </w:rPr>
        <w:footnoteRef/>
      </w:r>
      <w:r>
        <w:t xml:space="preserve"> </w:t>
      </w:r>
      <w:r w:rsidR="00B41966">
        <w:t>Nancy Siraisi, ‘</w:t>
      </w:r>
      <w:r w:rsidR="00B41966" w:rsidRPr="00B41966">
        <w:rPr>
          <w:i/>
        </w:rPr>
        <w:t>The Clock and the Mirror: Girolamo Cardano and Renaissance medicine</w:t>
      </w:r>
      <w:r w:rsidR="00B41966">
        <w:rPr>
          <w:i/>
        </w:rPr>
        <w:t xml:space="preserve"> (</w:t>
      </w:r>
      <w:r w:rsidR="00B41966">
        <w:t xml:space="preserve">Princeton: Princeton University Press, 1997) </w:t>
      </w:r>
    </w:p>
  </w:footnote>
  <w:footnote w:id="32">
    <w:p w:rsidR="00CC4D93" w:rsidRDefault="00CC4D93">
      <w:pPr>
        <w:pStyle w:val="FootnoteText"/>
      </w:pPr>
      <w:r>
        <w:rPr>
          <w:rStyle w:val="FootnoteReference"/>
        </w:rPr>
        <w:footnoteRef/>
      </w:r>
      <w:r>
        <w:t xml:space="preserve"> Gendered Temporalities in the Early Modern World, ed. Merry E. Wiesner-Hanks, pub Amsterdam University Press (2018):97</w:t>
      </w:r>
    </w:p>
  </w:footnote>
  <w:footnote w:id="33">
    <w:p w:rsidR="00CC4D93" w:rsidRDefault="00CC4D93">
      <w:pPr>
        <w:pStyle w:val="FootnoteText"/>
      </w:pPr>
      <w:r>
        <w:rPr>
          <w:rStyle w:val="FootnoteReference"/>
        </w:rPr>
        <w:footnoteRef/>
      </w:r>
      <w:r>
        <w:t xml:space="preserve"> ibid</w:t>
      </w:r>
    </w:p>
  </w:footnote>
  <w:footnote w:id="34">
    <w:p w:rsidR="00CC4D93" w:rsidRDefault="00CC4D93">
      <w:pPr>
        <w:pStyle w:val="FootnoteText"/>
      </w:pPr>
      <w:r>
        <w:rPr>
          <w:rStyle w:val="FootnoteReference"/>
        </w:rPr>
        <w:footnoteRef/>
      </w:r>
      <w:r w:rsidR="00DC0887">
        <w:t xml:space="preserve"> i</w:t>
      </w:r>
      <w:r>
        <w:t>bid:98</w:t>
      </w:r>
    </w:p>
  </w:footnote>
  <w:footnote w:id="35">
    <w:p w:rsidR="00CC4D93" w:rsidRDefault="00CC4D93">
      <w:pPr>
        <w:pStyle w:val="FootnoteText"/>
      </w:pPr>
      <w:r>
        <w:rPr>
          <w:rStyle w:val="FootnoteReference"/>
        </w:rPr>
        <w:footnoteRef/>
      </w:r>
      <w:r>
        <w:t xml:space="preserve"> Wilberding James, ‘Neoplatonism and Medicine’, </w:t>
      </w:r>
      <w:r>
        <w:rPr>
          <w:i/>
        </w:rPr>
        <w:t xml:space="preserve">The Routledge Handbook of Neoplatonism, </w:t>
      </w:r>
      <w:r>
        <w:t xml:space="preserve">ed. By Pauliina Remes and Svetla Slavea-Griffin (London/New York:Routledge, 2014):356-71 </w:t>
      </w:r>
    </w:p>
  </w:footnote>
  <w:footnote w:id="36">
    <w:p w:rsidR="00CC4D93" w:rsidRDefault="00CC4D93">
      <w:pPr>
        <w:pStyle w:val="FootnoteText"/>
      </w:pPr>
      <w:r>
        <w:rPr>
          <w:rStyle w:val="FootnoteReference"/>
        </w:rPr>
        <w:footnoteRef/>
      </w:r>
      <w:r>
        <w:t xml:space="preserve"> Gendered Temporalities in the Early Modern World, ed. Merry E. Wiesner-Hanks, pub Amsterdam University Press (2018):103</w:t>
      </w:r>
    </w:p>
  </w:footnote>
  <w:footnote w:id="37">
    <w:p w:rsidR="00CC4D93" w:rsidRDefault="00CC4D93">
      <w:pPr>
        <w:pStyle w:val="FootnoteText"/>
      </w:pPr>
      <w:r>
        <w:rPr>
          <w:rStyle w:val="FootnoteReference"/>
        </w:rPr>
        <w:footnoteRef/>
      </w:r>
      <w:r>
        <w:t xml:space="preserve"> ibid</w:t>
      </w:r>
    </w:p>
  </w:footnote>
  <w:footnote w:id="38">
    <w:p w:rsidR="00CC4D93" w:rsidRPr="006F479B" w:rsidRDefault="00CC4D93">
      <w:pPr>
        <w:pStyle w:val="FootnoteText"/>
      </w:pPr>
      <w:r>
        <w:rPr>
          <w:rStyle w:val="FootnoteReference"/>
        </w:rPr>
        <w:footnoteRef/>
      </w:r>
      <w:r>
        <w:t xml:space="preserve"> Hohberg, Wolfgang Helmhard von, </w:t>
      </w:r>
      <w:r>
        <w:rPr>
          <w:i/>
        </w:rPr>
        <w:t xml:space="preserve">Georgica Curiosa oder Adeliches Land-Leben, </w:t>
      </w:r>
      <w:r>
        <w:t>3 vols. (Nuremberg 1682)</w:t>
      </w:r>
    </w:p>
  </w:footnote>
  <w:footnote w:id="39">
    <w:p w:rsidR="00C40292" w:rsidRDefault="00C40292" w:rsidP="00C40292">
      <w:pPr>
        <w:pStyle w:val="FootnoteText"/>
      </w:pPr>
      <w:r>
        <w:rPr>
          <w:rStyle w:val="FootnoteReference"/>
        </w:rPr>
        <w:footnoteRef/>
      </w:r>
      <w:r>
        <w:t xml:space="preserve"> Nancy Siraisi,  'Anatomizing the Past: Physicians and History in Renaissance Culture.’ </w:t>
      </w:r>
      <w:r w:rsidRPr="000015D2">
        <w:rPr>
          <w:i/>
        </w:rPr>
        <w:t xml:space="preserve"> Renaissance Quarterly</w:t>
      </w:r>
      <w:r>
        <w:t xml:space="preserve"> 53, no. 1 (2000): 10</w:t>
      </w:r>
    </w:p>
    <w:p w:rsidR="00C40292" w:rsidRDefault="00C40292">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182" w:rsidRDefault="001641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491" w:rsidRDefault="0076042E" w:rsidP="00C27931">
    <w:pPr>
      <w:pStyle w:val="Header"/>
    </w:pPr>
    <w:sdt>
      <w:sdtPr>
        <w:id w:val="976261815"/>
        <w:docPartObj>
          <w:docPartGallery w:val="Page Numbers (Top of Page)"/>
          <w:docPartUnique/>
        </w:docPartObj>
      </w:sdtPr>
      <w:sdtContent>
        <w:r w:rsidR="00281491">
          <w:t>Ffranses Dawn</w:t>
        </w:r>
        <w:r w:rsidR="00164182">
          <w:t xml:space="preserve"> 2518607                                                                                      </w:t>
        </w:r>
        <w:r w:rsidR="00281491">
          <w:t xml:space="preserve"> </w:t>
        </w:r>
      </w:sdtContent>
    </w:sdt>
    <w:r w:rsidR="00281491" w:rsidRPr="00281491">
      <w:rPr>
        <w:rFonts w:ascii="Arial" w:hAnsi="Arial" w:cs="Arial"/>
      </w:rPr>
      <w:t xml:space="preserve"> </w:t>
    </w:r>
    <w:r w:rsidR="00281491">
      <w:rPr>
        <w:rFonts w:ascii="Arial" w:hAnsi="Arial" w:cs="Arial"/>
      </w:rPr>
      <w:t xml:space="preserve">HPCA7015 Assignment 1 </w:t>
    </w:r>
    <w:r w:rsidR="00C27931">
      <w:rPr>
        <w:rFonts w:ascii="Arial" w:hAnsi="Arial" w:cs="Arial"/>
      </w:rPr>
      <w:t xml:space="preserve">                                                              </w:t>
    </w:r>
  </w:p>
  <w:p w:rsidR="00CC4D93" w:rsidRDefault="00CC4D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182" w:rsidRDefault="0016418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characterSpacingControl w:val="doNotCompress"/>
  <w:footnotePr>
    <w:footnote w:id="-1"/>
    <w:footnote w:id="0"/>
  </w:footnotePr>
  <w:endnotePr>
    <w:endnote w:id="-1"/>
    <w:endnote w:id="0"/>
  </w:endnotePr>
  <w:compat/>
  <w:rsids>
    <w:rsidRoot w:val="00FA0DFF"/>
    <w:rsid w:val="000015D2"/>
    <w:rsid w:val="000228F0"/>
    <w:rsid w:val="00026039"/>
    <w:rsid w:val="000631ED"/>
    <w:rsid w:val="00076A9B"/>
    <w:rsid w:val="000865D0"/>
    <w:rsid w:val="000A538B"/>
    <w:rsid w:val="000B7949"/>
    <w:rsid w:val="000F309E"/>
    <w:rsid w:val="000F31EB"/>
    <w:rsid w:val="00104FCB"/>
    <w:rsid w:val="001164DE"/>
    <w:rsid w:val="00136DF4"/>
    <w:rsid w:val="00164182"/>
    <w:rsid w:val="00193C3B"/>
    <w:rsid w:val="0019494B"/>
    <w:rsid w:val="001A546A"/>
    <w:rsid w:val="001B3D4A"/>
    <w:rsid w:val="001B70FC"/>
    <w:rsid w:val="001C7812"/>
    <w:rsid w:val="001D221B"/>
    <w:rsid w:val="001E54F7"/>
    <w:rsid w:val="00200175"/>
    <w:rsid w:val="002135C8"/>
    <w:rsid w:val="00215386"/>
    <w:rsid w:val="00216C3D"/>
    <w:rsid w:val="002225C2"/>
    <w:rsid w:val="00281491"/>
    <w:rsid w:val="002E4E4B"/>
    <w:rsid w:val="002F0EB2"/>
    <w:rsid w:val="002F12AC"/>
    <w:rsid w:val="002F49BE"/>
    <w:rsid w:val="003129CD"/>
    <w:rsid w:val="00350CC8"/>
    <w:rsid w:val="00351B61"/>
    <w:rsid w:val="00355A71"/>
    <w:rsid w:val="00391A5E"/>
    <w:rsid w:val="003C1837"/>
    <w:rsid w:val="003E29A5"/>
    <w:rsid w:val="0041170A"/>
    <w:rsid w:val="00437D19"/>
    <w:rsid w:val="00463DF0"/>
    <w:rsid w:val="004807A5"/>
    <w:rsid w:val="004D1316"/>
    <w:rsid w:val="004D7571"/>
    <w:rsid w:val="004F2411"/>
    <w:rsid w:val="00566FC0"/>
    <w:rsid w:val="00583C86"/>
    <w:rsid w:val="00586DB0"/>
    <w:rsid w:val="005E47BD"/>
    <w:rsid w:val="005F0080"/>
    <w:rsid w:val="005F0EB2"/>
    <w:rsid w:val="005F0F3E"/>
    <w:rsid w:val="005F7837"/>
    <w:rsid w:val="00606C11"/>
    <w:rsid w:val="006545AE"/>
    <w:rsid w:val="006724E4"/>
    <w:rsid w:val="006B3AAC"/>
    <w:rsid w:val="006F479B"/>
    <w:rsid w:val="00710BB2"/>
    <w:rsid w:val="0071158C"/>
    <w:rsid w:val="00712D77"/>
    <w:rsid w:val="0073529A"/>
    <w:rsid w:val="007362DA"/>
    <w:rsid w:val="007432F1"/>
    <w:rsid w:val="0076042E"/>
    <w:rsid w:val="00761F78"/>
    <w:rsid w:val="00765C3A"/>
    <w:rsid w:val="00776166"/>
    <w:rsid w:val="0078485A"/>
    <w:rsid w:val="00787849"/>
    <w:rsid w:val="00793F60"/>
    <w:rsid w:val="007C20C3"/>
    <w:rsid w:val="007E7921"/>
    <w:rsid w:val="00807914"/>
    <w:rsid w:val="00810CB5"/>
    <w:rsid w:val="008444DD"/>
    <w:rsid w:val="008458FC"/>
    <w:rsid w:val="00873FE7"/>
    <w:rsid w:val="008C7CDB"/>
    <w:rsid w:val="00922159"/>
    <w:rsid w:val="00955E0A"/>
    <w:rsid w:val="0097132D"/>
    <w:rsid w:val="009B0D71"/>
    <w:rsid w:val="009C6628"/>
    <w:rsid w:val="009E5BBA"/>
    <w:rsid w:val="00A22F50"/>
    <w:rsid w:val="00A44C28"/>
    <w:rsid w:val="00A51D14"/>
    <w:rsid w:val="00A64945"/>
    <w:rsid w:val="00A658DB"/>
    <w:rsid w:val="00A67208"/>
    <w:rsid w:val="00A941C4"/>
    <w:rsid w:val="00AD637C"/>
    <w:rsid w:val="00AD6A95"/>
    <w:rsid w:val="00AF2AEA"/>
    <w:rsid w:val="00B02914"/>
    <w:rsid w:val="00B206B9"/>
    <w:rsid w:val="00B30BF3"/>
    <w:rsid w:val="00B41966"/>
    <w:rsid w:val="00B47D3D"/>
    <w:rsid w:val="00B66719"/>
    <w:rsid w:val="00B8570D"/>
    <w:rsid w:val="00B92F22"/>
    <w:rsid w:val="00B977AC"/>
    <w:rsid w:val="00BC6667"/>
    <w:rsid w:val="00BF18B5"/>
    <w:rsid w:val="00BF1F90"/>
    <w:rsid w:val="00C01E89"/>
    <w:rsid w:val="00C27931"/>
    <w:rsid w:val="00C40292"/>
    <w:rsid w:val="00CA4627"/>
    <w:rsid w:val="00CC4D93"/>
    <w:rsid w:val="00CE5129"/>
    <w:rsid w:val="00CE6EB9"/>
    <w:rsid w:val="00CF3EF2"/>
    <w:rsid w:val="00CF4A6B"/>
    <w:rsid w:val="00D37A6B"/>
    <w:rsid w:val="00D62B4C"/>
    <w:rsid w:val="00D6553F"/>
    <w:rsid w:val="00D70D73"/>
    <w:rsid w:val="00D77C44"/>
    <w:rsid w:val="00DB739B"/>
    <w:rsid w:val="00DC0887"/>
    <w:rsid w:val="00DE4B22"/>
    <w:rsid w:val="00DE61A8"/>
    <w:rsid w:val="00DF336D"/>
    <w:rsid w:val="00E06D73"/>
    <w:rsid w:val="00E178D1"/>
    <w:rsid w:val="00E509CB"/>
    <w:rsid w:val="00E93277"/>
    <w:rsid w:val="00EA3C31"/>
    <w:rsid w:val="00EA56A3"/>
    <w:rsid w:val="00F556F8"/>
    <w:rsid w:val="00F81CFE"/>
    <w:rsid w:val="00F85982"/>
    <w:rsid w:val="00FA0DFF"/>
    <w:rsid w:val="00FA7CC4"/>
    <w:rsid w:val="00FB0FAF"/>
    <w:rsid w:val="00FC13CD"/>
    <w:rsid w:val="00FE22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DFF"/>
  </w:style>
  <w:style w:type="paragraph" w:styleId="Heading2">
    <w:name w:val="heading 2"/>
    <w:basedOn w:val="Normal"/>
    <w:next w:val="Normal"/>
    <w:link w:val="Heading2Char"/>
    <w:uiPriority w:val="9"/>
    <w:semiHidden/>
    <w:unhideWhenUsed/>
    <w:qFormat/>
    <w:rsid w:val="008458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F81CF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0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DFF"/>
  </w:style>
  <w:style w:type="paragraph" w:styleId="Footer">
    <w:name w:val="footer"/>
    <w:basedOn w:val="Normal"/>
    <w:link w:val="FooterChar"/>
    <w:uiPriority w:val="99"/>
    <w:unhideWhenUsed/>
    <w:rsid w:val="00FA0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DFF"/>
  </w:style>
  <w:style w:type="paragraph" w:styleId="FootnoteText">
    <w:name w:val="footnote text"/>
    <w:basedOn w:val="Normal"/>
    <w:link w:val="FootnoteTextChar"/>
    <w:uiPriority w:val="99"/>
    <w:semiHidden/>
    <w:unhideWhenUsed/>
    <w:rsid w:val="00DF33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336D"/>
    <w:rPr>
      <w:sz w:val="20"/>
      <w:szCs w:val="20"/>
    </w:rPr>
  </w:style>
  <w:style w:type="character" w:styleId="FootnoteReference">
    <w:name w:val="footnote reference"/>
    <w:basedOn w:val="DefaultParagraphFont"/>
    <w:uiPriority w:val="99"/>
    <w:semiHidden/>
    <w:unhideWhenUsed/>
    <w:rsid w:val="00DF336D"/>
    <w:rPr>
      <w:vertAlign w:val="superscript"/>
    </w:rPr>
  </w:style>
  <w:style w:type="character" w:styleId="Hyperlink">
    <w:name w:val="Hyperlink"/>
    <w:basedOn w:val="DefaultParagraphFont"/>
    <w:uiPriority w:val="99"/>
    <w:unhideWhenUsed/>
    <w:rsid w:val="00DF336D"/>
    <w:rPr>
      <w:color w:val="0000FF" w:themeColor="hyperlink"/>
      <w:u w:val="single"/>
    </w:rPr>
  </w:style>
  <w:style w:type="character" w:customStyle="1" w:styleId="Heading2Char">
    <w:name w:val="Heading 2 Char"/>
    <w:basedOn w:val="DefaultParagraphFont"/>
    <w:link w:val="Heading2"/>
    <w:uiPriority w:val="9"/>
    <w:semiHidden/>
    <w:rsid w:val="008458FC"/>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5F783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F7837"/>
    <w:rPr>
      <w:rFonts w:asciiTheme="majorHAnsi" w:eastAsiaTheme="majorEastAsia" w:hAnsiTheme="majorHAnsi" w:cstheme="majorBidi"/>
      <w:i/>
      <w:iCs/>
      <w:color w:val="4F81BD" w:themeColor="accent1"/>
      <w:spacing w:val="15"/>
      <w:sz w:val="24"/>
      <w:szCs w:val="24"/>
    </w:rPr>
  </w:style>
  <w:style w:type="character" w:customStyle="1" w:styleId="Heading3Char">
    <w:name w:val="Heading 3 Char"/>
    <w:basedOn w:val="DefaultParagraphFont"/>
    <w:link w:val="Heading3"/>
    <w:rsid w:val="00F81CFE"/>
    <w:rPr>
      <w:rFonts w:ascii="Tahoma" w:eastAsia="SimSun" w:hAnsi="Tahoma" w:cs="Tahoma"/>
      <w:b/>
      <w:bCs/>
      <w:sz w:val="20"/>
      <w:szCs w:val="20"/>
      <w:lang w:eastAsia="zh-CN"/>
    </w:rPr>
  </w:style>
  <w:style w:type="paragraph" w:styleId="NormalWeb">
    <w:name w:val="Normal (Web)"/>
    <w:basedOn w:val="Normal"/>
    <w:rsid w:val="00F81CFE"/>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F81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C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9686842">
      <w:bodyDiv w:val="1"/>
      <w:marLeft w:val="0"/>
      <w:marRight w:val="0"/>
      <w:marTop w:val="0"/>
      <w:marBottom w:val="0"/>
      <w:divBdr>
        <w:top w:val="none" w:sz="0" w:space="0" w:color="auto"/>
        <w:left w:val="none" w:sz="0" w:space="0" w:color="auto"/>
        <w:bottom w:val="none" w:sz="0" w:space="0" w:color="auto"/>
        <w:right w:val="none" w:sz="0" w:space="0" w:color="auto"/>
      </w:divBdr>
      <w:divsChild>
        <w:div w:id="93677219">
          <w:marLeft w:val="0"/>
          <w:marRight w:val="0"/>
          <w:marTop w:val="0"/>
          <w:marBottom w:val="0"/>
          <w:divBdr>
            <w:top w:val="none" w:sz="0" w:space="0" w:color="auto"/>
            <w:left w:val="none" w:sz="0" w:space="0" w:color="auto"/>
            <w:bottom w:val="none" w:sz="0" w:space="0" w:color="auto"/>
            <w:right w:val="none" w:sz="0" w:space="0" w:color="auto"/>
          </w:divBdr>
        </w:div>
      </w:divsChild>
    </w:div>
    <w:div w:id="1218397126">
      <w:bodyDiv w:val="1"/>
      <w:marLeft w:val="0"/>
      <w:marRight w:val="0"/>
      <w:marTop w:val="0"/>
      <w:marBottom w:val="0"/>
      <w:divBdr>
        <w:top w:val="none" w:sz="0" w:space="0" w:color="auto"/>
        <w:left w:val="none" w:sz="0" w:space="0" w:color="auto"/>
        <w:bottom w:val="none" w:sz="0" w:space="0" w:color="auto"/>
        <w:right w:val="none" w:sz="0" w:space="0" w:color="auto"/>
      </w:divBdr>
      <w:divsChild>
        <w:div w:id="647512087">
          <w:marLeft w:val="0"/>
          <w:marRight w:val="0"/>
          <w:marTop w:val="0"/>
          <w:marBottom w:val="0"/>
          <w:divBdr>
            <w:top w:val="none" w:sz="0" w:space="0" w:color="auto"/>
            <w:left w:val="none" w:sz="0" w:space="0" w:color="auto"/>
            <w:bottom w:val="none" w:sz="0" w:space="0" w:color="auto"/>
            <w:right w:val="none" w:sz="0" w:space="0" w:color="auto"/>
          </w:divBdr>
        </w:div>
      </w:divsChild>
    </w:div>
    <w:div w:id="1340813637">
      <w:bodyDiv w:val="1"/>
      <w:marLeft w:val="0"/>
      <w:marRight w:val="0"/>
      <w:marTop w:val="0"/>
      <w:marBottom w:val="0"/>
      <w:divBdr>
        <w:top w:val="none" w:sz="0" w:space="0" w:color="auto"/>
        <w:left w:val="none" w:sz="0" w:space="0" w:color="auto"/>
        <w:bottom w:val="none" w:sz="0" w:space="0" w:color="auto"/>
        <w:right w:val="none" w:sz="0" w:space="0" w:color="auto"/>
      </w:divBdr>
      <w:divsChild>
        <w:div w:id="997611995">
          <w:marLeft w:val="0"/>
          <w:marRight w:val="0"/>
          <w:marTop w:val="0"/>
          <w:marBottom w:val="0"/>
          <w:divBdr>
            <w:top w:val="none" w:sz="0" w:space="0" w:color="auto"/>
            <w:left w:val="none" w:sz="0" w:space="0" w:color="auto"/>
            <w:bottom w:val="none" w:sz="0" w:space="0" w:color="auto"/>
            <w:right w:val="none" w:sz="0" w:space="0" w:color="auto"/>
          </w:divBdr>
          <w:divsChild>
            <w:div w:id="1979676688">
              <w:marLeft w:val="0"/>
              <w:marRight w:val="0"/>
              <w:marTop w:val="0"/>
              <w:marBottom w:val="0"/>
              <w:divBdr>
                <w:top w:val="none" w:sz="0" w:space="0" w:color="auto"/>
                <w:left w:val="none" w:sz="0" w:space="0" w:color="auto"/>
                <w:bottom w:val="none" w:sz="0" w:space="0" w:color="auto"/>
                <w:right w:val="none" w:sz="0" w:space="0" w:color="auto"/>
              </w:divBdr>
              <w:divsChild>
                <w:div w:id="2146771189">
                  <w:marLeft w:val="0"/>
                  <w:marRight w:val="0"/>
                  <w:marTop w:val="0"/>
                  <w:marBottom w:val="0"/>
                  <w:divBdr>
                    <w:top w:val="none" w:sz="0" w:space="0" w:color="auto"/>
                    <w:left w:val="none" w:sz="0" w:space="0" w:color="auto"/>
                    <w:bottom w:val="none" w:sz="0" w:space="0" w:color="auto"/>
                    <w:right w:val="none" w:sz="0" w:space="0" w:color="auto"/>
                  </w:divBdr>
                  <w:divsChild>
                    <w:div w:id="1295913531">
                      <w:marLeft w:val="0"/>
                      <w:marRight w:val="0"/>
                      <w:marTop w:val="0"/>
                      <w:marBottom w:val="0"/>
                      <w:divBdr>
                        <w:top w:val="none" w:sz="0" w:space="0" w:color="auto"/>
                        <w:left w:val="none" w:sz="0" w:space="0" w:color="auto"/>
                        <w:bottom w:val="none" w:sz="0" w:space="0" w:color="auto"/>
                        <w:right w:val="none" w:sz="0" w:space="0" w:color="auto"/>
                      </w:divBdr>
                      <w:divsChild>
                        <w:div w:id="1132595730">
                          <w:marLeft w:val="0"/>
                          <w:marRight w:val="0"/>
                          <w:marTop w:val="0"/>
                          <w:marBottom w:val="0"/>
                          <w:divBdr>
                            <w:top w:val="none" w:sz="0" w:space="0" w:color="auto"/>
                            <w:left w:val="none" w:sz="0" w:space="0" w:color="auto"/>
                            <w:bottom w:val="none" w:sz="0" w:space="0" w:color="auto"/>
                            <w:right w:val="none" w:sz="0" w:space="0" w:color="auto"/>
                          </w:divBdr>
                          <w:divsChild>
                            <w:div w:id="32312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229777">
          <w:marLeft w:val="0"/>
          <w:marRight w:val="0"/>
          <w:marTop w:val="0"/>
          <w:marBottom w:val="0"/>
          <w:divBdr>
            <w:top w:val="none" w:sz="0" w:space="0" w:color="auto"/>
            <w:left w:val="none" w:sz="0" w:space="0" w:color="auto"/>
            <w:bottom w:val="none" w:sz="0" w:space="0" w:color="auto"/>
            <w:right w:val="none" w:sz="0" w:space="0" w:color="auto"/>
          </w:divBdr>
          <w:divsChild>
            <w:div w:id="109478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8049">
      <w:bodyDiv w:val="1"/>
      <w:marLeft w:val="0"/>
      <w:marRight w:val="0"/>
      <w:marTop w:val="0"/>
      <w:marBottom w:val="0"/>
      <w:divBdr>
        <w:top w:val="none" w:sz="0" w:space="0" w:color="auto"/>
        <w:left w:val="none" w:sz="0" w:space="0" w:color="auto"/>
        <w:bottom w:val="none" w:sz="0" w:space="0" w:color="auto"/>
        <w:right w:val="none" w:sz="0" w:space="0" w:color="auto"/>
      </w:divBdr>
      <w:divsChild>
        <w:div w:id="266280194">
          <w:marLeft w:val="0"/>
          <w:marRight w:val="0"/>
          <w:marTop w:val="0"/>
          <w:marBottom w:val="0"/>
          <w:divBdr>
            <w:top w:val="none" w:sz="0" w:space="0" w:color="auto"/>
            <w:left w:val="none" w:sz="0" w:space="0" w:color="auto"/>
            <w:bottom w:val="none" w:sz="0" w:space="0" w:color="auto"/>
            <w:right w:val="none" w:sz="0" w:space="0" w:color="auto"/>
          </w:divBdr>
          <w:divsChild>
            <w:div w:id="1606646363">
              <w:marLeft w:val="0"/>
              <w:marRight w:val="0"/>
              <w:marTop w:val="0"/>
              <w:marBottom w:val="0"/>
              <w:divBdr>
                <w:top w:val="none" w:sz="0" w:space="0" w:color="auto"/>
                <w:left w:val="none" w:sz="0" w:space="0" w:color="auto"/>
                <w:bottom w:val="none" w:sz="0" w:space="0" w:color="auto"/>
                <w:right w:val="none" w:sz="0" w:space="0" w:color="auto"/>
              </w:divBdr>
              <w:divsChild>
                <w:div w:id="305088319">
                  <w:marLeft w:val="0"/>
                  <w:marRight w:val="0"/>
                  <w:marTop w:val="0"/>
                  <w:marBottom w:val="0"/>
                  <w:divBdr>
                    <w:top w:val="none" w:sz="0" w:space="0" w:color="auto"/>
                    <w:left w:val="none" w:sz="0" w:space="0" w:color="auto"/>
                    <w:bottom w:val="none" w:sz="0" w:space="0" w:color="auto"/>
                    <w:right w:val="none" w:sz="0" w:space="0" w:color="auto"/>
                  </w:divBdr>
                  <w:divsChild>
                    <w:div w:id="539367209">
                      <w:marLeft w:val="0"/>
                      <w:marRight w:val="0"/>
                      <w:marTop w:val="0"/>
                      <w:marBottom w:val="0"/>
                      <w:divBdr>
                        <w:top w:val="none" w:sz="0" w:space="0" w:color="auto"/>
                        <w:left w:val="none" w:sz="0" w:space="0" w:color="auto"/>
                        <w:bottom w:val="none" w:sz="0" w:space="0" w:color="auto"/>
                        <w:right w:val="none" w:sz="0" w:space="0" w:color="auto"/>
                      </w:divBdr>
                      <w:divsChild>
                        <w:div w:id="1801068490">
                          <w:marLeft w:val="0"/>
                          <w:marRight w:val="0"/>
                          <w:marTop w:val="0"/>
                          <w:marBottom w:val="0"/>
                          <w:divBdr>
                            <w:top w:val="none" w:sz="0" w:space="0" w:color="auto"/>
                            <w:left w:val="none" w:sz="0" w:space="0" w:color="auto"/>
                            <w:bottom w:val="none" w:sz="0" w:space="0" w:color="auto"/>
                            <w:right w:val="none" w:sz="0" w:space="0" w:color="auto"/>
                          </w:divBdr>
                          <w:divsChild>
                            <w:div w:id="37762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728309">
          <w:marLeft w:val="0"/>
          <w:marRight w:val="0"/>
          <w:marTop w:val="0"/>
          <w:marBottom w:val="0"/>
          <w:divBdr>
            <w:top w:val="none" w:sz="0" w:space="0" w:color="auto"/>
            <w:left w:val="none" w:sz="0" w:space="0" w:color="auto"/>
            <w:bottom w:val="none" w:sz="0" w:space="0" w:color="auto"/>
            <w:right w:val="none" w:sz="0" w:space="0" w:color="auto"/>
          </w:divBdr>
          <w:divsChild>
            <w:div w:id="19124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3004C-9D6A-4991-88D1-DE97E1514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ffranses</dc:creator>
  <cp:lastModifiedBy>ffranses</cp:lastModifiedBy>
  <cp:revision>5</cp:revision>
  <cp:lastPrinted>2025-11-01T17:48:00Z</cp:lastPrinted>
  <dcterms:created xsi:type="dcterms:W3CDTF">2025-11-02T18:29:00Z</dcterms:created>
  <dcterms:modified xsi:type="dcterms:W3CDTF">2025-11-02T18:34:00Z</dcterms:modified>
</cp:coreProperties>
</file>