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E6627B" w14:textId="2FBC106D" w:rsidR="001B2F6A" w:rsidRPr="00E2388B" w:rsidRDefault="00DD7CB8" w:rsidP="008115C1">
      <w:pPr>
        <w:spacing w:line="360" w:lineRule="auto"/>
        <w:jc w:val="center"/>
        <w:rPr>
          <w:rFonts w:ascii="Times New Roman" w:hAnsi="Times New Roman" w:cs="Times New Roman"/>
          <w:sz w:val="28"/>
          <w:szCs w:val="28"/>
          <w:u w:val="single"/>
        </w:rPr>
      </w:pPr>
      <w:r w:rsidRPr="00E2388B">
        <w:rPr>
          <w:rFonts w:ascii="Times New Roman" w:hAnsi="Times New Roman" w:cs="Times New Roman"/>
          <w:u w:val="single"/>
        </w:rPr>
        <w:t>‘</w:t>
      </w:r>
      <w:r w:rsidRPr="00E2388B">
        <w:rPr>
          <w:rFonts w:ascii="Times New Roman" w:hAnsi="Times New Roman" w:cs="Times New Roman"/>
          <w:u w:val="single"/>
        </w:rPr>
        <w:t>Choose either ‘the beach’ or ‘the woods’ to plan a visit for a group of children. Describe how visiting this location can support learning.’</w:t>
      </w:r>
    </w:p>
    <w:p w14:paraId="6A2E6354" w14:textId="77777777" w:rsidR="008115C1" w:rsidRPr="00E2388B" w:rsidRDefault="008115C1" w:rsidP="008115C1">
      <w:pPr>
        <w:spacing w:line="360" w:lineRule="auto"/>
        <w:jc w:val="center"/>
        <w:rPr>
          <w:rFonts w:ascii="Times New Roman" w:hAnsi="Times New Roman" w:cs="Times New Roman"/>
          <w:color w:val="000000" w:themeColor="text1"/>
          <w:sz w:val="22"/>
          <w:szCs w:val="22"/>
        </w:rPr>
      </w:pPr>
    </w:p>
    <w:p w14:paraId="36692077" w14:textId="77777777" w:rsidR="003644FC" w:rsidRPr="00E66A94" w:rsidRDefault="003644FC" w:rsidP="003644FC">
      <w:pPr>
        <w:spacing w:line="360" w:lineRule="auto"/>
        <w:rPr>
          <w:rFonts w:cstheme="minorHAnsi"/>
          <w:color w:val="000000" w:themeColor="text1"/>
          <w:sz w:val="22"/>
          <w:szCs w:val="22"/>
        </w:rPr>
      </w:pPr>
      <w:r w:rsidRPr="00E2388B">
        <w:rPr>
          <w:rFonts w:ascii="Times New Roman" w:hAnsi="Times New Roman" w:cs="Times New Roman"/>
          <w:color w:val="000000" w:themeColor="text1"/>
          <w:sz w:val="22"/>
          <w:szCs w:val="22"/>
        </w:rPr>
        <w:t>Learning is about concrete experiences and improving the level and amount of knowledge through</w:t>
      </w:r>
      <w:r w:rsidRPr="00E66A94">
        <w:rPr>
          <w:rFonts w:cstheme="minorHAnsi"/>
          <w:color w:val="000000" w:themeColor="text1"/>
          <w:sz w:val="22"/>
          <w:szCs w:val="22"/>
        </w:rPr>
        <w:t xml:space="preserve"> activities and tasks. DCELLS </w:t>
      </w:r>
      <w:sdt>
        <w:sdtPr>
          <w:rPr>
            <w:rFonts w:cstheme="minorHAnsi"/>
            <w:color w:val="000000" w:themeColor="text1"/>
            <w:sz w:val="22"/>
            <w:szCs w:val="22"/>
          </w:rPr>
          <w:id w:val="66542080"/>
          <w:citation/>
        </w:sdtPr>
        <w:sdtContent>
          <w:r w:rsidRPr="00E66A94">
            <w:rPr>
              <w:rFonts w:cstheme="minorHAnsi"/>
              <w:color w:val="000000" w:themeColor="text1"/>
              <w:sz w:val="22"/>
              <w:szCs w:val="22"/>
            </w:rPr>
            <w:fldChar w:fldCharType="begin"/>
          </w:r>
          <w:r w:rsidRPr="00E66A94">
            <w:rPr>
              <w:rFonts w:cstheme="minorHAnsi"/>
              <w:color w:val="000000" w:themeColor="text1"/>
              <w:sz w:val="22"/>
              <w:szCs w:val="22"/>
            </w:rPr>
            <w:instrText xml:space="preserve">CITATION DCE08 \p 13 \n  \l 2057 </w:instrText>
          </w:r>
          <w:r w:rsidRPr="00E66A94">
            <w:rPr>
              <w:rFonts w:cstheme="minorHAnsi"/>
              <w:color w:val="000000" w:themeColor="text1"/>
              <w:sz w:val="22"/>
              <w:szCs w:val="22"/>
            </w:rPr>
            <w:fldChar w:fldCharType="separate"/>
          </w:r>
          <w:r w:rsidRPr="00E66A94">
            <w:rPr>
              <w:rFonts w:cstheme="minorHAnsi"/>
              <w:noProof/>
              <w:color w:val="000000" w:themeColor="text1"/>
              <w:sz w:val="22"/>
              <w:szCs w:val="22"/>
            </w:rPr>
            <w:t>(2008, p. 13)</w:t>
          </w:r>
          <w:r w:rsidRPr="00E66A94">
            <w:rPr>
              <w:rFonts w:cstheme="minorHAnsi"/>
              <w:color w:val="000000" w:themeColor="text1"/>
              <w:sz w:val="22"/>
              <w:szCs w:val="22"/>
            </w:rPr>
            <w:fldChar w:fldCharType="end"/>
          </w:r>
        </w:sdtContent>
      </w:sdt>
      <w:r w:rsidRPr="00E66A94">
        <w:rPr>
          <w:rFonts w:cstheme="minorHAnsi"/>
          <w:color w:val="000000" w:themeColor="text1"/>
          <w:sz w:val="22"/>
          <w:szCs w:val="22"/>
        </w:rPr>
        <w:t xml:space="preserve"> states that all adults that work with children ‘need to be aware of progression and stages of development so they can plan appropriate experiences and activities’. Not only do children have different learning styles but they have preferences to different environments. Different environments suit different children and can help assist them in their learning. Children have favoured ways to interact with the environment and this is where ‘learning can be ‘enhanced’ </w:t>
      </w:r>
      <w:sdt>
        <w:sdtPr>
          <w:rPr>
            <w:rFonts w:cstheme="minorHAnsi"/>
            <w:color w:val="000000" w:themeColor="text1"/>
            <w:sz w:val="22"/>
            <w:szCs w:val="22"/>
          </w:rPr>
          <w:id w:val="-747732315"/>
          <w:citation/>
        </w:sdtPr>
        <w:sdtContent>
          <w:r w:rsidRPr="00E66A94">
            <w:rPr>
              <w:rFonts w:cstheme="minorHAnsi"/>
              <w:color w:val="000000" w:themeColor="text1"/>
              <w:sz w:val="22"/>
              <w:szCs w:val="22"/>
            </w:rPr>
            <w:fldChar w:fldCharType="begin"/>
          </w:r>
          <w:r w:rsidRPr="00E66A94">
            <w:rPr>
              <w:rFonts w:cstheme="minorHAnsi"/>
              <w:color w:val="000000" w:themeColor="text1"/>
              <w:sz w:val="22"/>
              <w:szCs w:val="22"/>
            </w:rPr>
            <w:instrText xml:space="preserve">CITATION DCE081 \p 10 \l 2057 </w:instrText>
          </w:r>
          <w:r w:rsidRPr="00E66A94">
            <w:rPr>
              <w:rFonts w:cstheme="minorHAnsi"/>
              <w:color w:val="000000" w:themeColor="text1"/>
              <w:sz w:val="22"/>
              <w:szCs w:val="22"/>
            </w:rPr>
            <w:fldChar w:fldCharType="separate"/>
          </w:r>
          <w:r w:rsidRPr="00E66A94">
            <w:rPr>
              <w:rFonts w:cstheme="minorHAnsi"/>
              <w:noProof/>
              <w:color w:val="000000" w:themeColor="text1"/>
              <w:sz w:val="22"/>
              <w:szCs w:val="22"/>
            </w:rPr>
            <w:t>(DCELLS, 2008, p. 10)</w:t>
          </w:r>
          <w:r w:rsidRPr="00E66A94">
            <w:rPr>
              <w:rFonts w:cstheme="minorHAnsi"/>
              <w:color w:val="000000" w:themeColor="text1"/>
              <w:sz w:val="22"/>
              <w:szCs w:val="22"/>
            </w:rPr>
            <w:fldChar w:fldCharType="end"/>
          </w:r>
        </w:sdtContent>
      </w:sdt>
      <w:r w:rsidRPr="00E66A94">
        <w:rPr>
          <w:rFonts w:cstheme="minorHAnsi"/>
          <w:color w:val="000000" w:themeColor="text1"/>
          <w:sz w:val="22"/>
          <w:szCs w:val="22"/>
        </w:rPr>
        <w:t xml:space="preserve">. Environments can be indoors or outdoors but in order for the environments to be successful, they must have ‘positive influences’ such as being ‘visually stimulating’, having ‘active and quiet times’ and ‘opportunities for experimental learning and reflective discussion’ </w:t>
      </w:r>
      <w:sdt>
        <w:sdtPr>
          <w:rPr>
            <w:rFonts w:cstheme="minorHAnsi"/>
            <w:color w:val="000000" w:themeColor="text1"/>
            <w:sz w:val="22"/>
            <w:szCs w:val="22"/>
          </w:rPr>
          <w:id w:val="-1359817511"/>
          <w:citation/>
        </w:sdtPr>
        <w:sdtContent>
          <w:r w:rsidRPr="00E66A94">
            <w:rPr>
              <w:rFonts w:cstheme="minorHAnsi"/>
              <w:color w:val="000000" w:themeColor="text1"/>
              <w:sz w:val="22"/>
              <w:szCs w:val="22"/>
            </w:rPr>
            <w:fldChar w:fldCharType="begin"/>
          </w:r>
          <w:r w:rsidRPr="00E66A94">
            <w:rPr>
              <w:rFonts w:cstheme="minorHAnsi"/>
              <w:color w:val="000000" w:themeColor="text1"/>
              <w:sz w:val="22"/>
              <w:szCs w:val="22"/>
            </w:rPr>
            <w:instrText xml:space="preserve">CITATION DCE081 \p 10 \l 2057 </w:instrText>
          </w:r>
          <w:r w:rsidRPr="00E66A94">
            <w:rPr>
              <w:rFonts w:cstheme="minorHAnsi"/>
              <w:color w:val="000000" w:themeColor="text1"/>
              <w:sz w:val="22"/>
              <w:szCs w:val="22"/>
            </w:rPr>
            <w:fldChar w:fldCharType="separate"/>
          </w:r>
          <w:r w:rsidRPr="00E66A94">
            <w:rPr>
              <w:rFonts w:cstheme="minorHAnsi"/>
              <w:noProof/>
              <w:color w:val="000000" w:themeColor="text1"/>
              <w:sz w:val="22"/>
              <w:szCs w:val="22"/>
            </w:rPr>
            <w:t>(DCELLS, 2008, p. 10)</w:t>
          </w:r>
          <w:r w:rsidRPr="00E66A94">
            <w:rPr>
              <w:rFonts w:cstheme="minorHAnsi"/>
              <w:color w:val="000000" w:themeColor="text1"/>
              <w:sz w:val="22"/>
              <w:szCs w:val="22"/>
            </w:rPr>
            <w:fldChar w:fldCharType="end"/>
          </w:r>
        </w:sdtContent>
      </w:sdt>
      <w:r w:rsidRPr="00E66A94">
        <w:rPr>
          <w:rFonts w:cstheme="minorHAnsi"/>
          <w:color w:val="000000" w:themeColor="text1"/>
          <w:sz w:val="22"/>
          <w:szCs w:val="22"/>
        </w:rPr>
        <w:t>.</w:t>
      </w:r>
    </w:p>
    <w:p w14:paraId="7C5819A7" w14:textId="77777777" w:rsidR="00D669BE" w:rsidRPr="00E66A94" w:rsidRDefault="00D669BE" w:rsidP="001504FB">
      <w:pPr>
        <w:spacing w:line="360" w:lineRule="auto"/>
        <w:rPr>
          <w:rFonts w:cstheme="minorHAnsi"/>
          <w:color w:val="000000" w:themeColor="text1"/>
          <w:sz w:val="22"/>
          <w:szCs w:val="22"/>
        </w:rPr>
      </w:pPr>
    </w:p>
    <w:p w14:paraId="3071281C" w14:textId="77777777" w:rsidR="001263E0" w:rsidRDefault="001263E0" w:rsidP="001263E0">
      <w:pPr>
        <w:spacing w:line="360" w:lineRule="auto"/>
        <w:rPr>
          <w:rFonts w:cstheme="minorHAnsi"/>
          <w:color w:val="000000" w:themeColor="text1"/>
          <w:sz w:val="22"/>
          <w:szCs w:val="22"/>
        </w:rPr>
      </w:pPr>
      <w:r w:rsidRPr="00E66A94">
        <w:rPr>
          <w:rFonts w:cstheme="minorHAnsi"/>
          <w:color w:val="000000" w:themeColor="text1"/>
          <w:sz w:val="22"/>
          <w:szCs w:val="22"/>
        </w:rPr>
        <w:t xml:space="preserve">‘Diverse physical locations, contexts and cultures in which students learn’ can be known as a definition for learning environments </w:t>
      </w:r>
      <w:sdt>
        <w:sdtPr>
          <w:rPr>
            <w:rFonts w:cstheme="minorHAnsi"/>
            <w:color w:val="000000" w:themeColor="text1"/>
            <w:sz w:val="22"/>
            <w:szCs w:val="22"/>
          </w:rPr>
          <w:id w:val="-751279457"/>
          <w:citation/>
        </w:sdtPr>
        <w:sdtContent>
          <w:r w:rsidRPr="00E66A94">
            <w:rPr>
              <w:rFonts w:cstheme="minorHAnsi"/>
              <w:color w:val="000000" w:themeColor="text1"/>
              <w:sz w:val="22"/>
              <w:szCs w:val="22"/>
            </w:rPr>
            <w:fldChar w:fldCharType="begin"/>
          </w:r>
          <w:r w:rsidRPr="00E66A94">
            <w:rPr>
              <w:rFonts w:cstheme="minorHAnsi"/>
              <w:color w:val="000000" w:themeColor="text1"/>
              <w:sz w:val="22"/>
              <w:szCs w:val="22"/>
            </w:rPr>
            <w:instrText xml:space="preserve">CITATION Lea13 \l 2057 </w:instrText>
          </w:r>
          <w:r w:rsidRPr="00E66A94">
            <w:rPr>
              <w:rFonts w:cstheme="minorHAnsi"/>
              <w:color w:val="000000" w:themeColor="text1"/>
              <w:sz w:val="22"/>
              <w:szCs w:val="22"/>
            </w:rPr>
            <w:fldChar w:fldCharType="separate"/>
          </w:r>
          <w:r w:rsidRPr="00E66A94">
            <w:rPr>
              <w:rFonts w:cstheme="minorHAnsi"/>
              <w:noProof/>
              <w:color w:val="000000" w:themeColor="text1"/>
              <w:sz w:val="22"/>
              <w:szCs w:val="22"/>
            </w:rPr>
            <w:t>(The Glossary of Education Reform, 2013)</w:t>
          </w:r>
          <w:r w:rsidRPr="00E66A94">
            <w:rPr>
              <w:rFonts w:cstheme="minorHAnsi"/>
              <w:color w:val="000000" w:themeColor="text1"/>
              <w:sz w:val="22"/>
              <w:szCs w:val="22"/>
            </w:rPr>
            <w:fldChar w:fldCharType="end"/>
          </w:r>
        </w:sdtContent>
      </w:sdt>
      <w:r>
        <w:rPr>
          <w:rFonts w:cstheme="minorHAnsi"/>
          <w:color w:val="000000" w:themeColor="text1"/>
          <w:sz w:val="22"/>
          <w:szCs w:val="22"/>
        </w:rPr>
        <w:t xml:space="preserve">. </w:t>
      </w:r>
      <w:r w:rsidRPr="00E66A94">
        <w:rPr>
          <w:rFonts w:cstheme="minorHAnsi"/>
          <w:color w:val="000000" w:themeColor="text1"/>
          <w:sz w:val="22"/>
          <w:szCs w:val="22"/>
        </w:rPr>
        <w:t xml:space="preserve">DCELLS </w:t>
      </w:r>
      <w:sdt>
        <w:sdtPr>
          <w:rPr>
            <w:rFonts w:cstheme="minorHAnsi"/>
            <w:color w:val="000000" w:themeColor="text1"/>
            <w:sz w:val="22"/>
            <w:szCs w:val="22"/>
          </w:rPr>
          <w:id w:val="749084176"/>
          <w:citation/>
        </w:sdtPr>
        <w:sdtContent>
          <w:r w:rsidRPr="00E66A94">
            <w:rPr>
              <w:rFonts w:cstheme="minorHAnsi"/>
              <w:color w:val="000000" w:themeColor="text1"/>
              <w:sz w:val="22"/>
              <w:szCs w:val="22"/>
            </w:rPr>
            <w:fldChar w:fldCharType="begin"/>
          </w:r>
          <w:r w:rsidRPr="00E66A94">
            <w:rPr>
              <w:rFonts w:cstheme="minorHAnsi"/>
              <w:color w:val="000000" w:themeColor="text1"/>
              <w:sz w:val="22"/>
              <w:szCs w:val="22"/>
            </w:rPr>
            <w:instrText xml:space="preserve">CITATION DCE081 \p 41 \n  \l 2057 </w:instrText>
          </w:r>
          <w:r w:rsidRPr="00E66A94">
            <w:rPr>
              <w:rFonts w:cstheme="minorHAnsi"/>
              <w:color w:val="000000" w:themeColor="text1"/>
              <w:sz w:val="22"/>
              <w:szCs w:val="22"/>
            </w:rPr>
            <w:fldChar w:fldCharType="separate"/>
          </w:r>
          <w:r w:rsidRPr="00E66A94">
            <w:rPr>
              <w:rFonts w:cstheme="minorHAnsi"/>
              <w:noProof/>
              <w:color w:val="000000" w:themeColor="text1"/>
              <w:sz w:val="22"/>
              <w:szCs w:val="22"/>
            </w:rPr>
            <w:t>(2008, p. 41)</w:t>
          </w:r>
          <w:r w:rsidRPr="00E66A94">
            <w:rPr>
              <w:rFonts w:cstheme="minorHAnsi"/>
              <w:color w:val="000000" w:themeColor="text1"/>
              <w:sz w:val="22"/>
              <w:szCs w:val="22"/>
            </w:rPr>
            <w:fldChar w:fldCharType="end"/>
          </w:r>
        </w:sdtContent>
      </w:sdt>
      <w:r w:rsidRPr="00E66A94">
        <w:rPr>
          <w:rFonts w:cstheme="minorHAnsi"/>
          <w:color w:val="000000" w:themeColor="text1"/>
          <w:sz w:val="22"/>
          <w:szCs w:val="22"/>
        </w:rPr>
        <w:t xml:space="preserve"> believes that the ‘outdoor learning environment should be an extension of the indoor learning environment’. Donaldson </w:t>
      </w:r>
      <w:sdt>
        <w:sdtPr>
          <w:rPr>
            <w:rFonts w:cstheme="minorHAnsi"/>
            <w:color w:val="000000" w:themeColor="text1"/>
            <w:sz w:val="22"/>
            <w:szCs w:val="22"/>
          </w:rPr>
          <w:id w:val="-1874688433"/>
          <w:citation/>
        </w:sdtPr>
        <w:sdtContent>
          <w:r w:rsidRPr="00E66A94">
            <w:rPr>
              <w:rFonts w:cstheme="minorHAnsi"/>
              <w:color w:val="000000" w:themeColor="text1"/>
              <w:sz w:val="22"/>
              <w:szCs w:val="22"/>
            </w:rPr>
            <w:fldChar w:fldCharType="begin"/>
          </w:r>
          <w:r w:rsidRPr="00E66A94">
            <w:rPr>
              <w:rFonts w:cstheme="minorHAnsi"/>
              <w:color w:val="000000" w:themeColor="text1"/>
              <w:sz w:val="22"/>
              <w:szCs w:val="22"/>
            </w:rPr>
            <w:instrText xml:space="preserve">CITATION Don151 \p 66 \n  \l 2057 </w:instrText>
          </w:r>
          <w:r w:rsidRPr="00E66A94">
            <w:rPr>
              <w:rFonts w:cstheme="minorHAnsi"/>
              <w:color w:val="000000" w:themeColor="text1"/>
              <w:sz w:val="22"/>
              <w:szCs w:val="22"/>
            </w:rPr>
            <w:fldChar w:fldCharType="separate"/>
          </w:r>
          <w:r w:rsidRPr="00E66A94">
            <w:rPr>
              <w:rFonts w:cstheme="minorHAnsi"/>
              <w:noProof/>
              <w:color w:val="000000" w:themeColor="text1"/>
              <w:sz w:val="22"/>
              <w:szCs w:val="22"/>
            </w:rPr>
            <w:t>(2015, p. 66)</w:t>
          </w:r>
          <w:r w:rsidRPr="00E66A94">
            <w:rPr>
              <w:rFonts w:cstheme="minorHAnsi"/>
              <w:color w:val="000000" w:themeColor="text1"/>
              <w:sz w:val="22"/>
              <w:szCs w:val="22"/>
            </w:rPr>
            <w:fldChar w:fldCharType="end"/>
          </w:r>
        </w:sdtContent>
      </w:sdt>
      <w:r w:rsidRPr="00E66A94">
        <w:rPr>
          <w:rFonts w:cstheme="minorHAnsi"/>
          <w:color w:val="000000" w:themeColor="text1"/>
          <w:sz w:val="22"/>
          <w:szCs w:val="22"/>
        </w:rPr>
        <w:t xml:space="preserve"> believes that for children to entirely immerse themselves in the learning, they have to be in a ‘stimulating environment’ where children are able to ‘explore and experiment’ with a wide range of activities, resources and ideas. </w:t>
      </w:r>
    </w:p>
    <w:p w14:paraId="001C77D8" w14:textId="77777777" w:rsidR="001263E0" w:rsidRPr="00E66A94" w:rsidRDefault="001263E0" w:rsidP="001263E0">
      <w:pPr>
        <w:spacing w:line="360" w:lineRule="auto"/>
        <w:rPr>
          <w:rFonts w:cstheme="minorHAnsi"/>
          <w:color w:val="000000" w:themeColor="text1"/>
          <w:sz w:val="22"/>
          <w:szCs w:val="22"/>
        </w:rPr>
      </w:pPr>
    </w:p>
    <w:p w14:paraId="5F2E3963" w14:textId="77777777" w:rsidR="001263E0" w:rsidRDefault="001263E0" w:rsidP="001263E0">
      <w:pPr>
        <w:spacing w:line="360" w:lineRule="auto"/>
        <w:rPr>
          <w:rFonts w:cstheme="minorHAnsi"/>
          <w:color w:val="000000" w:themeColor="text1"/>
          <w:sz w:val="22"/>
          <w:szCs w:val="22"/>
        </w:rPr>
      </w:pPr>
      <w:r>
        <w:rPr>
          <w:rFonts w:cstheme="minorHAnsi"/>
          <w:color w:val="000000" w:themeColor="text1"/>
          <w:sz w:val="22"/>
          <w:szCs w:val="22"/>
        </w:rPr>
        <w:t xml:space="preserve">Doctor </w:t>
      </w:r>
      <w:r w:rsidRPr="00E66A94">
        <w:rPr>
          <w:rFonts w:cstheme="minorHAnsi"/>
          <w:color w:val="000000" w:themeColor="text1"/>
          <w:sz w:val="22"/>
          <w:szCs w:val="22"/>
        </w:rPr>
        <w:t xml:space="preserve">Maria Montessori based her theory on scientific knowledge and research unlike most other theorists </w:t>
      </w:r>
      <w:sdt>
        <w:sdtPr>
          <w:rPr>
            <w:rFonts w:cstheme="minorHAnsi"/>
            <w:color w:val="000000" w:themeColor="text1"/>
            <w:sz w:val="22"/>
            <w:szCs w:val="22"/>
          </w:rPr>
          <w:id w:val="494083055"/>
          <w:citation/>
        </w:sdtPr>
        <w:sdtContent>
          <w:r w:rsidRPr="00E66A94">
            <w:rPr>
              <w:rFonts w:cstheme="minorHAnsi"/>
              <w:color w:val="000000" w:themeColor="text1"/>
              <w:sz w:val="22"/>
              <w:szCs w:val="22"/>
            </w:rPr>
            <w:fldChar w:fldCharType="begin"/>
          </w:r>
          <w:r w:rsidRPr="00E66A94">
            <w:rPr>
              <w:rFonts w:cstheme="minorHAnsi"/>
              <w:color w:val="000000" w:themeColor="text1"/>
              <w:sz w:val="22"/>
              <w:szCs w:val="22"/>
            </w:rPr>
            <w:instrText xml:space="preserve">CITATION Pou142 \p 39 \l 2057 </w:instrText>
          </w:r>
          <w:r w:rsidRPr="00E66A94">
            <w:rPr>
              <w:rFonts w:cstheme="minorHAnsi"/>
              <w:color w:val="000000" w:themeColor="text1"/>
              <w:sz w:val="22"/>
              <w:szCs w:val="22"/>
            </w:rPr>
            <w:fldChar w:fldCharType="separate"/>
          </w:r>
          <w:r w:rsidRPr="00E66A94">
            <w:rPr>
              <w:rFonts w:cstheme="minorHAnsi"/>
              <w:noProof/>
              <w:color w:val="000000" w:themeColor="text1"/>
              <w:sz w:val="22"/>
              <w:szCs w:val="22"/>
            </w:rPr>
            <w:t>(Pound, 2014, p. 39)</w:t>
          </w:r>
          <w:r w:rsidRPr="00E66A94">
            <w:rPr>
              <w:rFonts w:cstheme="minorHAnsi"/>
              <w:color w:val="000000" w:themeColor="text1"/>
              <w:sz w:val="22"/>
              <w:szCs w:val="22"/>
            </w:rPr>
            <w:fldChar w:fldCharType="end"/>
          </w:r>
        </w:sdtContent>
      </w:sdt>
      <w:r w:rsidRPr="00E66A94">
        <w:rPr>
          <w:rFonts w:cstheme="minorHAnsi"/>
          <w:color w:val="000000" w:themeColor="text1"/>
          <w:sz w:val="22"/>
          <w:szCs w:val="22"/>
        </w:rPr>
        <w:t xml:space="preserve">.  She believed that children respond better when they are given educational opportunities in learning environments that meet the children’s needs but also children are more likely to enjoy the learning when in an environment that is designed for the children </w:t>
      </w:r>
      <w:sdt>
        <w:sdtPr>
          <w:rPr>
            <w:rFonts w:cstheme="minorHAnsi"/>
            <w:color w:val="000000" w:themeColor="text1"/>
            <w:sz w:val="22"/>
            <w:szCs w:val="22"/>
          </w:rPr>
          <w:id w:val="663279926"/>
          <w:citation/>
        </w:sdtPr>
        <w:sdtContent>
          <w:r w:rsidRPr="00E66A94">
            <w:rPr>
              <w:rFonts w:cstheme="minorHAnsi"/>
              <w:color w:val="000000" w:themeColor="text1"/>
              <w:sz w:val="22"/>
              <w:szCs w:val="22"/>
            </w:rPr>
            <w:fldChar w:fldCharType="begin"/>
          </w:r>
          <w:r w:rsidRPr="00E66A94">
            <w:rPr>
              <w:rFonts w:cstheme="minorHAnsi"/>
              <w:color w:val="000000" w:themeColor="text1"/>
              <w:sz w:val="22"/>
              <w:szCs w:val="22"/>
            </w:rPr>
            <w:instrText xml:space="preserve">CITATION Pou142 \p 39 \l 2057 </w:instrText>
          </w:r>
          <w:r w:rsidRPr="00E66A94">
            <w:rPr>
              <w:rFonts w:cstheme="minorHAnsi"/>
              <w:color w:val="000000" w:themeColor="text1"/>
              <w:sz w:val="22"/>
              <w:szCs w:val="22"/>
            </w:rPr>
            <w:fldChar w:fldCharType="separate"/>
          </w:r>
          <w:r w:rsidRPr="00E66A94">
            <w:rPr>
              <w:rFonts w:cstheme="minorHAnsi"/>
              <w:noProof/>
              <w:color w:val="000000" w:themeColor="text1"/>
              <w:sz w:val="22"/>
              <w:szCs w:val="22"/>
            </w:rPr>
            <w:t>(Pound, 2014, p. 39)</w:t>
          </w:r>
          <w:r w:rsidRPr="00E66A94">
            <w:rPr>
              <w:rFonts w:cstheme="minorHAnsi"/>
              <w:color w:val="000000" w:themeColor="text1"/>
              <w:sz w:val="22"/>
              <w:szCs w:val="22"/>
            </w:rPr>
            <w:fldChar w:fldCharType="end"/>
          </w:r>
        </w:sdtContent>
      </w:sdt>
      <w:r w:rsidRPr="00E66A94">
        <w:rPr>
          <w:rFonts w:cstheme="minorHAnsi"/>
          <w:color w:val="000000" w:themeColor="text1"/>
          <w:sz w:val="22"/>
          <w:szCs w:val="22"/>
        </w:rPr>
        <w:t>. There are many types of learning environments that theorists believe work</w:t>
      </w:r>
      <w:bookmarkStart w:id="0" w:name="_GoBack"/>
      <w:bookmarkEnd w:id="0"/>
      <w:r w:rsidRPr="00E66A94">
        <w:rPr>
          <w:rFonts w:cstheme="minorHAnsi"/>
          <w:color w:val="000000" w:themeColor="text1"/>
          <w:sz w:val="22"/>
          <w:szCs w:val="22"/>
        </w:rPr>
        <w:t xml:space="preserve"> best for children. For Montessori, a learning environment that works best for children are environments that are </w:t>
      </w:r>
      <w:r>
        <w:rPr>
          <w:rFonts w:cstheme="minorHAnsi"/>
          <w:color w:val="000000" w:themeColor="text1"/>
          <w:sz w:val="22"/>
          <w:szCs w:val="22"/>
        </w:rPr>
        <w:t>‘</w:t>
      </w:r>
      <w:r w:rsidRPr="00E66A94">
        <w:rPr>
          <w:rFonts w:cstheme="minorHAnsi"/>
          <w:color w:val="000000" w:themeColor="text1"/>
          <w:sz w:val="22"/>
          <w:szCs w:val="22"/>
        </w:rPr>
        <w:t>homely</w:t>
      </w:r>
      <w:r>
        <w:rPr>
          <w:rFonts w:cstheme="minorHAnsi"/>
          <w:color w:val="000000" w:themeColor="text1"/>
          <w:sz w:val="22"/>
          <w:szCs w:val="22"/>
        </w:rPr>
        <w:t>’</w:t>
      </w:r>
      <w:r w:rsidRPr="00E66A94">
        <w:rPr>
          <w:rFonts w:cstheme="minorHAnsi"/>
          <w:color w:val="000000" w:themeColor="text1"/>
          <w:sz w:val="22"/>
          <w:szCs w:val="22"/>
        </w:rPr>
        <w:t xml:space="preserve">. They are ‘homes away from homes’ where the children are able to be happy and themselves </w:t>
      </w:r>
      <w:sdt>
        <w:sdtPr>
          <w:rPr>
            <w:rFonts w:cstheme="minorHAnsi"/>
            <w:color w:val="000000" w:themeColor="text1"/>
            <w:sz w:val="22"/>
            <w:szCs w:val="22"/>
          </w:rPr>
          <w:id w:val="1158346396"/>
          <w:citation/>
        </w:sdtPr>
        <w:sdtContent>
          <w:r w:rsidRPr="00E66A94">
            <w:rPr>
              <w:rFonts w:cstheme="minorHAnsi"/>
              <w:color w:val="000000" w:themeColor="text1"/>
              <w:sz w:val="22"/>
              <w:szCs w:val="22"/>
            </w:rPr>
            <w:fldChar w:fldCharType="begin"/>
          </w:r>
          <w:r w:rsidRPr="00E66A94">
            <w:rPr>
              <w:rFonts w:cstheme="minorHAnsi"/>
              <w:color w:val="000000" w:themeColor="text1"/>
              <w:sz w:val="22"/>
              <w:szCs w:val="22"/>
            </w:rPr>
            <w:instrText xml:space="preserve"> CITATION Mon19 \l 2057 </w:instrText>
          </w:r>
          <w:r w:rsidRPr="00E66A94">
            <w:rPr>
              <w:rFonts w:cstheme="minorHAnsi"/>
              <w:color w:val="000000" w:themeColor="text1"/>
              <w:sz w:val="22"/>
              <w:szCs w:val="22"/>
            </w:rPr>
            <w:fldChar w:fldCharType="separate"/>
          </w:r>
          <w:r w:rsidRPr="00E66A94">
            <w:rPr>
              <w:rFonts w:cstheme="minorHAnsi"/>
              <w:noProof/>
              <w:color w:val="000000" w:themeColor="text1"/>
              <w:sz w:val="22"/>
              <w:szCs w:val="22"/>
            </w:rPr>
            <w:t>(Montessori St Nicholas, 2019)</w:t>
          </w:r>
          <w:r w:rsidRPr="00E66A94">
            <w:rPr>
              <w:rFonts w:cstheme="minorHAnsi"/>
              <w:color w:val="000000" w:themeColor="text1"/>
              <w:sz w:val="22"/>
              <w:szCs w:val="22"/>
            </w:rPr>
            <w:fldChar w:fldCharType="end"/>
          </w:r>
        </w:sdtContent>
      </w:sdt>
      <w:r w:rsidRPr="00E66A94">
        <w:rPr>
          <w:rFonts w:cstheme="minorHAnsi"/>
          <w:color w:val="000000" w:themeColor="text1"/>
          <w:sz w:val="22"/>
          <w:szCs w:val="22"/>
        </w:rPr>
        <w:t xml:space="preserve">. Montessori believes that children have many experiences with sensory activities in learning environments and she realised that the ‘sensorial impressions’ that they use in learning environments is what the children rely on </w:t>
      </w:r>
      <w:sdt>
        <w:sdtPr>
          <w:rPr>
            <w:rFonts w:cstheme="minorHAnsi"/>
            <w:color w:val="000000" w:themeColor="text1"/>
            <w:sz w:val="22"/>
            <w:szCs w:val="22"/>
          </w:rPr>
          <w:id w:val="-1673799188"/>
          <w:citation/>
        </w:sdtPr>
        <w:sdtContent>
          <w:r w:rsidRPr="00E66A94">
            <w:rPr>
              <w:rFonts w:cstheme="minorHAnsi"/>
              <w:color w:val="000000" w:themeColor="text1"/>
              <w:sz w:val="22"/>
              <w:szCs w:val="22"/>
            </w:rPr>
            <w:fldChar w:fldCharType="begin"/>
          </w:r>
          <w:r w:rsidRPr="00E66A94">
            <w:rPr>
              <w:rFonts w:cstheme="minorHAnsi"/>
              <w:color w:val="000000" w:themeColor="text1"/>
              <w:sz w:val="22"/>
              <w:szCs w:val="22"/>
            </w:rPr>
            <w:instrText xml:space="preserve"> CITATION Mon19 \l 2057 </w:instrText>
          </w:r>
          <w:r w:rsidRPr="00E66A94">
            <w:rPr>
              <w:rFonts w:cstheme="minorHAnsi"/>
              <w:color w:val="000000" w:themeColor="text1"/>
              <w:sz w:val="22"/>
              <w:szCs w:val="22"/>
            </w:rPr>
            <w:fldChar w:fldCharType="separate"/>
          </w:r>
          <w:r w:rsidRPr="00E66A94">
            <w:rPr>
              <w:rFonts w:cstheme="minorHAnsi"/>
              <w:noProof/>
              <w:color w:val="000000" w:themeColor="text1"/>
              <w:sz w:val="22"/>
              <w:szCs w:val="22"/>
            </w:rPr>
            <w:t>(Montessori St Nicholas, 2019)</w:t>
          </w:r>
          <w:r w:rsidRPr="00E66A94">
            <w:rPr>
              <w:rFonts w:cstheme="minorHAnsi"/>
              <w:color w:val="000000" w:themeColor="text1"/>
              <w:sz w:val="22"/>
              <w:szCs w:val="22"/>
            </w:rPr>
            <w:fldChar w:fldCharType="end"/>
          </w:r>
        </w:sdtContent>
      </w:sdt>
      <w:r w:rsidRPr="00E66A94">
        <w:rPr>
          <w:rFonts w:cstheme="minorHAnsi"/>
          <w:color w:val="000000" w:themeColor="text1"/>
          <w:sz w:val="22"/>
          <w:szCs w:val="22"/>
        </w:rPr>
        <w:t xml:space="preserve">. The ‘homely’ aspect of Montessori’s learning environment is also linked to children being able to use ‘child-sized’ equipment such as </w:t>
      </w:r>
      <w:r>
        <w:rPr>
          <w:rFonts w:cstheme="minorHAnsi"/>
          <w:color w:val="000000" w:themeColor="text1"/>
          <w:sz w:val="22"/>
          <w:szCs w:val="22"/>
        </w:rPr>
        <w:t xml:space="preserve">chairs </w:t>
      </w:r>
      <w:r w:rsidRPr="00E66A94">
        <w:rPr>
          <w:rFonts w:cstheme="minorHAnsi"/>
          <w:color w:val="000000" w:themeColor="text1"/>
          <w:sz w:val="22"/>
          <w:szCs w:val="22"/>
        </w:rPr>
        <w:t xml:space="preserve">and having ‘cupboards and shelves at their own height’ to promote accessibility and independence </w:t>
      </w:r>
      <w:sdt>
        <w:sdtPr>
          <w:rPr>
            <w:rFonts w:cstheme="minorHAnsi"/>
            <w:color w:val="000000" w:themeColor="text1"/>
            <w:sz w:val="22"/>
            <w:szCs w:val="22"/>
          </w:rPr>
          <w:id w:val="-1205787942"/>
          <w:citation/>
        </w:sdtPr>
        <w:sdtContent>
          <w:r w:rsidRPr="00E66A94">
            <w:rPr>
              <w:rFonts w:cstheme="minorHAnsi"/>
              <w:color w:val="000000" w:themeColor="text1"/>
              <w:sz w:val="22"/>
              <w:szCs w:val="22"/>
            </w:rPr>
            <w:fldChar w:fldCharType="begin"/>
          </w:r>
          <w:r w:rsidRPr="00E66A94">
            <w:rPr>
              <w:rFonts w:cstheme="minorHAnsi"/>
              <w:color w:val="000000" w:themeColor="text1"/>
              <w:sz w:val="22"/>
              <w:szCs w:val="22"/>
            </w:rPr>
            <w:instrText xml:space="preserve"> CITATION Mon19 \l 2057 </w:instrText>
          </w:r>
          <w:r w:rsidRPr="00E66A94">
            <w:rPr>
              <w:rFonts w:cstheme="minorHAnsi"/>
              <w:color w:val="000000" w:themeColor="text1"/>
              <w:sz w:val="22"/>
              <w:szCs w:val="22"/>
            </w:rPr>
            <w:fldChar w:fldCharType="separate"/>
          </w:r>
          <w:r w:rsidRPr="00E66A94">
            <w:rPr>
              <w:rFonts w:cstheme="minorHAnsi"/>
              <w:noProof/>
              <w:color w:val="000000" w:themeColor="text1"/>
              <w:sz w:val="22"/>
              <w:szCs w:val="22"/>
            </w:rPr>
            <w:t>(Montessori St Nicholas, 2019)</w:t>
          </w:r>
          <w:r w:rsidRPr="00E66A94">
            <w:rPr>
              <w:rFonts w:cstheme="minorHAnsi"/>
              <w:color w:val="000000" w:themeColor="text1"/>
              <w:sz w:val="22"/>
              <w:szCs w:val="22"/>
            </w:rPr>
            <w:fldChar w:fldCharType="end"/>
          </w:r>
        </w:sdtContent>
      </w:sdt>
      <w:r w:rsidRPr="00E66A94">
        <w:rPr>
          <w:rFonts w:cstheme="minorHAnsi"/>
          <w:color w:val="000000" w:themeColor="text1"/>
          <w:sz w:val="22"/>
          <w:szCs w:val="22"/>
        </w:rPr>
        <w:t xml:space="preserve">. This ‘small-scaled furniture’ is the typical practice of Montessori schools </w:t>
      </w:r>
      <w:sdt>
        <w:sdtPr>
          <w:rPr>
            <w:rFonts w:cstheme="minorHAnsi"/>
            <w:color w:val="000000" w:themeColor="text1"/>
            <w:sz w:val="22"/>
            <w:szCs w:val="22"/>
          </w:rPr>
          <w:id w:val="1622643047"/>
          <w:citation/>
        </w:sdtPr>
        <w:sdtContent>
          <w:r w:rsidRPr="00E66A94">
            <w:rPr>
              <w:rFonts w:cstheme="minorHAnsi"/>
              <w:color w:val="000000" w:themeColor="text1"/>
              <w:sz w:val="22"/>
              <w:szCs w:val="22"/>
            </w:rPr>
            <w:fldChar w:fldCharType="begin"/>
          </w:r>
          <w:r w:rsidRPr="00E66A94">
            <w:rPr>
              <w:rFonts w:cstheme="minorHAnsi"/>
              <w:color w:val="000000" w:themeColor="text1"/>
              <w:sz w:val="22"/>
              <w:szCs w:val="22"/>
            </w:rPr>
            <w:instrText xml:space="preserve">CITATION Pou142 \p 41 \l 2057 </w:instrText>
          </w:r>
          <w:r w:rsidRPr="00E66A94">
            <w:rPr>
              <w:rFonts w:cstheme="minorHAnsi"/>
              <w:color w:val="000000" w:themeColor="text1"/>
              <w:sz w:val="22"/>
              <w:szCs w:val="22"/>
            </w:rPr>
            <w:fldChar w:fldCharType="separate"/>
          </w:r>
          <w:r w:rsidRPr="00E66A94">
            <w:rPr>
              <w:rFonts w:cstheme="minorHAnsi"/>
              <w:noProof/>
              <w:color w:val="000000" w:themeColor="text1"/>
              <w:sz w:val="22"/>
              <w:szCs w:val="22"/>
            </w:rPr>
            <w:t>(Pound, 2014, p. 41)</w:t>
          </w:r>
          <w:r w:rsidRPr="00E66A94">
            <w:rPr>
              <w:rFonts w:cstheme="minorHAnsi"/>
              <w:color w:val="000000" w:themeColor="text1"/>
              <w:sz w:val="22"/>
              <w:szCs w:val="22"/>
            </w:rPr>
            <w:fldChar w:fldCharType="end"/>
          </w:r>
        </w:sdtContent>
      </w:sdt>
      <w:r w:rsidRPr="00E66A94">
        <w:rPr>
          <w:rFonts w:cstheme="minorHAnsi"/>
          <w:color w:val="000000" w:themeColor="text1"/>
          <w:sz w:val="22"/>
          <w:szCs w:val="22"/>
        </w:rPr>
        <w:t xml:space="preserve">. </w:t>
      </w:r>
      <w:r>
        <w:rPr>
          <w:rFonts w:cstheme="minorHAnsi"/>
          <w:color w:val="000000" w:themeColor="text1"/>
          <w:sz w:val="22"/>
          <w:szCs w:val="22"/>
        </w:rPr>
        <w:lastRenderedPageBreak/>
        <w:t>O</w:t>
      </w:r>
      <w:r w:rsidRPr="00E66A94">
        <w:rPr>
          <w:rFonts w:cstheme="minorHAnsi"/>
          <w:color w:val="000000" w:themeColor="text1"/>
          <w:sz w:val="22"/>
          <w:szCs w:val="22"/>
        </w:rPr>
        <w:t xml:space="preserve">n Professional Teaching Practice (PTE), I experienced being in a </w:t>
      </w:r>
      <w:r>
        <w:rPr>
          <w:rFonts w:cstheme="minorHAnsi"/>
          <w:color w:val="000000" w:themeColor="text1"/>
          <w:sz w:val="22"/>
          <w:szCs w:val="22"/>
        </w:rPr>
        <w:t>year one class</w:t>
      </w:r>
      <w:r w:rsidRPr="00E66A94">
        <w:rPr>
          <w:rFonts w:cstheme="minorHAnsi"/>
          <w:color w:val="000000" w:themeColor="text1"/>
          <w:sz w:val="22"/>
          <w:szCs w:val="22"/>
        </w:rPr>
        <w:t xml:space="preserve"> where all the chairs and tables were to fit a child so when an adult were to use the furniture, they did not fit. It was also where I experienced children being able to be independent as they were able to access stationary because of the equipment being on low level shelves.</w:t>
      </w:r>
    </w:p>
    <w:p w14:paraId="453E3C7F" w14:textId="77777777" w:rsidR="00DE6A0D" w:rsidRDefault="00DE6A0D" w:rsidP="001504FB">
      <w:pPr>
        <w:spacing w:line="360" w:lineRule="auto"/>
        <w:rPr>
          <w:rFonts w:cstheme="minorHAnsi"/>
          <w:color w:val="000000" w:themeColor="text1"/>
          <w:sz w:val="22"/>
          <w:szCs w:val="22"/>
        </w:rPr>
      </w:pPr>
    </w:p>
    <w:p w14:paraId="01834B88" w14:textId="77777777" w:rsidR="0094502B" w:rsidRPr="00E66A94" w:rsidRDefault="0094502B" w:rsidP="0094502B">
      <w:pPr>
        <w:spacing w:line="360" w:lineRule="auto"/>
        <w:rPr>
          <w:rFonts w:cstheme="minorHAnsi"/>
          <w:color w:val="000000" w:themeColor="text1"/>
          <w:sz w:val="22"/>
          <w:szCs w:val="22"/>
        </w:rPr>
      </w:pPr>
      <w:r w:rsidRPr="00E66A94">
        <w:rPr>
          <w:rFonts w:cstheme="minorHAnsi"/>
          <w:color w:val="000000" w:themeColor="text1"/>
          <w:sz w:val="22"/>
          <w:szCs w:val="22"/>
        </w:rPr>
        <w:t>Another theorist that talks about learning environments is John Dewey. Dewey considers that children learn better in</w:t>
      </w:r>
      <w:r>
        <w:rPr>
          <w:rFonts w:cstheme="minorHAnsi"/>
          <w:color w:val="000000" w:themeColor="text1"/>
          <w:sz w:val="22"/>
          <w:szCs w:val="22"/>
        </w:rPr>
        <w:t xml:space="preserve"> suitable</w:t>
      </w:r>
      <w:r w:rsidRPr="00E66A94">
        <w:rPr>
          <w:rFonts w:cstheme="minorHAnsi"/>
          <w:color w:val="000000" w:themeColor="text1"/>
          <w:sz w:val="22"/>
          <w:szCs w:val="22"/>
        </w:rPr>
        <w:t xml:space="preserve"> environment where knowledge is developed </w:t>
      </w:r>
      <w:sdt>
        <w:sdtPr>
          <w:rPr>
            <w:rFonts w:cstheme="minorHAnsi"/>
            <w:color w:val="000000" w:themeColor="text1"/>
            <w:sz w:val="22"/>
            <w:szCs w:val="22"/>
          </w:rPr>
          <w:id w:val="-1954163477"/>
          <w:citation/>
        </w:sdtPr>
        <w:sdtContent>
          <w:r w:rsidRPr="00E66A94">
            <w:rPr>
              <w:rFonts w:cstheme="minorHAnsi"/>
              <w:color w:val="000000" w:themeColor="text1"/>
              <w:sz w:val="22"/>
              <w:szCs w:val="22"/>
            </w:rPr>
            <w:fldChar w:fldCharType="begin"/>
          </w:r>
          <w:r w:rsidRPr="00E66A94">
            <w:rPr>
              <w:rFonts w:cstheme="minorHAnsi"/>
              <w:color w:val="000000" w:themeColor="text1"/>
              <w:sz w:val="22"/>
              <w:szCs w:val="22"/>
            </w:rPr>
            <w:instrText xml:space="preserve">CITATION Pou142 \p 27 \l 2057 </w:instrText>
          </w:r>
          <w:r w:rsidRPr="00E66A94">
            <w:rPr>
              <w:rFonts w:cstheme="minorHAnsi"/>
              <w:color w:val="000000" w:themeColor="text1"/>
              <w:sz w:val="22"/>
              <w:szCs w:val="22"/>
            </w:rPr>
            <w:fldChar w:fldCharType="separate"/>
          </w:r>
          <w:r w:rsidRPr="00E66A94">
            <w:rPr>
              <w:rFonts w:cstheme="minorHAnsi"/>
              <w:noProof/>
              <w:color w:val="000000" w:themeColor="text1"/>
              <w:sz w:val="22"/>
              <w:szCs w:val="22"/>
            </w:rPr>
            <w:t>(Pound, 2014, p. 27)</w:t>
          </w:r>
          <w:r w:rsidRPr="00E66A94">
            <w:rPr>
              <w:rFonts w:cstheme="minorHAnsi"/>
              <w:color w:val="000000" w:themeColor="text1"/>
              <w:sz w:val="22"/>
              <w:szCs w:val="22"/>
            </w:rPr>
            <w:fldChar w:fldCharType="end"/>
          </w:r>
        </w:sdtContent>
      </w:sdt>
      <w:r w:rsidRPr="00E66A94">
        <w:rPr>
          <w:rFonts w:cstheme="minorHAnsi"/>
          <w:color w:val="000000" w:themeColor="text1"/>
          <w:sz w:val="22"/>
          <w:szCs w:val="22"/>
        </w:rPr>
        <w:t xml:space="preserve">.  Learning environments can be within the school such as the classroom or school yard or outside the school such as a beach or forest. The theory that Dewey formed included that children’s education should be ‘based on real-life situations’ </w:t>
      </w:r>
      <w:sdt>
        <w:sdtPr>
          <w:rPr>
            <w:rFonts w:cstheme="minorHAnsi"/>
            <w:color w:val="000000" w:themeColor="text1"/>
            <w:sz w:val="22"/>
            <w:szCs w:val="22"/>
          </w:rPr>
          <w:id w:val="-550076505"/>
          <w:citation/>
        </w:sdtPr>
        <w:sdtContent>
          <w:r w:rsidRPr="00E66A94">
            <w:rPr>
              <w:rFonts w:cstheme="minorHAnsi"/>
              <w:color w:val="000000" w:themeColor="text1"/>
              <w:sz w:val="22"/>
              <w:szCs w:val="22"/>
            </w:rPr>
            <w:fldChar w:fldCharType="begin"/>
          </w:r>
          <w:r w:rsidRPr="00E66A94">
            <w:rPr>
              <w:rFonts w:cstheme="minorHAnsi"/>
              <w:color w:val="000000" w:themeColor="text1"/>
              <w:sz w:val="22"/>
              <w:szCs w:val="22"/>
            </w:rPr>
            <w:instrText xml:space="preserve">CITATION Pou142 \p 27 \l 2057 </w:instrText>
          </w:r>
          <w:r w:rsidRPr="00E66A94">
            <w:rPr>
              <w:rFonts w:cstheme="minorHAnsi"/>
              <w:color w:val="000000" w:themeColor="text1"/>
              <w:sz w:val="22"/>
              <w:szCs w:val="22"/>
            </w:rPr>
            <w:fldChar w:fldCharType="separate"/>
          </w:r>
          <w:r w:rsidRPr="00E66A94">
            <w:rPr>
              <w:rFonts w:cstheme="minorHAnsi"/>
              <w:noProof/>
              <w:color w:val="000000" w:themeColor="text1"/>
              <w:sz w:val="22"/>
              <w:szCs w:val="22"/>
            </w:rPr>
            <w:t>(Pound, 2014, p. 27)</w:t>
          </w:r>
          <w:r w:rsidRPr="00E66A94">
            <w:rPr>
              <w:rFonts w:cstheme="minorHAnsi"/>
              <w:color w:val="000000" w:themeColor="text1"/>
              <w:sz w:val="22"/>
              <w:szCs w:val="22"/>
            </w:rPr>
            <w:fldChar w:fldCharType="end"/>
          </w:r>
        </w:sdtContent>
      </w:sdt>
      <w:r w:rsidRPr="00E66A94">
        <w:rPr>
          <w:rFonts w:cstheme="minorHAnsi"/>
          <w:color w:val="000000" w:themeColor="text1"/>
          <w:sz w:val="22"/>
          <w:szCs w:val="22"/>
        </w:rPr>
        <w:t xml:space="preserve">. Without the children having concrete experiences in environments outside the classroom, children will not learn how to behave in certain environments and learn the risks of these environments such as the beach where there can be a huge number of risks and dangers. The explanation that is behind children learning from experiences of different learning environments such as taking children out of the classroom to a different setting to learn is that children are more likely to remember these learning experiences. Dewey acknowledges that children are more likely to remember experiences that the children have been able to make ‘qualitative unity of meanings and values’ than a routine lesson in the classroom </w:t>
      </w:r>
      <w:sdt>
        <w:sdtPr>
          <w:rPr>
            <w:rFonts w:cstheme="minorHAnsi"/>
            <w:color w:val="000000" w:themeColor="text1"/>
            <w:sz w:val="22"/>
            <w:szCs w:val="22"/>
          </w:rPr>
          <w:id w:val="1171444319"/>
          <w:citation/>
        </w:sdtPr>
        <w:sdtContent>
          <w:r w:rsidRPr="00E66A94">
            <w:rPr>
              <w:rFonts w:cstheme="minorHAnsi"/>
              <w:color w:val="000000" w:themeColor="text1"/>
              <w:sz w:val="22"/>
              <w:szCs w:val="22"/>
            </w:rPr>
            <w:fldChar w:fldCharType="begin"/>
          </w:r>
          <w:r w:rsidRPr="00E66A94">
            <w:rPr>
              <w:rFonts w:cstheme="minorHAnsi"/>
              <w:color w:val="000000" w:themeColor="text1"/>
              <w:sz w:val="22"/>
              <w:szCs w:val="22"/>
            </w:rPr>
            <w:instrText xml:space="preserve"> CITATION Fie02 \l 2057 </w:instrText>
          </w:r>
          <w:r w:rsidRPr="00E66A94">
            <w:rPr>
              <w:rFonts w:cstheme="minorHAnsi"/>
              <w:color w:val="000000" w:themeColor="text1"/>
              <w:sz w:val="22"/>
              <w:szCs w:val="22"/>
            </w:rPr>
            <w:fldChar w:fldCharType="separate"/>
          </w:r>
          <w:r w:rsidRPr="00E66A94">
            <w:rPr>
              <w:rFonts w:cstheme="minorHAnsi"/>
              <w:noProof/>
              <w:color w:val="000000" w:themeColor="text1"/>
              <w:sz w:val="22"/>
              <w:szCs w:val="22"/>
            </w:rPr>
            <w:t>(Field, 2002)</w:t>
          </w:r>
          <w:r w:rsidRPr="00E66A94">
            <w:rPr>
              <w:rFonts w:cstheme="minorHAnsi"/>
              <w:color w:val="000000" w:themeColor="text1"/>
              <w:sz w:val="22"/>
              <w:szCs w:val="22"/>
            </w:rPr>
            <w:fldChar w:fldCharType="end"/>
          </w:r>
        </w:sdtContent>
      </w:sdt>
      <w:r w:rsidRPr="00E66A94">
        <w:rPr>
          <w:rFonts w:cstheme="minorHAnsi"/>
          <w:color w:val="000000" w:themeColor="text1"/>
          <w:sz w:val="22"/>
          <w:szCs w:val="22"/>
        </w:rPr>
        <w:t>.</w:t>
      </w:r>
    </w:p>
    <w:p w14:paraId="1D0D53B8" w14:textId="77777777" w:rsidR="00C30C4E" w:rsidRPr="00E66A94" w:rsidRDefault="00C30C4E" w:rsidP="001504FB">
      <w:pPr>
        <w:spacing w:line="360" w:lineRule="auto"/>
        <w:rPr>
          <w:rFonts w:cstheme="minorHAnsi"/>
          <w:sz w:val="22"/>
          <w:szCs w:val="22"/>
        </w:rPr>
      </w:pPr>
    </w:p>
    <w:p w14:paraId="74C5FFCA" w14:textId="39D39475" w:rsidR="00A62F90" w:rsidRPr="00E66A94" w:rsidRDefault="00A62F90" w:rsidP="00A62F90">
      <w:pPr>
        <w:spacing w:line="360" w:lineRule="auto"/>
        <w:rPr>
          <w:rFonts w:cstheme="minorHAnsi"/>
          <w:sz w:val="22"/>
          <w:szCs w:val="22"/>
        </w:rPr>
      </w:pPr>
      <w:r w:rsidRPr="00E66A94">
        <w:rPr>
          <w:rFonts w:cstheme="minorHAnsi"/>
          <w:sz w:val="22"/>
          <w:szCs w:val="22"/>
        </w:rPr>
        <w:t>The class that I will be taking on this education</w:t>
      </w:r>
      <w:r>
        <w:rPr>
          <w:rFonts w:cstheme="minorHAnsi"/>
          <w:sz w:val="22"/>
          <w:szCs w:val="22"/>
        </w:rPr>
        <w:t>al</w:t>
      </w:r>
      <w:r w:rsidRPr="00E66A94">
        <w:rPr>
          <w:rFonts w:cstheme="minorHAnsi"/>
          <w:sz w:val="22"/>
          <w:szCs w:val="22"/>
        </w:rPr>
        <w:t xml:space="preserve"> visit to Caswell </w:t>
      </w:r>
      <w:r w:rsidR="0082683A">
        <w:rPr>
          <w:rFonts w:cstheme="minorHAnsi"/>
          <w:sz w:val="22"/>
          <w:szCs w:val="22"/>
        </w:rPr>
        <w:t>Bay</w:t>
      </w:r>
      <w:r w:rsidRPr="00E66A94">
        <w:rPr>
          <w:rFonts w:cstheme="minorHAnsi"/>
          <w:sz w:val="22"/>
          <w:szCs w:val="22"/>
        </w:rPr>
        <w:t xml:space="preserve"> is a year two class</w:t>
      </w:r>
      <w:r>
        <w:rPr>
          <w:rFonts w:cstheme="minorHAnsi"/>
          <w:sz w:val="22"/>
          <w:szCs w:val="22"/>
        </w:rPr>
        <w:t xml:space="preserve"> from </w:t>
      </w:r>
      <w:r w:rsidRPr="00E66A94">
        <w:rPr>
          <w:rFonts w:cstheme="minorHAnsi"/>
          <w:sz w:val="22"/>
          <w:szCs w:val="22"/>
        </w:rPr>
        <w:t>Seaside Primary School in Swansea, Wales</w:t>
      </w:r>
      <w:r>
        <w:rPr>
          <w:rFonts w:cstheme="minorHAnsi"/>
          <w:sz w:val="22"/>
          <w:szCs w:val="22"/>
        </w:rPr>
        <w:t xml:space="preserve"> with</w:t>
      </w:r>
      <w:r w:rsidRPr="00E66A94">
        <w:rPr>
          <w:rFonts w:cstheme="minorHAnsi"/>
          <w:sz w:val="22"/>
          <w:szCs w:val="22"/>
        </w:rPr>
        <w:t xml:space="preserve"> thirty children, two of which are additional learning needs (ALN) children. One child is in a wheelchair and the other child has ASD (autism spectrum disorder). There is a ramp for the child in a wheelchair onto the beach</w:t>
      </w:r>
      <w:r w:rsidR="00F4579F">
        <w:rPr>
          <w:rFonts w:cstheme="minorHAnsi"/>
          <w:sz w:val="22"/>
          <w:szCs w:val="22"/>
        </w:rPr>
        <w:t xml:space="preserve"> (see appendix </w:t>
      </w:r>
      <w:r w:rsidR="005D2541">
        <w:rPr>
          <w:rFonts w:cstheme="minorHAnsi"/>
          <w:sz w:val="22"/>
          <w:szCs w:val="22"/>
        </w:rPr>
        <w:t>F)</w:t>
      </w:r>
      <w:r w:rsidRPr="00E66A94">
        <w:rPr>
          <w:rFonts w:cstheme="minorHAnsi"/>
          <w:sz w:val="22"/>
          <w:szCs w:val="22"/>
        </w:rPr>
        <w:t xml:space="preserve">, but this child </w:t>
      </w:r>
      <w:r>
        <w:rPr>
          <w:rFonts w:cstheme="minorHAnsi"/>
          <w:sz w:val="22"/>
          <w:szCs w:val="22"/>
        </w:rPr>
        <w:t xml:space="preserve">also </w:t>
      </w:r>
      <w:r w:rsidRPr="00E66A94">
        <w:rPr>
          <w:rFonts w:cstheme="minorHAnsi"/>
          <w:sz w:val="22"/>
          <w:szCs w:val="22"/>
        </w:rPr>
        <w:t>has a terrain wheelchair to be use throughout the visit. All ALN children will have one to one support with a teaching assistant (TA).</w:t>
      </w:r>
    </w:p>
    <w:p w14:paraId="3E007F9D" w14:textId="77777777" w:rsidR="000F0977" w:rsidRPr="00E66A94" w:rsidRDefault="000F0977" w:rsidP="001504FB">
      <w:pPr>
        <w:spacing w:line="360" w:lineRule="auto"/>
        <w:rPr>
          <w:rFonts w:cstheme="minorHAnsi"/>
          <w:sz w:val="22"/>
          <w:szCs w:val="22"/>
        </w:rPr>
      </w:pPr>
    </w:p>
    <w:p w14:paraId="34AB384B" w14:textId="77777777" w:rsidR="00ED69E7" w:rsidRPr="00E66A94" w:rsidRDefault="00ED69E7" w:rsidP="00ED69E7">
      <w:pPr>
        <w:spacing w:line="360" w:lineRule="auto"/>
        <w:rPr>
          <w:rFonts w:cstheme="minorHAnsi"/>
          <w:color w:val="000000" w:themeColor="text1"/>
          <w:sz w:val="22"/>
          <w:szCs w:val="22"/>
        </w:rPr>
      </w:pPr>
      <w:r w:rsidRPr="00E66A94">
        <w:rPr>
          <w:rFonts w:cstheme="minorHAnsi"/>
          <w:color w:val="000000" w:themeColor="text1"/>
          <w:sz w:val="22"/>
          <w:szCs w:val="22"/>
        </w:rPr>
        <w:t xml:space="preserve">The theme for the first half of the summer term for this year one class is ‘school and the local community’. The reason that I have used this topic to incorporate an education visit in is because the locality of Swansea also includes the Gower. The Gower is very well known for the beaches, forests and other natural environments. School is being used on this educational trip as in the previous lesson they have been learning about school games that used in the Victorian times and have now moved onto school games in this day and age. To move the learning on and to make this topic more cross-curricular, I decided to introduce another subject: science. I have done this by teaching the children about playing childhood games on different surfaces in different environments and then </w:t>
      </w:r>
      <w:r w:rsidRPr="00E66A94">
        <w:rPr>
          <w:rFonts w:cstheme="minorHAnsi"/>
          <w:color w:val="000000" w:themeColor="text1"/>
          <w:sz w:val="22"/>
          <w:szCs w:val="22"/>
        </w:rPr>
        <w:lastRenderedPageBreak/>
        <w:t xml:space="preserve">having an extensive plenary to explain to the children that they have conducted a simple scientific experiment. Teaching cross-curricular lessons is when ‘knowledge, skills and understanding from various subject areas together’ is gained </w:t>
      </w:r>
      <w:sdt>
        <w:sdtPr>
          <w:rPr>
            <w:rFonts w:cstheme="minorHAnsi"/>
            <w:color w:val="000000" w:themeColor="text1"/>
            <w:sz w:val="22"/>
            <w:szCs w:val="22"/>
          </w:rPr>
          <w:id w:val="-946841468"/>
          <w:citation/>
        </w:sdtPr>
        <w:sdtContent>
          <w:r w:rsidRPr="00E66A94">
            <w:rPr>
              <w:rFonts w:cstheme="minorHAnsi"/>
              <w:color w:val="000000" w:themeColor="text1"/>
              <w:sz w:val="22"/>
              <w:szCs w:val="22"/>
            </w:rPr>
            <w:fldChar w:fldCharType="begin"/>
          </w:r>
          <w:r w:rsidRPr="00E66A94">
            <w:rPr>
              <w:rFonts w:cstheme="minorHAnsi"/>
              <w:color w:val="000000" w:themeColor="text1"/>
              <w:sz w:val="22"/>
              <w:szCs w:val="22"/>
            </w:rPr>
            <w:instrText xml:space="preserve"> CITATION Sav10 \l 2057 </w:instrText>
          </w:r>
          <w:r w:rsidRPr="00E66A94">
            <w:rPr>
              <w:rFonts w:cstheme="minorHAnsi"/>
              <w:color w:val="000000" w:themeColor="text1"/>
              <w:sz w:val="22"/>
              <w:szCs w:val="22"/>
            </w:rPr>
            <w:fldChar w:fldCharType="separate"/>
          </w:r>
          <w:r w:rsidRPr="00E66A94">
            <w:rPr>
              <w:rFonts w:cstheme="minorHAnsi"/>
              <w:noProof/>
              <w:color w:val="000000" w:themeColor="text1"/>
              <w:sz w:val="22"/>
              <w:szCs w:val="22"/>
            </w:rPr>
            <w:t>(Savage, 2010)</w:t>
          </w:r>
          <w:r w:rsidRPr="00E66A94">
            <w:rPr>
              <w:rFonts w:cstheme="minorHAnsi"/>
              <w:color w:val="000000" w:themeColor="text1"/>
              <w:sz w:val="22"/>
              <w:szCs w:val="22"/>
            </w:rPr>
            <w:fldChar w:fldCharType="end"/>
          </w:r>
        </w:sdtContent>
      </w:sdt>
      <w:r w:rsidRPr="00E66A94">
        <w:rPr>
          <w:rFonts w:cstheme="minorHAnsi"/>
          <w:color w:val="000000" w:themeColor="text1"/>
          <w:sz w:val="22"/>
          <w:szCs w:val="22"/>
        </w:rPr>
        <w:t xml:space="preserve">. Themes are often where ‘opportunities for the overlap of ideas in a school settings’ are provoked </w:t>
      </w:r>
      <w:sdt>
        <w:sdtPr>
          <w:rPr>
            <w:rFonts w:cstheme="minorHAnsi"/>
            <w:color w:val="000000" w:themeColor="text1"/>
            <w:sz w:val="22"/>
            <w:szCs w:val="22"/>
          </w:rPr>
          <w:id w:val="-1471750586"/>
          <w:citation/>
        </w:sdtPr>
        <w:sdtContent>
          <w:r w:rsidRPr="00E66A94">
            <w:rPr>
              <w:rFonts w:cstheme="minorHAnsi"/>
              <w:color w:val="000000" w:themeColor="text1"/>
              <w:sz w:val="22"/>
              <w:szCs w:val="22"/>
            </w:rPr>
            <w:fldChar w:fldCharType="begin"/>
          </w:r>
          <w:r w:rsidRPr="00E66A94">
            <w:rPr>
              <w:rFonts w:cstheme="minorHAnsi"/>
              <w:color w:val="000000" w:themeColor="text1"/>
              <w:sz w:val="22"/>
              <w:szCs w:val="22"/>
            </w:rPr>
            <w:instrText xml:space="preserve">CITATION Bar11 \p 274 \l 2057 </w:instrText>
          </w:r>
          <w:r w:rsidRPr="00E66A94">
            <w:rPr>
              <w:rFonts w:cstheme="minorHAnsi"/>
              <w:color w:val="000000" w:themeColor="text1"/>
              <w:sz w:val="22"/>
              <w:szCs w:val="22"/>
            </w:rPr>
            <w:fldChar w:fldCharType="separate"/>
          </w:r>
          <w:r w:rsidRPr="00E66A94">
            <w:rPr>
              <w:rFonts w:cstheme="minorHAnsi"/>
              <w:noProof/>
              <w:color w:val="000000" w:themeColor="text1"/>
              <w:sz w:val="22"/>
              <w:szCs w:val="22"/>
            </w:rPr>
            <w:t>(Barnes, 2011, p. 274)</w:t>
          </w:r>
          <w:r w:rsidRPr="00E66A94">
            <w:rPr>
              <w:rFonts w:cstheme="minorHAnsi"/>
              <w:color w:val="000000" w:themeColor="text1"/>
              <w:sz w:val="22"/>
              <w:szCs w:val="22"/>
            </w:rPr>
            <w:fldChar w:fldCharType="end"/>
          </w:r>
        </w:sdtContent>
      </w:sdt>
      <w:r w:rsidRPr="00E66A94">
        <w:rPr>
          <w:rFonts w:cstheme="minorHAnsi"/>
          <w:color w:val="000000" w:themeColor="text1"/>
          <w:sz w:val="22"/>
          <w:szCs w:val="22"/>
        </w:rPr>
        <w:t>. This gives the best opportunities for learning.</w:t>
      </w:r>
    </w:p>
    <w:p w14:paraId="11BC8AEC" w14:textId="70B9932C" w:rsidR="000F0977" w:rsidRPr="00E66A94" w:rsidRDefault="000F0977" w:rsidP="001504FB">
      <w:pPr>
        <w:spacing w:line="360" w:lineRule="auto"/>
        <w:rPr>
          <w:rFonts w:cstheme="minorHAnsi"/>
          <w:color w:val="000000" w:themeColor="text1"/>
          <w:sz w:val="22"/>
          <w:szCs w:val="22"/>
        </w:rPr>
      </w:pPr>
    </w:p>
    <w:p w14:paraId="307B9E67" w14:textId="2B705A7A" w:rsidR="00DA3816" w:rsidRPr="00825A85" w:rsidRDefault="00DA3816" w:rsidP="00DA3816">
      <w:pPr>
        <w:spacing w:line="360" w:lineRule="auto"/>
        <w:rPr>
          <w:rFonts w:cstheme="minorHAnsi"/>
          <w:color w:val="000000" w:themeColor="text1"/>
          <w:sz w:val="22"/>
          <w:szCs w:val="22"/>
        </w:rPr>
      </w:pPr>
      <w:r w:rsidRPr="00825A85">
        <w:rPr>
          <w:rFonts w:cstheme="minorHAnsi"/>
          <w:color w:val="000000" w:themeColor="text1"/>
          <w:sz w:val="22"/>
          <w:szCs w:val="22"/>
        </w:rPr>
        <w:t xml:space="preserve">The choice of a beach was chosen because it is a good example of how children can learn about moving on different surfaces and how this may affect how they do things but it </w:t>
      </w:r>
      <w:r>
        <w:rPr>
          <w:rFonts w:cstheme="minorHAnsi"/>
          <w:color w:val="000000" w:themeColor="text1"/>
          <w:sz w:val="22"/>
          <w:szCs w:val="22"/>
        </w:rPr>
        <w:t xml:space="preserve">can also teach children about being in different places where they would possibly go with families and for those who would not go to a beach with their family, it gives them the opportunity to have this experience. Caswell </w:t>
      </w:r>
      <w:r w:rsidR="0082683A">
        <w:rPr>
          <w:rFonts w:cstheme="minorHAnsi"/>
          <w:color w:val="000000" w:themeColor="text1"/>
          <w:sz w:val="22"/>
          <w:szCs w:val="22"/>
        </w:rPr>
        <w:t>Bay</w:t>
      </w:r>
      <w:r>
        <w:rPr>
          <w:rFonts w:cstheme="minorHAnsi"/>
          <w:color w:val="000000" w:themeColor="text1"/>
          <w:sz w:val="22"/>
          <w:szCs w:val="22"/>
        </w:rPr>
        <w:t xml:space="preserve"> was chosen in particular because of the facilities it has. As it is a popular place for the public to go surfing, do water sports and spend a day on the beach with picnics and family, it has facilities such as a café, public toilets, outside seating and coastguards and lifeguards’ stations. These facilities make it easier to take children on a visit here as all adults will be comforted by the fact there are other professionals such as lifeguards and coastguards there on a daily basis and help out with schools on visits. It is also a favourable place due to the toilets being readily available to the general public which has disabled toilets for the child in my class with a wheelchair. </w:t>
      </w:r>
    </w:p>
    <w:p w14:paraId="1178B448" w14:textId="77777777" w:rsidR="00DA3816" w:rsidRDefault="00DA3816" w:rsidP="00DA3816">
      <w:pPr>
        <w:spacing w:line="360" w:lineRule="auto"/>
        <w:rPr>
          <w:rFonts w:cstheme="minorHAnsi"/>
          <w:color w:val="000000" w:themeColor="text1"/>
          <w:sz w:val="22"/>
          <w:szCs w:val="22"/>
        </w:rPr>
      </w:pPr>
    </w:p>
    <w:p w14:paraId="5EA8DFFB" w14:textId="77777777" w:rsidR="00DA3816" w:rsidRDefault="00DA3816" w:rsidP="00DA3816">
      <w:pPr>
        <w:spacing w:line="360" w:lineRule="auto"/>
        <w:rPr>
          <w:rFonts w:cstheme="minorHAnsi"/>
          <w:color w:val="000000" w:themeColor="text1"/>
          <w:sz w:val="22"/>
          <w:szCs w:val="22"/>
        </w:rPr>
      </w:pPr>
      <w:r>
        <w:rPr>
          <w:rFonts w:cstheme="minorHAnsi"/>
          <w:color w:val="000000" w:themeColor="text1"/>
          <w:sz w:val="22"/>
          <w:szCs w:val="22"/>
        </w:rPr>
        <w:t>The venue will help support children’s learning as their physical skills can be developed by having to adapt what they already know about walking and moving along hard floors to a soft surface where the sand will move underneath their feet or wheelchair. Even though I believe this will be effective for the children without the use of a wheelchair, I also believe it would be a challenge for the child in a wheelchair too and how they can adapt their ways of moving. The child in a wheelchair will be able to develop their skills in moving their terrain wheelchair along a different surface and also build on the muscles in their arms to move the chair so again developing this child physically and mentally.</w:t>
      </w:r>
    </w:p>
    <w:p w14:paraId="0FA5985F" w14:textId="77777777" w:rsidR="00DA3816" w:rsidRDefault="00DA3816" w:rsidP="00DA3816">
      <w:pPr>
        <w:spacing w:line="360" w:lineRule="auto"/>
        <w:rPr>
          <w:rFonts w:cstheme="minorHAnsi"/>
          <w:color w:val="000000" w:themeColor="text1"/>
          <w:sz w:val="22"/>
          <w:szCs w:val="22"/>
        </w:rPr>
      </w:pPr>
    </w:p>
    <w:p w14:paraId="5ED33579" w14:textId="77777777" w:rsidR="00DA3816" w:rsidRPr="00BE25EC" w:rsidRDefault="00DA3816" w:rsidP="00DA3816">
      <w:pPr>
        <w:spacing w:line="360" w:lineRule="auto"/>
        <w:rPr>
          <w:rFonts w:cstheme="minorHAnsi"/>
          <w:color w:val="000000" w:themeColor="text1"/>
          <w:sz w:val="22"/>
          <w:szCs w:val="22"/>
        </w:rPr>
      </w:pPr>
      <w:r>
        <w:rPr>
          <w:rFonts w:cstheme="minorHAnsi"/>
          <w:color w:val="000000" w:themeColor="text1"/>
          <w:sz w:val="22"/>
          <w:szCs w:val="22"/>
        </w:rPr>
        <w:t xml:space="preserve">The beach is a resource, to both the teacher and the child. Effective recourses is fundamental for effective learning  so that children are able to go outside and ‘develop a bank of flexible resources’ to support their own learning </w:t>
      </w:r>
      <w:sdt>
        <w:sdtPr>
          <w:rPr>
            <w:rFonts w:cstheme="minorHAnsi"/>
            <w:color w:val="000000" w:themeColor="text1"/>
            <w:sz w:val="22"/>
            <w:szCs w:val="22"/>
          </w:rPr>
          <w:id w:val="258109966"/>
          <w:citation/>
        </w:sdtPr>
        <w:sdtContent>
          <w:r>
            <w:rPr>
              <w:rFonts w:cstheme="minorHAnsi"/>
              <w:color w:val="000000" w:themeColor="text1"/>
              <w:sz w:val="22"/>
              <w:szCs w:val="22"/>
            </w:rPr>
            <w:fldChar w:fldCharType="begin"/>
          </w:r>
          <w:r>
            <w:rPr>
              <w:rFonts w:cstheme="minorHAnsi"/>
              <w:color w:val="000000" w:themeColor="text1"/>
              <w:sz w:val="22"/>
              <w:szCs w:val="22"/>
            </w:rPr>
            <w:instrText xml:space="preserve">CITATION DCE09 \p 7 \l 2057 </w:instrText>
          </w:r>
          <w:r>
            <w:rPr>
              <w:rFonts w:cstheme="minorHAnsi"/>
              <w:color w:val="000000" w:themeColor="text1"/>
              <w:sz w:val="22"/>
              <w:szCs w:val="22"/>
            </w:rPr>
            <w:fldChar w:fldCharType="separate"/>
          </w:r>
          <w:r w:rsidRPr="00BE493B">
            <w:rPr>
              <w:rFonts w:cstheme="minorHAnsi"/>
              <w:noProof/>
              <w:color w:val="000000" w:themeColor="text1"/>
              <w:sz w:val="22"/>
              <w:szCs w:val="22"/>
            </w:rPr>
            <w:t>(DCELLS, 2009, p. 7)</w:t>
          </w:r>
          <w:r>
            <w:rPr>
              <w:rFonts w:cstheme="minorHAnsi"/>
              <w:color w:val="000000" w:themeColor="text1"/>
              <w:sz w:val="22"/>
              <w:szCs w:val="22"/>
            </w:rPr>
            <w:fldChar w:fldCharType="end"/>
          </w:r>
        </w:sdtContent>
      </w:sdt>
      <w:r>
        <w:rPr>
          <w:rFonts w:cstheme="minorHAnsi"/>
          <w:color w:val="000000" w:themeColor="text1"/>
          <w:sz w:val="22"/>
          <w:szCs w:val="22"/>
        </w:rPr>
        <w:t xml:space="preserve">. The purpose of using the natural outdoor as a resource is so that learning is supported in an outside environment to ‘provide high quality experiences’ for children </w:t>
      </w:r>
      <w:sdt>
        <w:sdtPr>
          <w:rPr>
            <w:rFonts w:cstheme="minorHAnsi"/>
            <w:color w:val="000000" w:themeColor="text1"/>
            <w:sz w:val="22"/>
            <w:szCs w:val="22"/>
          </w:rPr>
          <w:id w:val="-1940051021"/>
          <w:citation/>
        </w:sdtPr>
        <w:sdtContent>
          <w:r>
            <w:rPr>
              <w:rFonts w:cstheme="minorHAnsi"/>
              <w:color w:val="000000" w:themeColor="text1"/>
              <w:sz w:val="22"/>
              <w:szCs w:val="22"/>
            </w:rPr>
            <w:fldChar w:fldCharType="begin"/>
          </w:r>
          <w:r>
            <w:rPr>
              <w:rFonts w:cstheme="minorHAnsi"/>
              <w:color w:val="000000" w:themeColor="text1"/>
              <w:sz w:val="22"/>
              <w:szCs w:val="22"/>
            </w:rPr>
            <w:instrText xml:space="preserve">CITATION Dep06 \p 3 \l 2057 </w:instrText>
          </w:r>
          <w:r>
            <w:rPr>
              <w:rFonts w:cstheme="minorHAnsi"/>
              <w:color w:val="000000" w:themeColor="text1"/>
              <w:sz w:val="22"/>
              <w:szCs w:val="22"/>
            </w:rPr>
            <w:fldChar w:fldCharType="separate"/>
          </w:r>
          <w:r w:rsidRPr="002227E8">
            <w:rPr>
              <w:rFonts w:cstheme="minorHAnsi"/>
              <w:noProof/>
              <w:color w:val="000000" w:themeColor="text1"/>
              <w:sz w:val="22"/>
              <w:szCs w:val="22"/>
            </w:rPr>
            <w:t>(Department for Education and Skills, 2006, p. 3)</w:t>
          </w:r>
          <w:r>
            <w:rPr>
              <w:rFonts w:cstheme="minorHAnsi"/>
              <w:color w:val="000000" w:themeColor="text1"/>
              <w:sz w:val="22"/>
              <w:szCs w:val="22"/>
            </w:rPr>
            <w:fldChar w:fldCharType="end"/>
          </w:r>
        </w:sdtContent>
      </w:sdt>
      <w:r>
        <w:rPr>
          <w:rFonts w:cstheme="minorHAnsi"/>
          <w:color w:val="000000" w:themeColor="text1"/>
          <w:sz w:val="22"/>
          <w:szCs w:val="22"/>
        </w:rPr>
        <w:t>.</w:t>
      </w:r>
    </w:p>
    <w:p w14:paraId="2E21D510" w14:textId="77777777" w:rsidR="00F86780" w:rsidRPr="00BE25EC" w:rsidRDefault="00F86780" w:rsidP="001504FB">
      <w:pPr>
        <w:spacing w:line="360" w:lineRule="auto"/>
        <w:rPr>
          <w:rFonts w:cstheme="minorHAnsi"/>
          <w:color w:val="00B0F0"/>
          <w:sz w:val="22"/>
          <w:szCs w:val="22"/>
        </w:rPr>
      </w:pPr>
    </w:p>
    <w:p w14:paraId="2C6C6876" w14:textId="77777777" w:rsidR="001E65DA" w:rsidRDefault="001E65DA" w:rsidP="001E65DA">
      <w:pPr>
        <w:spacing w:line="360" w:lineRule="auto"/>
        <w:rPr>
          <w:rFonts w:cstheme="minorHAnsi"/>
          <w:color w:val="000000" w:themeColor="text1"/>
          <w:sz w:val="22"/>
          <w:szCs w:val="22"/>
        </w:rPr>
      </w:pPr>
      <w:r>
        <w:rPr>
          <w:rFonts w:cstheme="minorHAnsi"/>
          <w:color w:val="000000" w:themeColor="text1"/>
          <w:sz w:val="22"/>
          <w:szCs w:val="22"/>
        </w:rPr>
        <w:t xml:space="preserve">Different spaces and places to learn is beneficial to children as they develop their skills, knowledge and understanding in a number of areas also known as the areas of learning. Knowledge and </w:t>
      </w:r>
      <w:r>
        <w:rPr>
          <w:rFonts w:cstheme="minorHAnsi"/>
          <w:color w:val="000000" w:themeColor="text1"/>
          <w:sz w:val="22"/>
          <w:szCs w:val="22"/>
        </w:rPr>
        <w:lastRenderedPageBreak/>
        <w:t xml:space="preserve">understanding of the world </w:t>
      </w:r>
      <w:proofErr w:type="gramStart"/>
      <w:r>
        <w:rPr>
          <w:rFonts w:cstheme="minorHAnsi"/>
          <w:color w:val="000000" w:themeColor="text1"/>
          <w:sz w:val="22"/>
          <w:szCs w:val="22"/>
        </w:rPr>
        <w:t>is</w:t>
      </w:r>
      <w:proofErr w:type="gramEnd"/>
      <w:r>
        <w:rPr>
          <w:rFonts w:cstheme="minorHAnsi"/>
          <w:color w:val="000000" w:themeColor="text1"/>
          <w:sz w:val="22"/>
          <w:szCs w:val="22"/>
        </w:rPr>
        <w:t xml:space="preserve"> one of the biggest areas children can learn from being in different environments especially the outdoors. Children are able to ‘explore and investigate a wide range of materials that cannot be found indoors’ </w:t>
      </w:r>
      <w:sdt>
        <w:sdtPr>
          <w:rPr>
            <w:rFonts w:cstheme="minorHAnsi"/>
            <w:color w:val="000000" w:themeColor="text1"/>
            <w:sz w:val="22"/>
            <w:szCs w:val="22"/>
          </w:rPr>
          <w:id w:val="-1975747901"/>
          <w:citation/>
        </w:sdtPr>
        <w:sdtContent>
          <w:r>
            <w:rPr>
              <w:rFonts w:cstheme="minorHAnsi"/>
              <w:color w:val="000000" w:themeColor="text1"/>
              <w:sz w:val="22"/>
              <w:szCs w:val="22"/>
            </w:rPr>
            <w:fldChar w:fldCharType="begin"/>
          </w:r>
          <w:r>
            <w:rPr>
              <w:rFonts w:cstheme="minorHAnsi"/>
              <w:color w:val="000000" w:themeColor="text1"/>
              <w:sz w:val="22"/>
              <w:szCs w:val="22"/>
            </w:rPr>
            <w:instrText xml:space="preserve">CITATION Cro07 \p 6 \l 2057 </w:instrText>
          </w:r>
          <w:r>
            <w:rPr>
              <w:rFonts w:cstheme="minorHAnsi"/>
              <w:color w:val="000000" w:themeColor="text1"/>
              <w:sz w:val="22"/>
              <w:szCs w:val="22"/>
            </w:rPr>
            <w:fldChar w:fldCharType="separate"/>
          </w:r>
          <w:r w:rsidRPr="0095252F">
            <w:rPr>
              <w:rFonts w:cstheme="minorHAnsi"/>
              <w:noProof/>
              <w:color w:val="000000" w:themeColor="text1"/>
              <w:sz w:val="22"/>
              <w:szCs w:val="22"/>
            </w:rPr>
            <w:t>(Crown, 2007, p. 6)</w:t>
          </w:r>
          <w:r>
            <w:rPr>
              <w:rFonts w:cstheme="minorHAnsi"/>
              <w:color w:val="000000" w:themeColor="text1"/>
              <w:sz w:val="22"/>
              <w:szCs w:val="22"/>
            </w:rPr>
            <w:fldChar w:fldCharType="end"/>
          </w:r>
        </w:sdtContent>
      </w:sdt>
      <w:r>
        <w:rPr>
          <w:rFonts w:cstheme="minorHAnsi"/>
          <w:color w:val="000000" w:themeColor="text1"/>
          <w:sz w:val="22"/>
          <w:szCs w:val="22"/>
        </w:rPr>
        <w:t>.</w:t>
      </w:r>
    </w:p>
    <w:p w14:paraId="55F0434B" w14:textId="77777777" w:rsidR="001E65DA" w:rsidRPr="004F4C18" w:rsidRDefault="001E65DA" w:rsidP="001E65DA">
      <w:pPr>
        <w:spacing w:line="360" w:lineRule="auto"/>
        <w:rPr>
          <w:rFonts w:cstheme="minorHAnsi"/>
          <w:color w:val="000000" w:themeColor="text1"/>
          <w:sz w:val="22"/>
          <w:szCs w:val="22"/>
        </w:rPr>
      </w:pPr>
    </w:p>
    <w:p w14:paraId="7D527892" w14:textId="77777777" w:rsidR="001E65DA" w:rsidRPr="00E66A94" w:rsidRDefault="001E65DA" w:rsidP="001E65DA">
      <w:pPr>
        <w:spacing w:line="360" w:lineRule="auto"/>
        <w:rPr>
          <w:rFonts w:cstheme="minorHAnsi"/>
          <w:color w:val="000000" w:themeColor="text1"/>
          <w:sz w:val="22"/>
          <w:szCs w:val="22"/>
        </w:rPr>
      </w:pPr>
      <w:r>
        <w:rPr>
          <w:rFonts w:cstheme="minorHAnsi"/>
          <w:color w:val="000000" w:themeColor="text1"/>
          <w:sz w:val="22"/>
          <w:szCs w:val="22"/>
        </w:rPr>
        <w:t xml:space="preserve">Education for Sustainable Development and Global Citizenship (ESDGC) includes the themes ‘consumption and waste’; ‘choices and decisions’; ‘health’; ‘natural environment’; ‘wealth and poverty’; ‘climate change’; and ‘identity and culture’ </w:t>
      </w:r>
      <w:sdt>
        <w:sdtPr>
          <w:rPr>
            <w:rFonts w:cstheme="minorHAnsi"/>
            <w:color w:val="000000" w:themeColor="text1"/>
            <w:sz w:val="22"/>
            <w:szCs w:val="22"/>
          </w:rPr>
          <w:id w:val="-1838834037"/>
          <w:citation/>
        </w:sdtPr>
        <w:sdtContent>
          <w:r>
            <w:rPr>
              <w:rFonts w:cstheme="minorHAnsi"/>
              <w:color w:val="000000" w:themeColor="text1"/>
              <w:sz w:val="22"/>
              <w:szCs w:val="22"/>
            </w:rPr>
            <w:fldChar w:fldCharType="begin"/>
          </w:r>
          <w:r>
            <w:rPr>
              <w:rFonts w:cstheme="minorHAnsi"/>
              <w:color w:val="000000" w:themeColor="text1"/>
              <w:sz w:val="22"/>
              <w:szCs w:val="22"/>
            </w:rPr>
            <w:instrText xml:space="preserve">CITATION DCE082 \p 5 \l 2057 </w:instrText>
          </w:r>
          <w:r>
            <w:rPr>
              <w:rFonts w:cstheme="minorHAnsi"/>
              <w:color w:val="000000" w:themeColor="text1"/>
              <w:sz w:val="22"/>
              <w:szCs w:val="22"/>
            </w:rPr>
            <w:fldChar w:fldCharType="separate"/>
          </w:r>
          <w:r w:rsidRPr="003B4A47">
            <w:rPr>
              <w:rFonts w:cstheme="minorHAnsi"/>
              <w:noProof/>
              <w:color w:val="000000" w:themeColor="text1"/>
              <w:sz w:val="22"/>
              <w:szCs w:val="22"/>
            </w:rPr>
            <w:t>(DCELLS, 2008, p. 5)</w:t>
          </w:r>
          <w:r>
            <w:rPr>
              <w:rFonts w:cstheme="minorHAnsi"/>
              <w:color w:val="000000" w:themeColor="text1"/>
              <w:sz w:val="22"/>
              <w:szCs w:val="22"/>
            </w:rPr>
            <w:fldChar w:fldCharType="end"/>
          </w:r>
        </w:sdtContent>
      </w:sdt>
      <w:r>
        <w:rPr>
          <w:rFonts w:cstheme="minorHAnsi"/>
          <w:color w:val="000000" w:themeColor="text1"/>
          <w:sz w:val="22"/>
          <w:szCs w:val="22"/>
        </w:rPr>
        <w:t>. ESDGC is more widely accessible if learning takes place in different environments such as in this visit, the children will develop the natural environment much easier than trying to do it indoors as the children are in the setting and can explore as much as they want to make an understanding from experience rather than just being taught about it in a lesson. Health is also being developed as the children will more aware of what type of exercising is accessible and the number of different places that exercising can take place.</w:t>
      </w:r>
    </w:p>
    <w:p w14:paraId="125EBAC0" w14:textId="77777777" w:rsidR="00FF4B13" w:rsidRPr="00E66A94" w:rsidRDefault="00FF4B13" w:rsidP="001504FB">
      <w:pPr>
        <w:spacing w:line="360" w:lineRule="auto"/>
        <w:rPr>
          <w:rFonts w:cstheme="minorHAnsi"/>
          <w:sz w:val="22"/>
          <w:szCs w:val="22"/>
        </w:rPr>
      </w:pPr>
    </w:p>
    <w:p w14:paraId="312240F3" w14:textId="71C4FEDB" w:rsidR="00A86E32" w:rsidRPr="00A311E1" w:rsidRDefault="00A86E32" w:rsidP="00A86E32">
      <w:pPr>
        <w:spacing w:line="360" w:lineRule="auto"/>
        <w:rPr>
          <w:rFonts w:cstheme="minorHAnsi"/>
          <w:sz w:val="22"/>
          <w:szCs w:val="22"/>
          <w:lang w:val="cy-GB"/>
        </w:rPr>
      </w:pPr>
      <w:r w:rsidRPr="00A311E1">
        <w:rPr>
          <w:rFonts w:cstheme="minorHAnsi"/>
          <w:color w:val="000000" w:themeColor="text1"/>
          <w:sz w:val="22"/>
          <w:szCs w:val="22"/>
        </w:rPr>
        <w:t xml:space="preserve">The curriculum coverage that I included were from six different areas of study. These are </w:t>
      </w:r>
      <w:r w:rsidRPr="00A311E1">
        <w:rPr>
          <w:rFonts w:cstheme="minorHAnsi"/>
          <w:sz w:val="22"/>
          <w:szCs w:val="22"/>
          <w:lang w:val="cy-GB"/>
        </w:rPr>
        <w:t>Personal and Social Devlopment, Well-being and Cultural Diversity; Langugae, Literacy and Communication Skills; Welsh Language Development; Knowledge and Understanding of the World; Physical Development; and Creative Development. The main range that would appear within all these areas of study was ‘</w:t>
      </w:r>
      <w:r>
        <w:rPr>
          <w:rFonts w:cstheme="minorHAnsi"/>
          <w:sz w:val="22"/>
          <w:szCs w:val="22"/>
          <w:lang w:val="cy-GB"/>
        </w:rPr>
        <w:t>a</w:t>
      </w:r>
      <w:r w:rsidRPr="00A311E1">
        <w:rPr>
          <w:rFonts w:cstheme="minorHAnsi"/>
          <w:sz w:val="22"/>
          <w:szCs w:val="22"/>
          <w:lang w:val="cy-GB"/>
        </w:rPr>
        <w:t>ctivities in the indoor and outdoor learning envrionments</w:t>
      </w:r>
      <w:r>
        <w:rPr>
          <w:rFonts w:cstheme="minorHAnsi"/>
          <w:sz w:val="22"/>
          <w:szCs w:val="22"/>
          <w:lang w:val="cy-GB"/>
        </w:rPr>
        <w:t xml:space="preserve">’ </w:t>
      </w:r>
      <w:sdt>
        <w:sdtPr>
          <w:rPr>
            <w:rFonts w:cstheme="minorHAnsi"/>
            <w:sz w:val="22"/>
            <w:szCs w:val="22"/>
            <w:lang w:val="cy-GB"/>
          </w:rPr>
          <w:id w:val="-1556310244"/>
          <w:citation/>
        </w:sdtPr>
        <w:sdtContent>
          <w:r>
            <w:rPr>
              <w:rFonts w:cstheme="minorHAnsi"/>
              <w:sz w:val="22"/>
              <w:szCs w:val="22"/>
              <w:lang w:val="cy-GB"/>
            </w:rPr>
            <w:fldChar w:fldCharType="begin"/>
          </w:r>
          <w:r>
            <w:rPr>
              <w:rFonts w:cstheme="minorHAnsi"/>
              <w:sz w:val="22"/>
              <w:szCs w:val="22"/>
            </w:rPr>
            <w:instrText xml:space="preserve">CITATION Wel151 \p 10 \l 2057 </w:instrText>
          </w:r>
          <w:r>
            <w:rPr>
              <w:rFonts w:cstheme="minorHAnsi"/>
              <w:sz w:val="22"/>
              <w:szCs w:val="22"/>
              <w:lang w:val="cy-GB"/>
            </w:rPr>
            <w:fldChar w:fldCharType="separate"/>
          </w:r>
          <w:r w:rsidRPr="00C909A7">
            <w:rPr>
              <w:rFonts w:cstheme="minorHAnsi"/>
              <w:noProof/>
              <w:sz w:val="22"/>
              <w:szCs w:val="22"/>
            </w:rPr>
            <w:t>(Welsh Government, 2015, p. 10)</w:t>
          </w:r>
          <w:r>
            <w:rPr>
              <w:rFonts w:cstheme="minorHAnsi"/>
              <w:sz w:val="22"/>
              <w:szCs w:val="22"/>
              <w:lang w:val="cy-GB"/>
            </w:rPr>
            <w:fldChar w:fldCharType="end"/>
          </w:r>
        </w:sdtContent>
      </w:sdt>
      <w:r>
        <w:rPr>
          <w:rFonts w:cstheme="minorHAnsi"/>
          <w:sz w:val="22"/>
          <w:szCs w:val="22"/>
          <w:lang w:val="cy-GB"/>
        </w:rPr>
        <w:t xml:space="preserve">.  For more indepth curriculum covereage please see </w:t>
      </w:r>
      <w:r w:rsidR="00DE3FBC">
        <w:rPr>
          <w:rFonts w:cstheme="minorHAnsi"/>
          <w:sz w:val="22"/>
          <w:szCs w:val="22"/>
          <w:lang w:val="cy-GB"/>
        </w:rPr>
        <w:t>a</w:t>
      </w:r>
      <w:r>
        <w:rPr>
          <w:rFonts w:cstheme="minorHAnsi"/>
          <w:sz w:val="22"/>
          <w:szCs w:val="22"/>
          <w:lang w:val="cy-GB"/>
        </w:rPr>
        <w:t xml:space="preserve">ppendix </w:t>
      </w:r>
      <w:r w:rsidR="00DE3FBC">
        <w:rPr>
          <w:rFonts w:cstheme="minorHAnsi"/>
          <w:sz w:val="22"/>
          <w:szCs w:val="22"/>
          <w:lang w:val="cy-GB"/>
        </w:rPr>
        <w:t>C</w:t>
      </w:r>
      <w:r>
        <w:rPr>
          <w:rFonts w:cstheme="minorHAnsi"/>
          <w:sz w:val="22"/>
          <w:szCs w:val="22"/>
          <w:lang w:val="cy-GB"/>
        </w:rPr>
        <w:t>.</w:t>
      </w:r>
    </w:p>
    <w:p w14:paraId="0A2287A4" w14:textId="77777777" w:rsidR="00A86E32" w:rsidRPr="00E66A94" w:rsidRDefault="00A86E32" w:rsidP="00A86E32">
      <w:pPr>
        <w:spacing w:line="360" w:lineRule="auto"/>
        <w:rPr>
          <w:rFonts w:cstheme="minorHAnsi"/>
          <w:color w:val="000000" w:themeColor="text1"/>
          <w:sz w:val="22"/>
          <w:szCs w:val="22"/>
        </w:rPr>
      </w:pPr>
    </w:p>
    <w:p w14:paraId="69BA5E7D" w14:textId="602D9029" w:rsidR="00A86E32" w:rsidRPr="00E66A94" w:rsidRDefault="00A86E32" w:rsidP="00A86E32">
      <w:pPr>
        <w:spacing w:line="360" w:lineRule="auto"/>
        <w:rPr>
          <w:rFonts w:cstheme="minorHAnsi"/>
          <w:sz w:val="22"/>
          <w:szCs w:val="22"/>
        </w:rPr>
      </w:pPr>
      <w:r w:rsidRPr="00E66A94">
        <w:rPr>
          <w:rFonts w:cstheme="minorHAnsi"/>
          <w:sz w:val="22"/>
          <w:szCs w:val="22"/>
        </w:rPr>
        <w:t xml:space="preserve">Protocols </w:t>
      </w:r>
      <w:r>
        <w:rPr>
          <w:rFonts w:cstheme="minorHAnsi"/>
          <w:sz w:val="22"/>
          <w:szCs w:val="22"/>
        </w:rPr>
        <w:t xml:space="preserve">are used when visits to external environments happen. For this visit to Caswell </w:t>
      </w:r>
      <w:r w:rsidR="0082683A">
        <w:rPr>
          <w:rFonts w:cstheme="minorHAnsi"/>
          <w:sz w:val="22"/>
          <w:szCs w:val="22"/>
        </w:rPr>
        <w:t>Bay</w:t>
      </w:r>
      <w:r>
        <w:rPr>
          <w:rFonts w:cstheme="minorHAnsi"/>
          <w:sz w:val="22"/>
          <w:szCs w:val="22"/>
        </w:rPr>
        <w:t xml:space="preserve">, it would include a risk assessment, where tides and water levels are discussed. It is always when first aid is addressed such as children with asthma pumps will have to be taken by the adults on the visit even if the child hasn’t used the asthma pumps in a number of years. This is done for precautionary reasons, just in case the child has a different reaction to the environment around them. First aid will also cover when children have accidents as little as falling over and scraping their knees to the extremes of a child needing hospital treatment. On a school trip, there must be at least one adult who is fully trained in first aid and is called a first-aider in order to make sure every child has the best care if needed. In order for any adult to contact a parent just in case of an injury or accident, every child must have a consent form to be signed by a parent or guardian with the details of the parent and their name and their contact numbers (see appendix </w:t>
      </w:r>
      <w:r w:rsidR="00691722">
        <w:rPr>
          <w:rFonts w:cstheme="minorHAnsi"/>
          <w:sz w:val="22"/>
          <w:szCs w:val="22"/>
        </w:rPr>
        <w:t>E</w:t>
      </w:r>
      <w:r>
        <w:rPr>
          <w:rFonts w:cstheme="minorHAnsi"/>
          <w:sz w:val="22"/>
          <w:szCs w:val="22"/>
        </w:rPr>
        <w:t>). When on an educational visit, policies will be followed that are made from the recommendations from the government and enforced by the school.</w:t>
      </w:r>
    </w:p>
    <w:p w14:paraId="3E7EE339" w14:textId="5AD120F4" w:rsidR="001A5856" w:rsidRDefault="001A5856" w:rsidP="001504FB">
      <w:pPr>
        <w:spacing w:line="360" w:lineRule="auto"/>
        <w:rPr>
          <w:rFonts w:cstheme="minorHAnsi"/>
          <w:sz w:val="22"/>
          <w:szCs w:val="22"/>
        </w:rPr>
      </w:pPr>
    </w:p>
    <w:p w14:paraId="6CE6AA2B" w14:textId="77777777" w:rsidR="00EE7A6A" w:rsidRPr="00E66A94" w:rsidRDefault="00EE7A6A" w:rsidP="00EE7A6A">
      <w:pPr>
        <w:spacing w:line="360" w:lineRule="auto"/>
        <w:rPr>
          <w:rFonts w:cstheme="minorHAnsi"/>
          <w:sz w:val="22"/>
          <w:szCs w:val="22"/>
        </w:rPr>
      </w:pPr>
      <w:r>
        <w:rPr>
          <w:rFonts w:cstheme="minorHAnsi"/>
          <w:sz w:val="22"/>
          <w:szCs w:val="22"/>
        </w:rPr>
        <w:t xml:space="preserve">DCELLS </w:t>
      </w:r>
      <w:sdt>
        <w:sdtPr>
          <w:rPr>
            <w:rFonts w:cstheme="minorHAnsi"/>
            <w:sz w:val="22"/>
            <w:szCs w:val="22"/>
          </w:rPr>
          <w:id w:val="547428390"/>
          <w:citation/>
        </w:sdtPr>
        <w:sdtContent>
          <w:r>
            <w:rPr>
              <w:rFonts w:cstheme="minorHAnsi"/>
              <w:sz w:val="22"/>
              <w:szCs w:val="22"/>
            </w:rPr>
            <w:fldChar w:fldCharType="begin"/>
          </w:r>
          <w:r>
            <w:rPr>
              <w:rFonts w:cstheme="minorHAnsi"/>
              <w:sz w:val="22"/>
              <w:szCs w:val="22"/>
            </w:rPr>
            <w:instrText xml:space="preserve">CITATION DCE09 \p 2 \n  \l 2057 </w:instrText>
          </w:r>
          <w:r>
            <w:rPr>
              <w:rFonts w:cstheme="minorHAnsi"/>
              <w:sz w:val="22"/>
              <w:szCs w:val="22"/>
            </w:rPr>
            <w:fldChar w:fldCharType="separate"/>
          </w:r>
          <w:r w:rsidRPr="00B317DC">
            <w:rPr>
              <w:rFonts w:cstheme="minorHAnsi"/>
              <w:noProof/>
              <w:sz w:val="22"/>
              <w:szCs w:val="22"/>
            </w:rPr>
            <w:t>(2009, p. 2)</w:t>
          </w:r>
          <w:r>
            <w:rPr>
              <w:rFonts w:cstheme="minorHAnsi"/>
              <w:sz w:val="22"/>
              <w:szCs w:val="22"/>
            </w:rPr>
            <w:fldChar w:fldCharType="end"/>
          </w:r>
        </w:sdtContent>
      </w:sdt>
      <w:r>
        <w:rPr>
          <w:rFonts w:cstheme="minorHAnsi"/>
          <w:sz w:val="22"/>
          <w:szCs w:val="22"/>
        </w:rPr>
        <w:t xml:space="preserve"> states that ‘being outdoors enhances all aspects of children’s development: social, physical, creative, cultural and personal’. This report believes that children with these ‘well-developed’ skills have the ability to be more efficient at learning and can ‘retain that learning’ </w:t>
      </w:r>
      <w:sdt>
        <w:sdtPr>
          <w:rPr>
            <w:rFonts w:cstheme="minorHAnsi"/>
            <w:sz w:val="22"/>
            <w:szCs w:val="22"/>
          </w:rPr>
          <w:id w:val="-1610341771"/>
          <w:citation/>
        </w:sdtPr>
        <w:sdtContent>
          <w:r>
            <w:rPr>
              <w:rFonts w:cstheme="minorHAnsi"/>
              <w:sz w:val="22"/>
              <w:szCs w:val="22"/>
            </w:rPr>
            <w:fldChar w:fldCharType="begin"/>
          </w:r>
          <w:r>
            <w:rPr>
              <w:rFonts w:cstheme="minorHAnsi"/>
              <w:sz w:val="22"/>
              <w:szCs w:val="22"/>
            </w:rPr>
            <w:instrText xml:space="preserve">CITATION DCE09 \p 2 \l 2057 </w:instrText>
          </w:r>
          <w:r>
            <w:rPr>
              <w:rFonts w:cstheme="minorHAnsi"/>
              <w:sz w:val="22"/>
              <w:szCs w:val="22"/>
            </w:rPr>
            <w:fldChar w:fldCharType="separate"/>
          </w:r>
          <w:r w:rsidRPr="006A69A1">
            <w:rPr>
              <w:rFonts w:cstheme="minorHAnsi"/>
              <w:noProof/>
              <w:sz w:val="22"/>
              <w:szCs w:val="22"/>
            </w:rPr>
            <w:t>(DCELLS, 2009, p. 2)</w:t>
          </w:r>
          <w:r>
            <w:rPr>
              <w:rFonts w:cstheme="minorHAnsi"/>
              <w:sz w:val="22"/>
              <w:szCs w:val="22"/>
            </w:rPr>
            <w:fldChar w:fldCharType="end"/>
          </w:r>
        </w:sdtContent>
      </w:sdt>
      <w:r>
        <w:rPr>
          <w:rFonts w:cstheme="minorHAnsi"/>
          <w:sz w:val="22"/>
          <w:szCs w:val="22"/>
        </w:rPr>
        <w:t xml:space="preserve">. </w:t>
      </w:r>
      <w:r w:rsidRPr="00E66A94">
        <w:rPr>
          <w:rFonts w:cstheme="minorHAnsi"/>
          <w:sz w:val="22"/>
          <w:szCs w:val="22"/>
        </w:rPr>
        <w:t xml:space="preserve">PILES </w:t>
      </w:r>
      <w:r>
        <w:rPr>
          <w:rFonts w:cstheme="minorHAnsi"/>
          <w:sz w:val="22"/>
          <w:szCs w:val="22"/>
        </w:rPr>
        <w:t xml:space="preserve">in </w:t>
      </w:r>
      <w:r w:rsidRPr="00E66A94">
        <w:rPr>
          <w:rFonts w:cstheme="minorHAnsi"/>
          <w:sz w:val="22"/>
          <w:szCs w:val="22"/>
        </w:rPr>
        <w:t>child development</w:t>
      </w:r>
      <w:r>
        <w:rPr>
          <w:rFonts w:cstheme="minorHAnsi"/>
          <w:sz w:val="22"/>
          <w:szCs w:val="22"/>
        </w:rPr>
        <w:t xml:space="preserve"> stands for:</w:t>
      </w:r>
      <w:r w:rsidRPr="00E66A94">
        <w:rPr>
          <w:rFonts w:cstheme="minorHAnsi"/>
          <w:sz w:val="22"/>
          <w:szCs w:val="22"/>
        </w:rPr>
        <w:t xml:space="preserve"> </w:t>
      </w:r>
      <w:r>
        <w:rPr>
          <w:rFonts w:cstheme="minorHAnsi"/>
          <w:sz w:val="22"/>
          <w:szCs w:val="22"/>
        </w:rPr>
        <w:t>p</w:t>
      </w:r>
      <w:r w:rsidRPr="00E66A94">
        <w:rPr>
          <w:rFonts w:cstheme="minorHAnsi"/>
          <w:sz w:val="22"/>
          <w:szCs w:val="22"/>
        </w:rPr>
        <w:t>hysical, intellectual, language, emotional and social</w:t>
      </w:r>
      <w:r>
        <w:rPr>
          <w:rFonts w:cstheme="minorHAnsi"/>
          <w:sz w:val="22"/>
          <w:szCs w:val="22"/>
        </w:rPr>
        <w:t xml:space="preserve"> </w:t>
      </w:r>
      <w:sdt>
        <w:sdtPr>
          <w:rPr>
            <w:rFonts w:cstheme="minorHAnsi"/>
            <w:sz w:val="22"/>
            <w:szCs w:val="22"/>
          </w:rPr>
          <w:id w:val="870575533"/>
          <w:citation/>
        </w:sdtPr>
        <w:sdtContent>
          <w:r>
            <w:rPr>
              <w:rFonts w:cstheme="minorHAnsi"/>
              <w:sz w:val="22"/>
              <w:szCs w:val="22"/>
            </w:rPr>
            <w:fldChar w:fldCharType="begin"/>
          </w:r>
          <w:r>
            <w:rPr>
              <w:rFonts w:cstheme="minorHAnsi"/>
              <w:sz w:val="22"/>
              <w:szCs w:val="22"/>
            </w:rPr>
            <w:instrText xml:space="preserve"> CITATION Cop17 \l 2057 </w:instrText>
          </w:r>
          <w:r>
            <w:rPr>
              <w:rFonts w:cstheme="minorHAnsi"/>
              <w:sz w:val="22"/>
              <w:szCs w:val="22"/>
            </w:rPr>
            <w:fldChar w:fldCharType="separate"/>
          </w:r>
          <w:r w:rsidRPr="00EF6C7A">
            <w:rPr>
              <w:rFonts w:cstheme="minorHAnsi"/>
              <w:noProof/>
              <w:sz w:val="22"/>
              <w:szCs w:val="22"/>
            </w:rPr>
            <w:t>(Copland, 2017)</w:t>
          </w:r>
          <w:r>
            <w:rPr>
              <w:rFonts w:cstheme="minorHAnsi"/>
              <w:sz w:val="22"/>
              <w:szCs w:val="22"/>
            </w:rPr>
            <w:fldChar w:fldCharType="end"/>
          </w:r>
        </w:sdtContent>
      </w:sdt>
      <w:r w:rsidRPr="00E66A94">
        <w:rPr>
          <w:rFonts w:cstheme="minorHAnsi"/>
          <w:sz w:val="22"/>
          <w:szCs w:val="22"/>
        </w:rPr>
        <w:t>.</w:t>
      </w:r>
      <w:r>
        <w:rPr>
          <w:rFonts w:cstheme="minorHAnsi"/>
          <w:sz w:val="22"/>
          <w:szCs w:val="22"/>
        </w:rPr>
        <w:t xml:space="preserve"> This visit helps develop the physical element as it is teaching the children about their physical abilities and how to develop these such as how to use a wheelchair on the sand or how to run on the sand. Physical development is about the ‘physical maturity of the body including physical abilities and coordination’ </w:t>
      </w:r>
      <w:sdt>
        <w:sdtPr>
          <w:rPr>
            <w:rFonts w:cstheme="minorHAnsi"/>
            <w:sz w:val="22"/>
            <w:szCs w:val="22"/>
          </w:rPr>
          <w:id w:val="1889522262"/>
          <w:citation/>
        </w:sdtPr>
        <w:sdtContent>
          <w:r>
            <w:rPr>
              <w:rFonts w:cstheme="minorHAnsi"/>
              <w:sz w:val="22"/>
              <w:szCs w:val="22"/>
            </w:rPr>
            <w:fldChar w:fldCharType="begin"/>
          </w:r>
          <w:r>
            <w:rPr>
              <w:rFonts w:cstheme="minorHAnsi"/>
              <w:sz w:val="22"/>
              <w:szCs w:val="22"/>
            </w:rPr>
            <w:instrText xml:space="preserve">CITATION Uni16 \l 2057 </w:instrText>
          </w:r>
          <w:r>
            <w:rPr>
              <w:rFonts w:cstheme="minorHAnsi"/>
              <w:sz w:val="22"/>
              <w:szCs w:val="22"/>
            </w:rPr>
            <w:fldChar w:fldCharType="separate"/>
          </w:r>
          <w:r w:rsidRPr="004B3587">
            <w:rPr>
              <w:rFonts w:cstheme="minorHAnsi"/>
              <w:noProof/>
              <w:sz w:val="22"/>
              <w:szCs w:val="22"/>
            </w:rPr>
            <w:t>(University of Washington, n.d.)</w:t>
          </w:r>
          <w:r>
            <w:rPr>
              <w:rFonts w:cstheme="minorHAnsi"/>
              <w:sz w:val="22"/>
              <w:szCs w:val="22"/>
            </w:rPr>
            <w:fldChar w:fldCharType="end"/>
          </w:r>
        </w:sdtContent>
      </w:sdt>
      <w:r>
        <w:rPr>
          <w:rFonts w:cstheme="minorHAnsi"/>
          <w:sz w:val="22"/>
          <w:szCs w:val="22"/>
        </w:rPr>
        <w:t xml:space="preserve">. The intellectual aspect is where children activate their cognitive development. The children activate this skill when they learn in the end that they had taken part in a scientific experiment and where all the learning the children have done over the three lessons will start to embed itself into the child brain and make sense of it. The language component is where the children will learn new specific language such as ‘similarities’ and ‘differences’ in this lesson. The visit will promote the emotional part as children will have had a new experience and will feel many different emotions or this such as excitement by sitting by their friends on the bus or the </w:t>
      </w:r>
      <w:proofErr w:type="gramStart"/>
      <w:r>
        <w:rPr>
          <w:rFonts w:cstheme="minorHAnsi"/>
          <w:sz w:val="22"/>
          <w:szCs w:val="22"/>
        </w:rPr>
        <w:t>fact</w:t>
      </w:r>
      <w:proofErr w:type="gramEnd"/>
      <w:r>
        <w:rPr>
          <w:rFonts w:cstheme="minorHAnsi"/>
          <w:sz w:val="22"/>
          <w:szCs w:val="22"/>
        </w:rPr>
        <w:t xml:space="preserve"> they get to leave the school grounds. These emotional experiences will leave a lasting memory in the child’s mind. And lastly the social skills will be developed as the children will learn how to behave in a public environment which is different to what they may be used to but also how to interact with children when in an environment that can be quite loud with the sound of the water.</w:t>
      </w:r>
    </w:p>
    <w:p w14:paraId="5972FBEF" w14:textId="77777777" w:rsidR="00BE25EC" w:rsidRDefault="00BE25EC" w:rsidP="001504FB">
      <w:pPr>
        <w:spacing w:line="360" w:lineRule="auto"/>
        <w:rPr>
          <w:rFonts w:cstheme="minorHAnsi"/>
          <w:sz w:val="22"/>
          <w:szCs w:val="22"/>
        </w:rPr>
      </w:pPr>
    </w:p>
    <w:p w14:paraId="5374453B" w14:textId="77777777" w:rsidR="009919C2" w:rsidRPr="00E66A94" w:rsidRDefault="009919C2" w:rsidP="009919C2">
      <w:pPr>
        <w:spacing w:line="360" w:lineRule="auto"/>
        <w:rPr>
          <w:rFonts w:cstheme="minorHAnsi"/>
          <w:sz w:val="22"/>
          <w:szCs w:val="22"/>
        </w:rPr>
      </w:pPr>
      <w:r w:rsidRPr="00E66A94">
        <w:rPr>
          <w:rFonts w:cstheme="minorHAnsi"/>
          <w:sz w:val="22"/>
          <w:szCs w:val="22"/>
        </w:rPr>
        <w:t xml:space="preserve">Ratio of adults to child on this visit is 1:7, however the two ALN children will have 1:1 support and be in a group of eight instead of seven. The class teacher will not have a group to themselves but will observe all children, additional adults and activities and then assist when and where needed. The number of adults will be: one class teacher and six teaching assistants with two of these teaching assistants to be 1:1 supports. Ratios of children to adults depend on the risk of the environment. A useful strategy to assess ratios for trips is ‘SAGE’. ‘SAGE’ stands for Staff, Activities, Group characteristics, and Environment </w:t>
      </w:r>
      <w:sdt>
        <w:sdtPr>
          <w:rPr>
            <w:rFonts w:cstheme="minorHAnsi"/>
            <w:sz w:val="22"/>
            <w:szCs w:val="22"/>
          </w:rPr>
          <w:id w:val="1219637463"/>
          <w:citation/>
        </w:sdtPr>
        <w:sdtContent>
          <w:r w:rsidRPr="00E66A94">
            <w:rPr>
              <w:rFonts w:cstheme="minorHAnsi"/>
              <w:sz w:val="22"/>
              <w:szCs w:val="22"/>
            </w:rPr>
            <w:fldChar w:fldCharType="begin"/>
          </w:r>
          <w:r w:rsidRPr="00E66A94">
            <w:rPr>
              <w:rFonts w:cstheme="minorHAnsi"/>
              <w:sz w:val="22"/>
              <w:szCs w:val="22"/>
            </w:rPr>
            <w:instrText xml:space="preserve">CITATION OEA18 \p 2 \l 2057 </w:instrText>
          </w:r>
          <w:r w:rsidRPr="00E66A94">
            <w:rPr>
              <w:rFonts w:cstheme="minorHAnsi"/>
              <w:sz w:val="22"/>
              <w:szCs w:val="22"/>
            </w:rPr>
            <w:fldChar w:fldCharType="separate"/>
          </w:r>
          <w:r w:rsidRPr="00E66A94">
            <w:rPr>
              <w:rFonts w:cstheme="minorHAnsi"/>
              <w:noProof/>
              <w:sz w:val="22"/>
              <w:szCs w:val="22"/>
            </w:rPr>
            <w:t>(OEAP, 2018, p. 2)</w:t>
          </w:r>
          <w:r w:rsidRPr="00E66A94">
            <w:rPr>
              <w:rFonts w:cstheme="minorHAnsi"/>
              <w:sz w:val="22"/>
              <w:szCs w:val="22"/>
            </w:rPr>
            <w:fldChar w:fldCharType="end"/>
          </w:r>
        </w:sdtContent>
      </w:sdt>
      <w:r w:rsidRPr="00E66A94">
        <w:rPr>
          <w:rFonts w:cstheme="minorHAnsi"/>
          <w:sz w:val="22"/>
          <w:szCs w:val="22"/>
        </w:rPr>
        <w:t>.</w:t>
      </w:r>
      <w:r>
        <w:rPr>
          <w:rFonts w:cstheme="minorHAnsi"/>
          <w:sz w:val="22"/>
          <w:szCs w:val="22"/>
        </w:rPr>
        <w:t xml:space="preserve"> Travel by bus has been chosen for this trip as it is not within walking distance.</w:t>
      </w:r>
    </w:p>
    <w:p w14:paraId="4716F4A8" w14:textId="77777777" w:rsidR="001B6DFD" w:rsidRPr="00E66A94" w:rsidRDefault="001B6DFD" w:rsidP="001504FB">
      <w:pPr>
        <w:spacing w:line="360" w:lineRule="auto"/>
        <w:rPr>
          <w:rFonts w:cstheme="minorHAnsi"/>
          <w:sz w:val="22"/>
          <w:szCs w:val="22"/>
        </w:rPr>
      </w:pPr>
    </w:p>
    <w:p w14:paraId="7BE0CF6D" w14:textId="2133472E" w:rsidR="006A03EC" w:rsidRPr="00DD53B0" w:rsidRDefault="006A03EC" w:rsidP="006A03EC">
      <w:pPr>
        <w:spacing w:line="360" w:lineRule="auto"/>
        <w:rPr>
          <w:rFonts w:cstheme="minorHAnsi"/>
          <w:color w:val="FF0000"/>
          <w:sz w:val="22"/>
          <w:szCs w:val="22"/>
        </w:rPr>
      </w:pPr>
      <w:r w:rsidRPr="00E66A94">
        <w:rPr>
          <w:rFonts w:cstheme="minorHAnsi"/>
          <w:sz w:val="22"/>
          <w:szCs w:val="22"/>
        </w:rPr>
        <w:t xml:space="preserve">Prior to the visit, it is essential that a risk assessment is carried out. It is essential as it helps plan visits better but also there is the ‘Management of Health and Safety at Work Regulations 1999’ act where it requires an assessment of risks for activities to be carried out so that measures can be introduced to ‘control those risks and inform their employees of these measures’ </w:t>
      </w:r>
      <w:sdt>
        <w:sdtPr>
          <w:rPr>
            <w:rFonts w:cstheme="minorHAnsi"/>
            <w:sz w:val="22"/>
            <w:szCs w:val="22"/>
          </w:rPr>
          <w:id w:val="-577826447"/>
          <w:citation/>
        </w:sdtPr>
        <w:sdtContent>
          <w:r w:rsidRPr="00E66A94">
            <w:rPr>
              <w:rFonts w:cstheme="minorHAnsi"/>
              <w:sz w:val="22"/>
              <w:szCs w:val="22"/>
            </w:rPr>
            <w:fldChar w:fldCharType="begin"/>
          </w:r>
          <w:r w:rsidRPr="00E66A94">
            <w:rPr>
              <w:rFonts w:cstheme="minorHAnsi"/>
              <w:sz w:val="22"/>
              <w:szCs w:val="22"/>
            </w:rPr>
            <w:instrText xml:space="preserve"> CITATION ATL16 \l 2057 </w:instrText>
          </w:r>
          <w:r w:rsidRPr="00E66A94">
            <w:rPr>
              <w:rFonts w:cstheme="minorHAnsi"/>
              <w:sz w:val="22"/>
              <w:szCs w:val="22"/>
            </w:rPr>
            <w:fldChar w:fldCharType="separate"/>
          </w:r>
          <w:r w:rsidRPr="00E66A94">
            <w:rPr>
              <w:rFonts w:cstheme="minorHAnsi"/>
              <w:noProof/>
              <w:sz w:val="22"/>
              <w:szCs w:val="22"/>
            </w:rPr>
            <w:t xml:space="preserve">(ATL - National </w:t>
          </w:r>
          <w:r w:rsidRPr="00E66A94">
            <w:rPr>
              <w:rFonts w:cstheme="minorHAnsi"/>
              <w:noProof/>
              <w:sz w:val="22"/>
              <w:szCs w:val="22"/>
            </w:rPr>
            <w:lastRenderedPageBreak/>
            <w:t>Educarion Union, 2016)</w:t>
          </w:r>
          <w:r w:rsidRPr="00E66A94">
            <w:rPr>
              <w:rFonts w:cstheme="minorHAnsi"/>
              <w:sz w:val="22"/>
              <w:szCs w:val="22"/>
            </w:rPr>
            <w:fldChar w:fldCharType="end"/>
          </w:r>
        </w:sdtContent>
      </w:sdt>
      <w:r w:rsidRPr="00E66A94">
        <w:rPr>
          <w:rFonts w:cstheme="minorHAnsi"/>
          <w:sz w:val="22"/>
          <w:szCs w:val="22"/>
        </w:rPr>
        <w:t xml:space="preserve">. In my risk assessment, I have thought about ‘the type of activity’, ‘the age and competence’ or the students, ‘any special educational needs/medical needs’, ‘adult:student ratios’, the adults, ‘ transport’, and ‘emergency procedures’  </w:t>
      </w:r>
      <w:sdt>
        <w:sdtPr>
          <w:rPr>
            <w:rFonts w:cstheme="minorHAnsi"/>
            <w:sz w:val="22"/>
            <w:szCs w:val="22"/>
          </w:rPr>
          <w:id w:val="1584329191"/>
          <w:citation/>
        </w:sdtPr>
        <w:sdtContent>
          <w:r w:rsidRPr="00E66A94">
            <w:rPr>
              <w:rFonts w:cstheme="minorHAnsi"/>
              <w:sz w:val="22"/>
              <w:szCs w:val="22"/>
            </w:rPr>
            <w:fldChar w:fldCharType="begin"/>
          </w:r>
          <w:r w:rsidRPr="00E66A94">
            <w:rPr>
              <w:rFonts w:cstheme="minorHAnsi"/>
              <w:sz w:val="22"/>
              <w:szCs w:val="22"/>
            </w:rPr>
            <w:instrText xml:space="preserve"> CITATION ATL16 \l 2057 </w:instrText>
          </w:r>
          <w:r w:rsidRPr="00E66A94">
            <w:rPr>
              <w:rFonts w:cstheme="minorHAnsi"/>
              <w:sz w:val="22"/>
              <w:szCs w:val="22"/>
            </w:rPr>
            <w:fldChar w:fldCharType="separate"/>
          </w:r>
          <w:r w:rsidRPr="00E66A94">
            <w:rPr>
              <w:rFonts w:cstheme="minorHAnsi"/>
              <w:noProof/>
              <w:sz w:val="22"/>
              <w:szCs w:val="22"/>
            </w:rPr>
            <w:t>(ATL - National Educarion Union, 2016)</w:t>
          </w:r>
          <w:r w:rsidRPr="00E66A94">
            <w:rPr>
              <w:rFonts w:cstheme="minorHAnsi"/>
              <w:sz w:val="22"/>
              <w:szCs w:val="22"/>
            </w:rPr>
            <w:fldChar w:fldCharType="end"/>
          </w:r>
        </w:sdtContent>
      </w:sdt>
      <w:r w:rsidRPr="00E66A94">
        <w:rPr>
          <w:rFonts w:cstheme="minorHAnsi"/>
          <w:sz w:val="22"/>
          <w:szCs w:val="22"/>
        </w:rPr>
        <w:t xml:space="preserve">. My risk assessment specifically looks at water levels, the public, lost children, weather, surfaces (slippery, unstable, rocky etc), medical emergencies and events and accessibility. Please see appendix </w:t>
      </w:r>
      <w:r w:rsidR="003E5CF1">
        <w:rPr>
          <w:rFonts w:cstheme="minorHAnsi"/>
          <w:sz w:val="22"/>
          <w:szCs w:val="22"/>
        </w:rPr>
        <w:t>A</w:t>
      </w:r>
      <w:r w:rsidRPr="00E66A94">
        <w:rPr>
          <w:rFonts w:cstheme="minorHAnsi"/>
          <w:sz w:val="22"/>
          <w:szCs w:val="22"/>
        </w:rPr>
        <w:t xml:space="preserve"> for the full risk assessment and the actions to follow them.</w:t>
      </w:r>
      <w:r>
        <w:rPr>
          <w:rFonts w:cstheme="minorHAnsi"/>
          <w:sz w:val="22"/>
          <w:szCs w:val="22"/>
        </w:rPr>
        <w:t xml:space="preserve"> Even though risks are tried to be eliminated for children when going on visits and even in the school grounds, children need to take risks themselves and be aware of them being risks. Learning in the outdoors is the ‘ideal environment for experimental learning’ because it allows opportunities to take ‘risks’ </w:t>
      </w:r>
      <w:sdt>
        <w:sdtPr>
          <w:rPr>
            <w:rFonts w:cstheme="minorHAnsi"/>
            <w:sz w:val="22"/>
            <w:szCs w:val="22"/>
          </w:rPr>
          <w:id w:val="-2099013502"/>
          <w:citation/>
        </w:sdtPr>
        <w:sdtContent>
          <w:r>
            <w:rPr>
              <w:rFonts w:cstheme="minorHAnsi"/>
              <w:sz w:val="22"/>
              <w:szCs w:val="22"/>
            </w:rPr>
            <w:fldChar w:fldCharType="begin"/>
          </w:r>
          <w:r>
            <w:rPr>
              <w:rFonts w:cstheme="minorHAnsi"/>
              <w:sz w:val="22"/>
              <w:szCs w:val="22"/>
            </w:rPr>
            <w:instrText xml:space="preserve">CITATION DCE09 \p 2 \l 2057 </w:instrText>
          </w:r>
          <w:r>
            <w:rPr>
              <w:rFonts w:cstheme="minorHAnsi"/>
              <w:sz w:val="22"/>
              <w:szCs w:val="22"/>
            </w:rPr>
            <w:fldChar w:fldCharType="separate"/>
          </w:r>
          <w:r w:rsidRPr="001401B3">
            <w:rPr>
              <w:rFonts w:cstheme="minorHAnsi"/>
              <w:noProof/>
              <w:sz w:val="22"/>
              <w:szCs w:val="22"/>
            </w:rPr>
            <w:t>(DCELLS, 2009, p. 2)</w:t>
          </w:r>
          <w:r>
            <w:rPr>
              <w:rFonts w:cstheme="minorHAnsi"/>
              <w:sz w:val="22"/>
              <w:szCs w:val="22"/>
            </w:rPr>
            <w:fldChar w:fldCharType="end"/>
          </w:r>
        </w:sdtContent>
      </w:sdt>
      <w:r>
        <w:rPr>
          <w:rFonts w:cstheme="minorHAnsi"/>
          <w:sz w:val="22"/>
          <w:szCs w:val="22"/>
        </w:rPr>
        <w:t xml:space="preserve">.  Risk assessments are important because all children need some exposure to risk, however, these risks have to be ‘evaluated’ and ‘considered’ before the children can be exposed to them but this is ‘no to say that all risk is </w:t>
      </w:r>
      <w:r w:rsidRPr="00C67BA5">
        <w:rPr>
          <w:rFonts w:cstheme="minorHAnsi"/>
          <w:sz w:val="22"/>
          <w:szCs w:val="22"/>
        </w:rPr>
        <w:t xml:space="preserve">acceptable’ </w:t>
      </w:r>
      <w:sdt>
        <w:sdtPr>
          <w:rPr>
            <w:rFonts w:cstheme="minorHAnsi"/>
            <w:sz w:val="22"/>
            <w:szCs w:val="22"/>
          </w:rPr>
          <w:id w:val="-287739845"/>
          <w:citation/>
        </w:sdtPr>
        <w:sdtContent>
          <w:r w:rsidRPr="00C67BA5">
            <w:rPr>
              <w:rFonts w:cstheme="minorHAnsi"/>
              <w:sz w:val="22"/>
              <w:szCs w:val="22"/>
            </w:rPr>
            <w:fldChar w:fldCharType="begin"/>
          </w:r>
          <w:r w:rsidRPr="00C67BA5">
            <w:rPr>
              <w:rFonts w:cstheme="minorHAnsi"/>
              <w:sz w:val="22"/>
              <w:szCs w:val="22"/>
            </w:rPr>
            <w:instrText xml:space="preserve">CITATION DCE09 \p 4 \l 2057 </w:instrText>
          </w:r>
          <w:r w:rsidRPr="00C67BA5">
            <w:rPr>
              <w:rFonts w:cstheme="minorHAnsi"/>
              <w:sz w:val="22"/>
              <w:szCs w:val="22"/>
            </w:rPr>
            <w:fldChar w:fldCharType="separate"/>
          </w:r>
          <w:r w:rsidRPr="00C67BA5">
            <w:rPr>
              <w:rFonts w:cstheme="minorHAnsi"/>
              <w:noProof/>
              <w:sz w:val="22"/>
              <w:szCs w:val="22"/>
            </w:rPr>
            <w:t>(DCELLS, 2009, p. 4)</w:t>
          </w:r>
          <w:r w:rsidRPr="00C67BA5">
            <w:rPr>
              <w:rFonts w:cstheme="minorHAnsi"/>
              <w:sz w:val="22"/>
              <w:szCs w:val="22"/>
            </w:rPr>
            <w:fldChar w:fldCharType="end"/>
          </w:r>
        </w:sdtContent>
      </w:sdt>
      <w:r w:rsidRPr="00C67BA5">
        <w:rPr>
          <w:rFonts w:cstheme="minorHAnsi"/>
          <w:sz w:val="22"/>
          <w:szCs w:val="22"/>
        </w:rPr>
        <w:t>.</w:t>
      </w:r>
      <w:r>
        <w:rPr>
          <w:rFonts w:cstheme="minorHAnsi"/>
          <w:sz w:val="22"/>
          <w:szCs w:val="22"/>
        </w:rPr>
        <w:t xml:space="preserve"> </w:t>
      </w:r>
    </w:p>
    <w:p w14:paraId="718CF02B" w14:textId="32729846" w:rsidR="00D70813" w:rsidRDefault="00D70813" w:rsidP="001504FB">
      <w:pPr>
        <w:spacing w:line="360" w:lineRule="auto"/>
        <w:rPr>
          <w:rFonts w:cstheme="minorHAnsi"/>
          <w:sz w:val="22"/>
          <w:szCs w:val="22"/>
        </w:rPr>
      </w:pPr>
    </w:p>
    <w:p w14:paraId="56942674" w14:textId="517CBE85" w:rsidR="005726FE" w:rsidRPr="00E66A94" w:rsidRDefault="005726FE" w:rsidP="005726FE">
      <w:pPr>
        <w:spacing w:line="360" w:lineRule="auto"/>
        <w:rPr>
          <w:rFonts w:cstheme="minorHAnsi"/>
          <w:sz w:val="22"/>
          <w:szCs w:val="22"/>
        </w:rPr>
      </w:pPr>
      <w:r>
        <w:rPr>
          <w:rFonts w:cstheme="minorHAnsi"/>
          <w:sz w:val="22"/>
          <w:szCs w:val="22"/>
        </w:rPr>
        <w:t xml:space="preserve">In the weeks prior to the visit, the children had learnt four new games in P.E. sessions. These games were chosen as the theme is school and the local community, and these types of games are usually played in the playground at break times. In the lesson prior to the visit, the children had completed a carousel session of these four games. These games are catching and throwing; duck, duck, goose, foxes and hounds; and red light, green light. The children were told that they would be playing these games in different places such as the hall, on the beach, and on the grass on the school field. Then it was explained that the lesson on that day would be in the hall. Once the children had played all the games the children would be asked questions as a plenary such as </w:t>
      </w:r>
      <w:proofErr w:type="gramStart"/>
      <w:r>
        <w:rPr>
          <w:rFonts w:cstheme="minorHAnsi"/>
          <w:sz w:val="22"/>
          <w:szCs w:val="22"/>
        </w:rPr>
        <w:t>did</w:t>
      </w:r>
      <w:proofErr w:type="gramEnd"/>
      <w:r>
        <w:rPr>
          <w:rFonts w:cstheme="minorHAnsi"/>
          <w:sz w:val="22"/>
          <w:szCs w:val="22"/>
        </w:rPr>
        <w:t xml:space="preserve"> they find it hard or easy playing on the hall floor and if they thought that playing games like these would keep them healthy as children.</w:t>
      </w:r>
      <w:r w:rsidRPr="004A5505">
        <w:rPr>
          <w:rFonts w:cstheme="minorHAnsi"/>
          <w:sz w:val="22"/>
          <w:szCs w:val="22"/>
        </w:rPr>
        <w:t xml:space="preserve"> </w:t>
      </w:r>
      <w:r>
        <w:rPr>
          <w:rFonts w:cstheme="minorHAnsi"/>
          <w:sz w:val="22"/>
          <w:szCs w:val="22"/>
        </w:rPr>
        <w:t xml:space="preserve">Please see lesson plan one for more detail (appendix </w:t>
      </w:r>
      <w:r w:rsidR="008D5BAD">
        <w:rPr>
          <w:rFonts w:cstheme="minorHAnsi"/>
          <w:sz w:val="22"/>
          <w:szCs w:val="22"/>
        </w:rPr>
        <w:t>B)</w:t>
      </w:r>
    </w:p>
    <w:p w14:paraId="47FB8C54" w14:textId="77777777" w:rsidR="000E1457" w:rsidRPr="00E66A94" w:rsidRDefault="000E1457" w:rsidP="001504FB">
      <w:pPr>
        <w:spacing w:line="360" w:lineRule="auto"/>
        <w:rPr>
          <w:rFonts w:cstheme="minorHAnsi"/>
          <w:sz w:val="22"/>
          <w:szCs w:val="22"/>
        </w:rPr>
      </w:pPr>
    </w:p>
    <w:p w14:paraId="0D6B253C" w14:textId="6017E72B" w:rsidR="008233FA" w:rsidRPr="00E66A94" w:rsidRDefault="008233FA" w:rsidP="008233FA">
      <w:pPr>
        <w:spacing w:line="360" w:lineRule="auto"/>
        <w:rPr>
          <w:rFonts w:cstheme="minorHAnsi"/>
          <w:sz w:val="22"/>
          <w:szCs w:val="22"/>
        </w:rPr>
      </w:pPr>
      <w:r>
        <w:rPr>
          <w:rFonts w:cstheme="minorHAnsi"/>
          <w:sz w:val="22"/>
          <w:szCs w:val="22"/>
        </w:rPr>
        <w:t>During the visit, the children will do the same activities as they have done in the lesson prior except this time, they will be doing it on the sand. They should find this lesson harder to do and may take them longer to have control over their body movements. Before leaving the school for the trip, children are told</w:t>
      </w:r>
      <w:r w:rsidRPr="00366216">
        <w:rPr>
          <w:rFonts w:cstheme="minorHAnsi"/>
          <w:sz w:val="22"/>
          <w:szCs w:val="22"/>
        </w:rPr>
        <w:t xml:space="preserve"> that they will find a difference when playing on the sand on the beach and that they will be asked about their experience at the end of the day.</w:t>
      </w:r>
      <w:r>
        <w:rPr>
          <w:rFonts w:cstheme="minorHAnsi"/>
          <w:sz w:val="22"/>
          <w:szCs w:val="22"/>
        </w:rPr>
        <w:t xml:space="preserve"> They are also told where they would be </w:t>
      </w:r>
      <w:r w:rsidR="00705CD9">
        <w:rPr>
          <w:rFonts w:cstheme="minorHAnsi"/>
          <w:sz w:val="22"/>
          <w:szCs w:val="22"/>
        </w:rPr>
        <w:t>going</w:t>
      </w:r>
      <w:r>
        <w:rPr>
          <w:rFonts w:cstheme="minorHAnsi"/>
          <w:sz w:val="22"/>
          <w:szCs w:val="22"/>
        </w:rPr>
        <w:t xml:space="preserve">. The final important thing that the children will need to be told before setting off to the bus for the trip would be the rules that they would need to follow. The children will also be briefed on ‘stranger danger’ even though they will have had this talk before from a police officer and from staff around the school in personal social educational lessons (PSE). This is to keep the children safe when </w:t>
      </w:r>
      <w:r>
        <w:rPr>
          <w:rFonts w:cstheme="minorHAnsi"/>
          <w:sz w:val="22"/>
          <w:szCs w:val="22"/>
        </w:rPr>
        <w:lastRenderedPageBreak/>
        <w:t xml:space="preserve">out on the trip and is part of the risk assessment strategies to overcome the risks.  Please see lesson plan two for more detail (appendix </w:t>
      </w:r>
      <w:r w:rsidR="00750323">
        <w:rPr>
          <w:rFonts w:cstheme="minorHAnsi"/>
          <w:sz w:val="22"/>
          <w:szCs w:val="22"/>
        </w:rPr>
        <w:t>C).</w:t>
      </w:r>
    </w:p>
    <w:p w14:paraId="325A74B1" w14:textId="52A9990D" w:rsidR="005E25B0" w:rsidRPr="00A7186E" w:rsidRDefault="005E25B0" w:rsidP="005E25B0">
      <w:pPr>
        <w:spacing w:line="360" w:lineRule="auto"/>
        <w:rPr>
          <w:rFonts w:cstheme="minorHAnsi"/>
          <w:sz w:val="22"/>
          <w:szCs w:val="22"/>
        </w:rPr>
      </w:pPr>
      <w:r>
        <w:rPr>
          <w:rFonts w:cstheme="minorHAnsi"/>
          <w:color w:val="000000" w:themeColor="text1"/>
          <w:sz w:val="22"/>
          <w:szCs w:val="22"/>
        </w:rPr>
        <w:t xml:space="preserve">After the visit, the children will take part in the same lesson but on the school field on the grass. </w:t>
      </w:r>
      <w:r>
        <w:rPr>
          <w:rFonts w:cstheme="minorHAnsi"/>
          <w:sz w:val="22"/>
          <w:szCs w:val="22"/>
        </w:rPr>
        <w:t xml:space="preserve">It is explained to the children that </w:t>
      </w:r>
      <w:r w:rsidRPr="00A215BD">
        <w:rPr>
          <w:rFonts w:cstheme="minorHAnsi"/>
          <w:sz w:val="22"/>
          <w:szCs w:val="22"/>
        </w:rPr>
        <w:t>they will find a difference from both previous experiences to playing on the grass in this lesson.</w:t>
      </w:r>
      <w:r>
        <w:rPr>
          <w:rFonts w:cstheme="minorHAnsi"/>
          <w:sz w:val="22"/>
          <w:szCs w:val="22"/>
        </w:rPr>
        <w:t xml:space="preserve"> </w:t>
      </w:r>
      <w:r w:rsidRPr="00A215BD">
        <w:rPr>
          <w:rFonts w:cstheme="minorHAnsi"/>
          <w:sz w:val="22"/>
          <w:szCs w:val="22"/>
        </w:rPr>
        <w:t>The children are reminded that they will have circle time to discuss their experiences and the similarities and differences.</w:t>
      </w:r>
      <w:r>
        <w:rPr>
          <w:rFonts w:cstheme="minorHAnsi"/>
          <w:sz w:val="22"/>
          <w:szCs w:val="22"/>
        </w:rPr>
        <w:t xml:space="preserve"> After taking part in the three lessons, the children will have a circle time as a plenary and assessment for all the lessons. In the plenary, the children will be asked if they found it harder playing on the hall floor, the sand on the beach, or the grass. Another question that the children will be asked is which surface they found easier to play on. The higher abilities will be able to answer ‘why’ for these questions to extend their language skills and help push their learning further. The final question the children would be asked would be ‘what are the similarities between the three surfaces?’ and then ‘what are the differences between the three surfaces?’. ‘Similarities’ might be a word that the children would not understand so the question would have to be reworded especially for the lower abilities. Finally, to close this extended plenary, it will be explained to the children that they conducted a type of scientific experiment by playing the same games on different surfaces them to find out how the surfaces are alike and how they are different. Please see lesson plan three for more detail (appendix </w:t>
      </w:r>
      <w:r w:rsidR="002F056C">
        <w:rPr>
          <w:rFonts w:cstheme="minorHAnsi"/>
          <w:sz w:val="22"/>
          <w:szCs w:val="22"/>
        </w:rPr>
        <w:t>D).</w:t>
      </w:r>
    </w:p>
    <w:p w14:paraId="22C2B7C5" w14:textId="27ACACB4" w:rsidR="000E1457" w:rsidRDefault="000E1457" w:rsidP="001504FB">
      <w:pPr>
        <w:spacing w:line="360" w:lineRule="auto"/>
        <w:rPr>
          <w:rFonts w:cstheme="minorHAnsi"/>
          <w:sz w:val="22"/>
          <w:szCs w:val="22"/>
        </w:rPr>
      </w:pPr>
    </w:p>
    <w:p w14:paraId="2B21F687" w14:textId="77777777" w:rsidR="00904AC7" w:rsidRPr="00E66A94" w:rsidRDefault="00904AC7" w:rsidP="00904AC7">
      <w:pPr>
        <w:spacing w:line="360" w:lineRule="auto"/>
        <w:rPr>
          <w:rFonts w:cstheme="minorHAnsi"/>
          <w:sz w:val="22"/>
          <w:szCs w:val="22"/>
        </w:rPr>
      </w:pPr>
      <w:r>
        <w:rPr>
          <w:rFonts w:cstheme="minorHAnsi"/>
          <w:sz w:val="22"/>
          <w:szCs w:val="22"/>
        </w:rPr>
        <w:t>Learning outdoors has its benefits and according to Grigg</w:t>
      </w:r>
      <w:sdt>
        <w:sdtPr>
          <w:rPr>
            <w:rFonts w:cstheme="minorHAnsi"/>
            <w:sz w:val="22"/>
            <w:szCs w:val="22"/>
          </w:rPr>
          <w:id w:val="-1482993975"/>
          <w:citation/>
        </w:sdtPr>
        <w:sdtContent>
          <w:r>
            <w:rPr>
              <w:rFonts w:cstheme="minorHAnsi"/>
              <w:sz w:val="22"/>
              <w:szCs w:val="22"/>
            </w:rPr>
            <w:fldChar w:fldCharType="begin"/>
          </w:r>
          <w:r>
            <w:rPr>
              <w:rFonts w:cstheme="minorHAnsi"/>
              <w:sz w:val="22"/>
              <w:szCs w:val="22"/>
            </w:rPr>
            <w:instrText xml:space="preserve">CITATION Gri152 \p 288 \n  \l 2057 </w:instrText>
          </w:r>
          <w:r>
            <w:rPr>
              <w:rFonts w:cstheme="minorHAnsi"/>
              <w:sz w:val="22"/>
              <w:szCs w:val="22"/>
            </w:rPr>
            <w:fldChar w:fldCharType="separate"/>
          </w:r>
          <w:r>
            <w:rPr>
              <w:rFonts w:cstheme="minorHAnsi"/>
              <w:noProof/>
              <w:sz w:val="22"/>
              <w:szCs w:val="22"/>
            </w:rPr>
            <w:t xml:space="preserve"> </w:t>
          </w:r>
          <w:r w:rsidRPr="00B82CFD">
            <w:rPr>
              <w:rFonts w:cstheme="minorHAnsi"/>
              <w:noProof/>
              <w:sz w:val="22"/>
              <w:szCs w:val="22"/>
            </w:rPr>
            <w:t>(2015, p. 288)</w:t>
          </w:r>
          <w:r>
            <w:rPr>
              <w:rFonts w:cstheme="minorHAnsi"/>
              <w:sz w:val="22"/>
              <w:szCs w:val="22"/>
            </w:rPr>
            <w:fldChar w:fldCharType="end"/>
          </w:r>
        </w:sdtContent>
      </w:sdt>
      <w:r>
        <w:rPr>
          <w:rFonts w:cstheme="minorHAnsi"/>
          <w:sz w:val="22"/>
          <w:szCs w:val="22"/>
        </w:rPr>
        <w:t xml:space="preserve">, these benefits include ‘knowledge retention, critical thinking, enjoyment, physical development and improved behaviour’. Visits to different spaces and places to learn is about the experiences that children can use to base their knowledge off and develop a deeper understanding than they would have just being taught the same knowledge in a lesson in the same classroom that they learn in every day. Children’s skills can be taken further with the help of outdoor learning such the ‘opportunities to enhance ESDGC through learning outside the classroom’ which can provide ‘vital links between the theorical aspects of ESDGC and the reality’ </w:t>
      </w:r>
      <w:sdt>
        <w:sdtPr>
          <w:rPr>
            <w:rFonts w:cstheme="minorHAnsi"/>
            <w:sz w:val="22"/>
            <w:szCs w:val="22"/>
          </w:rPr>
          <w:id w:val="144718422"/>
          <w:citation/>
        </w:sdtPr>
        <w:sdtContent>
          <w:r>
            <w:rPr>
              <w:rFonts w:cstheme="minorHAnsi"/>
              <w:sz w:val="22"/>
              <w:szCs w:val="22"/>
            </w:rPr>
            <w:fldChar w:fldCharType="begin"/>
          </w:r>
          <w:r>
            <w:rPr>
              <w:rFonts w:cstheme="minorHAnsi"/>
              <w:sz w:val="22"/>
              <w:szCs w:val="22"/>
            </w:rPr>
            <w:instrText xml:space="preserve">CITATION DCE082 \p 25 \l 2057 </w:instrText>
          </w:r>
          <w:r>
            <w:rPr>
              <w:rFonts w:cstheme="minorHAnsi"/>
              <w:sz w:val="22"/>
              <w:szCs w:val="22"/>
            </w:rPr>
            <w:fldChar w:fldCharType="separate"/>
          </w:r>
          <w:r w:rsidRPr="00050BBC">
            <w:rPr>
              <w:rFonts w:cstheme="minorHAnsi"/>
              <w:noProof/>
              <w:sz w:val="22"/>
              <w:szCs w:val="22"/>
            </w:rPr>
            <w:t>(DCELLS, 2008, p. 25)</w:t>
          </w:r>
          <w:r>
            <w:rPr>
              <w:rFonts w:cstheme="minorHAnsi"/>
              <w:sz w:val="22"/>
              <w:szCs w:val="22"/>
            </w:rPr>
            <w:fldChar w:fldCharType="end"/>
          </w:r>
        </w:sdtContent>
      </w:sdt>
      <w:r>
        <w:rPr>
          <w:rFonts w:cstheme="minorHAnsi"/>
          <w:sz w:val="22"/>
          <w:szCs w:val="22"/>
        </w:rPr>
        <w:t>.</w:t>
      </w:r>
    </w:p>
    <w:p w14:paraId="573962B4" w14:textId="7A56B3F5" w:rsidR="00126864" w:rsidRDefault="00126864" w:rsidP="001504FB">
      <w:pPr>
        <w:spacing w:line="360" w:lineRule="auto"/>
        <w:rPr>
          <w:rFonts w:cstheme="minorHAnsi"/>
          <w:sz w:val="22"/>
          <w:szCs w:val="22"/>
        </w:rPr>
      </w:pPr>
    </w:p>
    <w:p w14:paraId="6B42BC55" w14:textId="7A3FEC4E" w:rsidR="00563EFC" w:rsidRDefault="00563EFC" w:rsidP="001504FB">
      <w:pPr>
        <w:spacing w:line="360" w:lineRule="auto"/>
        <w:rPr>
          <w:rFonts w:cstheme="minorHAnsi"/>
          <w:sz w:val="22"/>
          <w:szCs w:val="22"/>
        </w:rPr>
      </w:pPr>
    </w:p>
    <w:p w14:paraId="01596E0A" w14:textId="77777777" w:rsidR="00563EFC" w:rsidRPr="00E66A94" w:rsidRDefault="00563EFC" w:rsidP="001504FB">
      <w:pPr>
        <w:spacing w:line="360" w:lineRule="auto"/>
        <w:rPr>
          <w:rFonts w:cstheme="minorHAnsi"/>
          <w:sz w:val="22"/>
          <w:szCs w:val="22"/>
        </w:rPr>
      </w:pPr>
    </w:p>
    <w:p w14:paraId="291D3235" w14:textId="28AFF2A0" w:rsidR="00082B1E" w:rsidRDefault="001D04C9" w:rsidP="001504FB">
      <w:pPr>
        <w:spacing w:line="360" w:lineRule="auto"/>
        <w:rPr>
          <w:rFonts w:cstheme="minorHAnsi"/>
          <w:sz w:val="22"/>
          <w:szCs w:val="22"/>
        </w:rPr>
      </w:pPr>
      <w:r>
        <w:rPr>
          <w:rFonts w:cstheme="minorHAnsi"/>
          <w:sz w:val="22"/>
          <w:szCs w:val="22"/>
        </w:rPr>
        <w:t xml:space="preserve">Word count: </w:t>
      </w:r>
      <w:r w:rsidR="005B6494">
        <w:rPr>
          <w:rFonts w:cstheme="minorHAnsi"/>
          <w:sz w:val="22"/>
          <w:szCs w:val="22"/>
        </w:rPr>
        <w:t>3</w:t>
      </w:r>
      <w:r w:rsidR="003E66B3">
        <w:rPr>
          <w:rFonts w:cstheme="minorHAnsi"/>
          <w:sz w:val="22"/>
          <w:szCs w:val="22"/>
        </w:rPr>
        <w:t>29</w:t>
      </w:r>
      <w:r w:rsidR="00B42355">
        <w:rPr>
          <w:rFonts w:cstheme="minorHAnsi"/>
          <w:sz w:val="22"/>
          <w:szCs w:val="22"/>
        </w:rPr>
        <w:t>7</w:t>
      </w:r>
    </w:p>
    <w:p w14:paraId="072AE68F" w14:textId="5C0930F9" w:rsidR="00A23965" w:rsidRPr="00E66A94" w:rsidRDefault="00A23965" w:rsidP="00A23965">
      <w:pPr>
        <w:rPr>
          <w:rFonts w:cstheme="minorHAnsi"/>
          <w:sz w:val="22"/>
          <w:szCs w:val="22"/>
        </w:rPr>
      </w:pPr>
      <w:r>
        <w:rPr>
          <w:rFonts w:cstheme="minorHAnsi"/>
          <w:sz w:val="22"/>
          <w:szCs w:val="22"/>
        </w:rPr>
        <w:br w:type="page"/>
      </w:r>
    </w:p>
    <w:sdt>
      <w:sdtPr>
        <w:id w:val="2073306674"/>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5CE692B8" w14:textId="7E194BF8" w:rsidR="00A23965" w:rsidRDefault="00A23965">
          <w:pPr>
            <w:pStyle w:val="Heading1"/>
          </w:pPr>
          <w:r>
            <w:t>References</w:t>
          </w:r>
        </w:p>
        <w:sdt>
          <w:sdtPr>
            <w:id w:val="111145805"/>
            <w:bibliography/>
          </w:sdtPr>
          <w:sdtContent>
            <w:p w14:paraId="29D645D9" w14:textId="77772E5B" w:rsidR="00A23965" w:rsidRDefault="00A23965" w:rsidP="00A23965">
              <w:pPr>
                <w:pStyle w:val="Bibliography"/>
                <w:rPr>
                  <w:noProof/>
                  <w:lang w:val="en-US"/>
                </w:rPr>
              </w:pPr>
              <w:r>
                <w:fldChar w:fldCharType="begin"/>
              </w:r>
              <w:r>
                <w:instrText xml:space="preserve"> BIBLIOGRAPHY </w:instrText>
              </w:r>
              <w:r>
                <w:fldChar w:fldCharType="separate"/>
              </w:r>
              <w:r>
                <w:rPr>
                  <w:noProof/>
                  <w:lang w:val="en-US"/>
                </w:rPr>
                <w:t>ATL - National Educarion Union</w:t>
              </w:r>
              <w:r w:rsidR="00470603">
                <w:rPr>
                  <w:noProof/>
                  <w:lang w:val="en-US"/>
                </w:rPr>
                <w:t xml:space="preserve"> (</w:t>
              </w:r>
              <w:r>
                <w:rPr>
                  <w:noProof/>
                  <w:lang w:val="en-US"/>
                </w:rPr>
                <w:t>2016</w:t>
              </w:r>
              <w:r w:rsidR="00470603">
                <w:rPr>
                  <w:noProof/>
                  <w:lang w:val="en-US"/>
                </w:rPr>
                <w:t>)</w:t>
              </w:r>
              <w:r>
                <w:rPr>
                  <w:noProof/>
                  <w:lang w:val="en-US"/>
                </w:rPr>
                <w:t xml:space="preserve"> </w:t>
              </w:r>
              <w:r>
                <w:rPr>
                  <w:i/>
                  <w:iCs/>
                  <w:noProof/>
                  <w:lang w:val="en-US"/>
                </w:rPr>
                <w:t xml:space="preserve">Risk assessments and trips. </w:t>
              </w:r>
              <w:r>
                <w:rPr>
                  <w:noProof/>
                  <w:lang w:val="en-US"/>
                </w:rPr>
                <w:t xml:space="preserve">[Online] </w:t>
              </w:r>
              <w:r>
                <w:rPr>
                  <w:noProof/>
                  <w:lang w:val="en-US"/>
                </w:rPr>
                <w:br/>
                <w:t xml:space="preserve">Available at: </w:t>
              </w:r>
              <w:r>
                <w:rPr>
                  <w:noProof/>
                  <w:u w:val="single"/>
                  <w:lang w:val="en-US"/>
                </w:rPr>
                <w:t>https://www.atl.org.uk/advice-and-resources/health-and-safety/risk-assessments-and-trips</w:t>
              </w:r>
              <w:r>
                <w:rPr>
                  <w:noProof/>
                  <w:lang w:val="en-US"/>
                </w:rPr>
                <w:br/>
                <w:t>[Accessed 18 May 2019].</w:t>
              </w:r>
            </w:p>
            <w:p w14:paraId="1C427033" w14:textId="0272E03B" w:rsidR="00A23965" w:rsidRDefault="00A23965" w:rsidP="00A23965">
              <w:pPr>
                <w:pStyle w:val="Bibliography"/>
                <w:rPr>
                  <w:noProof/>
                  <w:lang w:val="en-US"/>
                </w:rPr>
              </w:pPr>
              <w:r>
                <w:rPr>
                  <w:noProof/>
                  <w:lang w:val="en-US"/>
                </w:rPr>
                <w:t>Barnes, J.</w:t>
              </w:r>
              <w:r w:rsidR="00470603">
                <w:rPr>
                  <w:noProof/>
                  <w:lang w:val="en-US"/>
                </w:rPr>
                <w:t xml:space="preserve"> (</w:t>
              </w:r>
              <w:r>
                <w:rPr>
                  <w:noProof/>
                  <w:lang w:val="en-US"/>
                </w:rPr>
                <w:t>2011</w:t>
              </w:r>
              <w:r w:rsidR="00470603">
                <w:rPr>
                  <w:noProof/>
                  <w:lang w:val="en-US"/>
                </w:rPr>
                <w:t xml:space="preserve">) </w:t>
              </w:r>
              <w:r>
                <w:rPr>
                  <w:i/>
                  <w:iCs/>
                  <w:noProof/>
                  <w:lang w:val="en-US"/>
                </w:rPr>
                <w:t xml:space="preserve">Cross-Curricular Learning 3-15. </w:t>
              </w:r>
              <w:r>
                <w:rPr>
                  <w:noProof/>
                  <w:lang w:val="en-US"/>
                </w:rPr>
                <w:t>2nd ed. London: SAGE Publications Inc.</w:t>
              </w:r>
            </w:p>
            <w:p w14:paraId="3BD70A40" w14:textId="77777777" w:rsidR="00A23965" w:rsidRDefault="00A23965" w:rsidP="00A23965">
              <w:pPr>
                <w:pStyle w:val="Bibliography"/>
                <w:rPr>
                  <w:noProof/>
                  <w:lang w:val="en-US"/>
                </w:rPr>
              </w:pPr>
              <w:r>
                <w:rPr>
                  <w:noProof/>
                  <w:lang w:val="en-US"/>
                </w:rPr>
                <w:t xml:space="preserve">Copland, D., 2017. </w:t>
              </w:r>
              <w:r>
                <w:rPr>
                  <w:i/>
                  <w:iCs/>
                  <w:noProof/>
                  <w:lang w:val="en-US"/>
                </w:rPr>
                <w:t xml:space="preserve">Matching Preschool Classroom Activities to the PILES Developmental Domains. </w:t>
              </w:r>
              <w:r>
                <w:rPr>
                  <w:noProof/>
                  <w:lang w:val="en-US"/>
                </w:rPr>
                <w:t xml:space="preserve">[Online] </w:t>
              </w:r>
              <w:r>
                <w:rPr>
                  <w:noProof/>
                  <w:lang w:val="en-US"/>
                </w:rPr>
                <w:br/>
                <w:t xml:space="preserve">Available at: </w:t>
              </w:r>
              <w:r>
                <w:rPr>
                  <w:noProof/>
                  <w:u w:val="single"/>
                  <w:lang w:val="en-US"/>
                </w:rPr>
                <w:t>https://blog.himama.com/matching-preschool-classroom-activities-to-the-piles-developmental-domains/</w:t>
              </w:r>
              <w:r>
                <w:rPr>
                  <w:noProof/>
                  <w:lang w:val="en-US"/>
                </w:rPr>
                <w:br/>
                <w:t>[Accessed 19 May 2019].</w:t>
              </w:r>
            </w:p>
            <w:p w14:paraId="43B11C28" w14:textId="3986A3CE" w:rsidR="00A23965" w:rsidRDefault="00A23965" w:rsidP="00A23965">
              <w:pPr>
                <w:pStyle w:val="Bibliography"/>
                <w:rPr>
                  <w:noProof/>
                  <w:lang w:val="en-US"/>
                </w:rPr>
              </w:pPr>
              <w:r>
                <w:rPr>
                  <w:noProof/>
                  <w:lang w:val="en-US"/>
                </w:rPr>
                <w:t xml:space="preserve">Crown </w:t>
              </w:r>
              <w:r w:rsidR="00470603">
                <w:rPr>
                  <w:noProof/>
                  <w:lang w:val="en-US"/>
                </w:rPr>
                <w:t>(</w:t>
              </w:r>
              <w:r>
                <w:rPr>
                  <w:noProof/>
                  <w:lang w:val="en-US"/>
                </w:rPr>
                <w:t>2007</w:t>
              </w:r>
              <w:r w:rsidR="00470603">
                <w:rPr>
                  <w:noProof/>
                  <w:lang w:val="en-US"/>
                </w:rPr>
                <w:t xml:space="preserve">) </w:t>
              </w:r>
              <w:r>
                <w:rPr>
                  <w:i/>
                  <w:iCs/>
                  <w:noProof/>
                  <w:lang w:val="en-US"/>
                </w:rPr>
                <w:t xml:space="preserve">Effective Practice: Outdoor Learning, </w:t>
              </w:r>
              <w:r>
                <w:rPr>
                  <w:noProof/>
                  <w:lang w:val="en-US"/>
                </w:rPr>
                <w:t>s.l.: Crown.</w:t>
              </w:r>
            </w:p>
            <w:p w14:paraId="7C91FB60" w14:textId="0E2214B6" w:rsidR="00A23965" w:rsidRDefault="00A23965" w:rsidP="00A23965">
              <w:pPr>
                <w:pStyle w:val="Bibliography"/>
                <w:rPr>
                  <w:noProof/>
                  <w:lang w:val="en-US"/>
                </w:rPr>
              </w:pPr>
              <w:r>
                <w:rPr>
                  <w:noProof/>
                  <w:lang w:val="en-US"/>
                </w:rPr>
                <w:t xml:space="preserve">DCELLS </w:t>
              </w:r>
              <w:r w:rsidR="00470603">
                <w:rPr>
                  <w:noProof/>
                  <w:lang w:val="en-US"/>
                </w:rPr>
                <w:t>(</w:t>
              </w:r>
              <w:r>
                <w:rPr>
                  <w:noProof/>
                  <w:lang w:val="en-US"/>
                </w:rPr>
                <w:t>2008</w:t>
              </w:r>
              <w:r w:rsidR="00470603">
                <w:rPr>
                  <w:noProof/>
                  <w:lang w:val="en-US"/>
                </w:rPr>
                <w:t>)</w:t>
              </w:r>
              <w:r>
                <w:rPr>
                  <w:noProof/>
                  <w:lang w:val="en-US"/>
                </w:rPr>
                <w:t xml:space="preserve"> </w:t>
              </w:r>
              <w:r>
                <w:rPr>
                  <w:i/>
                  <w:iCs/>
                  <w:noProof/>
                  <w:lang w:val="en-US"/>
                </w:rPr>
                <w:t xml:space="preserve">Education for Sustainable Development and Global Citizenship - Information for teacher trainees and new teachers in Wales, </w:t>
              </w:r>
              <w:r>
                <w:rPr>
                  <w:noProof/>
                  <w:lang w:val="en-US"/>
                </w:rPr>
                <w:t>Cardiff: Welsh Assembly Government.</w:t>
              </w:r>
            </w:p>
            <w:p w14:paraId="076591B5" w14:textId="5D280949" w:rsidR="00A23965" w:rsidRDefault="00A23965" w:rsidP="00A23965">
              <w:pPr>
                <w:pStyle w:val="Bibliography"/>
                <w:rPr>
                  <w:noProof/>
                  <w:lang w:val="en-US"/>
                </w:rPr>
              </w:pPr>
              <w:r>
                <w:rPr>
                  <w:noProof/>
                  <w:lang w:val="en-US"/>
                </w:rPr>
                <w:t>DCELLS</w:t>
              </w:r>
              <w:r w:rsidR="00470603">
                <w:rPr>
                  <w:noProof/>
                  <w:lang w:val="en-US"/>
                </w:rPr>
                <w:t xml:space="preserve"> (</w:t>
              </w:r>
              <w:r>
                <w:rPr>
                  <w:noProof/>
                  <w:lang w:val="en-US"/>
                </w:rPr>
                <w:t>2008</w:t>
              </w:r>
              <w:r w:rsidR="00470603">
                <w:rPr>
                  <w:noProof/>
                  <w:lang w:val="en-US"/>
                </w:rPr>
                <w:t>)</w:t>
              </w:r>
              <w:r>
                <w:rPr>
                  <w:noProof/>
                  <w:lang w:val="en-US"/>
                </w:rPr>
                <w:t xml:space="preserve"> </w:t>
              </w:r>
              <w:r>
                <w:rPr>
                  <w:i/>
                  <w:iCs/>
                  <w:noProof/>
                  <w:lang w:val="en-US"/>
                </w:rPr>
                <w:t xml:space="preserve">Learning and Teaching Pedagogy, </w:t>
              </w:r>
              <w:r>
                <w:rPr>
                  <w:noProof/>
                  <w:lang w:val="en-US"/>
                </w:rPr>
                <w:t>Cardiff: Welsh Assembly Government.</w:t>
              </w:r>
            </w:p>
            <w:p w14:paraId="5E937BBB" w14:textId="48601A6A" w:rsidR="00A23965" w:rsidRDefault="00A23965" w:rsidP="00A23965">
              <w:pPr>
                <w:pStyle w:val="Bibliography"/>
                <w:rPr>
                  <w:noProof/>
                  <w:lang w:val="en-US"/>
                </w:rPr>
              </w:pPr>
              <w:r>
                <w:rPr>
                  <w:noProof/>
                  <w:lang w:val="en-US"/>
                </w:rPr>
                <w:t xml:space="preserve">DCELLS </w:t>
              </w:r>
              <w:r w:rsidR="00470603">
                <w:rPr>
                  <w:noProof/>
                  <w:lang w:val="en-US"/>
                </w:rPr>
                <w:t>(</w:t>
              </w:r>
              <w:r>
                <w:rPr>
                  <w:noProof/>
                  <w:lang w:val="en-US"/>
                </w:rPr>
                <w:t>2008</w:t>
              </w:r>
              <w:r w:rsidR="00470603">
                <w:rPr>
                  <w:noProof/>
                  <w:lang w:val="en-US"/>
                </w:rPr>
                <w:t>)</w:t>
              </w:r>
              <w:r>
                <w:rPr>
                  <w:noProof/>
                  <w:lang w:val="en-US"/>
                </w:rPr>
                <w:t xml:space="preserve"> </w:t>
              </w:r>
              <w:r>
                <w:rPr>
                  <w:i/>
                  <w:iCs/>
                  <w:noProof/>
                  <w:lang w:val="en-US"/>
                </w:rPr>
                <w:t xml:space="preserve">Play/Active Learning, </w:t>
              </w:r>
              <w:r>
                <w:rPr>
                  <w:noProof/>
                  <w:lang w:val="en-US"/>
                </w:rPr>
                <w:t>Cardiff: Welsh Assembly Government.</w:t>
              </w:r>
            </w:p>
            <w:p w14:paraId="5AFEB0DD" w14:textId="7360CE04" w:rsidR="00A23965" w:rsidRDefault="00A23965" w:rsidP="00A23965">
              <w:pPr>
                <w:pStyle w:val="Bibliography"/>
                <w:rPr>
                  <w:noProof/>
                  <w:lang w:val="en-US"/>
                </w:rPr>
              </w:pPr>
              <w:r>
                <w:rPr>
                  <w:noProof/>
                  <w:lang w:val="en-US"/>
                </w:rPr>
                <w:t>DCELLS</w:t>
              </w:r>
              <w:r w:rsidR="00470603">
                <w:rPr>
                  <w:noProof/>
                  <w:lang w:val="en-US"/>
                </w:rPr>
                <w:t xml:space="preserve"> (</w:t>
              </w:r>
              <w:r>
                <w:rPr>
                  <w:noProof/>
                  <w:lang w:val="en-US"/>
                </w:rPr>
                <w:t>2009</w:t>
              </w:r>
              <w:r w:rsidR="00470603">
                <w:rPr>
                  <w:noProof/>
                  <w:lang w:val="en-US"/>
                </w:rPr>
                <w:t xml:space="preserve">) </w:t>
              </w:r>
              <w:r>
                <w:rPr>
                  <w:i/>
                  <w:iCs/>
                  <w:noProof/>
                  <w:lang w:val="en-US"/>
                </w:rPr>
                <w:t xml:space="preserve">Foundation Phase Outdoor Learning Handbook, </w:t>
              </w:r>
              <w:r>
                <w:rPr>
                  <w:noProof/>
                  <w:lang w:val="en-US"/>
                </w:rPr>
                <w:t>Cardiff: Welsh Assembly Government.</w:t>
              </w:r>
            </w:p>
            <w:p w14:paraId="77D3F8C1" w14:textId="40EF8A14" w:rsidR="00A23965" w:rsidRDefault="00A23965" w:rsidP="00A23965">
              <w:pPr>
                <w:pStyle w:val="Bibliography"/>
                <w:rPr>
                  <w:noProof/>
                  <w:lang w:val="en-US"/>
                </w:rPr>
              </w:pPr>
              <w:r>
                <w:rPr>
                  <w:noProof/>
                  <w:lang w:val="en-US"/>
                </w:rPr>
                <w:t xml:space="preserve">Department for Education and Skills </w:t>
              </w:r>
              <w:r w:rsidR="00470603">
                <w:rPr>
                  <w:noProof/>
                  <w:lang w:val="en-US"/>
                </w:rPr>
                <w:t>(</w:t>
              </w:r>
              <w:r>
                <w:rPr>
                  <w:noProof/>
                  <w:lang w:val="en-US"/>
                </w:rPr>
                <w:t>2006</w:t>
              </w:r>
              <w:r w:rsidR="00470603">
                <w:rPr>
                  <w:noProof/>
                  <w:lang w:val="en-US"/>
                </w:rPr>
                <w:t>)</w:t>
              </w:r>
              <w:r>
                <w:rPr>
                  <w:noProof/>
                  <w:lang w:val="en-US"/>
                </w:rPr>
                <w:t xml:space="preserve"> </w:t>
              </w:r>
              <w:r>
                <w:rPr>
                  <w:i/>
                  <w:iCs/>
                  <w:noProof/>
                  <w:lang w:val="en-US"/>
                </w:rPr>
                <w:t xml:space="preserve">Learning Outside the Classroom Manifesto, </w:t>
              </w:r>
              <w:r>
                <w:rPr>
                  <w:noProof/>
                  <w:lang w:val="en-US"/>
                </w:rPr>
                <w:t>Nottingham: Department for Education and Skills.</w:t>
              </w:r>
            </w:p>
            <w:p w14:paraId="19FB0897" w14:textId="3E435BCD" w:rsidR="00A23965" w:rsidRDefault="00A23965" w:rsidP="00A23965">
              <w:pPr>
                <w:pStyle w:val="Bibliography"/>
                <w:rPr>
                  <w:noProof/>
                  <w:lang w:val="en-US"/>
                </w:rPr>
              </w:pPr>
              <w:r>
                <w:rPr>
                  <w:noProof/>
                  <w:lang w:val="en-US"/>
                </w:rPr>
                <w:t>Donaldson, G.</w:t>
              </w:r>
              <w:r w:rsidR="00470603">
                <w:rPr>
                  <w:noProof/>
                  <w:lang w:val="en-US"/>
                </w:rPr>
                <w:t xml:space="preserve"> (</w:t>
              </w:r>
              <w:r>
                <w:rPr>
                  <w:noProof/>
                  <w:lang w:val="en-US"/>
                </w:rPr>
                <w:t>2015</w:t>
              </w:r>
              <w:r w:rsidR="00470603">
                <w:rPr>
                  <w:noProof/>
                  <w:lang w:val="en-US"/>
                </w:rPr>
                <w:t>)</w:t>
              </w:r>
              <w:r>
                <w:rPr>
                  <w:noProof/>
                  <w:lang w:val="en-US"/>
                </w:rPr>
                <w:t xml:space="preserve"> </w:t>
              </w:r>
              <w:r>
                <w:rPr>
                  <w:i/>
                  <w:iCs/>
                  <w:noProof/>
                  <w:lang w:val="en-US"/>
                </w:rPr>
                <w:t xml:space="preserve">Successful Futures, </w:t>
              </w:r>
              <w:r>
                <w:rPr>
                  <w:noProof/>
                  <w:lang w:val="en-US"/>
                </w:rPr>
                <w:t>Cardiff: Welsh Government.</w:t>
              </w:r>
            </w:p>
            <w:p w14:paraId="4E8541BA" w14:textId="390A001D" w:rsidR="00A23965" w:rsidRDefault="00A23965" w:rsidP="00A23965">
              <w:pPr>
                <w:pStyle w:val="Bibliography"/>
                <w:rPr>
                  <w:noProof/>
                  <w:lang w:val="en-US"/>
                </w:rPr>
              </w:pPr>
              <w:r>
                <w:rPr>
                  <w:noProof/>
                  <w:lang w:val="en-US"/>
                </w:rPr>
                <w:t>Field, R.</w:t>
              </w:r>
              <w:r w:rsidR="00470603">
                <w:rPr>
                  <w:noProof/>
                  <w:lang w:val="en-US"/>
                </w:rPr>
                <w:t xml:space="preserve"> (</w:t>
              </w:r>
              <w:r>
                <w:rPr>
                  <w:noProof/>
                  <w:lang w:val="en-US"/>
                </w:rPr>
                <w:t>2002</w:t>
              </w:r>
              <w:r w:rsidR="00470603">
                <w:rPr>
                  <w:noProof/>
                  <w:lang w:val="en-US"/>
                </w:rPr>
                <w:t>)</w:t>
              </w:r>
              <w:r>
                <w:rPr>
                  <w:noProof/>
                  <w:lang w:val="en-US"/>
                </w:rPr>
                <w:t xml:space="preserve"> </w:t>
              </w:r>
              <w:r>
                <w:rPr>
                  <w:i/>
                  <w:iCs/>
                  <w:noProof/>
                  <w:lang w:val="en-US"/>
                </w:rPr>
                <w:t xml:space="preserve">John Dewey (1859-1952). </w:t>
              </w:r>
              <w:r>
                <w:rPr>
                  <w:noProof/>
                  <w:lang w:val="en-US"/>
                </w:rPr>
                <w:t xml:space="preserve">[Online] </w:t>
              </w:r>
              <w:r>
                <w:rPr>
                  <w:noProof/>
                  <w:lang w:val="en-US"/>
                </w:rPr>
                <w:br/>
                <w:t xml:space="preserve">Available at: </w:t>
              </w:r>
              <w:r>
                <w:rPr>
                  <w:noProof/>
                  <w:u w:val="single"/>
                  <w:lang w:val="en-US"/>
                </w:rPr>
                <w:t>https://www.iep.utm.edu/dewey/</w:t>
              </w:r>
              <w:r>
                <w:rPr>
                  <w:noProof/>
                  <w:lang w:val="en-US"/>
                </w:rPr>
                <w:br/>
                <w:t>[Accessed 15 May 2019].</w:t>
              </w:r>
            </w:p>
            <w:p w14:paraId="6937513D" w14:textId="0379AD1A" w:rsidR="00A23965" w:rsidRDefault="00A23965" w:rsidP="00A23965">
              <w:pPr>
                <w:pStyle w:val="Bibliography"/>
                <w:rPr>
                  <w:noProof/>
                  <w:lang w:val="en-US"/>
                </w:rPr>
              </w:pPr>
              <w:r>
                <w:rPr>
                  <w:noProof/>
                  <w:lang w:val="en-US"/>
                </w:rPr>
                <w:t>Grigg, R.</w:t>
              </w:r>
              <w:r w:rsidR="00470603">
                <w:rPr>
                  <w:noProof/>
                  <w:lang w:val="en-US"/>
                </w:rPr>
                <w:t xml:space="preserve"> (</w:t>
              </w:r>
              <w:r>
                <w:rPr>
                  <w:noProof/>
                  <w:lang w:val="en-US"/>
                </w:rPr>
                <w:t>2015</w:t>
              </w:r>
              <w:r w:rsidR="00470603">
                <w:rPr>
                  <w:noProof/>
                  <w:lang w:val="en-US"/>
                </w:rPr>
                <w:t>)</w:t>
              </w:r>
              <w:r>
                <w:rPr>
                  <w:noProof/>
                  <w:lang w:val="en-US"/>
                </w:rPr>
                <w:t xml:space="preserve"> </w:t>
              </w:r>
              <w:r>
                <w:rPr>
                  <w:i/>
                  <w:iCs/>
                  <w:noProof/>
                  <w:lang w:val="en-US"/>
                </w:rPr>
                <w:t xml:space="preserve">Becoming an Outstanding Primary School Teacher, </w:t>
              </w:r>
              <w:r>
                <w:rPr>
                  <w:noProof/>
                  <w:lang w:val="en-US"/>
                </w:rPr>
                <w:t>Oxon: Routledge.</w:t>
              </w:r>
            </w:p>
            <w:p w14:paraId="0A3474BE" w14:textId="77777777" w:rsidR="00A23965" w:rsidRDefault="00A23965" w:rsidP="00A23965">
              <w:pPr>
                <w:pStyle w:val="Bibliography"/>
                <w:rPr>
                  <w:noProof/>
                  <w:lang w:val="en-US"/>
                </w:rPr>
              </w:pPr>
              <w:r>
                <w:rPr>
                  <w:noProof/>
                  <w:lang w:val="en-US"/>
                </w:rPr>
                <w:t xml:space="preserve">Montessori St Nicholas, 2019. </w:t>
              </w:r>
              <w:r>
                <w:rPr>
                  <w:i/>
                  <w:iCs/>
                  <w:noProof/>
                  <w:lang w:val="en-US"/>
                </w:rPr>
                <w:t xml:space="preserve">The Montessori Learning Environment. </w:t>
              </w:r>
              <w:r>
                <w:rPr>
                  <w:noProof/>
                  <w:lang w:val="en-US"/>
                </w:rPr>
                <w:t xml:space="preserve">[Online] </w:t>
              </w:r>
              <w:r>
                <w:rPr>
                  <w:noProof/>
                  <w:lang w:val="en-US"/>
                </w:rPr>
                <w:br/>
                <w:t xml:space="preserve">Available at: </w:t>
              </w:r>
              <w:r>
                <w:rPr>
                  <w:noProof/>
                  <w:u w:val="single"/>
                  <w:lang w:val="en-US"/>
                </w:rPr>
                <w:t>https://www.montessori.org.uk/about-us/what-is-montessori/the-montessori-learning-environment</w:t>
              </w:r>
              <w:r>
                <w:rPr>
                  <w:noProof/>
                  <w:lang w:val="en-US"/>
                </w:rPr>
                <w:br/>
                <w:t>[Accessed 14 May 2019].</w:t>
              </w:r>
            </w:p>
            <w:p w14:paraId="196F5FDD" w14:textId="57064ABA" w:rsidR="00A23965" w:rsidRDefault="00A23965" w:rsidP="00A23965">
              <w:pPr>
                <w:pStyle w:val="Bibliography"/>
                <w:rPr>
                  <w:noProof/>
                  <w:lang w:val="en-US"/>
                </w:rPr>
              </w:pPr>
              <w:r>
                <w:rPr>
                  <w:noProof/>
                  <w:lang w:val="en-US"/>
                </w:rPr>
                <w:t>OEAP</w:t>
              </w:r>
              <w:r w:rsidR="00470603">
                <w:rPr>
                  <w:noProof/>
                  <w:lang w:val="en-US"/>
                </w:rPr>
                <w:t xml:space="preserve"> (</w:t>
              </w:r>
              <w:r>
                <w:rPr>
                  <w:noProof/>
                  <w:lang w:val="en-US"/>
                </w:rPr>
                <w:t>2018</w:t>
              </w:r>
              <w:r w:rsidR="00470603">
                <w:rPr>
                  <w:noProof/>
                  <w:lang w:val="en-US"/>
                </w:rPr>
                <w:t>)</w:t>
              </w:r>
              <w:r>
                <w:rPr>
                  <w:noProof/>
                  <w:lang w:val="en-US"/>
                </w:rPr>
                <w:t xml:space="preserve"> </w:t>
              </w:r>
              <w:r>
                <w:rPr>
                  <w:i/>
                  <w:iCs/>
                  <w:noProof/>
                  <w:lang w:val="en-US"/>
                </w:rPr>
                <w:t xml:space="preserve">Ratios and Effective Supervision. </w:t>
              </w:r>
              <w:r>
                <w:rPr>
                  <w:noProof/>
                  <w:lang w:val="en-US"/>
                </w:rPr>
                <w:t xml:space="preserve">[Online] </w:t>
              </w:r>
              <w:r>
                <w:rPr>
                  <w:noProof/>
                  <w:lang w:val="en-US"/>
                </w:rPr>
                <w:br/>
                <w:t xml:space="preserve">Available at: </w:t>
              </w:r>
              <w:r>
                <w:rPr>
                  <w:noProof/>
                  <w:u w:val="single"/>
                  <w:lang w:val="en-US"/>
                </w:rPr>
                <w:t>https://oeapng.info/?lang=en</w:t>
              </w:r>
              <w:r>
                <w:rPr>
                  <w:noProof/>
                  <w:lang w:val="en-US"/>
                </w:rPr>
                <w:br/>
                <w:t>[Accessed 15 May 2019].</w:t>
              </w:r>
            </w:p>
            <w:p w14:paraId="60BD55A9" w14:textId="4B7D0562" w:rsidR="00A23965" w:rsidRDefault="00A23965" w:rsidP="00A23965">
              <w:pPr>
                <w:pStyle w:val="Bibliography"/>
                <w:rPr>
                  <w:noProof/>
                  <w:lang w:val="en-US"/>
                </w:rPr>
              </w:pPr>
              <w:r>
                <w:rPr>
                  <w:noProof/>
                  <w:lang w:val="en-US"/>
                </w:rPr>
                <w:t>Pound, L.</w:t>
              </w:r>
              <w:r w:rsidR="00470603">
                <w:rPr>
                  <w:noProof/>
                  <w:lang w:val="en-US"/>
                </w:rPr>
                <w:t xml:space="preserve"> (</w:t>
              </w:r>
              <w:r>
                <w:rPr>
                  <w:noProof/>
                  <w:lang w:val="en-US"/>
                </w:rPr>
                <w:t>2014</w:t>
              </w:r>
              <w:r w:rsidR="00470603">
                <w:rPr>
                  <w:noProof/>
                  <w:lang w:val="en-US"/>
                </w:rPr>
                <w:t>)</w:t>
              </w:r>
              <w:r>
                <w:rPr>
                  <w:noProof/>
                  <w:lang w:val="en-US"/>
                </w:rPr>
                <w:t xml:space="preserve"> </w:t>
              </w:r>
              <w:r>
                <w:rPr>
                  <w:i/>
                  <w:iCs/>
                  <w:noProof/>
                  <w:lang w:val="en-US"/>
                </w:rPr>
                <w:t xml:space="preserve">How Children Learn. </w:t>
              </w:r>
              <w:r>
                <w:rPr>
                  <w:noProof/>
                  <w:lang w:val="en-US"/>
                </w:rPr>
                <w:t>1st ed. London: Practical Pre-School Books.</w:t>
              </w:r>
            </w:p>
            <w:p w14:paraId="5A8C0CF5" w14:textId="5B54F4B0" w:rsidR="00A23965" w:rsidRDefault="00A23965" w:rsidP="00A23965">
              <w:pPr>
                <w:pStyle w:val="Bibliography"/>
                <w:rPr>
                  <w:noProof/>
                  <w:lang w:val="en-US"/>
                </w:rPr>
              </w:pPr>
              <w:r>
                <w:rPr>
                  <w:noProof/>
                  <w:lang w:val="en-US"/>
                </w:rPr>
                <w:t>Savage, J.</w:t>
              </w:r>
              <w:r w:rsidR="00470603">
                <w:rPr>
                  <w:noProof/>
                  <w:lang w:val="en-US"/>
                </w:rPr>
                <w:t xml:space="preserve"> (</w:t>
              </w:r>
              <w:r>
                <w:rPr>
                  <w:noProof/>
                  <w:lang w:val="en-US"/>
                </w:rPr>
                <w:t>2010</w:t>
              </w:r>
              <w:r w:rsidR="00470603">
                <w:rPr>
                  <w:noProof/>
                  <w:lang w:val="en-US"/>
                </w:rPr>
                <w:t>)</w:t>
              </w:r>
              <w:r>
                <w:rPr>
                  <w:noProof/>
                  <w:lang w:val="en-US"/>
                </w:rPr>
                <w:t xml:space="preserve"> </w:t>
              </w:r>
              <w:r>
                <w:rPr>
                  <w:i/>
                  <w:iCs/>
                  <w:noProof/>
                  <w:lang w:val="en-US"/>
                </w:rPr>
                <w:t xml:space="preserve">Cross-curricular teaching and learning 5: Definitions. </w:t>
              </w:r>
              <w:r>
                <w:rPr>
                  <w:noProof/>
                  <w:lang w:val="en-US"/>
                </w:rPr>
                <w:t xml:space="preserve">[Online] </w:t>
              </w:r>
              <w:r>
                <w:rPr>
                  <w:noProof/>
                  <w:lang w:val="en-US"/>
                </w:rPr>
                <w:br/>
                <w:t xml:space="preserve">Available at: </w:t>
              </w:r>
              <w:r>
                <w:rPr>
                  <w:noProof/>
                  <w:u w:val="single"/>
                  <w:lang w:val="en-US"/>
                </w:rPr>
                <w:t>http://www.jsavage.org.uk/research/cross-curricular-teaching-and-learning-5-definitions/</w:t>
              </w:r>
              <w:r>
                <w:rPr>
                  <w:noProof/>
                  <w:lang w:val="en-US"/>
                </w:rPr>
                <w:br/>
                <w:t>[Accessed 18 May 2019].</w:t>
              </w:r>
            </w:p>
            <w:p w14:paraId="49DA07AB" w14:textId="08BFA75D" w:rsidR="00A23965" w:rsidRDefault="00A23965" w:rsidP="00A23965">
              <w:pPr>
                <w:pStyle w:val="Bibliography"/>
                <w:rPr>
                  <w:noProof/>
                  <w:lang w:val="en-US"/>
                </w:rPr>
              </w:pPr>
              <w:r>
                <w:rPr>
                  <w:noProof/>
                  <w:lang w:val="en-US"/>
                </w:rPr>
                <w:t>The Glossary of Education Reform</w:t>
              </w:r>
              <w:r w:rsidR="00470603">
                <w:rPr>
                  <w:noProof/>
                  <w:lang w:val="en-US"/>
                </w:rPr>
                <w:t xml:space="preserve"> (</w:t>
              </w:r>
              <w:r>
                <w:rPr>
                  <w:noProof/>
                  <w:lang w:val="en-US"/>
                </w:rPr>
                <w:t>2013</w:t>
              </w:r>
              <w:r w:rsidR="00470603">
                <w:rPr>
                  <w:noProof/>
                  <w:lang w:val="en-US"/>
                </w:rPr>
                <w:t xml:space="preserve">) </w:t>
              </w:r>
              <w:r>
                <w:rPr>
                  <w:i/>
                  <w:iCs/>
                  <w:noProof/>
                  <w:lang w:val="en-US"/>
                </w:rPr>
                <w:t xml:space="preserve">Learning Environment. </w:t>
              </w:r>
              <w:r>
                <w:rPr>
                  <w:noProof/>
                  <w:lang w:val="en-US"/>
                </w:rPr>
                <w:t xml:space="preserve">[Online] </w:t>
              </w:r>
              <w:r>
                <w:rPr>
                  <w:noProof/>
                  <w:lang w:val="en-US"/>
                </w:rPr>
                <w:br/>
                <w:t xml:space="preserve">Available at: </w:t>
              </w:r>
              <w:r>
                <w:rPr>
                  <w:noProof/>
                  <w:u w:val="single"/>
                  <w:lang w:val="en-US"/>
                </w:rPr>
                <w:t>https://www.edglossary.org/learning-environment/</w:t>
              </w:r>
              <w:r>
                <w:rPr>
                  <w:noProof/>
                  <w:lang w:val="en-US"/>
                </w:rPr>
                <w:br/>
                <w:t>[Accessed 12 May 2019].</w:t>
              </w:r>
            </w:p>
            <w:p w14:paraId="4C64FDD7" w14:textId="03C27107" w:rsidR="00A23965" w:rsidRDefault="00A23965" w:rsidP="00A23965">
              <w:pPr>
                <w:pStyle w:val="Bibliography"/>
                <w:rPr>
                  <w:noProof/>
                  <w:lang w:val="en-US"/>
                </w:rPr>
              </w:pPr>
              <w:r>
                <w:rPr>
                  <w:noProof/>
                  <w:lang w:val="en-US"/>
                </w:rPr>
                <w:t>University of Washington</w:t>
              </w:r>
              <w:r w:rsidR="00470603">
                <w:rPr>
                  <w:noProof/>
                  <w:lang w:val="en-US"/>
                </w:rPr>
                <w:t xml:space="preserve"> (</w:t>
              </w:r>
              <w:r>
                <w:rPr>
                  <w:noProof/>
                  <w:lang w:val="en-US"/>
                </w:rPr>
                <w:t>n.d</w:t>
              </w:r>
              <w:r w:rsidR="00470603">
                <w:rPr>
                  <w:noProof/>
                  <w:lang w:val="en-US"/>
                </w:rPr>
                <w:t>.)</w:t>
              </w:r>
              <w:r>
                <w:rPr>
                  <w:noProof/>
                  <w:lang w:val="en-US"/>
                </w:rPr>
                <w:t xml:space="preserve"> </w:t>
              </w:r>
              <w:r>
                <w:rPr>
                  <w:i/>
                  <w:iCs/>
                  <w:noProof/>
                  <w:lang w:val="en-US"/>
                </w:rPr>
                <w:t xml:space="preserve">Areas of Development. </w:t>
              </w:r>
              <w:r>
                <w:rPr>
                  <w:noProof/>
                  <w:lang w:val="en-US"/>
                </w:rPr>
                <w:t xml:space="preserve">[Online] </w:t>
              </w:r>
              <w:r>
                <w:rPr>
                  <w:noProof/>
                  <w:lang w:val="en-US"/>
                </w:rPr>
                <w:br/>
                <w:t xml:space="preserve">Available at: </w:t>
              </w:r>
              <w:r>
                <w:rPr>
                  <w:noProof/>
                  <w:u w:val="single"/>
                  <w:lang w:val="en-US"/>
                </w:rPr>
                <w:t>https://depts.washington.edu/allcwe2/fosterparents/training/chidev/cd03.htm</w:t>
              </w:r>
              <w:r>
                <w:rPr>
                  <w:noProof/>
                  <w:lang w:val="en-US"/>
                </w:rPr>
                <w:br/>
                <w:t>[Accessed 19 May 2019].</w:t>
              </w:r>
            </w:p>
            <w:p w14:paraId="596B0F53" w14:textId="62F9E35B" w:rsidR="00A23965" w:rsidRDefault="00A23965" w:rsidP="00A23965">
              <w:pPr>
                <w:pStyle w:val="Bibliography"/>
                <w:rPr>
                  <w:noProof/>
                  <w:lang w:val="en-US"/>
                </w:rPr>
              </w:pPr>
              <w:r>
                <w:rPr>
                  <w:noProof/>
                  <w:lang w:val="en-US"/>
                </w:rPr>
                <w:t>Welsh Government</w:t>
              </w:r>
              <w:r w:rsidR="00470603">
                <w:rPr>
                  <w:noProof/>
                  <w:lang w:val="en-US"/>
                </w:rPr>
                <w:t xml:space="preserve"> (</w:t>
              </w:r>
              <w:r>
                <w:rPr>
                  <w:noProof/>
                  <w:lang w:val="en-US"/>
                </w:rPr>
                <w:t>2015</w:t>
              </w:r>
              <w:r w:rsidR="00470603">
                <w:rPr>
                  <w:noProof/>
                  <w:lang w:val="en-US"/>
                </w:rPr>
                <w:t>)</w:t>
              </w:r>
              <w:r>
                <w:rPr>
                  <w:noProof/>
                  <w:lang w:val="en-US"/>
                </w:rPr>
                <w:t xml:space="preserve"> </w:t>
              </w:r>
              <w:r>
                <w:rPr>
                  <w:i/>
                  <w:iCs/>
                  <w:noProof/>
                  <w:lang w:val="en-US"/>
                </w:rPr>
                <w:t xml:space="preserve">Foundation Phase Framework, </w:t>
              </w:r>
              <w:r>
                <w:rPr>
                  <w:noProof/>
                  <w:lang w:val="en-US"/>
                </w:rPr>
                <w:t>Cardiff: Crown.</w:t>
              </w:r>
            </w:p>
            <w:p w14:paraId="14977CE8" w14:textId="2576C125" w:rsidR="00A23965" w:rsidRDefault="00A23965" w:rsidP="00A23965">
              <w:r>
                <w:rPr>
                  <w:b/>
                  <w:bCs/>
                  <w:noProof/>
                </w:rPr>
                <w:fldChar w:fldCharType="end"/>
              </w:r>
            </w:p>
          </w:sdtContent>
        </w:sdt>
      </w:sdtContent>
    </w:sdt>
    <w:p w14:paraId="3E8A5FCA" w14:textId="77777777" w:rsidR="00A23965" w:rsidRPr="00E66A94" w:rsidRDefault="00A23965" w:rsidP="001504FB">
      <w:pPr>
        <w:spacing w:line="360" w:lineRule="auto"/>
        <w:rPr>
          <w:rFonts w:cstheme="minorHAnsi"/>
          <w:sz w:val="22"/>
          <w:szCs w:val="22"/>
        </w:rPr>
      </w:pPr>
    </w:p>
    <w:sectPr w:rsidR="00A23965" w:rsidRPr="00E66A94" w:rsidSect="00762659">
      <w:headerReference w:type="default" r:id="rId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44F710" w14:textId="77777777" w:rsidR="00E122B3" w:rsidRDefault="00E122B3" w:rsidP="00E122B3">
      <w:r>
        <w:separator/>
      </w:r>
    </w:p>
  </w:endnote>
  <w:endnote w:type="continuationSeparator" w:id="0">
    <w:p w14:paraId="3B042D47" w14:textId="77777777" w:rsidR="00E122B3" w:rsidRDefault="00E122B3" w:rsidP="00E122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11504406"/>
      <w:docPartObj>
        <w:docPartGallery w:val="Page Numbers (Bottom of Page)"/>
        <w:docPartUnique/>
      </w:docPartObj>
    </w:sdtPr>
    <w:sdtContent>
      <w:p w14:paraId="0421D0CB" w14:textId="45F480AF" w:rsidR="0090028A" w:rsidRDefault="0090028A" w:rsidP="001747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379126" w14:textId="77777777" w:rsidR="00E122B3" w:rsidRDefault="00E122B3" w:rsidP="0090028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72736360"/>
      <w:docPartObj>
        <w:docPartGallery w:val="Page Numbers (Bottom of Page)"/>
        <w:docPartUnique/>
      </w:docPartObj>
    </w:sdtPr>
    <w:sdtContent>
      <w:p w14:paraId="615030DD" w14:textId="28A59FF0" w:rsidR="0090028A" w:rsidRDefault="0090028A" w:rsidP="001747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0341571" w14:textId="77777777" w:rsidR="00E122B3" w:rsidRDefault="00E122B3" w:rsidP="0090028A">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9B2508" w14:textId="77777777" w:rsidR="00E122B3" w:rsidRDefault="00E122B3" w:rsidP="00E122B3">
      <w:r>
        <w:separator/>
      </w:r>
    </w:p>
  </w:footnote>
  <w:footnote w:type="continuationSeparator" w:id="0">
    <w:p w14:paraId="113F1188" w14:textId="77777777" w:rsidR="00E122B3" w:rsidRDefault="00E122B3" w:rsidP="00E122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F4798F" w14:textId="530E09F5" w:rsidR="00E122B3" w:rsidRDefault="00E122B3">
    <w:pPr>
      <w:pStyle w:val="Header"/>
    </w:pPr>
    <w:r>
      <w:t xml:space="preserve">Rhian Williams </w:t>
    </w:r>
    <w:r>
      <w:tab/>
    </w:r>
    <w:r>
      <w:tab/>
      <w:t>1801978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213CB7"/>
    <w:multiLevelType w:val="hybridMultilevel"/>
    <w:tmpl w:val="DCB250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E8617C"/>
    <w:multiLevelType w:val="hybridMultilevel"/>
    <w:tmpl w:val="853A9B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E0B2151"/>
    <w:multiLevelType w:val="hybridMultilevel"/>
    <w:tmpl w:val="91DA02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D0C0601"/>
    <w:multiLevelType w:val="hybridMultilevel"/>
    <w:tmpl w:val="97A294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F53704E"/>
    <w:multiLevelType w:val="hybridMultilevel"/>
    <w:tmpl w:val="57B418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12A"/>
    <w:rsid w:val="00004985"/>
    <w:rsid w:val="00015449"/>
    <w:rsid w:val="00021A14"/>
    <w:rsid w:val="00022E92"/>
    <w:rsid w:val="00023187"/>
    <w:rsid w:val="000368C2"/>
    <w:rsid w:val="00037047"/>
    <w:rsid w:val="0004161F"/>
    <w:rsid w:val="00047017"/>
    <w:rsid w:val="00050BBC"/>
    <w:rsid w:val="000520EC"/>
    <w:rsid w:val="00055A1A"/>
    <w:rsid w:val="00056F8F"/>
    <w:rsid w:val="000655D6"/>
    <w:rsid w:val="00065D01"/>
    <w:rsid w:val="00072711"/>
    <w:rsid w:val="00081663"/>
    <w:rsid w:val="00082B1E"/>
    <w:rsid w:val="00084494"/>
    <w:rsid w:val="00092420"/>
    <w:rsid w:val="00092F73"/>
    <w:rsid w:val="000935A9"/>
    <w:rsid w:val="000935F6"/>
    <w:rsid w:val="00095119"/>
    <w:rsid w:val="00095A20"/>
    <w:rsid w:val="000B3484"/>
    <w:rsid w:val="000E1457"/>
    <w:rsid w:val="000E6D0F"/>
    <w:rsid w:val="000F0977"/>
    <w:rsid w:val="000F55FA"/>
    <w:rsid w:val="00101823"/>
    <w:rsid w:val="001053DA"/>
    <w:rsid w:val="00106DBC"/>
    <w:rsid w:val="001115B9"/>
    <w:rsid w:val="00111E82"/>
    <w:rsid w:val="00113C32"/>
    <w:rsid w:val="00113D9C"/>
    <w:rsid w:val="00123E75"/>
    <w:rsid w:val="0012526D"/>
    <w:rsid w:val="001263E0"/>
    <w:rsid w:val="00126864"/>
    <w:rsid w:val="00133A37"/>
    <w:rsid w:val="001364F5"/>
    <w:rsid w:val="001401B3"/>
    <w:rsid w:val="00141ACA"/>
    <w:rsid w:val="00143179"/>
    <w:rsid w:val="001437D1"/>
    <w:rsid w:val="001504FB"/>
    <w:rsid w:val="00155942"/>
    <w:rsid w:val="00155DAE"/>
    <w:rsid w:val="00160F79"/>
    <w:rsid w:val="0016620A"/>
    <w:rsid w:val="001673C2"/>
    <w:rsid w:val="00177A76"/>
    <w:rsid w:val="001916B7"/>
    <w:rsid w:val="00191812"/>
    <w:rsid w:val="0019195C"/>
    <w:rsid w:val="00193056"/>
    <w:rsid w:val="00196977"/>
    <w:rsid w:val="001A0390"/>
    <w:rsid w:val="001A082B"/>
    <w:rsid w:val="001A5856"/>
    <w:rsid w:val="001B098A"/>
    <w:rsid w:val="001B2F6A"/>
    <w:rsid w:val="001B6DFD"/>
    <w:rsid w:val="001C2ACA"/>
    <w:rsid w:val="001C3F06"/>
    <w:rsid w:val="001D04C9"/>
    <w:rsid w:val="001D63B6"/>
    <w:rsid w:val="001E079F"/>
    <w:rsid w:val="001E2563"/>
    <w:rsid w:val="001E65DA"/>
    <w:rsid w:val="001F3549"/>
    <w:rsid w:val="001F73FD"/>
    <w:rsid w:val="0020160D"/>
    <w:rsid w:val="002031DD"/>
    <w:rsid w:val="00203387"/>
    <w:rsid w:val="002051FF"/>
    <w:rsid w:val="002066A7"/>
    <w:rsid w:val="00214524"/>
    <w:rsid w:val="002227E8"/>
    <w:rsid w:val="00223450"/>
    <w:rsid w:val="0023724D"/>
    <w:rsid w:val="00242778"/>
    <w:rsid w:val="002429A1"/>
    <w:rsid w:val="00251C27"/>
    <w:rsid w:val="00256CB8"/>
    <w:rsid w:val="00263D10"/>
    <w:rsid w:val="0027568C"/>
    <w:rsid w:val="00276B26"/>
    <w:rsid w:val="0028406E"/>
    <w:rsid w:val="00286426"/>
    <w:rsid w:val="00287CAC"/>
    <w:rsid w:val="00293809"/>
    <w:rsid w:val="002A11C2"/>
    <w:rsid w:val="002A295C"/>
    <w:rsid w:val="002B5C89"/>
    <w:rsid w:val="002B6FBF"/>
    <w:rsid w:val="002C3317"/>
    <w:rsid w:val="002F056C"/>
    <w:rsid w:val="002F2A05"/>
    <w:rsid w:val="00301DFE"/>
    <w:rsid w:val="00303634"/>
    <w:rsid w:val="003146F0"/>
    <w:rsid w:val="00326696"/>
    <w:rsid w:val="0033745E"/>
    <w:rsid w:val="003443A2"/>
    <w:rsid w:val="00353FD7"/>
    <w:rsid w:val="00360B70"/>
    <w:rsid w:val="00360D51"/>
    <w:rsid w:val="00360F13"/>
    <w:rsid w:val="003644FC"/>
    <w:rsid w:val="003648AC"/>
    <w:rsid w:val="00366216"/>
    <w:rsid w:val="003757BF"/>
    <w:rsid w:val="00376138"/>
    <w:rsid w:val="003772B2"/>
    <w:rsid w:val="0038312A"/>
    <w:rsid w:val="00384288"/>
    <w:rsid w:val="0038765F"/>
    <w:rsid w:val="00390947"/>
    <w:rsid w:val="00392C3B"/>
    <w:rsid w:val="00396CA9"/>
    <w:rsid w:val="003A09DD"/>
    <w:rsid w:val="003A53AC"/>
    <w:rsid w:val="003B4A47"/>
    <w:rsid w:val="003B64B1"/>
    <w:rsid w:val="003B6755"/>
    <w:rsid w:val="003B7261"/>
    <w:rsid w:val="003B7BB5"/>
    <w:rsid w:val="003C67D9"/>
    <w:rsid w:val="003D4833"/>
    <w:rsid w:val="003E1F6F"/>
    <w:rsid w:val="003E204D"/>
    <w:rsid w:val="003E2435"/>
    <w:rsid w:val="003E455A"/>
    <w:rsid w:val="003E5CF1"/>
    <w:rsid w:val="003E66B3"/>
    <w:rsid w:val="003E7981"/>
    <w:rsid w:val="003F2E60"/>
    <w:rsid w:val="003F405B"/>
    <w:rsid w:val="003F4A01"/>
    <w:rsid w:val="0040186B"/>
    <w:rsid w:val="0040201A"/>
    <w:rsid w:val="0040451E"/>
    <w:rsid w:val="0041365F"/>
    <w:rsid w:val="004137C2"/>
    <w:rsid w:val="004138F7"/>
    <w:rsid w:val="00416951"/>
    <w:rsid w:val="00416C86"/>
    <w:rsid w:val="00416EE2"/>
    <w:rsid w:val="00417C5E"/>
    <w:rsid w:val="00420FB5"/>
    <w:rsid w:val="00421487"/>
    <w:rsid w:val="00422242"/>
    <w:rsid w:val="00430D71"/>
    <w:rsid w:val="00433332"/>
    <w:rsid w:val="0043487C"/>
    <w:rsid w:val="00441DCB"/>
    <w:rsid w:val="0044289B"/>
    <w:rsid w:val="00443A29"/>
    <w:rsid w:val="004454DF"/>
    <w:rsid w:val="00457240"/>
    <w:rsid w:val="00470603"/>
    <w:rsid w:val="00473D85"/>
    <w:rsid w:val="00480FD3"/>
    <w:rsid w:val="004836EB"/>
    <w:rsid w:val="00490A3B"/>
    <w:rsid w:val="004A31E0"/>
    <w:rsid w:val="004A5505"/>
    <w:rsid w:val="004B3587"/>
    <w:rsid w:val="004B3A93"/>
    <w:rsid w:val="004B589E"/>
    <w:rsid w:val="004B68EB"/>
    <w:rsid w:val="004C0497"/>
    <w:rsid w:val="004C13D4"/>
    <w:rsid w:val="004C3D16"/>
    <w:rsid w:val="004C6ABC"/>
    <w:rsid w:val="004C6B91"/>
    <w:rsid w:val="004C6FCD"/>
    <w:rsid w:val="004D527F"/>
    <w:rsid w:val="004E46C5"/>
    <w:rsid w:val="004E5E3C"/>
    <w:rsid w:val="004F5171"/>
    <w:rsid w:val="00504F4D"/>
    <w:rsid w:val="00507912"/>
    <w:rsid w:val="005237CA"/>
    <w:rsid w:val="0053313A"/>
    <w:rsid w:val="00533A7A"/>
    <w:rsid w:val="00540E91"/>
    <w:rsid w:val="005424CB"/>
    <w:rsid w:val="0056035B"/>
    <w:rsid w:val="00560DF4"/>
    <w:rsid w:val="00561ED4"/>
    <w:rsid w:val="00563EFC"/>
    <w:rsid w:val="00567361"/>
    <w:rsid w:val="005726FE"/>
    <w:rsid w:val="0057308D"/>
    <w:rsid w:val="005744CC"/>
    <w:rsid w:val="00575443"/>
    <w:rsid w:val="00576103"/>
    <w:rsid w:val="00576F73"/>
    <w:rsid w:val="00581140"/>
    <w:rsid w:val="0058733B"/>
    <w:rsid w:val="00594422"/>
    <w:rsid w:val="005A5559"/>
    <w:rsid w:val="005B05FE"/>
    <w:rsid w:val="005B6494"/>
    <w:rsid w:val="005D2541"/>
    <w:rsid w:val="005E1573"/>
    <w:rsid w:val="005E25B0"/>
    <w:rsid w:val="005E3015"/>
    <w:rsid w:val="005E58E0"/>
    <w:rsid w:val="005F212F"/>
    <w:rsid w:val="00602521"/>
    <w:rsid w:val="0060347A"/>
    <w:rsid w:val="00604CE5"/>
    <w:rsid w:val="0061220D"/>
    <w:rsid w:val="00616483"/>
    <w:rsid w:val="006210E1"/>
    <w:rsid w:val="006223DD"/>
    <w:rsid w:val="00632B80"/>
    <w:rsid w:val="00642471"/>
    <w:rsid w:val="00647B82"/>
    <w:rsid w:val="006531F7"/>
    <w:rsid w:val="00654439"/>
    <w:rsid w:val="006605CC"/>
    <w:rsid w:val="00660D96"/>
    <w:rsid w:val="00663F13"/>
    <w:rsid w:val="0066619D"/>
    <w:rsid w:val="006666F5"/>
    <w:rsid w:val="006736BA"/>
    <w:rsid w:val="00691722"/>
    <w:rsid w:val="006A03EC"/>
    <w:rsid w:val="006A04C7"/>
    <w:rsid w:val="006A0E85"/>
    <w:rsid w:val="006A2111"/>
    <w:rsid w:val="006A2DEF"/>
    <w:rsid w:val="006A4304"/>
    <w:rsid w:val="006A483B"/>
    <w:rsid w:val="006A48B0"/>
    <w:rsid w:val="006A69A1"/>
    <w:rsid w:val="006A6C55"/>
    <w:rsid w:val="006B0A91"/>
    <w:rsid w:val="006B10C0"/>
    <w:rsid w:val="006B3EE2"/>
    <w:rsid w:val="006B6E41"/>
    <w:rsid w:val="006C02F5"/>
    <w:rsid w:val="006C0669"/>
    <w:rsid w:val="006D0BF8"/>
    <w:rsid w:val="006D53DC"/>
    <w:rsid w:val="006F0E31"/>
    <w:rsid w:val="006F4D2C"/>
    <w:rsid w:val="00700292"/>
    <w:rsid w:val="00700AC5"/>
    <w:rsid w:val="007010E1"/>
    <w:rsid w:val="007019C8"/>
    <w:rsid w:val="00702853"/>
    <w:rsid w:val="007043B0"/>
    <w:rsid w:val="00705CD9"/>
    <w:rsid w:val="00710662"/>
    <w:rsid w:val="0071787E"/>
    <w:rsid w:val="007206AC"/>
    <w:rsid w:val="0072298E"/>
    <w:rsid w:val="00722AAB"/>
    <w:rsid w:val="00726282"/>
    <w:rsid w:val="007303E9"/>
    <w:rsid w:val="0073244E"/>
    <w:rsid w:val="00737853"/>
    <w:rsid w:val="00742389"/>
    <w:rsid w:val="007438B7"/>
    <w:rsid w:val="0074632F"/>
    <w:rsid w:val="00750323"/>
    <w:rsid w:val="00757C32"/>
    <w:rsid w:val="00762659"/>
    <w:rsid w:val="00765915"/>
    <w:rsid w:val="00770CA2"/>
    <w:rsid w:val="00782954"/>
    <w:rsid w:val="0078695E"/>
    <w:rsid w:val="0079007F"/>
    <w:rsid w:val="00795740"/>
    <w:rsid w:val="007A0924"/>
    <w:rsid w:val="007A2838"/>
    <w:rsid w:val="007A3F90"/>
    <w:rsid w:val="007A53EA"/>
    <w:rsid w:val="007A7A65"/>
    <w:rsid w:val="007B0F28"/>
    <w:rsid w:val="007B69C3"/>
    <w:rsid w:val="007C2500"/>
    <w:rsid w:val="007C4129"/>
    <w:rsid w:val="007E64F5"/>
    <w:rsid w:val="007E7CC0"/>
    <w:rsid w:val="007F00A0"/>
    <w:rsid w:val="007F0432"/>
    <w:rsid w:val="007F3FEC"/>
    <w:rsid w:val="007F667C"/>
    <w:rsid w:val="007F6775"/>
    <w:rsid w:val="007F7FFE"/>
    <w:rsid w:val="008039A6"/>
    <w:rsid w:val="00805BE1"/>
    <w:rsid w:val="00805EEE"/>
    <w:rsid w:val="008115C1"/>
    <w:rsid w:val="0082003D"/>
    <w:rsid w:val="00822443"/>
    <w:rsid w:val="008233FA"/>
    <w:rsid w:val="00825A85"/>
    <w:rsid w:val="00825F14"/>
    <w:rsid w:val="008264B4"/>
    <w:rsid w:val="0082683A"/>
    <w:rsid w:val="0083027F"/>
    <w:rsid w:val="00831EC3"/>
    <w:rsid w:val="00834C8E"/>
    <w:rsid w:val="00835790"/>
    <w:rsid w:val="00835909"/>
    <w:rsid w:val="00857BBD"/>
    <w:rsid w:val="00860BAF"/>
    <w:rsid w:val="0086339E"/>
    <w:rsid w:val="0086421A"/>
    <w:rsid w:val="0087189D"/>
    <w:rsid w:val="00882DEA"/>
    <w:rsid w:val="008870CE"/>
    <w:rsid w:val="00891318"/>
    <w:rsid w:val="00897EFC"/>
    <w:rsid w:val="008A0760"/>
    <w:rsid w:val="008B2E0C"/>
    <w:rsid w:val="008B47E5"/>
    <w:rsid w:val="008B5194"/>
    <w:rsid w:val="008C1313"/>
    <w:rsid w:val="008C4EB0"/>
    <w:rsid w:val="008D019E"/>
    <w:rsid w:val="008D0E80"/>
    <w:rsid w:val="008D5BAD"/>
    <w:rsid w:val="008D7802"/>
    <w:rsid w:val="008D7822"/>
    <w:rsid w:val="008D79D6"/>
    <w:rsid w:val="008D7BFC"/>
    <w:rsid w:val="008E251C"/>
    <w:rsid w:val="008E3501"/>
    <w:rsid w:val="008F2D3C"/>
    <w:rsid w:val="008F4529"/>
    <w:rsid w:val="0090028A"/>
    <w:rsid w:val="00901A9A"/>
    <w:rsid w:val="00904AC7"/>
    <w:rsid w:val="009126CC"/>
    <w:rsid w:val="009310B8"/>
    <w:rsid w:val="00940454"/>
    <w:rsid w:val="0094502B"/>
    <w:rsid w:val="00946A79"/>
    <w:rsid w:val="00952382"/>
    <w:rsid w:val="0095252F"/>
    <w:rsid w:val="009657ED"/>
    <w:rsid w:val="00982660"/>
    <w:rsid w:val="00982CB6"/>
    <w:rsid w:val="00984486"/>
    <w:rsid w:val="009844AA"/>
    <w:rsid w:val="00984FF7"/>
    <w:rsid w:val="009919C2"/>
    <w:rsid w:val="009953DF"/>
    <w:rsid w:val="009966F2"/>
    <w:rsid w:val="009A70C7"/>
    <w:rsid w:val="009C65D3"/>
    <w:rsid w:val="009C77A8"/>
    <w:rsid w:val="009D7611"/>
    <w:rsid w:val="009E1B1F"/>
    <w:rsid w:val="009F45CF"/>
    <w:rsid w:val="009F6365"/>
    <w:rsid w:val="00A041BC"/>
    <w:rsid w:val="00A06751"/>
    <w:rsid w:val="00A12212"/>
    <w:rsid w:val="00A150EE"/>
    <w:rsid w:val="00A152E5"/>
    <w:rsid w:val="00A17163"/>
    <w:rsid w:val="00A215BD"/>
    <w:rsid w:val="00A23377"/>
    <w:rsid w:val="00A23965"/>
    <w:rsid w:val="00A24FEE"/>
    <w:rsid w:val="00A25DD3"/>
    <w:rsid w:val="00A30718"/>
    <w:rsid w:val="00A311E1"/>
    <w:rsid w:val="00A33B79"/>
    <w:rsid w:val="00A40E7D"/>
    <w:rsid w:val="00A4516A"/>
    <w:rsid w:val="00A45515"/>
    <w:rsid w:val="00A471EC"/>
    <w:rsid w:val="00A53FAF"/>
    <w:rsid w:val="00A54D3C"/>
    <w:rsid w:val="00A62F90"/>
    <w:rsid w:val="00A63CA8"/>
    <w:rsid w:val="00A64418"/>
    <w:rsid w:val="00A67CD2"/>
    <w:rsid w:val="00A7186E"/>
    <w:rsid w:val="00A728E5"/>
    <w:rsid w:val="00A744A3"/>
    <w:rsid w:val="00A7504F"/>
    <w:rsid w:val="00A8204B"/>
    <w:rsid w:val="00A86E32"/>
    <w:rsid w:val="00A86F55"/>
    <w:rsid w:val="00A907E9"/>
    <w:rsid w:val="00A93849"/>
    <w:rsid w:val="00A9481B"/>
    <w:rsid w:val="00A95E94"/>
    <w:rsid w:val="00AA2A48"/>
    <w:rsid w:val="00AA3EA8"/>
    <w:rsid w:val="00AA4216"/>
    <w:rsid w:val="00AA4F11"/>
    <w:rsid w:val="00AA6494"/>
    <w:rsid w:val="00AB0075"/>
    <w:rsid w:val="00AC5474"/>
    <w:rsid w:val="00AC6217"/>
    <w:rsid w:val="00AD055B"/>
    <w:rsid w:val="00AD2714"/>
    <w:rsid w:val="00AF653A"/>
    <w:rsid w:val="00B030B1"/>
    <w:rsid w:val="00B043C6"/>
    <w:rsid w:val="00B11455"/>
    <w:rsid w:val="00B16886"/>
    <w:rsid w:val="00B204D6"/>
    <w:rsid w:val="00B23D59"/>
    <w:rsid w:val="00B269C6"/>
    <w:rsid w:val="00B317DC"/>
    <w:rsid w:val="00B32974"/>
    <w:rsid w:val="00B3716B"/>
    <w:rsid w:val="00B42355"/>
    <w:rsid w:val="00B42C37"/>
    <w:rsid w:val="00B42E8E"/>
    <w:rsid w:val="00B47E63"/>
    <w:rsid w:val="00B50558"/>
    <w:rsid w:val="00B5258B"/>
    <w:rsid w:val="00B559DC"/>
    <w:rsid w:val="00B621ED"/>
    <w:rsid w:val="00B66CF6"/>
    <w:rsid w:val="00B70386"/>
    <w:rsid w:val="00B70460"/>
    <w:rsid w:val="00B8206B"/>
    <w:rsid w:val="00B82CFD"/>
    <w:rsid w:val="00B93945"/>
    <w:rsid w:val="00BA013B"/>
    <w:rsid w:val="00BA0ED6"/>
    <w:rsid w:val="00BB0300"/>
    <w:rsid w:val="00BB2F28"/>
    <w:rsid w:val="00BC0A7B"/>
    <w:rsid w:val="00BC1CAE"/>
    <w:rsid w:val="00BD28B8"/>
    <w:rsid w:val="00BD4296"/>
    <w:rsid w:val="00BD483A"/>
    <w:rsid w:val="00BD5754"/>
    <w:rsid w:val="00BE25EC"/>
    <w:rsid w:val="00BE493B"/>
    <w:rsid w:val="00BF2CA6"/>
    <w:rsid w:val="00BF2F43"/>
    <w:rsid w:val="00BF367F"/>
    <w:rsid w:val="00C00C27"/>
    <w:rsid w:val="00C03AED"/>
    <w:rsid w:val="00C03BE5"/>
    <w:rsid w:val="00C04634"/>
    <w:rsid w:val="00C060D9"/>
    <w:rsid w:val="00C13441"/>
    <w:rsid w:val="00C14452"/>
    <w:rsid w:val="00C15383"/>
    <w:rsid w:val="00C21234"/>
    <w:rsid w:val="00C2241E"/>
    <w:rsid w:val="00C23D83"/>
    <w:rsid w:val="00C30C4E"/>
    <w:rsid w:val="00C37A1F"/>
    <w:rsid w:val="00C37A29"/>
    <w:rsid w:val="00C40277"/>
    <w:rsid w:val="00C47633"/>
    <w:rsid w:val="00C653FC"/>
    <w:rsid w:val="00C67BA5"/>
    <w:rsid w:val="00C762B6"/>
    <w:rsid w:val="00C909A7"/>
    <w:rsid w:val="00C924FA"/>
    <w:rsid w:val="00CA094D"/>
    <w:rsid w:val="00CA4802"/>
    <w:rsid w:val="00CA5594"/>
    <w:rsid w:val="00CA77E7"/>
    <w:rsid w:val="00CB17E5"/>
    <w:rsid w:val="00CB5781"/>
    <w:rsid w:val="00CB6627"/>
    <w:rsid w:val="00CB6CAB"/>
    <w:rsid w:val="00CC0C20"/>
    <w:rsid w:val="00CC2C66"/>
    <w:rsid w:val="00CC4E18"/>
    <w:rsid w:val="00CC57B7"/>
    <w:rsid w:val="00CC7211"/>
    <w:rsid w:val="00CD2296"/>
    <w:rsid w:val="00CD4967"/>
    <w:rsid w:val="00CD55D6"/>
    <w:rsid w:val="00CE0143"/>
    <w:rsid w:val="00CE5062"/>
    <w:rsid w:val="00CE78A8"/>
    <w:rsid w:val="00CF7113"/>
    <w:rsid w:val="00D0373A"/>
    <w:rsid w:val="00D10CD0"/>
    <w:rsid w:val="00D15885"/>
    <w:rsid w:val="00D21221"/>
    <w:rsid w:val="00D2792B"/>
    <w:rsid w:val="00D4082C"/>
    <w:rsid w:val="00D46021"/>
    <w:rsid w:val="00D47100"/>
    <w:rsid w:val="00D5070D"/>
    <w:rsid w:val="00D51893"/>
    <w:rsid w:val="00D5252A"/>
    <w:rsid w:val="00D539E5"/>
    <w:rsid w:val="00D6434D"/>
    <w:rsid w:val="00D669BE"/>
    <w:rsid w:val="00D70813"/>
    <w:rsid w:val="00D70D17"/>
    <w:rsid w:val="00D72297"/>
    <w:rsid w:val="00D72E76"/>
    <w:rsid w:val="00D862FE"/>
    <w:rsid w:val="00D87DDB"/>
    <w:rsid w:val="00D93440"/>
    <w:rsid w:val="00D937F1"/>
    <w:rsid w:val="00D96D0D"/>
    <w:rsid w:val="00DA2BB6"/>
    <w:rsid w:val="00DA2F89"/>
    <w:rsid w:val="00DA3816"/>
    <w:rsid w:val="00DA4169"/>
    <w:rsid w:val="00DA4957"/>
    <w:rsid w:val="00DA5FEE"/>
    <w:rsid w:val="00DA6A0F"/>
    <w:rsid w:val="00DB404C"/>
    <w:rsid w:val="00DB7A20"/>
    <w:rsid w:val="00DC0682"/>
    <w:rsid w:val="00DC1060"/>
    <w:rsid w:val="00DD1B30"/>
    <w:rsid w:val="00DD53B0"/>
    <w:rsid w:val="00DD7CB8"/>
    <w:rsid w:val="00DE3FBC"/>
    <w:rsid w:val="00DE443C"/>
    <w:rsid w:val="00DE4537"/>
    <w:rsid w:val="00DE6A0D"/>
    <w:rsid w:val="00E00022"/>
    <w:rsid w:val="00E01B4C"/>
    <w:rsid w:val="00E05B7E"/>
    <w:rsid w:val="00E122B3"/>
    <w:rsid w:val="00E231A1"/>
    <w:rsid w:val="00E2388B"/>
    <w:rsid w:val="00E341FF"/>
    <w:rsid w:val="00E35FEA"/>
    <w:rsid w:val="00E44557"/>
    <w:rsid w:val="00E45DBA"/>
    <w:rsid w:val="00E47C3D"/>
    <w:rsid w:val="00E66A94"/>
    <w:rsid w:val="00E679DE"/>
    <w:rsid w:val="00E77A5A"/>
    <w:rsid w:val="00E80986"/>
    <w:rsid w:val="00E9320E"/>
    <w:rsid w:val="00E93F52"/>
    <w:rsid w:val="00EB1625"/>
    <w:rsid w:val="00EB5381"/>
    <w:rsid w:val="00EB74E0"/>
    <w:rsid w:val="00ED536E"/>
    <w:rsid w:val="00ED69E7"/>
    <w:rsid w:val="00ED7DE6"/>
    <w:rsid w:val="00EE75C9"/>
    <w:rsid w:val="00EE7A6A"/>
    <w:rsid w:val="00EF0E4D"/>
    <w:rsid w:val="00EF314C"/>
    <w:rsid w:val="00EF686F"/>
    <w:rsid w:val="00EF6C7A"/>
    <w:rsid w:val="00F0126B"/>
    <w:rsid w:val="00F11765"/>
    <w:rsid w:val="00F14002"/>
    <w:rsid w:val="00F14CB6"/>
    <w:rsid w:val="00F1615E"/>
    <w:rsid w:val="00F33B53"/>
    <w:rsid w:val="00F4579F"/>
    <w:rsid w:val="00F46143"/>
    <w:rsid w:val="00F54337"/>
    <w:rsid w:val="00F544AA"/>
    <w:rsid w:val="00F54DA5"/>
    <w:rsid w:val="00F554E7"/>
    <w:rsid w:val="00F60182"/>
    <w:rsid w:val="00F62484"/>
    <w:rsid w:val="00F67DD5"/>
    <w:rsid w:val="00F7477B"/>
    <w:rsid w:val="00F749F0"/>
    <w:rsid w:val="00F817AE"/>
    <w:rsid w:val="00F8316D"/>
    <w:rsid w:val="00F8364A"/>
    <w:rsid w:val="00F86780"/>
    <w:rsid w:val="00F90ACC"/>
    <w:rsid w:val="00F95EB5"/>
    <w:rsid w:val="00FA4284"/>
    <w:rsid w:val="00FA510A"/>
    <w:rsid w:val="00FB72AB"/>
    <w:rsid w:val="00FC27F2"/>
    <w:rsid w:val="00FC6F00"/>
    <w:rsid w:val="00FD0BFC"/>
    <w:rsid w:val="00FD195A"/>
    <w:rsid w:val="00FD3DC4"/>
    <w:rsid w:val="00FD427F"/>
    <w:rsid w:val="00FD5118"/>
    <w:rsid w:val="00FD6EFB"/>
    <w:rsid w:val="00FD7941"/>
    <w:rsid w:val="00FE0ACE"/>
    <w:rsid w:val="00FE1AC5"/>
    <w:rsid w:val="00FE4BB0"/>
    <w:rsid w:val="00FF4B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A428F"/>
  <w15:chartTrackingRefBased/>
  <w15:docId w15:val="{436FF39F-7C47-934E-9A0D-61E3DFA2BB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72"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396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72"/>
    <w:qFormat/>
    <w:rsid w:val="0038312A"/>
    <w:pPr>
      <w:ind w:left="720"/>
      <w:contextualSpacing/>
    </w:pPr>
  </w:style>
  <w:style w:type="character" w:customStyle="1" w:styleId="Heading1Char">
    <w:name w:val="Heading 1 Char"/>
    <w:basedOn w:val="DefaultParagraphFont"/>
    <w:link w:val="Heading1"/>
    <w:uiPriority w:val="9"/>
    <w:rsid w:val="00A23965"/>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23965"/>
  </w:style>
  <w:style w:type="paragraph" w:styleId="Header">
    <w:name w:val="header"/>
    <w:basedOn w:val="Normal"/>
    <w:link w:val="HeaderChar"/>
    <w:uiPriority w:val="99"/>
    <w:unhideWhenUsed/>
    <w:rsid w:val="00E122B3"/>
    <w:pPr>
      <w:tabs>
        <w:tab w:val="center" w:pos="4680"/>
        <w:tab w:val="right" w:pos="9360"/>
      </w:tabs>
    </w:pPr>
  </w:style>
  <w:style w:type="character" w:customStyle="1" w:styleId="HeaderChar">
    <w:name w:val="Header Char"/>
    <w:basedOn w:val="DefaultParagraphFont"/>
    <w:link w:val="Header"/>
    <w:uiPriority w:val="99"/>
    <w:rsid w:val="00E122B3"/>
  </w:style>
  <w:style w:type="paragraph" w:styleId="Footer">
    <w:name w:val="footer"/>
    <w:basedOn w:val="Normal"/>
    <w:link w:val="FooterChar"/>
    <w:uiPriority w:val="99"/>
    <w:unhideWhenUsed/>
    <w:rsid w:val="00E122B3"/>
    <w:pPr>
      <w:tabs>
        <w:tab w:val="center" w:pos="4680"/>
        <w:tab w:val="right" w:pos="9360"/>
      </w:tabs>
    </w:pPr>
  </w:style>
  <w:style w:type="character" w:customStyle="1" w:styleId="FooterChar">
    <w:name w:val="Footer Char"/>
    <w:basedOn w:val="DefaultParagraphFont"/>
    <w:link w:val="Footer"/>
    <w:uiPriority w:val="99"/>
    <w:rsid w:val="00E122B3"/>
  </w:style>
  <w:style w:type="character" w:styleId="PageNumber">
    <w:name w:val="page number"/>
    <w:basedOn w:val="DefaultParagraphFont"/>
    <w:uiPriority w:val="99"/>
    <w:semiHidden/>
    <w:unhideWhenUsed/>
    <w:rsid w:val="009002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44808">
      <w:bodyDiv w:val="1"/>
      <w:marLeft w:val="0"/>
      <w:marRight w:val="0"/>
      <w:marTop w:val="0"/>
      <w:marBottom w:val="0"/>
      <w:divBdr>
        <w:top w:val="none" w:sz="0" w:space="0" w:color="auto"/>
        <w:left w:val="none" w:sz="0" w:space="0" w:color="auto"/>
        <w:bottom w:val="none" w:sz="0" w:space="0" w:color="auto"/>
        <w:right w:val="none" w:sz="0" w:space="0" w:color="auto"/>
      </w:divBdr>
    </w:div>
    <w:div w:id="22757323">
      <w:bodyDiv w:val="1"/>
      <w:marLeft w:val="0"/>
      <w:marRight w:val="0"/>
      <w:marTop w:val="0"/>
      <w:marBottom w:val="0"/>
      <w:divBdr>
        <w:top w:val="none" w:sz="0" w:space="0" w:color="auto"/>
        <w:left w:val="none" w:sz="0" w:space="0" w:color="auto"/>
        <w:bottom w:val="none" w:sz="0" w:space="0" w:color="auto"/>
        <w:right w:val="none" w:sz="0" w:space="0" w:color="auto"/>
      </w:divBdr>
    </w:div>
    <w:div w:id="31922195">
      <w:bodyDiv w:val="1"/>
      <w:marLeft w:val="0"/>
      <w:marRight w:val="0"/>
      <w:marTop w:val="0"/>
      <w:marBottom w:val="0"/>
      <w:divBdr>
        <w:top w:val="none" w:sz="0" w:space="0" w:color="auto"/>
        <w:left w:val="none" w:sz="0" w:space="0" w:color="auto"/>
        <w:bottom w:val="none" w:sz="0" w:space="0" w:color="auto"/>
        <w:right w:val="none" w:sz="0" w:space="0" w:color="auto"/>
      </w:divBdr>
    </w:div>
    <w:div w:id="60907658">
      <w:bodyDiv w:val="1"/>
      <w:marLeft w:val="0"/>
      <w:marRight w:val="0"/>
      <w:marTop w:val="0"/>
      <w:marBottom w:val="0"/>
      <w:divBdr>
        <w:top w:val="none" w:sz="0" w:space="0" w:color="auto"/>
        <w:left w:val="none" w:sz="0" w:space="0" w:color="auto"/>
        <w:bottom w:val="none" w:sz="0" w:space="0" w:color="auto"/>
        <w:right w:val="none" w:sz="0" w:space="0" w:color="auto"/>
      </w:divBdr>
    </w:div>
    <w:div w:id="183902833">
      <w:bodyDiv w:val="1"/>
      <w:marLeft w:val="0"/>
      <w:marRight w:val="0"/>
      <w:marTop w:val="0"/>
      <w:marBottom w:val="0"/>
      <w:divBdr>
        <w:top w:val="none" w:sz="0" w:space="0" w:color="auto"/>
        <w:left w:val="none" w:sz="0" w:space="0" w:color="auto"/>
        <w:bottom w:val="none" w:sz="0" w:space="0" w:color="auto"/>
        <w:right w:val="none" w:sz="0" w:space="0" w:color="auto"/>
      </w:divBdr>
    </w:div>
    <w:div w:id="184101663">
      <w:bodyDiv w:val="1"/>
      <w:marLeft w:val="0"/>
      <w:marRight w:val="0"/>
      <w:marTop w:val="0"/>
      <w:marBottom w:val="0"/>
      <w:divBdr>
        <w:top w:val="none" w:sz="0" w:space="0" w:color="auto"/>
        <w:left w:val="none" w:sz="0" w:space="0" w:color="auto"/>
        <w:bottom w:val="none" w:sz="0" w:space="0" w:color="auto"/>
        <w:right w:val="none" w:sz="0" w:space="0" w:color="auto"/>
      </w:divBdr>
    </w:div>
    <w:div w:id="223950770">
      <w:bodyDiv w:val="1"/>
      <w:marLeft w:val="0"/>
      <w:marRight w:val="0"/>
      <w:marTop w:val="0"/>
      <w:marBottom w:val="0"/>
      <w:divBdr>
        <w:top w:val="none" w:sz="0" w:space="0" w:color="auto"/>
        <w:left w:val="none" w:sz="0" w:space="0" w:color="auto"/>
        <w:bottom w:val="none" w:sz="0" w:space="0" w:color="auto"/>
        <w:right w:val="none" w:sz="0" w:space="0" w:color="auto"/>
      </w:divBdr>
    </w:div>
    <w:div w:id="228347750">
      <w:bodyDiv w:val="1"/>
      <w:marLeft w:val="0"/>
      <w:marRight w:val="0"/>
      <w:marTop w:val="0"/>
      <w:marBottom w:val="0"/>
      <w:divBdr>
        <w:top w:val="none" w:sz="0" w:space="0" w:color="auto"/>
        <w:left w:val="none" w:sz="0" w:space="0" w:color="auto"/>
        <w:bottom w:val="none" w:sz="0" w:space="0" w:color="auto"/>
        <w:right w:val="none" w:sz="0" w:space="0" w:color="auto"/>
      </w:divBdr>
    </w:div>
    <w:div w:id="246812776">
      <w:bodyDiv w:val="1"/>
      <w:marLeft w:val="0"/>
      <w:marRight w:val="0"/>
      <w:marTop w:val="0"/>
      <w:marBottom w:val="0"/>
      <w:divBdr>
        <w:top w:val="none" w:sz="0" w:space="0" w:color="auto"/>
        <w:left w:val="none" w:sz="0" w:space="0" w:color="auto"/>
        <w:bottom w:val="none" w:sz="0" w:space="0" w:color="auto"/>
        <w:right w:val="none" w:sz="0" w:space="0" w:color="auto"/>
      </w:divBdr>
    </w:div>
    <w:div w:id="312413126">
      <w:bodyDiv w:val="1"/>
      <w:marLeft w:val="0"/>
      <w:marRight w:val="0"/>
      <w:marTop w:val="0"/>
      <w:marBottom w:val="0"/>
      <w:divBdr>
        <w:top w:val="none" w:sz="0" w:space="0" w:color="auto"/>
        <w:left w:val="none" w:sz="0" w:space="0" w:color="auto"/>
        <w:bottom w:val="none" w:sz="0" w:space="0" w:color="auto"/>
        <w:right w:val="none" w:sz="0" w:space="0" w:color="auto"/>
      </w:divBdr>
    </w:div>
    <w:div w:id="351565530">
      <w:bodyDiv w:val="1"/>
      <w:marLeft w:val="0"/>
      <w:marRight w:val="0"/>
      <w:marTop w:val="0"/>
      <w:marBottom w:val="0"/>
      <w:divBdr>
        <w:top w:val="none" w:sz="0" w:space="0" w:color="auto"/>
        <w:left w:val="none" w:sz="0" w:space="0" w:color="auto"/>
        <w:bottom w:val="none" w:sz="0" w:space="0" w:color="auto"/>
        <w:right w:val="none" w:sz="0" w:space="0" w:color="auto"/>
      </w:divBdr>
    </w:div>
    <w:div w:id="411005785">
      <w:bodyDiv w:val="1"/>
      <w:marLeft w:val="0"/>
      <w:marRight w:val="0"/>
      <w:marTop w:val="0"/>
      <w:marBottom w:val="0"/>
      <w:divBdr>
        <w:top w:val="none" w:sz="0" w:space="0" w:color="auto"/>
        <w:left w:val="none" w:sz="0" w:space="0" w:color="auto"/>
        <w:bottom w:val="none" w:sz="0" w:space="0" w:color="auto"/>
        <w:right w:val="none" w:sz="0" w:space="0" w:color="auto"/>
      </w:divBdr>
    </w:div>
    <w:div w:id="438649403">
      <w:bodyDiv w:val="1"/>
      <w:marLeft w:val="0"/>
      <w:marRight w:val="0"/>
      <w:marTop w:val="0"/>
      <w:marBottom w:val="0"/>
      <w:divBdr>
        <w:top w:val="none" w:sz="0" w:space="0" w:color="auto"/>
        <w:left w:val="none" w:sz="0" w:space="0" w:color="auto"/>
        <w:bottom w:val="none" w:sz="0" w:space="0" w:color="auto"/>
        <w:right w:val="none" w:sz="0" w:space="0" w:color="auto"/>
      </w:divBdr>
    </w:div>
    <w:div w:id="452291495">
      <w:bodyDiv w:val="1"/>
      <w:marLeft w:val="0"/>
      <w:marRight w:val="0"/>
      <w:marTop w:val="0"/>
      <w:marBottom w:val="0"/>
      <w:divBdr>
        <w:top w:val="none" w:sz="0" w:space="0" w:color="auto"/>
        <w:left w:val="none" w:sz="0" w:space="0" w:color="auto"/>
        <w:bottom w:val="none" w:sz="0" w:space="0" w:color="auto"/>
        <w:right w:val="none" w:sz="0" w:space="0" w:color="auto"/>
      </w:divBdr>
    </w:div>
    <w:div w:id="476143418">
      <w:bodyDiv w:val="1"/>
      <w:marLeft w:val="0"/>
      <w:marRight w:val="0"/>
      <w:marTop w:val="0"/>
      <w:marBottom w:val="0"/>
      <w:divBdr>
        <w:top w:val="none" w:sz="0" w:space="0" w:color="auto"/>
        <w:left w:val="none" w:sz="0" w:space="0" w:color="auto"/>
        <w:bottom w:val="none" w:sz="0" w:space="0" w:color="auto"/>
        <w:right w:val="none" w:sz="0" w:space="0" w:color="auto"/>
      </w:divBdr>
    </w:div>
    <w:div w:id="619149420">
      <w:bodyDiv w:val="1"/>
      <w:marLeft w:val="0"/>
      <w:marRight w:val="0"/>
      <w:marTop w:val="0"/>
      <w:marBottom w:val="0"/>
      <w:divBdr>
        <w:top w:val="none" w:sz="0" w:space="0" w:color="auto"/>
        <w:left w:val="none" w:sz="0" w:space="0" w:color="auto"/>
        <w:bottom w:val="none" w:sz="0" w:space="0" w:color="auto"/>
        <w:right w:val="none" w:sz="0" w:space="0" w:color="auto"/>
      </w:divBdr>
    </w:div>
    <w:div w:id="653876225">
      <w:bodyDiv w:val="1"/>
      <w:marLeft w:val="0"/>
      <w:marRight w:val="0"/>
      <w:marTop w:val="0"/>
      <w:marBottom w:val="0"/>
      <w:divBdr>
        <w:top w:val="none" w:sz="0" w:space="0" w:color="auto"/>
        <w:left w:val="none" w:sz="0" w:space="0" w:color="auto"/>
        <w:bottom w:val="none" w:sz="0" w:space="0" w:color="auto"/>
        <w:right w:val="none" w:sz="0" w:space="0" w:color="auto"/>
      </w:divBdr>
    </w:div>
    <w:div w:id="696348066">
      <w:bodyDiv w:val="1"/>
      <w:marLeft w:val="0"/>
      <w:marRight w:val="0"/>
      <w:marTop w:val="0"/>
      <w:marBottom w:val="0"/>
      <w:divBdr>
        <w:top w:val="none" w:sz="0" w:space="0" w:color="auto"/>
        <w:left w:val="none" w:sz="0" w:space="0" w:color="auto"/>
        <w:bottom w:val="none" w:sz="0" w:space="0" w:color="auto"/>
        <w:right w:val="none" w:sz="0" w:space="0" w:color="auto"/>
      </w:divBdr>
    </w:div>
    <w:div w:id="758866670">
      <w:bodyDiv w:val="1"/>
      <w:marLeft w:val="0"/>
      <w:marRight w:val="0"/>
      <w:marTop w:val="0"/>
      <w:marBottom w:val="0"/>
      <w:divBdr>
        <w:top w:val="none" w:sz="0" w:space="0" w:color="auto"/>
        <w:left w:val="none" w:sz="0" w:space="0" w:color="auto"/>
        <w:bottom w:val="none" w:sz="0" w:space="0" w:color="auto"/>
        <w:right w:val="none" w:sz="0" w:space="0" w:color="auto"/>
      </w:divBdr>
    </w:div>
    <w:div w:id="768626798">
      <w:bodyDiv w:val="1"/>
      <w:marLeft w:val="0"/>
      <w:marRight w:val="0"/>
      <w:marTop w:val="0"/>
      <w:marBottom w:val="0"/>
      <w:divBdr>
        <w:top w:val="none" w:sz="0" w:space="0" w:color="auto"/>
        <w:left w:val="none" w:sz="0" w:space="0" w:color="auto"/>
        <w:bottom w:val="none" w:sz="0" w:space="0" w:color="auto"/>
        <w:right w:val="none" w:sz="0" w:space="0" w:color="auto"/>
      </w:divBdr>
    </w:div>
    <w:div w:id="773861386">
      <w:bodyDiv w:val="1"/>
      <w:marLeft w:val="0"/>
      <w:marRight w:val="0"/>
      <w:marTop w:val="0"/>
      <w:marBottom w:val="0"/>
      <w:divBdr>
        <w:top w:val="none" w:sz="0" w:space="0" w:color="auto"/>
        <w:left w:val="none" w:sz="0" w:space="0" w:color="auto"/>
        <w:bottom w:val="none" w:sz="0" w:space="0" w:color="auto"/>
        <w:right w:val="none" w:sz="0" w:space="0" w:color="auto"/>
      </w:divBdr>
    </w:div>
    <w:div w:id="837815451">
      <w:bodyDiv w:val="1"/>
      <w:marLeft w:val="0"/>
      <w:marRight w:val="0"/>
      <w:marTop w:val="0"/>
      <w:marBottom w:val="0"/>
      <w:divBdr>
        <w:top w:val="none" w:sz="0" w:space="0" w:color="auto"/>
        <w:left w:val="none" w:sz="0" w:space="0" w:color="auto"/>
        <w:bottom w:val="none" w:sz="0" w:space="0" w:color="auto"/>
        <w:right w:val="none" w:sz="0" w:space="0" w:color="auto"/>
      </w:divBdr>
    </w:div>
    <w:div w:id="880822437">
      <w:bodyDiv w:val="1"/>
      <w:marLeft w:val="0"/>
      <w:marRight w:val="0"/>
      <w:marTop w:val="0"/>
      <w:marBottom w:val="0"/>
      <w:divBdr>
        <w:top w:val="none" w:sz="0" w:space="0" w:color="auto"/>
        <w:left w:val="none" w:sz="0" w:space="0" w:color="auto"/>
        <w:bottom w:val="none" w:sz="0" w:space="0" w:color="auto"/>
        <w:right w:val="none" w:sz="0" w:space="0" w:color="auto"/>
      </w:divBdr>
    </w:div>
    <w:div w:id="978269661">
      <w:bodyDiv w:val="1"/>
      <w:marLeft w:val="0"/>
      <w:marRight w:val="0"/>
      <w:marTop w:val="0"/>
      <w:marBottom w:val="0"/>
      <w:divBdr>
        <w:top w:val="none" w:sz="0" w:space="0" w:color="auto"/>
        <w:left w:val="none" w:sz="0" w:space="0" w:color="auto"/>
        <w:bottom w:val="none" w:sz="0" w:space="0" w:color="auto"/>
        <w:right w:val="none" w:sz="0" w:space="0" w:color="auto"/>
      </w:divBdr>
    </w:div>
    <w:div w:id="1103378205">
      <w:bodyDiv w:val="1"/>
      <w:marLeft w:val="0"/>
      <w:marRight w:val="0"/>
      <w:marTop w:val="0"/>
      <w:marBottom w:val="0"/>
      <w:divBdr>
        <w:top w:val="none" w:sz="0" w:space="0" w:color="auto"/>
        <w:left w:val="none" w:sz="0" w:space="0" w:color="auto"/>
        <w:bottom w:val="none" w:sz="0" w:space="0" w:color="auto"/>
        <w:right w:val="none" w:sz="0" w:space="0" w:color="auto"/>
      </w:divBdr>
    </w:div>
    <w:div w:id="1128165523">
      <w:bodyDiv w:val="1"/>
      <w:marLeft w:val="0"/>
      <w:marRight w:val="0"/>
      <w:marTop w:val="0"/>
      <w:marBottom w:val="0"/>
      <w:divBdr>
        <w:top w:val="none" w:sz="0" w:space="0" w:color="auto"/>
        <w:left w:val="none" w:sz="0" w:space="0" w:color="auto"/>
        <w:bottom w:val="none" w:sz="0" w:space="0" w:color="auto"/>
        <w:right w:val="none" w:sz="0" w:space="0" w:color="auto"/>
      </w:divBdr>
    </w:div>
    <w:div w:id="1221163798">
      <w:bodyDiv w:val="1"/>
      <w:marLeft w:val="0"/>
      <w:marRight w:val="0"/>
      <w:marTop w:val="0"/>
      <w:marBottom w:val="0"/>
      <w:divBdr>
        <w:top w:val="none" w:sz="0" w:space="0" w:color="auto"/>
        <w:left w:val="none" w:sz="0" w:space="0" w:color="auto"/>
        <w:bottom w:val="none" w:sz="0" w:space="0" w:color="auto"/>
        <w:right w:val="none" w:sz="0" w:space="0" w:color="auto"/>
      </w:divBdr>
    </w:div>
    <w:div w:id="1238708672">
      <w:bodyDiv w:val="1"/>
      <w:marLeft w:val="0"/>
      <w:marRight w:val="0"/>
      <w:marTop w:val="0"/>
      <w:marBottom w:val="0"/>
      <w:divBdr>
        <w:top w:val="none" w:sz="0" w:space="0" w:color="auto"/>
        <w:left w:val="none" w:sz="0" w:space="0" w:color="auto"/>
        <w:bottom w:val="none" w:sz="0" w:space="0" w:color="auto"/>
        <w:right w:val="none" w:sz="0" w:space="0" w:color="auto"/>
      </w:divBdr>
    </w:div>
    <w:div w:id="1300770501">
      <w:bodyDiv w:val="1"/>
      <w:marLeft w:val="0"/>
      <w:marRight w:val="0"/>
      <w:marTop w:val="0"/>
      <w:marBottom w:val="0"/>
      <w:divBdr>
        <w:top w:val="none" w:sz="0" w:space="0" w:color="auto"/>
        <w:left w:val="none" w:sz="0" w:space="0" w:color="auto"/>
        <w:bottom w:val="none" w:sz="0" w:space="0" w:color="auto"/>
        <w:right w:val="none" w:sz="0" w:space="0" w:color="auto"/>
      </w:divBdr>
    </w:div>
    <w:div w:id="1348405013">
      <w:bodyDiv w:val="1"/>
      <w:marLeft w:val="0"/>
      <w:marRight w:val="0"/>
      <w:marTop w:val="0"/>
      <w:marBottom w:val="0"/>
      <w:divBdr>
        <w:top w:val="none" w:sz="0" w:space="0" w:color="auto"/>
        <w:left w:val="none" w:sz="0" w:space="0" w:color="auto"/>
        <w:bottom w:val="none" w:sz="0" w:space="0" w:color="auto"/>
        <w:right w:val="none" w:sz="0" w:space="0" w:color="auto"/>
      </w:divBdr>
    </w:div>
    <w:div w:id="1370229101">
      <w:bodyDiv w:val="1"/>
      <w:marLeft w:val="0"/>
      <w:marRight w:val="0"/>
      <w:marTop w:val="0"/>
      <w:marBottom w:val="0"/>
      <w:divBdr>
        <w:top w:val="none" w:sz="0" w:space="0" w:color="auto"/>
        <w:left w:val="none" w:sz="0" w:space="0" w:color="auto"/>
        <w:bottom w:val="none" w:sz="0" w:space="0" w:color="auto"/>
        <w:right w:val="none" w:sz="0" w:space="0" w:color="auto"/>
      </w:divBdr>
    </w:div>
    <w:div w:id="1374496665">
      <w:bodyDiv w:val="1"/>
      <w:marLeft w:val="0"/>
      <w:marRight w:val="0"/>
      <w:marTop w:val="0"/>
      <w:marBottom w:val="0"/>
      <w:divBdr>
        <w:top w:val="none" w:sz="0" w:space="0" w:color="auto"/>
        <w:left w:val="none" w:sz="0" w:space="0" w:color="auto"/>
        <w:bottom w:val="none" w:sz="0" w:space="0" w:color="auto"/>
        <w:right w:val="none" w:sz="0" w:space="0" w:color="auto"/>
      </w:divBdr>
    </w:div>
    <w:div w:id="1425951236">
      <w:bodyDiv w:val="1"/>
      <w:marLeft w:val="0"/>
      <w:marRight w:val="0"/>
      <w:marTop w:val="0"/>
      <w:marBottom w:val="0"/>
      <w:divBdr>
        <w:top w:val="none" w:sz="0" w:space="0" w:color="auto"/>
        <w:left w:val="none" w:sz="0" w:space="0" w:color="auto"/>
        <w:bottom w:val="none" w:sz="0" w:space="0" w:color="auto"/>
        <w:right w:val="none" w:sz="0" w:space="0" w:color="auto"/>
      </w:divBdr>
    </w:div>
    <w:div w:id="1447314204">
      <w:bodyDiv w:val="1"/>
      <w:marLeft w:val="0"/>
      <w:marRight w:val="0"/>
      <w:marTop w:val="0"/>
      <w:marBottom w:val="0"/>
      <w:divBdr>
        <w:top w:val="none" w:sz="0" w:space="0" w:color="auto"/>
        <w:left w:val="none" w:sz="0" w:space="0" w:color="auto"/>
        <w:bottom w:val="none" w:sz="0" w:space="0" w:color="auto"/>
        <w:right w:val="none" w:sz="0" w:space="0" w:color="auto"/>
      </w:divBdr>
    </w:div>
    <w:div w:id="1494756988">
      <w:bodyDiv w:val="1"/>
      <w:marLeft w:val="0"/>
      <w:marRight w:val="0"/>
      <w:marTop w:val="0"/>
      <w:marBottom w:val="0"/>
      <w:divBdr>
        <w:top w:val="none" w:sz="0" w:space="0" w:color="auto"/>
        <w:left w:val="none" w:sz="0" w:space="0" w:color="auto"/>
        <w:bottom w:val="none" w:sz="0" w:space="0" w:color="auto"/>
        <w:right w:val="none" w:sz="0" w:space="0" w:color="auto"/>
      </w:divBdr>
    </w:div>
    <w:div w:id="1536498635">
      <w:bodyDiv w:val="1"/>
      <w:marLeft w:val="0"/>
      <w:marRight w:val="0"/>
      <w:marTop w:val="0"/>
      <w:marBottom w:val="0"/>
      <w:divBdr>
        <w:top w:val="none" w:sz="0" w:space="0" w:color="auto"/>
        <w:left w:val="none" w:sz="0" w:space="0" w:color="auto"/>
        <w:bottom w:val="none" w:sz="0" w:space="0" w:color="auto"/>
        <w:right w:val="none" w:sz="0" w:space="0" w:color="auto"/>
      </w:divBdr>
    </w:div>
    <w:div w:id="1568300998">
      <w:bodyDiv w:val="1"/>
      <w:marLeft w:val="0"/>
      <w:marRight w:val="0"/>
      <w:marTop w:val="0"/>
      <w:marBottom w:val="0"/>
      <w:divBdr>
        <w:top w:val="none" w:sz="0" w:space="0" w:color="auto"/>
        <w:left w:val="none" w:sz="0" w:space="0" w:color="auto"/>
        <w:bottom w:val="none" w:sz="0" w:space="0" w:color="auto"/>
        <w:right w:val="none" w:sz="0" w:space="0" w:color="auto"/>
      </w:divBdr>
    </w:div>
    <w:div w:id="1597134512">
      <w:bodyDiv w:val="1"/>
      <w:marLeft w:val="0"/>
      <w:marRight w:val="0"/>
      <w:marTop w:val="0"/>
      <w:marBottom w:val="0"/>
      <w:divBdr>
        <w:top w:val="none" w:sz="0" w:space="0" w:color="auto"/>
        <w:left w:val="none" w:sz="0" w:space="0" w:color="auto"/>
        <w:bottom w:val="none" w:sz="0" w:space="0" w:color="auto"/>
        <w:right w:val="none" w:sz="0" w:space="0" w:color="auto"/>
      </w:divBdr>
    </w:div>
    <w:div w:id="1657610199">
      <w:bodyDiv w:val="1"/>
      <w:marLeft w:val="0"/>
      <w:marRight w:val="0"/>
      <w:marTop w:val="0"/>
      <w:marBottom w:val="0"/>
      <w:divBdr>
        <w:top w:val="none" w:sz="0" w:space="0" w:color="auto"/>
        <w:left w:val="none" w:sz="0" w:space="0" w:color="auto"/>
        <w:bottom w:val="none" w:sz="0" w:space="0" w:color="auto"/>
        <w:right w:val="none" w:sz="0" w:space="0" w:color="auto"/>
      </w:divBdr>
    </w:div>
    <w:div w:id="1683898673">
      <w:bodyDiv w:val="1"/>
      <w:marLeft w:val="0"/>
      <w:marRight w:val="0"/>
      <w:marTop w:val="0"/>
      <w:marBottom w:val="0"/>
      <w:divBdr>
        <w:top w:val="none" w:sz="0" w:space="0" w:color="auto"/>
        <w:left w:val="none" w:sz="0" w:space="0" w:color="auto"/>
        <w:bottom w:val="none" w:sz="0" w:space="0" w:color="auto"/>
        <w:right w:val="none" w:sz="0" w:space="0" w:color="auto"/>
      </w:divBdr>
    </w:div>
    <w:div w:id="1745487721">
      <w:bodyDiv w:val="1"/>
      <w:marLeft w:val="0"/>
      <w:marRight w:val="0"/>
      <w:marTop w:val="0"/>
      <w:marBottom w:val="0"/>
      <w:divBdr>
        <w:top w:val="none" w:sz="0" w:space="0" w:color="auto"/>
        <w:left w:val="none" w:sz="0" w:space="0" w:color="auto"/>
        <w:bottom w:val="none" w:sz="0" w:space="0" w:color="auto"/>
        <w:right w:val="none" w:sz="0" w:space="0" w:color="auto"/>
      </w:divBdr>
    </w:div>
    <w:div w:id="1906795457">
      <w:bodyDiv w:val="1"/>
      <w:marLeft w:val="0"/>
      <w:marRight w:val="0"/>
      <w:marTop w:val="0"/>
      <w:marBottom w:val="0"/>
      <w:divBdr>
        <w:top w:val="none" w:sz="0" w:space="0" w:color="auto"/>
        <w:left w:val="none" w:sz="0" w:space="0" w:color="auto"/>
        <w:bottom w:val="none" w:sz="0" w:space="0" w:color="auto"/>
        <w:right w:val="none" w:sz="0" w:space="0" w:color="auto"/>
      </w:divBdr>
    </w:div>
    <w:div w:id="1929002548">
      <w:bodyDiv w:val="1"/>
      <w:marLeft w:val="0"/>
      <w:marRight w:val="0"/>
      <w:marTop w:val="0"/>
      <w:marBottom w:val="0"/>
      <w:divBdr>
        <w:top w:val="none" w:sz="0" w:space="0" w:color="auto"/>
        <w:left w:val="none" w:sz="0" w:space="0" w:color="auto"/>
        <w:bottom w:val="none" w:sz="0" w:space="0" w:color="auto"/>
        <w:right w:val="none" w:sz="0" w:space="0" w:color="auto"/>
      </w:divBdr>
    </w:div>
    <w:div w:id="1986204450">
      <w:bodyDiv w:val="1"/>
      <w:marLeft w:val="0"/>
      <w:marRight w:val="0"/>
      <w:marTop w:val="0"/>
      <w:marBottom w:val="0"/>
      <w:divBdr>
        <w:top w:val="none" w:sz="0" w:space="0" w:color="auto"/>
        <w:left w:val="none" w:sz="0" w:space="0" w:color="auto"/>
        <w:bottom w:val="none" w:sz="0" w:space="0" w:color="auto"/>
        <w:right w:val="none" w:sz="0" w:space="0" w:color="auto"/>
      </w:divBdr>
    </w:div>
    <w:div w:id="1991980592">
      <w:bodyDiv w:val="1"/>
      <w:marLeft w:val="0"/>
      <w:marRight w:val="0"/>
      <w:marTop w:val="0"/>
      <w:marBottom w:val="0"/>
      <w:divBdr>
        <w:top w:val="none" w:sz="0" w:space="0" w:color="auto"/>
        <w:left w:val="none" w:sz="0" w:space="0" w:color="auto"/>
        <w:bottom w:val="none" w:sz="0" w:space="0" w:color="auto"/>
        <w:right w:val="none" w:sz="0" w:space="0" w:color="auto"/>
      </w:divBdr>
    </w:div>
    <w:div w:id="2018799620">
      <w:bodyDiv w:val="1"/>
      <w:marLeft w:val="0"/>
      <w:marRight w:val="0"/>
      <w:marTop w:val="0"/>
      <w:marBottom w:val="0"/>
      <w:divBdr>
        <w:top w:val="none" w:sz="0" w:space="0" w:color="auto"/>
        <w:left w:val="none" w:sz="0" w:space="0" w:color="auto"/>
        <w:bottom w:val="none" w:sz="0" w:space="0" w:color="auto"/>
        <w:right w:val="none" w:sz="0" w:space="0" w:color="auto"/>
      </w:divBdr>
    </w:div>
    <w:div w:id="2039701300">
      <w:bodyDiv w:val="1"/>
      <w:marLeft w:val="0"/>
      <w:marRight w:val="0"/>
      <w:marTop w:val="0"/>
      <w:marBottom w:val="0"/>
      <w:divBdr>
        <w:top w:val="none" w:sz="0" w:space="0" w:color="auto"/>
        <w:left w:val="none" w:sz="0" w:space="0" w:color="auto"/>
        <w:bottom w:val="none" w:sz="0" w:space="0" w:color="auto"/>
        <w:right w:val="none" w:sz="0" w:space="0" w:color="auto"/>
      </w:divBdr>
    </w:div>
    <w:div w:id="2067993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DCE08</b:Tag>
    <b:SourceType>Report</b:SourceType>
    <b:Guid>{5D128FAB-A460-644C-87F3-6A0560564954}</b:Guid>
    <b:Title>Play/Active Learning</b:Title>
    <b:Publisher>Welsh Assembly Government</b:Publisher>
    <b:City>Cardiff</b:City>
    <b:Year>2008</b:Year>
    <b:Author>
      <b:Author>
        <b:Corporate>DCELLS</b:Corporate>
      </b:Author>
    </b:Author>
    <b:RefOrder>1</b:RefOrder>
  </b:Source>
  <b:Source>
    <b:Tag>DCE081</b:Tag>
    <b:SourceType>Report</b:SourceType>
    <b:Guid>{89274DF1-9B61-8646-B4BD-98E78A16DE3C}</b:Guid>
    <b:Author>
      <b:Author>
        <b:Corporate>DCELLS</b:Corporate>
      </b:Author>
    </b:Author>
    <b:Title>Learning and Teaching Pedagogy</b:Title>
    <b:Publisher>Welsh Assembly Government</b:Publisher>
    <b:City>Cardiff</b:City>
    <b:Year>2008</b:Year>
    <b:RefOrder>2</b:RefOrder>
  </b:Source>
  <b:Source>
    <b:Tag>Don151</b:Tag>
    <b:SourceType>Report</b:SourceType>
    <b:Guid>{666E3395-DEE2-B94F-A3AE-BC67296D4388}</b:Guid>
    <b:Title>Successful Futures</b:Title>
    <b:Publisher>Welsh Government</b:Publisher>
    <b:City>Cardiff</b:City>
    <b:Year>2015</b:Year>
    <b:Author>
      <b:Author>
        <b:NameList>
          <b:Person>
            <b:Last>Donaldson</b:Last>
            <b:First>Graham</b:First>
          </b:Person>
        </b:NameList>
      </b:Author>
    </b:Author>
    <b:RefOrder>4</b:RefOrder>
  </b:Source>
  <b:Source>
    <b:Tag>Lea13</b:Tag>
    <b:SourceType>InternetSite</b:SourceType>
    <b:Guid>{9F0DCC3F-EEEC-8F45-AE40-4D1D76E672C6}</b:Guid>
    <b:Title>Learning Environment</b:Title>
    <b:Year>2013</b:Year>
    <b:URL>https://www.edglossary.org/learning-environment/</b:URL>
    <b:YearAccessed>2019</b:YearAccessed>
    <b:MonthAccessed>May</b:MonthAccessed>
    <b:DayAccessed>12</b:DayAccessed>
    <b:InternetSiteTitle>The Glossary of Education Reform</b:InternetSiteTitle>
    <b:Month>August</b:Month>
    <b:Day>29</b:Day>
    <b:Author>
      <b:Author>
        <b:Corporate>The Glossary of Education Reform</b:Corporate>
      </b:Author>
    </b:Author>
    <b:RefOrder>3</b:RefOrder>
  </b:Source>
  <b:Source>
    <b:Tag>Pou142</b:Tag>
    <b:SourceType>Book</b:SourceType>
    <b:Guid>{BF8A80CA-BF1F-824A-934E-A06077A610D2}</b:Guid>
    <b:Title>How Children Learn</b:Title>
    <b:Year>2014</b:Year>
    <b:City>London</b:City>
    <b:Publisher>Practical Pre-School Books</b:Publisher>
    <b:Edition>1st</b:Edition>
    <b:Author>
      <b:Author>
        <b:NameList>
          <b:Person>
            <b:Last>Pound</b:Last>
            <b:First>Linda</b:First>
          </b:Person>
        </b:NameList>
      </b:Author>
    </b:Author>
    <b:RefOrder>5</b:RefOrder>
  </b:Source>
  <b:Source>
    <b:Tag>Mon19</b:Tag>
    <b:SourceType>InternetSite</b:SourceType>
    <b:Guid>{33A00508-278E-6847-89DA-7BC8D0C3BF36}</b:Guid>
    <b:Title>The Montessori Learning Environment</b:Title>
    <b:Year>2019</b:Year>
    <b:URL>https://www.montessori.org.uk/about-us/what-is-montessori/the-montessori-learning-environment</b:URL>
    <b:YearAccessed>2019</b:YearAccessed>
    <b:MonthAccessed>May</b:MonthAccessed>
    <b:DayAccessed>14</b:DayAccessed>
    <b:Author>
      <b:Author>
        <b:Corporate>Montessori St Nicholas</b:Corporate>
      </b:Author>
    </b:Author>
    <b:InternetSiteTitle>Montessori St Nicholas</b:InternetSiteTitle>
    <b:RefOrder>6</b:RefOrder>
  </b:Source>
  <b:Source>
    <b:Tag>Fie02</b:Tag>
    <b:SourceType>InternetSite</b:SourceType>
    <b:Guid>{3D7052FB-A044-3B40-8795-8CE9F0ED82CE}</b:Guid>
    <b:Title>John Dewey (1859-1952)</b:Title>
    <b:URL>https://www.iep.utm.edu/dewey/</b:URL>
    <b:Year>2002</b:Year>
    <b:YearAccessed>2019</b:YearAccessed>
    <b:MonthAccessed>May</b:MonthAccessed>
    <b:DayAccessed>15</b:DayAccessed>
    <b:InternetSiteTitle>Internet Encyclopedia of Philosophy</b:InternetSiteTitle>
    <b:Author>
      <b:Author>
        <b:NameList>
          <b:Person>
            <b:Last>Field</b:Last>
            <b:First>Richard</b:First>
          </b:Person>
        </b:NameList>
      </b:Author>
    </b:Author>
    <b:RefOrder>7</b:RefOrder>
  </b:Source>
  <b:Source>
    <b:Tag>OEA18</b:Tag>
    <b:SourceType>DocumentFromInternetSite</b:SourceType>
    <b:Guid>{233D83CA-9011-9D42-9926-8CC3DCBC0B67}</b:Guid>
    <b:Title>Ratios and Effective Supervision</b:Title>
    <b:URL>https://oeapng.info/?lang=en</b:URL>
    <b:Year>2018</b:Year>
    <b:YearAccessed>2019</b:YearAccessed>
    <b:MonthAccessed>May</b:MonthAccessed>
    <b:DayAccessed>15</b:DayAccessed>
    <b:Month>November</b:Month>
    <b:InternetSiteTitle>OEAP National Guidance</b:InternetSiteTitle>
    <b:Author>
      <b:Author>
        <b:Corporate>OEAP</b:Corporate>
      </b:Author>
    </b:Author>
    <b:RefOrder>17</b:RefOrder>
  </b:Source>
  <b:Source>
    <b:Tag>Sav10</b:Tag>
    <b:SourceType>InternetSite</b:SourceType>
    <b:Guid>{9B754783-FA3E-084E-B13F-E1B40673C27E}</b:Guid>
    <b:Title>Cross-curricular teaching and learning 5: Definitions</b:Title>
    <b:URL>http://www.jsavage.org.uk/research/cross-curricular-teaching-and-learning-5-definitions/</b:URL>
    <b:Year>2010</b:Year>
    <b:YearAccessed>2019</b:YearAccessed>
    <b:MonthAccessed>May</b:MonthAccessed>
    <b:DayAccessed>18</b:DayAccessed>
    <b:Author>
      <b:Author>
        <b:NameList>
          <b:Person>
            <b:Last>Savage</b:Last>
            <b:First>Jonathan</b:First>
          </b:Person>
        </b:NameList>
      </b:Author>
    </b:Author>
    <b:InternetSiteTitle>Jonathon Savage - Supporting innovation in education</b:InternetSiteTitle>
    <b:RefOrder>8</b:RefOrder>
  </b:Source>
  <b:Source>
    <b:Tag>Bar11</b:Tag>
    <b:SourceType>Book</b:SourceType>
    <b:Guid>{C15FA02C-F213-704F-B185-25B9667CFE0D}</b:Guid>
    <b:Title>Cross-Curricular Learning 3-15 </b:Title>
    <b:Year>2011</b:Year>
    <b:Author>
      <b:Author>
        <b:NameList>
          <b:Person>
            <b:Last>Barnes</b:Last>
            <b:First>Jonathan</b:First>
          </b:Person>
        </b:NameList>
      </b:Author>
    </b:Author>
    <b:City>London</b:City>
    <b:Publisher>SAGE Publications Inc</b:Publisher>
    <b:Edition>2nd</b:Edition>
    <b:RefOrder>9</b:RefOrder>
  </b:Source>
  <b:Source>
    <b:Tag>ATL16</b:Tag>
    <b:SourceType>InternetSite</b:SourceType>
    <b:Guid>{3CEFA3EF-238B-6C46-9001-998FC18786C0}</b:Guid>
    <b:Title>Risk assessments and trips</b:Title>
    <b:Year>2016</b:Year>
    <b:URL>https://www.atl.org.uk/advice-and-resources/health-and-safety/risk-assessments-and-trips</b:URL>
    <b:YearAccessed>2019</b:YearAccessed>
    <b:MonthAccessed>May</b:MonthAccessed>
    <b:DayAccessed>18</b:DayAccessed>
    <b:Author>
      <b:Author>
        <b:Corporate>ATL - National Educarion Union</b:Corporate>
      </b:Author>
    </b:Author>
    <b:InternetSiteTitle>National Education Union</b:InternetSiteTitle>
    <b:Month>November</b:Month>
    <b:Day>02</b:Day>
    <b:RefOrder>18</b:RefOrder>
  </b:Source>
  <b:Source>
    <b:Tag>Wel151</b:Tag>
    <b:SourceType>Report</b:SourceType>
    <b:Guid>{D9EE9B19-FA54-3444-88DB-00D4E3F5E1FF}</b:Guid>
    <b:Title>Foundation Phase Framework</b:Title>
    <b:Year>2015</b:Year>
    <b:Author>
      <b:Author>
        <b:Corporate>Welsh Government</b:Corporate>
      </b:Author>
    </b:Author>
    <b:Publisher>Crown</b:Publisher>
    <b:City>Cardiff</b:City>
    <b:RefOrder>14</b:RefOrder>
  </b:Source>
  <b:Source>
    <b:Tag>Gri152</b:Tag>
    <b:SourceType>Report</b:SourceType>
    <b:Guid>{01A80FB0-AA8D-1D49-81CE-D9ECE00179CF}</b:Guid>
    <b:Title>Becoming an Outstanding Primary School Teacher</b:Title>
    <b:Publisher>Routledge</b:Publisher>
    <b:City>Oxon</b:City>
    <b:Year>2015</b:Year>
    <b:Author>
      <b:Author>
        <b:NameList>
          <b:Person>
            <b:Last>Grigg</b:Last>
            <b:First>Russell</b:First>
          </b:Person>
        </b:NameList>
      </b:Author>
    </b:Author>
    <b:RefOrder>19</b:RefOrder>
  </b:Source>
  <b:Source>
    <b:Tag>DCE09</b:Tag>
    <b:SourceType>Report</b:SourceType>
    <b:Guid>{67F3E586-781B-704C-9BBE-3E6322EC697B}</b:Guid>
    <b:Author>
      <b:Author>
        <b:Corporate>DCELLS</b:Corporate>
      </b:Author>
    </b:Author>
    <b:Title>Foundation Phase Outdoor Learning Handbook</b:Title>
    <b:Publisher>Welsh Assembly Government</b:Publisher>
    <b:City>Cardiff</b:City>
    <b:Year>2009</b:Year>
    <b:RefOrder>10</b:RefOrder>
  </b:Source>
  <b:Source>
    <b:Tag>Dep06</b:Tag>
    <b:SourceType>Report</b:SourceType>
    <b:Guid>{60F44703-B5C2-1E48-A9F4-5E52547EF167}</b:Guid>
    <b:Author>
      <b:Author>
        <b:Corporate>Department for Education and Skills</b:Corporate>
      </b:Author>
    </b:Author>
    <b:Title>Learning Outside the Classroom Manifesto</b:Title>
    <b:Publisher>Department for Education and Skills</b:Publisher>
    <b:City>Nottingham</b:City>
    <b:Year>2006</b:Year>
    <b:RefOrder>11</b:RefOrder>
  </b:Source>
  <b:Source>
    <b:Tag>Cop17</b:Tag>
    <b:SourceType>InternetSite</b:SourceType>
    <b:Guid>{25E3FE1D-0560-BF41-BB67-79D223CFE573}</b:Guid>
    <b:Title>Matching Preschool Classroom Activities to the PILES Developmental Domains</b:Title>
    <b:Year>2017</b:Year>
    <b:URL>https://blog.himama.com/matching-preschool-classroom-activities-to-the-piles-developmental-domains/</b:URL>
    <b:YearAccessed>2019</b:YearAccessed>
    <b:MonthAccessed>May</b:MonthAccessed>
    <b:DayAccessed>19</b:DayAccessed>
    <b:Author>
      <b:Author>
        <b:NameList>
          <b:Person>
            <b:Last>Copland</b:Last>
            <b:First>Dylan</b:First>
          </b:Person>
        </b:NameList>
      </b:Author>
    </b:Author>
    <b:InternetSiteTitle>Early Childhood Education Blog</b:InternetSiteTitle>
    <b:Month>August</b:Month>
    <b:Day>14</b:Day>
    <b:RefOrder>15</b:RefOrder>
  </b:Source>
  <b:Source>
    <b:Tag>Uni16</b:Tag>
    <b:SourceType>InternetSite</b:SourceType>
    <b:Guid>{82EC3277-4EBB-E742-B2E2-23FB9BA42B17}</b:Guid>
    <b:Author>
      <b:Author>
        <b:Corporate>University of Washington</b:Corporate>
      </b:Author>
    </b:Author>
    <b:Title>Areas of Development</b:Title>
    <b:URL>https://depts.washington.edu/allcwe2/fosterparents/training/chidev/cd03.htm</b:URL>
    <b:YearAccessed>2019</b:YearAccessed>
    <b:MonthAccessed>May</b:MonthAccessed>
    <b:DayAccessed>19</b:DayAccessed>
    <b:RefOrder>16</b:RefOrder>
  </b:Source>
  <b:Source>
    <b:Tag>Cro07</b:Tag>
    <b:SourceType>Report</b:SourceType>
    <b:Guid>{77F2F973-71D7-9C43-A9B3-FF9D18A5BA2B}</b:Guid>
    <b:Title>Effective Practice: Outdoor Learning</b:Title>
    <b:URL>http://outdoormatters.co.uk/wp-content/uploads/2011/03/EYFS-Effective-PracticeOutdoor-Learning.pdf</b:URL>
    <b:Year>2007</b:Year>
    <b:Publisher>Crown</b:Publisher>
    <b:Author>
      <b:Author>
        <b:Corporate>Crown</b:Corporate>
      </b:Author>
    </b:Author>
    <b:RefOrder>12</b:RefOrder>
  </b:Source>
  <b:Source>
    <b:Tag>DCE082</b:Tag>
    <b:SourceType>Report</b:SourceType>
    <b:Guid>{D0BFD64A-8302-8741-8FD6-56E9DADFF58B}</b:Guid>
    <b:Author>
      <b:Author>
        <b:Corporate>DCELLS</b:Corporate>
      </b:Author>
    </b:Author>
    <b:Title>Education for Sustainable Development and Global Citizenship - Information for teacher trainees and new teachers in Wales</b:Title>
    <b:Publisher>Welsh Assembly Government</b:Publisher>
    <b:City>Cardiff</b:City>
    <b:Year>2008</b:Year>
    <b:RefOrder>13</b:RefOrder>
  </b:Source>
</b:Sources>
</file>

<file path=customXml/itemProps1.xml><?xml version="1.0" encoding="utf-8"?>
<ds:datastoreItem xmlns:ds="http://schemas.openxmlformats.org/officeDocument/2006/customXml" ds:itemID="{F7B9A4D4-08B8-F649-A7ED-F07B81CF10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8</Pages>
  <Words>3513</Words>
  <Characters>20027</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Williams (1801978)</dc:creator>
  <cp:keywords/>
  <dc:description/>
  <cp:lastModifiedBy>Rhian Williams (1801978)</cp:lastModifiedBy>
  <cp:revision>71</cp:revision>
  <dcterms:created xsi:type="dcterms:W3CDTF">2019-05-21T08:23:00Z</dcterms:created>
  <dcterms:modified xsi:type="dcterms:W3CDTF">2019-05-21T15:10:00Z</dcterms:modified>
</cp:coreProperties>
</file>