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6"/>
        <w:ind w:right="0" w:left="0" w:firstLine="0"/>
        <w:jc w:val="center"/>
        <w:rPr>
          <w:rFonts w:ascii="Arial" w:hAnsi="Arial" w:cs="Arial" w:eastAsia="Arial"/>
          <w:color w:val="auto"/>
          <w:spacing w:val="0"/>
          <w:position w:val="0"/>
          <w:sz w:val="24"/>
          <w:shd w:fill="auto" w:val="clear"/>
        </w:rPr>
      </w:pPr>
    </w:p>
    <w:p>
      <w:pPr>
        <w:spacing w:before="0" w:after="160" w:line="256"/>
        <w:ind w:right="0" w:left="0" w:firstLine="0"/>
        <w:jc w:val="center"/>
        <w:rPr>
          <w:rFonts w:ascii="Arial" w:hAnsi="Arial" w:cs="Arial" w:eastAsia="Arial"/>
          <w:color w:val="auto"/>
          <w:spacing w:val="0"/>
          <w:position w:val="0"/>
          <w:sz w:val="24"/>
          <w:shd w:fill="auto" w:val="clear"/>
        </w:rPr>
      </w:pPr>
    </w:p>
    <w:p>
      <w:pPr>
        <w:spacing w:before="0" w:after="160" w:line="256"/>
        <w:ind w:right="0" w:left="0" w:firstLine="0"/>
        <w:jc w:val="center"/>
        <w:rPr>
          <w:rFonts w:ascii="Arial" w:hAnsi="Arial" w:cs="Arial" w:eastAsia="Arial"/>
          <w:color w:val="auto"/>
          <w:spacing w:val="0"/>
          <w:position w:val="0"/>
          <w:sz w:val="24"/>
          <w:shd w:fill="auto" w:val="clear"/>
        </w:rPr>
      </w:pPr>
    </w:p>
    <w:p>
      <w:pPr>
        <w:spacing w:before="0" w:after="160" w:line="256"/>
        <w:ind w:right="0" w:left="0" w:firstLine="0"/>
        <w:jc w:val="center"/>
        <w:rPr>
          <w:rFonts w:ascii="Arial" w:hAnsi="Arial" w:cs="Arial" w:eastAsia="Arial"/>
          <w:color w:val="auto"/>
          <w:spacing w:val="0"/>
          <w:position w:val="0"/>
          <w:sz w:val="24"/>
          <w:shd w:fill="auto" w:val="clear"/>
        </w:rPr>
      </w:pPr>
    </w:p>
    <w:p>
      <w:pPr>
        <w:spacing w:before="0" w:after="160" w:line="256"/>
        <w:ind w:right="0" w:left="0" w:firstLine="0"/>
        <w:jc w:val="center"/>
        <w:rPr>
          <w:rFonts w:ascii="Arial" w:hAnsi="Arial" w:cs="Arial" w:eastAsia="Arial"/>
          <w:color w:val="auto"/>
          <w:spacing w:val="0"/>
          <w:position w:val="0"/>
          <w:sz w:val="24"/>
          <w:shd w:fill="auto" w:val="clear"/>
        </w:rPr>
      </w:pPr>
    </w:p>
    <w:p>
      <w:pPr>
        <w:spacing w:before="0" w:after="160" w:line="256"/>
        <w:ind w:right="0" w:left="0" w:firstLine="0"/>
        <w:jc w:val="center"/>
        <w:rPr>
          <w:rFonts w:ascii="Arial" w:hAnsi="Arial" w:cs="Arial" w:eastAsia="Arial"/>
          <w:color w:val="auto"/>
          <w:spacing w:val="0"/>
          <w:position w:val="0"/>
          <w:sz w:val="24"/>
          <w:shd w:fill="auto" w:val="clear"/>
        </w:rPr>
      </w:pPr>
    </w:p>
    <w:p>
      <w:pPr>
        <w:spacing w:before="0" w:after="160" w:line="256"/>
        <w:ind w:right="0" w:left="0" w:firstLine="0"/>
        <w:jc w:val="center"/>
        <w:rPr>
          <w:rFonts w:ascii="Arial" w:hAnsi="Arial" w:cs="Arial" w:eastAsia="Arial"/>
          <w:color w:val="auto"/>
          <w:spacing w:val="0"/>
          <w:position w:val="0"/>
          <w:sz w:val="24"/>
          <w:shd w:fill="auto" w:val="clear"/>
        </w:rPr>
      </w:pPr>
    </w:p>
    <w:p>
      <w:pPr>
        <w:spacing w:before="0" w:after="160" w:line="256"/>
        <w:ind w:right="0" w:left="0" w:firstLine="0"/>
        <w:jc w:val="center"/>
        <w:rPr>
          <w:rFonts w:ascii="Arial" w:hAnsi="Arial" w:cs="Arial" w:eastAsia="Arial"/>
          <w:color w:val="auto"/>
          <w:spacing w:val="0"/>
          <w:position w:val="0"/>
          <w:sz w:val="24"/>
          <w:shd w:fill="auto" w:val="clear"/>
        </w:rPr>
      </w:pPr>
    </w:p>
    <w:p>
      <w:pPr>
        <w:spacing w:before="0" w:after="160" w:line="256"/>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How important is the theme of ‘return to nature’ in literature about Brittany. You should illustrate your answer with detailed analysis of at least two of the representations of Brittany studied.</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i/>
          <w:color w:val="auto"/>
          <w:spacing w:val="0"/>
          <w:position w:val="0"/>
          <w:sz w:val="28"/>
          <w:shd w:fill="auto" w:val="clear"/>
        </w:rPr>
      </w:pPr>
      <w:r>
        <w:rPr>
          <w:rFonts w:ascii="Times New Roman" w:hAnsi="Times New Roman" w:cs="Times New Roman" w:eastAsia="Times New Roman"/>
          <w:b/>
          <w:i/>
          <w:color w:val="auto"/>
          <w:spacing w:val="0"/>
          <w:position w:val="0"/>
          <w:sz w:val="28"/>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theme of ‘return to nature’ occupies a strategic position in discursive representation of Brittany as a region and its people. This close relation between the Breton people and the nature has been depicted and described in detail in many literary works given during the nineteenth and twentieth century (</w:t>
      </w:r>
      <w:r>
        <w:rPr>
          <w:rFonts w:ascii="Times New Roman" w:hAnsi="Times New Roman" w:cs="Times New Roman" w:eastAsia="Times New Roman"/>
          <w:color w:val="auto"/>
          <w:spacing w:val="0"/>
          <w:position w:val="0"/>
          <w:sz w:val="24"/>
          <w:shd w:fill="FFFFFF" w:val="clear"/>
        </w:rPr>
        <w:t xml:space="preserve">Tchekemian, 2024)</w:t>
      </w:r>
      <w:r>
        <w:rPr>
          <w:rFonts w:ascii="Times New Roman" w:hAnsi="Times New Roman" w:cs="Times New Roman" w:eastAsia="Times New Roman"/>
          <w:color w:val="auto"/>
          <w:spacing w:val="0"/>
          <w:position w:val="0"/>
          <w:sz w:val="24"/>
          <w:shd w:fill="auto" w:val="clear"/>
        </w:rPr>
        <w:t xml:space="preserve">. In this essay, Chateaubriand’s Mémoires d’Outre-Tombe and Pierre-Jakez Hélias’s The Horse of Pride reveal how natural history becomes a culturally and existentially infused sphere which Breton literature uses to assert resistance to the forces of modernising industrialization. The selected works put forward several aspects of this theme based on maritimes, agricultural and supernatural world representation (</w:t>
      </w:r>
      <w:r>
        <w:rPr>
          <w:rFonts w:ascii="Times New Roman" w:hAnsi="Times New Roman" w:cs="Times New Roman" w:eastAsia="Times New Roman"/>
          <w:color w:val="auto"/>
          <w:spacing w:val="0"/>
          <w:position w:val="0"/>
          <w:sz w:val="24"/>
          <w:shd w:fill="FFFFFF" w:val="clear"/>
        </w:rPr>
        <w:t xml:space="preserve">Collet, 2024)</w:t>
      </w:r>
      <w:r>
        <w:rPr>
          <w:rFonts w:ascii="Times New Roman" w:hAnsi="Times New Roman" w:cs="Times New Roman" w:eastAsia="Times New Roman"/>
          <w:color w:val="auto"/>
          <w:spacing w:val="0"/>
          <w:position w:val="0"/>
          <w:sz w:val="24"/>
          <w:shd w:fill="auto" w:val="clear"/>
        </w:rPr>
        <w:t xml:space="preserve">. Some of the notable themes are God’s bounty in the form of the sea as the giver of life and as a destroyer; the land as a symbol of cultural heritage and the concept of nature functioning as a mediator between life and the afterlife. Both authors, thus, theigel from different temporalistic viewpoints, show how the Breton landscape defines personal and collective subjectivity (</w:t>
      </w:r>
      <w:r>
        <w:rPr>
          <w:rFonts w:ascii="Times New Roman" w:hAnsi="Times New Roman" w:cs="Times New Roman" w:eastAsia="Times New Roman"/>
          <w:color w:val="auto"/>
          <w:spacing w:val="0"/>
          <w:position w:val="0"/>
          <w:sz w:val="24"/>
          <w:shd w:fill="FFFFFF" w:val="clear"/>
        </w:rPr>
        <w:t xml:space="preserve">Dickason, 2024)</w:t>
      </w:r>
      <w:r>
        <w:rPr>
          <w:rFonts w:ascii="Times New Roman" w:hAnsi="Times New Roman" w:cs="Times New Roman" w:eastAsia="Times New Roman"/>
          <w:color w:val="auto"/>
          <w:spacing w:val="0"/>
          <w:position w:val="0"/>
          <w:sz w:val="24"/>
          <w:shd w:fill="auto" w:val="clear"/>
        </w:rPr>
        <w:t xml:space="preserve">. This essay is to discuss what literary device or cultural preservation function the ‘return to nature’ theme serves in Brittany literature and how it attempts to uphold the standards of traditional values, language, and culture amidst the process of modernisation and globalisation.</w:t>
      </w:r>
    </w:p>
    <w:p>
      <w:pPr>
        <w:keepNext w:val="true"/>
        <w:keepLines w:val="true"/>
        <w:spacing w:before="240" w:after="0" w:line="360"/>
        <w:ind w:right="0" w:left="0" w:firstLine="0"/>
        <w:jc w:val="both"/>
        <w:rPr>
          <w:rFonts w:ascii="Times New Roman" w:hAnsi="Times New Roman" w:cs="Times New Roman" w:eastAsia="Times New Roman"/>
          <w:b/>
          <w:i/>
          <w:color w:val="auto"/>
          <w:spacing w:val="0"/>
          <w:position w:val="0"/>
          <w:sz w:val="28"/>
          <w:shd w:fill="auto" w:val="clear"/>
        </w:rPr>
      </w:pPr>
      <w:r>
        <w:rPr>
          <w:rFonts w:ascii="Times New Roman" w:hAnsi="Times New Roman" w:cs="Times New Roman" w:eastAsia="Times New Roman"/>
          <w:b/>
          <w:i/>
          <w:color w:val="auto"/>
          <w:spacing w:val="0"/>
          <w:position w:val="0"/>
          <w:sz w:val="28"/>
          <w:shd w:fill="auto" w:val="clear"/>
        </w:rPr>
        <w:t xml:space="preserve">Discussion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Return to nature is one of the characteristic features of Breton literature, which has its roots in geographical and cultural conditions. As for the surroundings, Cornish cliffs, moors, and forests were not only the backgrounds but also the motifs in many literary works, and they depicted not only geographical but also spiritual and human aspects. Leaving out taking specific reference to Chateaubriand’s “Mémoires d’Outre-Tombe,” I am inclined to point that the author, describing lauds his origins inernalizes nature into one’s self-identity (</w:t>
      </w:r>
      <w:r>
        <w:rPr>
          <w:rFonts w:ascii="Times New Roman" w:hAnsi="Times New Roman" w:cs="Times New Roman" w:eastAsia="Times New Roman"/>
          <w:color w:val="auto"/>
          <w:spacing w:val="0"/>
          <w:position w:val="0"/>
          <w:sz w:val="24"/>
          <w:shd w:fill="FFFFFF" w:val="clear"/>
        </w:rPr>
        <w:t xml:space="preserve">Powter, 2024)</w:t>
      </w:r>
      <w:r>
        <w:rPr>
          <w:rFonts w:ascii="Times New Roman" w:hAnsi="Times New Roman" w:cs="Times New Roman" w:eastAsia="Times New Roman"/>
          <w:color w:val="auto"/>
          <w:spacing w:val="0"/>
          <w:position w:val="0"/>
          <w:sz w:val="24"/>
          <w:shd w:fill="auto" w:val="clear"/>
        </w:rPr>
        <w:t xml:space="preserve">. In earnest, his images of the sea, the wind, the rocks give us not only precise evocations of this marine landscape and seascape, but express the mythical heart of Brittany. Such depictions include effects of light and dark, sea’s changing color, weather which shapes people’s day to day activities greatly, thus depicting a delightful combination of touch, sight, taste and smell endemic to the Breton landscape (</w:t>
      </w:r>
      <w:r>
        <w:rPr>
          <w:rFonts w:ascii="Times New Roman" w:hAnsi="Times New Roman" w:cs="Times New Roman" w:eastAsia="Times New Roman"/>
          <w:color w:val="auto"/>
          <w:spacing w:val="0"/>
          <w:position w:val="0"/>
          <w:sz w:val="24"/>
          <w:shd w:fill="FFFFFF" w:val="clear"/>
        </w:rPr>
        <w:t xml:space="preserve">Couderc, 2024)</w:t>
      </w:r>
      <w:r>
        <w:rPr>
          <w:rFonts w:ascii="Times New Roman" w:hAnsi="Times New Roman" w:cs="Times New Roman" w:eastAsia="Times New Roman"/>
          <w:color w:val="auto"/>
          <w:spacing w:val="0"/>
          <w:position w:val="0"/>
          <w:sz w:val="24"/>
          <w:shd w:fill="auto" w:val="clear"/>
        </w:rPr>
        <w:t xml:space="preserve">. Among the features which seem especially meaningful within the context of this motif in Breton literature, the maritime environment occupies a special place.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sea is life and food, friend and enemy, human history and the past, present and future, modernity and tradition. The contrasting descriptions provided by Chateaubriand of the variation in the temper of the sea and its impact on the inhabitants of Saint-Malo exemplify the manner in which the physical world affects human lives. His depictions of ‘the Veritable chant of the seas’ and ‘the ceaseless Threnody between waters and land’, emphasise the inseparable relationship between the Breton folk and their milieu (</w:t>
      </w:r>
      <w:r>
        <w:rPr>
          <w:rFonts w:ascii="Times New Roman" w:hAnsi="Times New Roman" w:cs="Times New Roman" w:eastAsia="Times New Roman"/>
          <w:color w:val="auto"/>
          <w:spacing w:val="0"/>
          <w:position w:val="0"/>
          <w:sz w:val="24"/>
          <w:shd w:fill="FFFFFF" w:val="clear"/>
        </w:rPr>
        <w:t xml:space="preserve">Livingstone, N/A)</w:t>
      </w:r>
      <w:r>
        <w:rPr>
          <w:rFonts w:ascii="Times New Roman" w:hAnsi="Times New Roman" w:cs="Times New Roman" w:eastAsia="Times New Roman"/>
          <w:color w:val="auto"/>
          <w:spacing w:val="0"/>
          <w:position w:val="0"/>
          <w:sz w:val="24"/>
          <w:shd w:fill="auto" w:val="clear"/>
        </w:rPr>
        <w:t xml:space="preserve">. Thus, the author goes beyond simple depiction of seamen’s life and their experiences at sea to demonstrate how seaborne activities affect the culture, beliefs, and organization of people residing in coastal areas. Tides, storms, and, seasons too, all are rhythmic in structure and are used as symbols to depict phases of life and continuity of tradition. When it comes to delineating the characteristics of the maritime environment, Chateaubriand is most revealing about the manners in which cultures of coast and sea have mutually constituted one another (</w:t>
      </w:r>
      <w:r>
        <w:rPr>
          <w:rFonts w:ascii="Times New Roman" w:hAnsi="Times New Roman" w:cs="Times New Roman" w:eastAsia="Times New Roman"/>
          <w:color w:val="auto"/>
          <w:spacing w:val="0"/>
          <w:position w:val="0"/>
          <w:sz w:val="24"/>
          <w:shd w:fill="FFFFFF" w:val="clear"/>
        </w:rPr>
        <w:t xml:space="preserve">Fitzpatrick, 2024)</w:t>
      </w:r>
      <w:r>
        <w:rPr>
          <w:rFonts w:ascii="Times New Roman" w:hAnsi="Times New Roman" w:cs="Times New Roman" w:eastAsia="Times New Roman"/>
          <w:color w:val="auto"/>
          <w:spacing w:val="0"/>
          <w:position w:val="0"/>
          <w:sz w:val="24"/>
          <w:shd w:fill="auto" w:val="clear"/>
        </w:rPr>
        <w:t xml:space="preserve">. Brittany illustrates how distances and distances to/from the sea determine architecture, daily routines, population status, etc. The construction of granite houses to successfully endure Atlantic storms, the orientation of windows for successful illumination and reduced exposure to piercing winds, and the design of streets to enhance the access to the harbor make up the practical adjustments to its geographical features that Breton coastal life entails (</w:t>
      </w:r>
      <w:r>
        <w:rPr>
          <w:rFonts w:ascii="Times New Roman" w:hAnsi="Times New Roman" w:cs="Times New Roman" w:eastAsia="Times New Roman"/>
          <w:color w:val="auto"/>
          <w:spacing w:val="0"/>
          <w:position w:val="0"/>
          <w:sz w:val="24"/>
          <w:shd w:fill="FFFFFF" w:val="clear"/>
        </w:rPr>
        <w:t xml:space="preserve">Jones, 2024)</w:t>
      </w:r>
      <w:r>
        <w:rPr>
          <w:rFonts w:ascii="Times New Roman" w:hAnsi="Times New Roman" w:cs="Times New Roman" w:eastAsia="Times New Roman"/>
          <w:color w:val="auto"/>
          <w:spacing w:val="0"/>
          <w:position w:val="0"/>
          <w:sz w:val="24"/>
          <w:shd w:fill="auto" w:val="clear"/>
        </w:rPr>
        <w:t xml:space="preserv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Where in “The Horse of Pride,” Hélias develops a return to nature in a more subtle manner, through several elements representing the rural Breton life of the early twentieth century. His work focuses the peasantry and the soil that they till in a special symbiotic connection (</w:t>
      </w:r>
      <w:r>
        <w:rPr>
          <w:rFonts w:ascii="Times New Roman" w:hAnsi="Times New Roman" w:cs="Times New Roman" w:eastAsia="Times New Roman"/>
          <w:color w:val="auto"/>
          <w:spacing w:val="0"/>
          <w:position w:val="0"/>
          <w:sz w:val="24"/>
          <w:shd w:fill="FFFFFF" w:val="clear"/>
        </w:rPr>
        <w:t xml:space="preserve">Dargo, 2020)</w:t>
      </w:r>
      <w:r>
        <w:rPr>
          <w:rFonts w:ascii="Times New Roman" w:hAnsi="Times New Roman" w:cs="Times New Roman" w:eastAsia="Times New Roman"/>
          <w:color w:val="auto"/>
          <w:spacing w:val="0"/>
          <w:position w:val="0"/>
          <w:sz w:val="24"/>
          <w:shd w:fill="auto" w:val="clear"/>
        </w:rPr>
        <w:t xml:space="preserve">. Indeed, the periods typical in agriculture that he describes and rural Breton traditions represent natural rhythms that dictated all spheres of the life in traditional society. This link to nature is portrayed as a concrete historical given rather than as an idealized reflection of an almost prelapsarian civilization (</w:t>
      </w:r>
      <w:r>
        <w:rPr>
          <w:rFonts w:ascii="Times New Roman" w:hAnsi="Times New Roman" w:cs="Times New Roman" w:eastAsia="Times New Roman"/>
          <w:color w:val="auto"/>
          <w:spacing w:val="0"/>
          <w:position w:val="0"/>
          <w:sz w:val="24"/>
          <w:shd w:fill="FFFFFF" w:val="clear"/>
        </w:rPr>
        <w:t xml:space="preserve">Romdhani, and Van Tilbeurgh, 2024)</w:t>
      </w:r>
      <w:r>
        <w:rPr>
          <w:rFonts w:ascii="Times New Roman" w:hAnsi="Times New Roman" w:cs="Times New Roman" w:eastAsia="Times New Roman"/>
          <w:color w:val="auto"/>
          <w:spacing w:val="0"/>
          <w:position w:val="0"/>
          <w:sz w:val="24"/>
          <w:shd w:fill="auto" w:val="clear"/>
        </w:rPr>
        <w:t xml:space="preserve">. Hélias pays a great deal of attention to the agricultural calendar explaining what activities, rituals, and gatherings were associated with particular phases of the agricultural year. It can also be further appreciated in how a number of scenes depict the types of farming that were employed and the tools used in implementation of such farming practices to suit soil and climate conditions. </w:t>
      </w:r>
      <w:r>
        <w:rPr>
          <w:rFonts w:ascii="Times New Roman" w:hAnsi="Times New Roman" w:cs="Times New Roman" w:eastAsia="Times New Roman"/>
          <w:color w:val="auto"/>
          <w:spacing w:val="0"/>
          <w:position w:val="0"/>
          <w:sz w:val="24"/>
          <w:shd w:fill="FFFFFF" w:val="clear"/>
        </w:rPr>
        <w:t xml:space="preserve">Walker, (2024</w:t>
      </w:r>
      <w:r>
        <w:rPr>
          <w:rFonts w:ascii="Times New Roman" w:hAnsi="Times New Roman" w:cs="Times New Roman" w:eastAsia="Times New Roman"/>
          <w:color w:val="auto"/>
          <w:spacing w:val="0"/>
          <w:position w:val="0"/>
          <w:sz w:val="24"/>
          <w:shd w:fill="auto" w:val="clear"/>
        </w:rPr>
        <w:t xml:space="preserve">) shows how farmers knew their different types of soils, the dry seasons and rainy seasons in the areas they cultivated their crops, crop segregation as an indication of an ecological approach to farming way before environs became an interesting topic among researchers.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Thus, the description of these practices passes from technical file that indicates the relation of these practices with the community cooperation and the maintenance of the social ties based on the work division and cooperation. The theme of ‘going back to nature’ also works as a reversal to the process of post-colonial modernity and culture. Both authors show that the nature is the place where traditional values and genuine nature are preserved amid rampant growth of cities and progressive industrialization (</w:t>
      </w:r>
      <w:r>
        <w:rPr>
          <w:rFonts w:ascii="Times New Roman" w:hAnsi="Times New Roman" w:cs="Times New Roman" w:eastAsia="Times New Roman"/>
          <w:color w:val="auto"/>
          <w:spacing w:val="0"/>
          <w:position w:val="0"/>
          <w:sz w:val="24"/>
          <w:shd w:fill="FFFFFF" w:val="clear"/>
        </w:rPr>
        <w:t xml:space="preserve">Sioridze, 2023)</w:t>
      </w:r>
      <w:r>
        <w:rPr>
          <w:rFonts w:ascii="Times New Roman" w:hAnsi="Times New Roman" w:cs="Times New Roman" w:eastAsia="Times New Roman"/>
          <w:color w:val="auto"/>
          <w:spacing w:val="0"/>
          <w:position w:val="0"/>
          <w:sz w:val="24"/>
          <w:shd w:fill="auto" w:val="clear"/>
        </w:rPr>
        <w:t xml:space="preserve">. Thus, Chateaubriand relates sentimental poetic pictures of his childhood landscape to real life Jacobin experiences in Paris and other metropolitan areas making it clear that only in embracing nature for the second time can the human soul experience a rebirth in spirituality and culture. This critique of Modernity accompanies issues of material living space but is based on the deconstruction of community, tradition, and spirituality that, according to him, prevails in natural landscapes. It is for the same reason that Hélias also stresses that the conception of the agriculture and the rural manners kept the substance of the Breton identity, which are the language, the legends and the collective morality (</w:t>
      </w:r>
      <w:r>
        <w:rPr>
          <w:rFonts w:ascii="Times New Roman" w:hAnsi="Times New Roman" w:cs="Times New Roman" w:eastAsia="Times New Roman"/>
          <w:color w:val="auto"/>
          <w:spacing w:val="0"/>
          <w:position w:val="0"/>
          <w:sz w:val="24"/>
          <w:shd w:fill="FFFFFF" w:val="clear"/>
        </w:rPr>
        <w:t xml:space="preserve">Pearson, 2023)</w:t>
      </w:r>
      <w:r>
        <w:rPr>
          <w:rFonts w:ascii="Times New Roman" w:hAnsi="Times New Roman" w:cs="Times New Roman" w:eastAsia="Times New Roman"/>
          <w:color w:val="auto"/>
          <w:spacing w:val="0"/>
          <w:position w:val="0"/>
          <w:sz w:val="24"/>
          <w:shd w:fill="auto" w:val="clear"/>
        </w:rPr>
        <w:t xml:space="preserve">. Many people usually spend significant amount of time in farming and seasonal activities such as Feeding and celebrations, and great efforts were made to preserve the culture through the resources provided by nature (</w:t>
      </w:r>
      <w:r>
        <w:rPr>
          <w:rFonts w:ascii="Times New Roman" w:hAnsi="Times New Roman" w:cs="Times New Roman" w:eastAsia="Times New Roman"/>
          <w:color w:val="auto"/>
          <w:spacing w:val="0"/>
          <w:position w:val="0"/>
          <w:sz w:val="24"/>
          <w:shd w:fill="FFFFFF" w:val="clear"/>
        </w:rPr>
        <w:t xml:space="preserve">Sedykh et al., 2023)</w:t>
      </w:r>
      <w:r>
        <w:rPr>
          <w:rFonts w:ascii="Times New Roman" w:hAnsi="Times New Roman" w:cs="Times New Roman" w:eastAsia="Times New Roman"/>
          <w:color w:val="auto"/>
          <w:spacing w:val="0"/>
          <w:position w:val="0"/>
          <w:sz w:val="24"/>
          <w:shd w:fill="auto" w:val="clear"/>
        </w:rPr>
        <w:t xml:space="preserv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author effectively depicts the interactions of people with the environment and how farming was not only about producing food in a modern sense, it kept culture and society together. He especially describes how old agriculture systems demanded that several families and generations have to work together, including the kind of societal structure that would ensure cultural sustainability. The calls to ‘return to nature’ which are part and parcel of both works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are also therefore aided by supernatural phenomena (</w:t>
      </w:r>
      <w:r>
        <w:rPr>
          <w:rFonts w:ascii="Times New Roman" w:hAnsi="Times New Roman" w:cs="Times New Roman" w:eastAsia="Times New Roman"/>
          <w:color w:val="auto"/>
          <w:spacing w:val="0"/>
          <w:position w:val="0"/>
          <w:sz w:val="24"/>
          <w:shd w:fill="FFFFFF" w:val="clear"/>
        </w:rPr>
        <w:t xml:space="preserve">Jongepier, N/A)</w:t>
      </w:r>
      <w:r>
        <w:rPr>
          <w:rFonts w:ascii="Times New Roman" w:hAnsi="Times New Roman" w:cs="Times New Roman" w:eastAsia="Times New Roman"/>
          <w:color w:val="auto"/>
          <w:spacing w:val="0"/>
          <w:position w:val="0"/>
          <w:sz w:val="24"/>
          <w:shd w:fill="auto" w:val="clear"/>
        </w:rPr>
        <w:t xml:space="preserve">. For Breton folklore is the spirit world with numerous stories about sprites, fairies and otherworldly inhabitants of the landscape. These supernatural beliefs also indicate the attitude to nature not as the material useful for human’s survival and activities but as the spiritual power that has to be considered. Both, Chateaubriand’s ghosts and Hélias’s allusions to prejudices and superstitions prove that in Breton natural imagery is a medium between the earthly and the otherworldly. These, however, are not depicted as folklore or myth, but as spirits of the natural world to which people are connected (</w:t>
      </w:r>
      <w:r>
        <w:rPr>
          <w:rFonts w:ascii="Times New Roman" w:hAnsi="Times New Roman" w:cs="Times New Roman" w:eastAsia="Times New Roman"/>
          <w:color w:val="auto"/>
          <w:spacing w:val="0"/>
          <w:position w:val="0"/>
          <w:sz w:val="24"/>
          <w:shd w:fill="FFFFFF" w:val="clear"/>
        </w:rPr>
        <w:t xml:space="preserve">Reed-Danahay, 2021)</w:t>
      </w:r>
      <w:r>
        <w:rPr>
          <w:rFonts w:ascii="Times New Roman" w:hAnsi="Times New Roman" w:cs="Times New Roman" w:eastAsia="Times New Roman"/>
          <w:color w:val="auto"/>
          <w:spacing w:val="0"/>
          <w:position w:val="0"/>
          <w:sz w:val="24"/>
          <w:shd w:fill="auto" w:val="clear"/>
        </w:rPr>
        <w:t xml:space="preserve">. The position of language with regards to ‘return to nature’ theme is especially pronounced in Breton literature.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important to note, however, that the structure and the terminology used in Breton language which is rich in terms relating to natural phenomena and the farming activities bear evidence of the closeness of the people to the land. The example of Hélias’s work, in particular, shows that the practice of the Breton language also men traditional ways of interacting with nature. By translating and explaining Breton words and phrases used in reference to farming, weather, and landscape features, the author shows how language sings with the fullness of Enviroculture. This particular aspect demonstrates that environmental perception is almost culturally hard-wired across the Pacific. That is why the temporal aspect is important in both works as far as the ‘return to nature’ theme is concerned (</w:t>
      </w:r>
      <w:r>
        <w:rPr>
          <w:rFonts w:ascii="Times New Roman" w:hAnsi="Times New Roman" w:cs="Times New Roman" w:eastAsia="Times New Roman"/>
          <w:color w:val="auto"/>
          <w:spacing w:val="0"/>
          <w:position w:val="0"/>
          <w:sz w:val="24"/>
          <w:shd w:fill="FFFFFF" w:val="clear"/>
        </w:rPr>
        <w:t xml:space="preserve">Thomas, 2023)</w:t>
      </w:r>
      <w:r>
        <w:rPr>
          <w:rFonts w:ascii="Times New Roman" w:hAnsi="Times New Roman" w:cs="Times New Roman" w:eastAsia="Times New Roman"/>
          <w:color w:val="auto"/>
          <w:spacing w:val="0"/>
          <w:position w:val="0"/>
          <w:sz w:val="24"/>
          <w:shd w:fill="auto" w:val="clear"/>
        </w:rPr>
        <w:t xml:space="preserve">. Both authors look at the world from the angle of enormous social and economic transformation, when the new world is viewed by the author as the one that is in the process of emergence from the perspective of the old one. This temporal distance is an addition to their approach to nature, merging conventional practical experience of seeing nature with the elements of remembering and tradition. For humanity, the ‘return to nature’ therefore is not only a spatial return but also a temporal one in efforts to reclaim and sustain recognized ways to being with the natural. This aspect is well illustrated in their account of new scenery and declining customs (</w:t>
      </w:r>
      <w:r>
        <w:rPr>
          <w:rFonts w:ascii="Times New Roman" w:hAnsi="Times New Roman" w:cs="Times New Roman" w:eastAsia="Times New Roman"/>
          <w:color w:val="auto"/>
          <w:spacing w:val="0"/>
          <w:position w:val="0"/>
          <w:sz w:val="24"/>
          <w:shd w:fill="FFFFFF" w:val="clear"/>
        </w:rPr>
        <w:t xml:space="preserve">Badone, N/A)</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also noteworthy how the gender dimensions of ‘return to nature’ For the authors of both the anthology’s works, it is interesting to compare opposite tendencies: seduction and subjugation. In this text, it reveals that Chateaubriand is highly masculine putting much emphasis on conquest and the adventurous spirit where nature is concerned. The protagonists of his descriptions are almost always unfriendly and harsh forces of nature, especially given the sea. While Chateaubriand tends to view nature and gender roles from a masculine point of view, Hélias’s view is more balanced and broader (</w:t>
      </w:r>
      <w:r>
        <w:rPr>
          <w:rFonts w:ascii="Times New Roman" w:hAnsi="Times New Roman" w:cs="Times New Roman" w:eastAsia="Times New Roman"/>
          <w:color w:val="auto"/>
          <w:spacing w:val="0"/>
          <w:position w:val="0"/>
          <w:sz w:val="24"/>
          <w:shd w:fill="FFFFFF" w:val="clear"/>
        </w:rPr>
        <w:t xml:space="preserve">Manchec-German, 2020)</w:t>
      </w:r>
      <w:r>
        <w:rPr>
          <w:rFonts w:ascii="Times New Roman" w:hAnsi="Times New Roman" w:cs="Times New Roman" w:eastAsia="Times New Roman"/>
          <w:color w:val="auto"/>
          <w:spacing w:val="0"/>
          <w:position w:val="0"/>
          <w:sz w:val="24"/>
          <w:shd w:fill="auto" w:val="clear"/>
        </w:rPr>
        <w:t xml:space="preserve">. The details of his work entail the ways both men and women engaged in farming, men and women had different but equally significant roles in the relations with nature. The women’s tasks included kitchen gardening, dairy and other petty animal rearing while men mostly engaged in field work and long hours of laboring (</w:t>
      </w:r>
      <w:r>
        <w:rPr>
          <w:rFonts w:ascii="Times New Roman" w:hAnsi="Times New Roman" w:cs="Times New Roman" w:eastAsia="Times New Roman"/>
          <w:color w:val="auto"/>
          <w:spacing w:val="0"/>
          <w:position w:val="0"/>
          <w:sz w:val="24"/>
          <w:shd w:fill="FFFFFF" w:val="clear"/>
        </w:rPr>
        <w:t xml:space="preserve">Krell, 2020)</w:t>
      </w:r>
      <w:r>
        <w:rPr>
          <w:rFonts w:ascii="Times New Roman" w:hAnsi="Times New Roman" w:cs="Times New Roman" w:eastAsia="Times New Roman"/>
          <w:color w:val="auto"/>
          <w:spacing w:val="0"/>
          <w:position w:val="0"/>
          <w:sz w:val="24"/>
          <w:shd w:fill="auto" w:val="clear"/>
        </w:rPr>
        <w:t xml:space="preserve">. But these divisions were never fixed; during the times when crops were ripe or groundnuts had matured or any other time when lots of work was expected to be done around the field, men, women, boys and girls all labored together.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Hélias’ minute and focused observations expose how gender in rural Breton society was influenced by the physical environment and how the society in turn modified it. Medicinal plants, weather and crop information was as important for camp survival as what the men knew about the soil and stock. This entailed development of social relations in which although the distinctions from gender specific roles were evident, male and female were interdependent and measured equally in terms asset relevant in creating harmony between community and nature (</w:t>
      </w:r>
      <w:r>
        <w:rPr>
          <w:rFonts w:ascii="Times New Roman" w:hAnsi="Times New Roman" w:cs="Times New Roman" w:eastAsia="Times New Roman"/>
          <w:color w:val="auto"/>
          <w:spacing w:val="0"/>
          <w:position w:val="0"/>
          <w:sz w:val="24"/>
          <w:shd w:fill="FFFFFF" w:val="clear"/>
        </w:rPr>
        <w:t xml:space="preserve">Manchec-German, 2020)</w:t>
      </w:r>
      <w:r>
        <w:rPr>
          <w:rFonts w:ascii="Times New Roman" w:hAnsi="Times New Roman" w:cs="Times New Roman" w:eastAsia="Times New Roman"/>
          <w:color w:val="auto"/>
          <w:spacing w:val="0"/>
          <w:position w:val="0"/>
          <w:sz w:val="24"/>
          <w:shd w:fill="auto" w:val="clear"/>
        </w:rPr>
        <w:t xml:space="preserve">. His work also lays special focus on how female indigenous knowledge on the rhythms of nature, properties of plants and preservation of foods made a huge difference in the Great Plains community. Despite the absence of direct references to environmentalist ideologies in contemporary meaning, both authors evidence deep perceptive insight into the ecological structures of natural context (</w:t>
      </w:r>
      <w:r>
        <w:rPr>
          <w:rFonts w:ascii="Times New Roman" w:hAnsi="Times New Roman" w:cs="Times New Roman" w:eastAsia="Times New Roman"/>
          <w:color w:val="auto"/>
          <w:spacing w:val="0"/>
          <w:position w:val="0"/>
          <w:sz w:val="24"/>
          <w:shd w:fill="FFFFFF" w:val="clear"/>
        </w:rPr>
        <w:t xml:space="preserve">Mäkelä, 2023)</w:t>
      </w:r>
      <w:r>
        <w:rPr>
          <w:rFonts w:ascii="Times New Roman" w:hAnsi="Times New Roman" w:cs="Times New Roman" w:eastAsia="Times New Roman"/>
          <w:color w:val="auto"/>
          <w:spacing w:val="0"/>
          <w:position w:val="0"/>
          <w:sz w:val="24"/>
          <w:shd w:fill="auto" w:val="clear"/>
        </w:rPr>
        <w:t xml:space="preserve">. The literature recorded by these authors provides an organic understanding and accurate application of the principles of ecosystem conservative measures include crop rotation, soil management, and other sustainable management practices. Such practices as adopted by different generations for different decades focusing their observation and experience on social needs while preserving the balance to environmental conservation. As will be seen, the treatment of nature in stylistic terms differs greatly between the two authors because of the differences in the agendas (</w:t>
      </w:r>
      <w:r>
        <w:rPr>
          <w:rFonts w:ascii="Times New Roman" w:hAnsi="Times New Roman" w:cs="Times New Roman" w:eastAsia="Times New Roman"/>
          <w:color w:val="auto"/>
          <w:spacing w:val="0"/>
          <w:position w:val="0"/>
          <w:sz w:val="24"/>
          <w:shd w:fill="FFFFFF" w:val="clear"/>
        </w:rPr>
        <w:t xml:space="preserve">Moraru et al., 2020)</w:t>
      </w:r>
      <w:r>
        <w:rPr>
          <w:rFonts w:ascii="Times New Roman" w:hAnsi="Times New Roman" w:cs="Times New Roman" w:eastAsia="Times New Roman"/>
          <w:color w:val="auto"/>
          <w:spacing w:val="0"/>
          <w:position w:val="0"/>
          <w:sz w:val="24"/>
          <w:shd w:fill="auto" w:val="clear"/>
        </w:rPr>
        <w:t xml:space="preserve">. Chateaubriand’s emotionally influenced attitude presupposes the romantic focus on the grandiosity of such phenomena as the sea and coastal portraits serve as evidence. There is strong emotional language and a number of images which depict natural phenomena, especially the intense tempests, storms, dramatic seascapes, and the force of the nature. His descriptions are inclined to be rather overblown with an attempt to present nature as something object of admiration and contemplation (</w:t>
      </w:r>
      <w:r>
        <w:rPr>
          <w:rFonts w:ascii="Times New Roman" w:hAnsi="Times New Roman" w:cs="Times New Roman" w:eastAsia="Times New Roman"/>
          <w:color w:val="auto"/>
          <w:spacing w:val="0"/>
          <w:position w:val="0"/>
          <w:sz w:val="24"/>
          <w:shd w:fill="FFFFFF" w:val="clear"/>
        </w:rPr>
        <w:t xml:space="preserve">Arentze, 2021)</w:t>
      </w:r>
      <w:r>
        <w:rPr>
          <w:rFonts w:ascii="Times New Roman" w:hAnsi="Times New Roman" w:cs="Times New Roman" w:eastAsia="Times New Roman"/>
          <w:color w:val="auto"/>
          <w:spacing w:val="0"/>
          <w:position w:val="0"/>
          <w:sz w:val="24"/>
          <w:shd w:fill="auto" w:val="clear"/>
        </w:rPr>
        <w:t xml:space="preserv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other hand, Hélias’s appreciation is real in its commonness and pragmatism of country folk. There is a harmony of a man with nature as well as a pleasant rhythm of working on the fields, the progressive change of colors of cultivated lands attracts him. His descriptions reveal the real Depth and the charm, presence of substantive and rationality of the traditional agriculture, tilling of the land, and alterations of the country side of the agriculture field (</w:t>
      </w:r>
      <w:r>
        <w:rPr>
          <w:rFonts w:ascii="Times New Roman" w:hAnsi="Times New Roman" w:cs="Times New Roman" w:eastAsia="Times New Roman"/>
          <w:color w:val="auto"/>
          <w:spacing w:val="0"/>
          <w:position w:val="0"/>
          <w:sz w:val="24"/>
          <w:shd w:fill="FFFFFF" w:val="clear"/>
        </w:rPr>
        <w:t xml:space="preserve">Cotugno, 2023)</w:t>
      </w:r>
      <w:r>
        <w:rPr>
          <w:rFonts w:ascii="Times New Roman" w:hAnsi="Times New Roman" w:cs="Times New Roman" w:eastAsia="Times New Roman"/>
          <w:color w:val="auto"/>
          <w:spacing w:val="0"/>
          <w:position w:val="0"/>
          <w:sz w:val="24"/>
          <w:shd w:fill="auto" w:val="clear"/>
        </w:rPr>
        <w:t xml:space="preserve">. This relatively subtle emphasis shows how people can develop an appreciation of the beautiful by living close to natural textures and engaging with them in routine ways rather than moments of adventure.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These two examples illustrate thus the liberality of the ‘return to nature’ reflecting in Breton literature where the important theme may depict both the romantic grandeur and the shrewd elegance without sacrosanctity to its role as a marker of cultures and spirituality.</w:t>
      </w:r>
    </w:p>
    <w:p>
      <w:pPr>
        <w:keepNext w:val="true"/>
        <w:keepLines w:val="true"/>
        <w:spacing w:before="240" w:after="0" w:line="360"/>
        <w:ind w:right="0" w:left="0" w:firstLine="0"/>
        <w:jc w:val="both"/>
        <w:rPr>
          <w:rFonts w:ascii="Times New Roman" w:hAnsi="Times New Roman" w:cs="Times New Roman" w:eastAsia="Times New Roman"/>
          <w:b/>
          <w:i/>
          <w:color w:val="auto"/>
          <w:spacing w:val="0"/>
          <w:position w:val="0"/>
          <w:sz w:val="28"/>
          <w:shd w:fill="auto" w:val="clear"/>
        </w:rPr>
      </w:pPr>
      <w:r>
        <w:rPr>
          <w:rFonts w:ascii="Times New Roman" w:hAnsi="Times New Roman" w:cs="Times New Roman" w:eastAsia="Times New Roman"/>
          <w:b/>
          <w:i/>
          <w:color w:val="auto"/>
          <w:spacing w:val="0"/>
          <w:position w:val="0"/>
          <w:sz w:val="28"/>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concern with ‘return to nature’ in Breton literature, with the works by Chateaubriand and Hélias, however, is not as simple as mere post-Romantic picturesque interest. These works show how an organic environment defined the Breton subjectivity, culture and social relations and in the same process served the function of the opposition to modernisation and erosion of culture. Despite employing opposite methodologies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the romantic sublime of Chateaubriand and the realistic ethnography of Hélias both authors help reveal the intimate correlation between the territory and culture in Brittany. Their works reveal how the 'return to nature' theme encompasses various dimensions: For environmentalism, spirituality and culture conservation, and protection of the indigenous linguistic self. Maritime setting in Chateaubriand’s and agricultural scenery in Hélias’s revisit and elaborate how natural contexts penetrated each aspect of a society: from construction to organisation, from religion to gender. The theme also serves the role of social critique of the modernity that presents nature as a location of authentic culture and traditional knowledge. Most importantly, both authors demonstrate how the ‘returning to nature’ motif in Breton literature is not a mere yearning for the past or biological and geographical determinism. In this respect, it embodies a much higher level of theoretical comprehension of the relations between social world and the naturally given environment as a material environment and as a semiotic sign. This makes the theme even more appropriate for discussion in present days since the contemporary world tends to address a number of issues related first of all to the problem of cultural identity, preservation of cultural heritage, or attitude towards nature and its rational use, and, finally, the role of tradition as opposed to progress. It is for this reason that these works continue to be important into the present day because they crucially show how cultural identity cannot be decoupled from with relations to the environment.</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i/>
          <w:color w:val="auto"/>
          <w:spacing w:val="0"/>
          <w:position w:val="0"/>
          <w:sz w:val="28"/>
          <w:shd w:fill="auto" w:val="clear"/>
        </w:rPr>
      </w:pPr>
      <w:r>
        <w:rPr>
          <w:rFonts w:ascii="Times New Roman" w:hAnsi="Times New Roman" w:cs="Times New Roman" w:eastAsia="Times New Roman"/>
          <w:b/>
          <w:i/>
          <w:color w:val="auto"/>
          <w:spacing w:val="0"/>
          <w:position w:val="0"/>
          <w:sz w:val="28"/>
          <w:shd w:fill="auto" w:val="clear"/>
        </w:rPr>
        <w:t xml:space="preserve">References </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Arentze, L.E., 2021. </w:t>
      </w:r>
      <w:r>
        <w:rPr>
          <w:rFonts w:ascii="Times New Roman" w:hAnsi="Times New Roman" w:cs="Times New Roman" w:eastAsia="Times New Roman"/>
          <w:i/>
          <w:color w:val="auto"/>
          <w:spacing w:val="0"/>
          <w:position w:val="0"/>
          <w:sz w:val="24"/>
          <w:shd w:fill="FFFFFF" w:val="clear"/>
        </w:rPr>
        <w:t xml:space="preserve">Pragmatic Purism: The Ideological Dedication of the Communist Party of the Philippines after the Cold War</w:t>
      </w:r>
      <w:r>
        <w:rPr>
          <w:rFonts w:ascii="Times New Roman" w:hAnsi="Times New Roman" w:cs="Times New Roman" w:eastAsia="Times New Roman"/>
          <w:color w:val="auto"/>
          <w:spacing w:val="0"/>
          <w:position w:val="0"/>
          <w:sz w:val="24"/>
          <w:shd w:fill="FFFFFF" w:val="clear"/>
        </w:rPr>
        <w:t xml:space="preserve"> (Bachelor's thesis).</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Badone, E., Anthropological Perspectives on Popular Faith: Catholicism in Brittany.</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Collet, C., 2024. </w:t>
      </w:r>
      <w:r>
        <w:rPr>
          <w:rFonts w:ascii="Times New Roman" w:hAnsi="Times New Roman" w:cs="Times New Roman" w:eastAsia="Times New Roman"/>
          <w:i/>
          <w:color w:val="auto"/>
          <w:spacing w:val="0"/>
          <w:position w:val="0"/>
          <w:sz w:val="24"/>
          <w:shd w:fill="FFFFFF" w:val="clear"/>
        </w:rPr>
        <w:t xml:space="preserve">Environmental Empowerment: Gender, Nature, Agency, and Violence in 21st-Century Ecofiction</w:t>
      </w:r>
      <w:r>
        <w:rPr>
          <w:rFonts w:ascii="Times New Roman" w:hAnsi="Times New Roman" w:cs="Times New Roman" w:eastAsia="Times New Roman"/>
          <w:color w:val="auto"/>
          <w:spacing w:val="0"/>
          <w:position w:val="0"/>
          <w:sz w:val="24"/>
          <w:shd w:fill="FFFFFF" w:val="clear"/>
        </w:rPr>
        <w:t xml:space="preserve"> (Master's thesis, Iowa State University).</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Cotugno, F., 2023. Expressing pain from the Antiquities to the Middle Ages: Heu as a part of speech. </w:t>
      </w:r>
      <w:r>
        <w:rPr>
          <w:rFonts w:ascii="Times New Roman" w:hAnsi="Times New Roman" w:cs="Times New Roman" w:eastAsia="Times New Roman"/>
          <w:i/>
          <w:color w:val="auto"/>
          <w:spacing w:val="0"/>
          <w:position w:val="0"/>
          <w:sz w:val="24"/>
          <w:shd w:fill="FFFFFF" w:val="clear"/>
        </w:rPr>
        <w:t xml:space="preserve">Acta Antiqua Academiae Scientiarum Hungaricae</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62</w:t>
      </w:r>
      <w:r>
        <w:rPr>
          <w:rFonts w:ascii="Times New Roman" w:hAnsi="Times New Roman" w:cs="Times New Roman" w:eastAsia="Times New Roman"/>
          <w:color w:val="auto"/>
          <w:spacing w:val="0"/>
          <w:position w:val="0"/>
          <w:sz w:val="24"/>
          <w:shd w:fill="FFFFFF" w:val="clear"/>
        </w:rPr>
        <w:t xml:space="preserve">(4), pp.389-410.</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Couderc, G., 2024. Greystoke: The Legend of Tarzan, Lord of the Apes, Variations sur des thèmes d’Edward Elgar. </w:t>
      </w:r>
      <w:r>
        <w:rPr>
          <w:rFonts w:ascii="Times New Roman" w:hAnsi="Times New Roman" w:cs="Times New Roman" w:eastAsia="Times New Roman"/>
          <w:i/>
          <w:color w:val="auto"/>
          <w:spacing w:val="0"/>
          <w:position w:val="0"/>
          <w:sz w:val="24"/>
          <w:shd w:fill="FFFFFF" w:val="clear"/>
        </w:rPr>
        <w:t xml:space="preserve">Textes et contextes</w:t>
      </w:r>
      <w:r>
        <w:rPr>
          <w:rFonts w:ascii="Times New Roman" w:hAnsi="Times New Roman" w:cs="Times New Roman" w:eastAsia="Times New Roman"/>
          <w:color w:val="auto"/>
          <w:spacing w:val="0"/>
          <w:position w:val="0"/>
          <w:sz w:val="24"/>
          <w:shd w:fill="FFFFFF" w:val="clear"/>
        </w:rPr>
        <w:t xml:space="preserve">, (19-1).</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Dargo, F.J., 2020. </w:t>
      </w:r>
      <w:r>
        <w:rPr>
          <w:rFonts w:ascii="Times New Roman" w:hAnsi="Times New Roman" w:cs="Times New Roman" w:eastAsia="Times New Roman"/>
          <w:i/>
          <w:color w:val="auto"/>
          <w:spacing w:val="0"/>
          <w:position w:val="0"/>
          <w:sz w:val="24"/>
          <w:shd w:fill="FFFFFF" w:val="clear"/>
        </w:rPr>
        <w:t xml:space="preserve">The Dynamics of Loss: Representations of Sororal, Maternal, and Feminine Loss in the Works of Nerval, Chateaubriand, and Baudelaire</w:t>
      </w:r>
      <w:r>
        <w:rPr>
          <w:rFonts w:ascii="Times New Roman" w:hAnsi="Times New Roman" w:cs="Times New Roman" w:eastAsia="Times New Roman"/>
          <w:color w:val="auto"/>
          <w:spacing w:val="0"/>
          <w:position w:val="0"/>
          <w:sz w:val="24"/>
          <w:shd w:fill="FFFFFF" w:val="clear"/>
        </w:rPr>
        <w:t xml:space="preserve"> (Master's thesis, Miami University).</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Dickason, R., 2024. </w:t>
      </w:r>
      <w:r>
        <w:rPr>
          <w:rFonts w:ascii="Times New Roman" w:hAnsi="Times New Roman" w:cs="Times New Roman" w:eastAsia="Times New Roman"/>
          <w:i/>
          <w:color w:val="auto"/>
          <w:spacing w:val="0"/>
          <w:position w:val="0"/>
          <w:sz w:val="24"/>
          <w:shd w:fill="FFFFFF" w:val="clear"/>
        </w:rPr>
        <w:t xml:space="preserve">Issues and Singularity in the British Media Volume 1: Ink, Click and Screen: from Imagined Communities to Soft Power</w:t>
      </w:r>
      <w:r>
        <w:rPr>
          <w:rFonts w:ascii="Times New Roman" w:hAnsi="Times New Roman" w:cs="Times New Roman" w:eastAsia="Times New Roman"/>
          <w:color w:val="auto"/>
          <w:spacing w:val="0"/>
          <w:position w:val="0"/>
          <w:sz w:val="24"/>
          <w:shd w:fill="FFFFFF" w:val="clear"/>
        </w:rPr>
        <w:t xml:space="preserve"> (Vol. 1). Springer Nature.</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Fitzpatrick, T., 2024. Brittany, Michele &amp; Diak, Nicholas.(Eds).(2020). Horror Literature from Gothic to Post-Modern.</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Jones, M., 2024. </w:t>
      </w:r>
      <w:r>
        <w:rPr>
          <w:rFonts w:ascii="Times New Roman" w:hAnsi="Times New Roman" w:cs="Times New Roman" w:eastAsia="Times New Roman"/>
          <w:i/>
          <w:color w:val="auto"/>
          <w:spacing w:val="0"/>
          <w:position w:val="0"/>
          <w:sz w:val="24"/>
          <w:shd w:fill="FFFFFF" w:val="clear"/>
        </w:rPr>
        <w:t xml:space="preserve">Between France and England: politics, power and society in late medieval Brittany</w:t>
      </w:r>
      <w:r>
        <w:rPr>
          <w:rFonts w:ascii="Times New Roman" w:hAnsi="Times New Roman" w:cs="Times New Roman" w:eastAsia="Times New Roman"/>
          <w:color w:val="auto"/>
          <w:spacing w:val="0"/>
          <w:position w:val="0"/>
          <w:sz w:val="24"/>
          <w:shd w:fill="FFFFFF" w:val="clear"/>
        </w:rPr>
        <w:t xml:space="preserve">. Taylor &amp; Francis.</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Jongepier, M., Breton nationalism in literature.</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Krell, J.F., 2020. </w:t>
      </w:r>
      <w:r>
        <w:rPr>
          <w:rFonts w:ascii="Times New Roman" w:hAnsi="Times New Roman" w:cs="Times New Roman" w:eastAsia="Times New Roman"/>
          <w:i/>
          <w:color w:val="auto"/>
          <w:spacing w:val="0"/>
          <w:position w:val="0"/>
          <w:sz w:val="24"/>
          <w:shd w:fill="FFFFFF" w:val="clear"/>
        </w:rPr>
        <w:t xml:space="preserve">Ecocritics and Ecoskeptics: A Humanist Reading of Recent French Ecofiction</w:t>
      </w:r>
      <w:r>
        <w:rPr>
          <w:rFonts w:ascii="Times New Roman" w:hAnsi="Times New Roman" w:cs="Times New Roman" w:eastAsia="Times New Roman"/>
          <w:color w:val="auto"/>
          <w:spacing w:val="0"/>
          <w:position w:val="0"/>
          <w:sz w:val="24"/>
          <w:shd w:fill="FFFFFF" w:val="clear"/>
        </w:rPr>
        <w:t xml:space="preserve"> (Vol. 5). Studies in Modern and Contempo.</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Livingstone, A., Between the Lines: The Life of Havoise of Brittany, c. 1096</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1165. In</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Portraits of Medieval Europe, 800</w:t>
      </w:r>
      <w:r>
        <w:rPr>
          <w:rFonts w:ascii="Times New Roman" w:hAnsi="Times New Roman" w:cs="Times New Roman" w:eastAsia="Times New Roman"/>
          <w:i/>
          <w:color w:val="auto"/>
          <w:spacing w:val="0"/>
          <w:position w:val="0"/>
          <w:sz w:val="24"/>
          <w:shd w:fill="FFFFFF" w:val="clear"/>
        </w:rPr>
        <w:t xml:space="preserve">–</w:t>
      </w:r>
      <w:r>
        <w:rPr>
          <w:rFonts w:ascii="Times New Roman" w:hAnsi="Times New Roman" w:cs="Times New Roman" w:eastAsia="Times New Roman"/>
          <w:i/>
          <w:color w:val="auto"/>
          <w:spacing w:val="0"/>
          <w:position w:val="0"/>
          <w:sz w:val="24"/>
          <w:shd w:fill="FFFFFF" w:val="clear"/>
        </w:rPr>
        <w:t xml:space="preserve">1400</w:t>
      </w:r>
      <w:r>
        <w:rPr>
          <w:rFonts w:ascii="Times New Roman" w:hAnsi="Times New Roman" w:cs="Times New Roman" w:eastAsia="Times New Roman"/>
          <w:color w:val="auto"/>
          <w:spacing w:val="0"/>
          <w:position w:val="0"/>
          <w:sz w:val="24"/>
          <w:shd w:fill="FFFFFF" w:val="clear"/>
        </w:rPr>
        <w:t xml:space="preserve"> (pp. 136-147). Routledge.</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Mäkelä, M., 2023. Designing the Process of Academic Recognition</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Implementing </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Bricolage</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 as a Methodological Tool to Analyze a Development Process in the Ulysseus European University Alliance. </w:t>
      </w:r>
      <w:r>
        <w:rPr>
          <w:rFonts w:ascii="Times New Roman" w:hAnsi="Times New Roman" w:cs="Times New Roman" w:eastAsia="Times New Roman"/>
          <w:i/>
          <w:color w:val="auto"/>
          <w:spacing w:val="0"/>
          <w:position w:val="0"/>
          <w:sz w:val="24"/>
          <w:shd w:fill="FFFFFF" w:val="clear"/>
        </w:rPr>
        <w:t xml:space="preserve">European Journal of Education Studies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11</w:t>
      </w:r>
      <w:r>
        <w:rPr>
          <w:rFonts w:ascii="Times New Roman" w:hAnsi="Times New Roman" w:cs="Times New Roman" w:eastAsia="Times New Roman"/>
          <w:color w:val="auto"/>
          <w:spacing w:val="0"/>
          <w:position w:val="0"/>
          <w:sz w:val="24"/>
          <w:shd w:fill="FFFFFF" w:val="clear"/>
        </w:rPr>
        <w:t xml:space="preserve">(1).</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Manchec-German, G., 2020. Elements of a sociolinguistic theory: The case of Breton. </w:t>
      </w:r>
      <w:r>
        <w:rPr>
          <w:rFonts w:ascii="Times New Roman" w:hAnsi="Times New Roman" w:cs="Times New Roman" w:eastAsia="Times New Roman"/>
          <w:i/>
          <w:color w:val="auto"/>
          <w:spacing w:val="0"/>
          <w:position w:val="0"/>
          <w:sz w:val="24"/>
          <w:shd w:fill="FFFFFF" w:val="clear"/>
        </w:rPr>
        <w:t xml:space="preserve">Dialectologia et Geolinguistica</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28</w:t>
      </w:r>
      <w:r>
        <w:rPr>
          <w:rFonts w:ascii="Times New Roman" w:hAnsi="Times New Roman" w:cs="Times New Roman" w:eastAsia="Times New Roman"/>
          <w:color w:val="auto"/>
          <w:spacing w:val="0"/>
          <w:position w:val="0"/>
          <w:sz w:val="24"/>
          <w:shd w:fill="FFFFFF" w:val="clear"/>
        </w:rPr>
        <w:t xml:space="preserve">(1), pp.1-53.</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Moraru, C., Simek, N. and Westphal, B., 2020. Introduction: Reading Francophone Literature with the World. </w:t>
      </w:r>
      <w:r>
        <w:rPr>
          <w:rFonts w:ascii="Times New Roman" w:hAnsi="Times New Roman" w:cs="Times New Roman" w:eastAsia="Times New Roman"/>
          <w:i/>
          <w:color w:val="auto"/>
          <w:spacing w:val="0"/>
          <w:position w:val="0"/>
          <w:sz w:val="24"/>
          <w:shd w:fill="FFFFFF" w:val="clear"/>
        </w:rPr>
        <w:t xml:space="preserve">Francophone Literature as World Literature</w:t>
      </w:r>
      <w:r>
        <w:rPr>
          <w:rFonts w:ascii="Times New Roman" w:hAnsi="Times New Roman" w:cs="Times New Roman" w:eastAsia="Times New Roman"/>
          <w:color w:val="auto"/>
          <w:spacing w:val="0"/>
          <w:position w:val="0"/>
          <w:sz w:val="24"/>
          <w:shd w:fill="FFFFFF" w:val="clear"/>
        </w:rPr>
        <w:t xml:space="preserve">, pp.1-48.</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Pearson, R., 2023. Lyric Spells: The Poet as Magus from Chateaubriand to Mallarmé. </w:t>
      </w:r>
      <w:r>
        <w:rPr>
          <w:rFonts w:ascii="Times New Roman" w:hAnsi="Times New Roman" w:cs="Times New Roman" w:eastAsia="Times New Roman"/>
          <w:i/>
          <w:color w:val="auto"/>
          <w:spacing w:val="0"/>
          <w:position w:val="0"/>
          <w:sz w:val="24"/>
          <w:shd w:fill="FFFFFF" w:val="clear"/>
        </w:rPr>
        <w:t xml:space="preserve">Dix-Neuf</w:t>
      </w:r>
      <w:r>
        <w:rPr>
          <w:rFonts w:ascii="Times New Roman" w:hAnsi="Times New Roman" w:cs="Times New Roman" w:eastAsia="Times New Roman"/>
          <w:color w:val="auto"/>
          <w:spacing w:val="0"/>
          <w:position w:val="0"/>
          <w:sz w:val="24"/>
          <w:shd w:fill="FFFFFF" w:val="clear"/>
        </w:rPr>
        <w:t xml:space="preserve">, pp.1-25.</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Powter, G., 2024. </w:t>
      </w:r>
      <w:r>
        <w:rPr>
          <w:rFonts w:ascii="Times New Roman" w:hAnsi="Times New Roman" w:cs="Times New Roman" w:eastAsia="Times New Roman"/>
          <w:i/>
          <w:color w:val="auto"/>
          <w:spacing w:val="0"/>
          <w:position w:val="0"/>
          <w:sz w:val="24"/>
          <w:shd w:fill="FFFFFF" w:val="clear"/>
        </w:rPr>
        <w:t xml:space="preserve">Survival Is Not Assured: The Life of Climber Jim Donini</w:t>
      </w:r>
      <w:r>
        <w:rPr>
          <w:rFonts w:ascii="Times New Roman" w:hAnsi="Times New Roman" w:cs="Times New Roman" w:eastAsia="Times New Roman"/>
          <w:color w:val="auto"/>
          <w:spacing w:val="0"/>
          <w:position w:val="0"/>
          <w:sz w:val="24"/>
          <w:shd w:fill="FFFFFF" w:val="clear"/>
        </w:rPr>
        <w:t xml:space="preserve">. Mountaineers Books.</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Reed-Danahay, D.E., 2021. Leaving home: Schooling stories and the ethnography of autoethnography in rural France. In </w:t>
      </w:r>
      <w:r>
        <w:rPr>
          <w:rFonts w:ascii="Times New Roman" w:hAnsi="Times New Roman" w:cs="Times New Roman" w:eastAsia="Times New Roman"/>
          <w:i/>
          <w:color w:val="auto"/>
          <w:spacing w:val="0"/>
          <w:position w:val="0"/>
          <w:sz w:val="24"/>
          <w:shd w:fill="FFFFFF" w:val="clear"/>
        </w:rPr>
        <w:t xml:space="preserve">auto/ethnography</w:t>
      </w:r>
      <w:r>
        <w:rPr>
          <w:rFonts w:ascii="Times New Roman" w:hAnsi="Times New Roman" w:cs="Times New Roman" w:eastAsia="Times New Roman"/>
          <w:color w:val="auto"/>
          <w:spacing w:val="0"/>
          <w:position w:val="0"/>
          <w:sz w:val="24"/>
          <w:shd w:fill="FFFFFF" w:val="clear"/>
        </w:rPr>
        <w:t xml:space="preserve"> (pp. 123-143). Routledge.</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Romdhani, A. and Van Tilbeurgh, V., 2024. Emotions and social conflicts: mobilisations against animal husbandry in Brittany, France. </w:t>
      </w:r>
      <w:r>
        <w:rPr>
          <w:rFonts w:ascii="Times New Roman" w:hAnsi="Times New Roman" w:cs="Times New Roman" w:eastAsia="Times New Roman"/>
          <w:i/>
          <w:color w:val="auto"/>
          <w:spacing w:val="0"/>
          <w:position w:val="0"/>
          <w:sz w:val="24"/>
          <w:shd w:fill="FFFFFF" w:val="clear"/>
        </w:rPr>
        <w:t xml:space="preserve">Emotions and Society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6</w:t>
      </w:r>
      <w:r>
        <w:rPr>
          <w:rFonts w:ascii="Times New Roman" w:hAnsi="Times New Roman" w:cs="Times New Roman" w:eastAsia="Times New Roman"/>
          <w:color w:val="auto"/>
          <w:spacing w:val="0"/>
          <w:position w:val="0"/>
          <w:sz w:val="24"/>
          <w:shd w:fill="FFFFFF" w:val="clear"/>
        </w:rPr>
        <w:t xml:space="preserve">(1), pp.76-92.</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Sedykh, A., Buzinova, L., Akimova, E., Pashkovskaia, N., Skvortsov, K., Shcherbakov, A. and Beshinskaya, N., 2023. Phraseological Picture of the World and Communication: Take “Carpe Diem” as an Example. </w:t>
      </w:r>
      <w:r>
        <w:rPr>
          <w:rFonts w:ascii="Times New Roman" w:hAnsi="Times New Roman" w:cs="Times New Roman" w:eastAsia="Times New Roman"/>
          <w:i/>
          <w:color w:val="auto"/>
          <w:spacing w:val="0"/>
          <w:position w:val="0"/>
          <w:sz w:val="24"/>
          <w:shd w:fill="FFFFFF" w:val="clear"/>
        </w:rPr>
        <w:t xml:space="preserve">Theory and Practice in Language Studies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13</w:t>
      </w:r>
      <w:r>
        <w:rPr>
          <w:rFonts w:ascii="Times New Roman" w:hAnsi="Times New Roman" w:cs="Times New Roman" w:eastAsia="Times New Roman"/>
          <w:color w:val="auto"/>
          <w:spacing w:val="0"/>
          <w:position w:val="0"/>
          <w:sz w:val="24"/>
          <w:shd w:fill="FFFFFF" w:val="clear"/>
        </w:rPr>
        <w:t xml:space="preserve">(5), pp.1159-1166.</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Sioridze, M., 2023. Representation of the oriental world in the literary texts of XIX century European writers. </w:t>
      </w:r>
      <w:r>
        <w:rPr>
          <w:rFonts w:ascii="Sylfaen" w:hAnsi="Sylfaen" w:cs="Sylfaen" w:eastAsia="Sylfaen"/>
          <w:i/>
          <w:color w:val="auto"/>
          <w:spacing w:val="0"/>
          <w:position w:val="0"/>
          <w:sz w:val="24"/>
          <w:shd w:fill="FFFFFF" w:val="clear"/>
        </w:rPr>
        <w:t xml:space="preserve">საერთაშორისო</w:t>
      </w:r>
      <w:r>
        <w:rPr>
          <w:rFonts w:ascii="Times New Roman" w:hAnsi="Times New Roman" w:cs="Times New Roman" w:eastAsia="Times New Roman"/>
          <w:i/>
          <w:color w:val="auto"/>
          <w:spacing w:val="0"/>
          <w:position w:val="0"/>
          <w:sz w:val="24"/>
          <w:shd w:fill="FFFFFF" w:val="clear"/>
        </w:rPr>
        <w:t xml:space="preserve"> </w:t>
      </w:r>
      <w:r>
        <w:rPr>
          <w:rFonts w:ascii="Sylfaen" w:hAnsi="Sylfaen" w:cs="Sylfaen" w:eastAsia="Sylfaen"/>
          <w:i/>
          <w:color w:val="auto"/>
          <w:spacing w:val="0"/>
          <w:position w:val="0"/>
          <w:sz w:val="24"/>
          <w:shd w:fill="FFFFFF" w:val="clear"/>
        </w:rPr>
        <w:t xml:space="preserve">სამეცნიერო</w:t>
      </w:r>
      <w:r>
        <w:rPr>
          <w:rFonts w:ascii="Times New Roman" w:hAnsi="Times New Roman" w:cs="Times New Roman" w:eastAsia="Times New Roman"/>
          <w:i/>
          <w:color w:val="auto"/>
          <w:spacing w:val="0"/>
          <w:position w:val="0"/>
          <w:sz w:val="24"/>
          <w:shd w:fill="FFFFFF" w:val="clear"/>
        </w:rPr>
        <w:t xml:space="preserve"> </w:t>
      </w:r>
      <w:r>
        <w:rPr>
          <w:rFonts w:ascii="Sylfaen" w:hAnsi="Sylfaen" w:cs="Sylfaen" w:eastAsia="Sylfaen"/>
          <w:i/>
          <w:color w:val="auto"/>
          <w:spacing w:val="0"/>
          <w:position w:val="0"/>
          <w:sz w:val="24"/>
          <w:shd w:fill="FFFFFF" w:val="clear"/>
        </w:rPr>
        <w:t xml:space="preserve">ჟურნალი</w:t>
      </w:r>
      <w:r>
        <w:rPr>
          <w:rFonts w:ascii="Times New Roman" w:hAnsi="Times New Roman" w:cs="Times New Roman" w:eastAsia="Times New Roman"/>
          <w:i/>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w:t>
      </w:r>
      <w:r>
        <w:rPr>
          <w:rFonts w:ascii="Sylfaen" w:hAnsi="Sylfaen" w:cs="Sylfaen" w:eastAsia="Sylfaen"/>
          <w:i/>
          <w:color w:val="auto"/>
          <w:spacing w:val="0"/>
          <w:position w:val="0"/>
          <w:sz w:val="24"/>
          <w:shd w:fill="FFFFFF" w:val="clear"/>
        </w:rPr>
        <w:t xml:space="preserve">აღმოსავლეთმცოდნეობის</w:t>
      </w:r>
      <w:r>
        <w:rPr>
          <w:rFonts w:ascii="Times New Roman" w:hAnsi="Times New Roman" w:cs="Times New Roman" w:eastAsia="Times New Roman"/>
          <w:i/>
          <w:color w:val="auto"/>
          <w:spacing w:val="0"/>
          <w:position w:val="0"/>
          <w:sz w:val="24"/>
          <w:shd w:fill="FFFFFF" w:val="clear"/>
        </w:rPr>
        <w:t xml:space="preserve"> </w:t>
      </w:r>
      <w:r>
        <w:rPr>
          <w:rFonts w:ascii="Sylfaen" w:hAnsi="Sylfaen" w:cs="Sylfaen" w:eastAsia="Sylfaen"/>
          <w:i/>
          <w:color w:val="auto"/>
          <w:spacing w:val="0"/>
          <w:position w:val="0"/>
          <w:sz w:val="24"/>
          <w:shd w:fill="FFFFFF" w:val="clear"/>
        </w:rPr>
        <w:t xml:space="preserve">მაცნე</w:t>
      </w:r>
      <w:r>
        <w:rPr>
          <w:rFonts w:ascii="Times New Roman" w:hAnsi="Times New Roman" w:cs="Times New Roman" w:eastAsia="Times New Roman"/>
          <w:i/>
          <w:color w:val="auto"/>
          <w:spacing w:val="0"/>
          <w:position w:val="0"/>
          <w:sz w:val="24"/>
          <w:shd w:fill="FFFFFF" w:val="clear"/>
        </w:rPr>
        <w:t xml:space="preserve"> </w:t>
      </w:r>
      <w:r>
        <w:rPr>
          <w:rFonts w:ascii="Sylfaen" w:hAnsi="Sylfaen" w:cs="Sylfaen" w:eastAsia="Sylfaen"/>
          <w:i/>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w:t>
      </w:r>
      <w:r>
        <w:rPr>
          <w:rFonts w:ascii="Sylfaen" w:hAnsi="Sylfaen" w:cs="Sylfaen" w:eastAsia="Sylfae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6</w:t>
      </w:r>
      <w:r>
        <w:rPr>
          <w:rFonts w:ascii="Times New Roman" w:hAnsi="Times New Roman" w:cs="Times New Roman" w:eastAsia="Times New Roman"/>
          <w:color w:val="auto"/>
          <w:spacing w:val="0"/>
          <w:position w:val="0"/>
          <w:sz w:val="24"/>
          <w:shd w:fill="FFFFFF" w:val="clear"/>
        </w:rPr>
        <w:t xml:space="preserve">(1), pp.170-199.</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Tchekemian, A., 2024. THE WEST IN THE FACE OF CRISES SINCE THE NINETEENTH CENTURY. RETURNING TO THE LAND AND TO LOCALITY IS ONE OF THE TRADITIONAL RESPONSES TO CRISES. </w:t>
      </w:r>
      <w:r>
        <w:rPr>
          <w:rFonts w:ascii="Times New Roman" w:hAnsi="Times New Roman" w:cs="Times New Roman" w:eastAsia="Times New Roman"/>
          <w:i/>
          <w:color w:val="auto"/>
          <w:spacing w:val="0"/>
          <w:position w:val="0"/>
          <w:sz w:val="24"/>
          <w:shd w:fill="FFFFFF" w:val="clear"/>
        </w:rPr>
        <w:t xml:space="preserve">Geo Journal of Tourism and Geosites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53</w:t>
      </w:r>
      <w:r>
        <w:rPr>
          <w:rFonts w:ascii="Times New Roman" w:hAnsi="Times New Roman" w:cs="Times New Roman" w:eastAsia="Times New Roman"/>
          <w:color w:val="auto"/>
          <w:spacing w:val="0"/>
          <w:position w:val="0"/>
          <w:sz w:val="24"/>
          <w:shd w:fill="FFFFFF" w:val="clear"/>
        </w:rPr>
        <w:t xml:space="preserve">(2), pp.752-763.</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Thomas, M., 2023. 100 Years of Literature in the Breton Language (1920</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2020).</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Walker, J., 2024. Reading Lamentations Intertextually ed. by Heath A. Thomas and Brittany N. Melton. </w:t>
      </w:r>
      <w:r>
        <w:rPr>
          <w:rFonts w:ascii="Times New Roman" w:hAnsi="Times New Roman" w:cs="Times New Roman" w:eastAsia="Times New Roman"/>
          <w:i/>
          <w:color w:val="auto"/>
          <w:spacing w:val="0"/>
          <w:position w:val="0"/>
          <w:sz w:val="24"/>
          <w:shd w:fill="FFFFFF" w:val="clear"/>
        </w:rPr>
        <w:t xml:space="preserve">The Catholic Biblical Quarterly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86</w:t>
      </w:r>
      <w:r>
        <w:rPr>
          <w:rFonts w:ascii="Times New Roman" w:hAnsi="Times New Roman" w:cs="Times New Roman" w:eastAsia="Times New Roman"/>
          <w:color w:val="auto"/>
          <w:spacing w:val="0"/>
          <w:position w:val="0"/>
          <w:sz w:val="24"/>
          <w:shd w:fill="FFFFFF" w:val="clear"/>
        </w:rPr>
        <w:t xml:space="preserve">(1), pp.192-194.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