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0E618EC">
      <w:pPr>
        <w:pStyle w:val="39"/>
        <w:spacing w:line="360" w:lineRule="auto"/>
        <w:rPr>
          <w:rFonts w:hint="default" w:ascii="Times New Roman" w:hAnsi="Times New Roman" w:cs="Times New Roman"/>
        </w:rPr>
      </w:pPr>
      <w:r>
        <w:rPr>
          <w:rFonts w:hint="default" w:ascii="Times New Roman" w:hAnsi="Times New Roman" w:cs="Times New Roman"/>
          <w:sz w:val="22"/>
          <w:szCs w:val="22"/>
        </w:rPr>
        <w:drawing>
          <wp:inline distT="0" distB="0" distL="0" distR="0">
            <wp:extent cx="2705735" cy="1550670"/>
            <wp:effectExtent l="0" t="0" r="0" b="0"/>
            <wp:docPr id="2125467494" name="Picture 1" descr="A white background with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2125467494" name="Picture 1" descr="A white background with black text&#10;&#10;Description automatically generated"/>
                    <pic:cNvPicPr/>
                  </pic:nvPicPr>
                  <pic:blipFill>
                    <a:blip r:embed="rId8"/>
                    <a:srcRect l="5440" t="3040" r="52960" b="73120"/>
                    <a:stretch>
                      <a:fillRect/>
                    </a:stretch>
                  </pic:blipFill>
                  <pic:spPr>
                    <a:xfrm>
                      <a:off x="0" y="0"/>
                      <a:ext cx="2706340" cy="1550941"/>
                    </a:xfrm>
                    <a:prstGeom prst="rect">
                      <a:avLst/>
                    </a:prstGeom>
                    <a:noFill/>
                    <a:ln>
                      <a:noFill/>
                      <a:prstDash val="solid"/>
                    </a:ln>
                  </pic:spPr>
                </pic:pic>
              </a:graphicData>
            </a:graphic>
          </wp:inline>
        </w:drawing>
      </w:r>
    </w:p>
    <w:p w14:paraId="50E618ED">
      <w:pPr>
        <w:pStyle w:val="39"/>
        <w:spacing w:line="360" w:lineRule="auto"/>
        <w:rPr>
          <w:rFonts w:hint="default" w:ascii="Times New Roman" w:hAnsi="Times New Roman" w:cs="Times New Roman"/>
        </w:rPr>
      </w:pPr>
    </w:p>
    <w:p w14:paraId="50E618EE">
      <w:pPr>
        <w:pStyle w:val="39"/>
        <w:spacing w:line="360" w:lineRule="auto"/>
        <w:rPr>
          <w:rFonts w:hint="default" w:ascii="Times New Roman" w:hAnsi="Times New Roman" w:cs="Times New Roman"/>
        </w:rPr>
      </w:pPr>
    </w:p>
    <w:p w14:paraId="50E618EF">
      <w:pPr>
        <w:pStyle w:val="39"/>
        <w:spacing w:line="360" w:lineRule="auto"/>
        <w:rPr>
          <w:rFonts w:hint="default" w:ascii="Times New Roman" w:hAnsi="Times New Roman" w:cs="Times New Roman"/>
        </w:rPr>
      </w:pPr>
    </w:p>
    <w:p w14:paraId="50E618F0">
      <w:pPr>
        <w:pStyle w:val="39"/>
        <w:spacing w:line="360" w:lineRule="auto"/>
        <w:rPr>
          <w:rFonts w:hint="default" w:ascii="Times New Roman" w:hAnsi="Times New Roman" w:cs="Times New Roman"/>
          <w:sz w:val="28"/>
          <w:szCs w:val="28"/>
        </w:rPr>
      </w:pPr>
      <w:r>
        <w:rPr>
          <w:rStyle w:val="40"/>
          <w:rFonts w:hint="default" w:ascii="Times New Roman" w:hAnsi="Times New Roman" w:cs="Times New Roman"/>
          <w:b/>
          <w:bCs/>
          <w:color w:val="000000"/>
          <w:sz w:val="28"/>
          <w:szCs w:val="28"/>
        </w:rPr>
        <w:t>Student name: Katarina Dydnanska</w:t>
      </w:r>
    </w:p>
    <w:p w14:paraId="50E618F1">
      <w:pPr>
        <w:pStyle w:val="39"/>
        <w:spacing w:line="360" w:lineRule="auto"/>
        <w:rPr>
          <w:rFonts w:hint="default" w:ascii="Times New Roman" w:hAnsi="Times New Roman" w:cs="Times New Roman"/>
          <w:sz w:val="28"/>
          <w:szCs w:val="28"/>
        </w:rPr>
      </w:pPr>
      <w:r>
        <w:rPr>
          <w:rStyle w:val="40"/>
          <w:rFonts w:hint="default" w:ascii="Times New Roman" w:hAnsi="Times New Roman" w:cs="Times New Roman"/>
          <w:b/>
          <w:bCs/>
          <w:color w:val="000000"/>
          <w:sz w:val="28"/>
          <w:szCs w:val="28"/>
        </w:rPr>
        <w:t>Student ID: 2247512</w:t>
      </w:r>
    </w:p>
    <w:p w14:paraId="50E618F2">
      <w:pPr>
        <w:pStyle w:val="39"/>
        <w:spacing w:line="360" w:lineRule="auto"/>
        <w:rPr>
          <w:rFonts w:hint="default" w:ascii="Times New Roman" w:hAnsi="Times New Roman" w:cs="Times New Roman"/>
          <w:sz w:val="28"/>
          <w:szCs w:val="28"/>
        </w:rPr>
      </w:pPr>
      <w:r>
        <w:rPr>
          <w:rStyle w:val="40"/>
          <w:rFonts w:hint="default" w:ascii="Times New Roman" w:hAnsi="Times New Roman" w:cs="Times New Roman"/>
          <w:b/>
          <w:bCs/>
          <w:color w:val="000000"/>
          <w:sz w:val="28"/>
          <w:szCs w:val="28"/>
        </w:rPr>
        <w:t xml:space="preserve">Module code: </w:t>
      </w:r>
      <w:r>
        <w:rPr>
          <w:rFonts w:hint="default" w:ascii="Times New Roman" w:hAnsi="Times New Roman" w:cs="Times New Roman"/>
          <w:b/>
          <w:sz w:val="28"/>
          <w:szCs w:val="28"/>
        </w:rPr>
        <w:t>LCBB6023</w:t>
      </w:r>
    </w:p>
    <w:p w14:paraId="50E618F5">
      <w:pPr>
        <w:pStyle w:val="39"/>
        <w:spacing w:line="360" w:lineRule="auto"/>
        <w:rPr>
          <w:rFonts w:hint="default" w:ascii="Times New Roman" w:hAnsi="Times New Roman" w:cs="Times New Roman"/>
          <w:color w:val="000000"/>
          <w:sz w:val="28"/>
          <w:szCs w:val="28"/>
          <w:lang w:val="en-GB"/>
        </w:rPr>
      </w:pPr>
      <w:r>
        <w:rPr>
          <w:rStyle w:val="40"/>
          <w:rFonts w:hint="default" w:ascii="Times New Roman" w:hAnsi="Times New Roman" w:cs="Times New Roman"/>
          <w:b/>
          <w:bCs/>
          <w:color w:val="000000"/>
          <w:sz w:val="28"/>
          <w:szCs w:val="28"/>
        </w:rPr>
        <w:t>Module name:</w:t>
      </w:r>
      <w:r>
        <w:rPr>
          <w:rStyle w:val="40"/>
          <w:rFonts w:hint="default" w:ascii="Times New Roman" w:hAnsi="Times New Roman" w:cs="Times New Roman"/>
          <w:b/>
          <w:bCs/>
          <w:color w:val="000000"/>
          <w:sz w:val="28"/>
          <w:szCs w:val="28"/>
          <w:lang w:val="en-GB"/>
        </w:rPr>
        <w:t xml:space="preserve"> </w:t>
      </w:r>
      <w:r>
        <w:rPr>
          <w:rFonts w:hint="default" w:ascii="Times New Roman" w:hAnsi="Times New Roman" w:cs="Times New Roman"/>
          <w:b/>
          <w:sz w:val="28"/>
          <w:szCs w:val="28"/>
        </w:rPr>
        <w:t>International Business Communications</w:t>
      </w:r>
    </w:p>
    <w:p w14:paraId="50E618F6">
      <w:pPr>
        <w:rPr>
          <w:rFonts w:hint="default" w:ascii="Times New Roman" w:hAnsi="Times New Roman" w:cs="Times New Roman"/>
          <w:b/>
          <w:bCs/>
          <w:color w:val="000000"/>
        </w:rPr>
      </w:pPr>
    </w:p>
    <w:p w14:paraId="50E618F7">
      <w:pPr>
        <w:rPr>
          <w:rFonts w:hint="default" w:ascii="Times New Roman" w:hAnsi="Times New Roman" w:cs="Times New Roman"/>
          <w:b/>
          <w:bCs/>
          <w:color w:val="000000"/>
        </w:rPr>
      </w:pPr>
    </w:p>
    <w:p w14:paraId="50E618F8">
      <w:pPr>
        <w:rPr>
          <w:rFonts w:hint="default" w:ascii="Times New Roman" w:hAnsi="Times New Roman" w:cs="Times New Roman"/>
          <w:b/>
          <w:bCs/>
          <w:color w:val="000000"/>
        </w:rPr>
      </w:pPr>
    </w:p>
    <w:p w14:paraId="50E618F9">
      <w:pPr>
        <w:rPr>
          <w:rFonts w:hint="default" w:ascii="Times New Roman" w:hAnsi="Times New Roman" w:cs="Times New Roman"/>
          <w:b/>
          <w:bCs/>
          <w:color w:val="000000"/>
        </w:rPr>
      </w:pPr>
    </w:p>
    <w:p w14:paraId="50E618FA">
      <w:pPr>
        <w:rPr>
          <w:rFonts w:hint="default" w:ascii="Times New Roman" w:hAnsi="Times New Roman" w:cs="Times New Roman"/>
          <w:b/>
          <w:bCs/>
          <w:color w:val="000000"/>
        </w:rPr>
      </w:pPr>
    </w:p>
    <w:p w14:paraId="50E618FB">
      <w:pPr>
        <w:rPr>
          <w:rFonts w:hint="default" w:ascii="Times New Roman" w:hAnsi="Times New Roman" w:cs="Times New Roman"/>
          <w:b/>
          <w:bCs/>
          <w:color w:val="000000"/>
        </w:rPr>
      </w:pPr>
    </w:p>
    <w:p w14:paraId="50E618FC">
      <w:pPr>
        <w:rPr>
          <w:rFonts w:hint="default" w:ascii="Times New Roman" w:hAnsi="Times New Roman" w:cs="Times New Roman"/>
          <w:b/>
          <w:bCs/>
          <w:color w:val="000000"/>
        </w:rPr>
      </w:pPr>
    </w:p>
    <w:p w14:paraId="50E618FD">
      <w:pPr>
        <w:rPr>
          <w:rFonts w:hint="default" w:ascii="Times New Roman" w:hAnsi="Times New Roman" w:cs="Times New Roman"/>
          <w:b/>
          <w:bCs/>
          <w:color w:val="000000"/>
        </w:rPr>
      </w:pPr>
    </w:p>
    <w:p w14:paraId="50E618FE">
      <w:pPr>
        <w:rPr>
          <w:rFonts w:hint="default" w:ascii="Times New Roman" w:hAnsi="Times New Roman" w:cs="Times New Roman"/>
          <w:b/>
          <w:bCs/>
          <w:color w:val="000000"/>
        </w:rPr>
      </w:pPr>
    </w:p>
    <w:p w14:paraId="50E618FF">
      <w:pPr>
        <w:rPr>
          <w:rFonts w:hint="default" w:ascii="Times New Roman" w:hAnsi="Times New Roman" w:cs="Times New Roman"/>
          <w:b/>
          <w:bCs/>
          <w:color w:val="000000"/>
        </w:rPr>
      </w:pPr>
    </w:p>
    <w:p w14:paraId="50E61900">
      <w:pPr>
        <w:rPr>
          <w:rFonts w:hint="default" w:ascii="Times New Roman" w:hAnsi="Times New Roman" w:cs="Times New Roman"/>
          <w:b/>
          <w:bCs/>
          <w:color w:val="000000"/>
        </w:rPr>
      </w:pPr>
    </w:p>
    <w:p w14:paraId="5B86C998">
      <w:pPr>
        <w:rPr>
          <w:rFonts w:hint="default" w:ascii="Times New Roman" w:hAnsi="Times New Roman" w:cs="Times New Roman"/>
          <w:b/>
          <w:bCs/>
          <w:color w:val="000000"/>
        </w:rPr>
      </w:pPr>
    </w:p>
    <w:p w14:paraId="0424C229">
      <w:pPr>
        <w:rPr>
          <w:rFonts w:hint="default" w:ascii="Times New Roman" w:hAnsi="Times New Roman" w:cs="Times New Roman"/>
          <w:b/>
          <w:bCs/>
          <w:sz w:val="22"/>
          <w:szCs w:val="22"/>
        </w:rPr>
      </w:pPr>
    </w:p>
    <w:p w14:paraId="04301F71">
      <w:pPr>
        <w:rPr>
          <w:rFonts w:hint="default" w:ascii="Times New Roman" w:hAnsi="Times New Roman" w:cs="Times New Roman"/>
          <w:b/>
          <w:bCs/>
          <w:i/>
          <w:iCs/>
        </w:rPr>
      </w:pPr>
    </w:p>
    <w:p w14:paraId="2E65FB2D">
      <w:pPr>
        <w:rPr>
          <w:rFonts w:hint="default" w:ascii="Times New Roman" w:hAnsi="Times New Roman" w:cs="Times New Roman"/>
          <w:b/>
          <w:bCs/>
          <w:i/>
          <w:iCs/>
        </w:rPr>
      </w:pPr>
    </w:p>
    <w:p w14:paraId="32ED3893">
      <w:pPr>
        <w:rPr>
          <w:rFonts w:hint="default" w:ascii="Times New Roman" w:hAnsi="Times New Roman" w:cs="Times New Roman"/>
          <w:b/>
          <w:bCs/>
          <w:i/>
          <w:iCs/>
        </w:rPr>
      </w:pPr>
    </w:p>
    <w:p w14:paraId="628344E4">
      <w:pPr>
        <w:pStyle w:val="3"/>
        <w:keepNext w:val="0"/>
        <w:keepLines w:val="0"/>
        <w:widowControl/>
        <w:suppressLineNumbers w:val="0"/>
        <w:rPr>
          <w:rFonts w:hint="default" w:ascii="Times New Roman" w:hAnsi="Times New Roman" w:cs="Times New Roman"/>
          <w:sz w:val="28"/>
          <w:szCs w:val="28"/>
        </w:rPr>
      </w:pPr>
      <w:r>
        <w:rPr>
          <w:rStyle w:val="18"/>
          <w:rFonts w:hint="default" w:ascii="Times New Roman" w:hAnsi="Times New Roman" w:cs="Times New Roman"/>
          <w:sz w:val="28"/>
          <w:szCs w:val="28"/>
        </w:rPr>
        <w:t>Intercultural Communication in Cross-Border New Product Development and Marketing: UK–Japan Team Dynamics between Royal Mail and Japan Post</w:t>
      </w:r>
    </w:p>
    <w:p w14:paraId="1BC18F0B">
      <w:pPr>
        <w:pStyle w:val="4"/>
        <w:keepNext w:val="0"/>
        <w:keepLines w:val="0"/>
        <w:widowControl/>
        <w:suppressLineNumbers w:val="0"/>
        <w:rPr>
          <w:rFonts w:hint="default" w:ascii="Times New Roman" w:hAnsi="Times New Roman" w:cs="Times New Roman"/>
        </w:rPr>
      </w:pPr>
      <w:r>
        <w:rPr>
          <w:rStyle w:val="18"/>
          <w:rFonts w:hint="default" w:ascii="Times New Roman" w:hAnsi="Times New Roman" w:cs="Times New Roman"/>
        </w:rPr>
        <w:t>Introduction</w:t>
      </w:r>
    </w:p>
    <w:p w14:paraId="30AA44FA">
      <w:pPr>
        <w:pStyle w:val="17"/>
        <w:keepNext w:val="0"/>
        <w:keepLines w:val="0"/>
        <w:widowControl/>
        <w:suppressLineNumbers w:val="0"/>
        <w:rPr>
          <w:rFonts w:hint="default" w:ascii="Times New Roman" w:hAnsi="Times New Roman" w:cs="Times New Roman"/>
        </w:rPr>
      </w:pPr>
      <w:r>
        <w:rPr>
          <w:rFonts w:hint="default" w:ascii="Times New Roman" w:hAnsi="Times New Roman" w:cs="Times New Roman"/>
        </w:rPr>
        <w:t>Effective communication is a fundamental requirement in cross-border new product development (NPD), particularly when organisations operate within contrasting cultural and business environments (Tjosvold &amp; Leung, 2003). This essay examines the collaborative relationship between Royal Mail in the United Kingdom and Japan Post in Japan, focusing on how cultural differences influence communication during the development and marketing of international delivery services. It explores variations in information sharing, decision-making, hierarchical expectations, feedback practices, and the interpretation of verbal and non-verbal cues. To analyse these dynamics, the discussion draws on Hofstede’s cultural dimensions (Hofstede, Hofstede &amp; Minkov, 2010) and Hall’s high-context versus low-context communication framework (Hall, 1976), both of which help explain how cultural contrasts shape team interactions, trust-building, project coordination, and NPD outcomes. The essay also proposes practical strategies to strengthen communication between UK and Japanese teams.</w:t>
      </w:r>
    </w:p>
    <w:p w14:paraId="40993623">
      <w:pPr>
        <w:pStyle w:val="4"/>
        <w:keepNext w:val="0"/>
        <w:keepLines w:val="0"/>
        <w:widowControl/>
        <w:suppressLineNumbers w:val="0"/>
        <w:rPr>
          <w:rFonts w:hint="default" w:ascii="Times New Roman" w:hAnsi="Times New Roman" w:cs="Times New Roman"/>
          <w:sz w:val="24"/>
          <w:szCs w:val="24"/>
        </w:rPr>
      </w:pPr>
      <w:r>
        <w:rPr>
          <w:rStyle w:val="18"/>
          <w:rFonts w:hint="default" w:ascii="Times New Roman" w:hAnsi="Times New Roman" w:cs="Times New Roman"/>
          <w:sz w:val="24"/>
          <w:szCs w:val="24"/>
        </w:rPr>
        <w:t>Companies and International Business Context</w:t>
      </w:r>
    </w:p>
    <w:p w14:paraId="3B912C3D">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Royal Mail and Japan Post have maintained a long-standing partnership centred on international parcel delivery. Japan Post operates across all 47 prefectures, and its collaboration with Royal Mail aims to enhance service accessibility for customers in both countries. Their cooperation began in 2000 and was formally renewed in 2002, reinforcing their strategic relationship.</w:t>
      </w:r>
    </w:p>
    <w:p w14:paraId="5F6AA60B">
      <w:pPr>
        <w:pStyle w:val="4"/>
        <w:keepNext w:val="0"/>
        <w:keepLines w:val="0"/>
        <w:widowControl/>
        <w:suppressLineNumbers w:val="0"/>
        <w:rPr>
          <w:rFonts w:hint="default" w:ascii="Times New Roman" w:hAnsi="Times New Roman" w:cs="Times New Roman"/>
          <w:sz w:val="24"/>
          <w:szCs w:val="24"/>
        </w:rPr>
      </w:pPr>
      <w:r>
        <w:rPr>
          <w:rStyle w:val="18"/>
          <w:rFonts w:hint="default" w:ascii="Times New Roman" w:hAnsi="Times New Roman" w:cs="Times New Roman"/>
          <w:sz w:val="24"/>
          <w:szCs w:val="24"/>
        </w:rPr>
        <w:t>New Product Development and Marketing Project</w:t>
      </w:r>
    </w:p>
    <w:p w14:paraId="757DD90F">
      <w:pPr>
        <w:pStyle w:val="17"/>
        <w:keepNext w:val="0"/>
        <w:keepLines w:val="0"/>
        <w:widowControl/>
        <w:suppressLineNumbers w:val="0"/>
        <w:rPr>
          <w:rFonts w:hint="default" w:ascii="Times New Roman" w:hAnsi="Times New Roman" w:cs="Times New Roman"/>
        </w:rPr>
      </w:pPr>
      <w:r>
        <w:rPr>
          <w:rFonts w:hint="default" w:ascii="Times New Roman" w:hAnsi="Times New Roman" w:cs="Times New Roman"/>
        </w:rPr>
        <w:t>In 2022, the two organisations launched a joint NPD initiative to create a competitive overseas small</w:t>
      </w:r>
      <w:r>
        <w:rPr>
          <w:rFonts w:hint="default" w:ascii="Times New Roman" w:hAnsi="Times New Roman" w:cs="Times New Roman"/>
        </w:rPr>
        <w:noBreakHyphen/>
      </w:r>
      <w:r>
        <w:rPr>
          <w:rFonts w:hint="default" w:ascii="Times New Roman" w:hAnsi="Times New Roman" w:cs="Times New Roman"/>
        </w:rPr>
        <w:t>package service for UK mailers. A postal trial conducted in August provided insights into communication challenges between UK and Japanese teams, particularly regarding decision-making processes.</w:t>
      </w:r>
    </w:p>
    <w:p w14:paraId="5173FFDE">
      <w:pPr>
        <w:pStyle w:val="3"/>
        <w:keepNext w:val="0"/>
        <w:keepLines w:val="0"/>
        <w:widowControl/>
        <w:suppressLineNumbers w:val="0"/>
        <w:rPr>
          <w:rFonts w:hint="default" w:ascii="Times New Roman" w:hAnsi="Times New Roman" w:cs="Times New Roman"/>
          <w:sz w:val="28"/>
          <w:szCs w:val="28"/>
        </w:rPr>
      </w:pPr>
      <w:r>
        <w:rPr>
          <w:rStyle w:val="18"/>
          <w:rFonts w:hint="default" w:ascii="Times New Roman" w:hAnsi="Times New Roman" w:cs="Times New Roman"/>
          <w:sz w:val="28"/>
          <w:szCs w:val="28"/>
        </w:rPr>
        <w:t>Theoretical Framework</w:t>
      </w:r>
    </w:p>
    <w:p w14:paraId="485C20DE">
      <w:pPr>
        <w:pStyle w:val="4"/>
        <w:keepNext w:val="0"/>
        <w:keepLines w:val="0"/>
        <w:widowControl/>
        <w:suppressLineNumbers w:val="0"/>
        <w:rPr>
          <w:rFonts w:hint="default" w:ascii="Times New Roman" w:hAnsi="Times New Roman" w:cs="Times New Roman"/>
          <w:sz w:val="24"/>
          <w:szCs w:val="24"/>
        </w:rPr>
      </w:pPr>
      <w:r>
        <w:rPr>
          <w:rStyle w:val="18"/>
          <w:rFonts w:hint="default" w:ascii="Times New Roman" w:hAnsi="Times New Roman" w:cs="Times New Roman"/>
          <w:sz w:val="24"/>
          <w:szCs w:val="24"/>
        </w:rPr>
        <w:t>Hofstede’s Cultural Dimensions</w:t>
      </w:r>
    </w:p>
    <w:p w14:paraId="773F8DA8">
      <w:pPr>
        <w:pStyle w:val="17"/>
        <w:keepNext w:val="0"/>
        <w:keepLines w:val="0"/>
        <w:widowControl/>
        <w:suppressLineNumbers w:val="0"/>
        <w:rPr>
          <w:rFonts w:hint="default" w:ascii="Times New Roman" w:hAnsi="Times New Roman" w:cs="Times New Roman"/>
        </w:rPr>
      </w:pPr>
      <w:r>
        <w:rPr>
          <w:rFonts w:hint="default" w:ascii="Times New Roman" w:hAnsi="Times New Roman" w:cs="Times New Roman"/>
        </w:rPr>
        <w:t>Hofstede’s cultural dimensions offer a structured way to understand how national cultural values influence interactions between Royal Mail and Japan Post (Hofstede et al., 2010). His model identifies six dimensions of cultural variation. Comparisons between the UK and Japan reveal notable differences: Japan scores high on power distance and uncertainty avoidance, whereas the UK scores low on both. Japanese culture tends to emphasise collectivism, long-term orientation, and restraint, while British culture is more individualistic and short-term oriented. Despite these contrasts, both countries show similar levels of masculinity, reflecting a shared focus on achievement and performance.</w:t>
      </w:r>
    </w:p>
    <w:p w14:paraId="0241CF87">
      <w:pPr>
        <w:pStyle w:val="4"/>
        <w:keepNext w:val="0"/>
        <w:keepLines w:val="0"/>
        <w:widowControl/>
        <w:suppressLineNumbers w:val="0"/>
        <w:rPr>
          <w:rFonts w:hint="default" w:ascii="Times New Roman" w:hAnsi="Times New Roman" w:cs="Times New Roman"/>
          <w:sz w:val="24"/>
          <w:szCs w:val="24"/>
        </w:rPr>
      </w:pPr>
      <w:r>
        <w:rPr>
          <w:rStyle w:val="18"/>
          <w:rFonts w:hint="default" w:ascii="Times New Roman" w:hAnsi="Times New Roman" w:cs="Times New Roman"/>
          <w:sz w:val="24"/>
          <w:szCs w:val="24"/>
        </w:rPr>
        <w:t>High-Context and Low-Context Communication</w:t>
      </w:r>
    </w:p>
    <w:p w14:paraId="38D1706E">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Hall’s (1976) distinction between high-context and low-context communication highlights how cultures differ in their reliance on implicit meaning and contextual cues. Japan is characterised as a high-context culture, where communication often depends on shared understanding and subtle non-verbal signals. In contrast, the UK represents a low-context culture, where clarity, directness, and explicit verbal expression are prioritised. In collaborative settings, this means UK teams typically present ideas openly and directly, while Japanese teams may prefer to evaluate proposals thoroughly before expressing commitment.</w:t>
      </w:r>
    </w:p>
    <w:p w14:paraId="0B0B0024">
      <w:pPr>
        <w:pStyle w:val="4"/>
        <w:keepNext w:val="0"/>
        <w:keepLines w:val="0"/>
        <w:widowControl/>
        <w:suppressLineNumbers w:val="0"/>
        <w:rPr>
          <w:rFonts w:hint="default" w:ascii="Times New Roman" w:hAnsi="Times New Roman" w:cs="Times New Roman"/>
          <w:sz w:val="24"/>
          <w:szCs w:val="24"/>
        </w:rPr>
      </w:pPr>
      <w:r>
        <w:rPr>
          <w:rStyle w:val="18"/>
          <w:rFonts w:hint="default" w:ascii="Times New Roman" w:hAnsi="Times New Roman" w:cs="Times New Roman"/>
          <w:sz w:val="24"/>
          <w:szCs w:val="24"/>
        </w:rPr>
        <w:t>Critical Application of Cultural Theories</w:t>
      </w:r>
    </w:p>
    <w:p w14:paraId="457ABECD">
      <w:pPr>
        <w:pStyle w:val="17"/>
        <w:keepNext w:val="0"/>
        <w:keepLines w:val="0"/>
        <w:widowControl/>
        <w:suppressLineNumbers w:val="0"/>
        <w:rPr>
          <w:rFonts w:hint="default" w:ascii="Times New Roman" w:hAnsi="Times New Roman" w:cs="Times New Roman"/>
        </w:rPr>
      </w:pPr>
      <w:r>
        <w:rPr>
          <w:rFonts w:hint="default" w:ascii="Times New Roman" w:hAnsi="Times New Roman" w:cs="Times New Roman"/>
          <w:sz w:val="24"/>
          <w:szCs w:val="24"/>
        </w:rPr>
        <w:t>Although cultural frameworks provide valuable analytical tools, they should not be interpreted as rigid descriptions of individual behaviour (McSween</w:t>
      </w:r>
      <w:r>
        <w:rPr>
          <w:rFonts w:hint="default" w:ascii="Times New Roman" w:hAnsi="Times New Roman" w:cs="Times New Roman"/>
        </w:rPr>
        <w:t>ey, 2002). Hofstede’s dimensions highlight general cultural tendencies, yet employees’ actions are also shaped by organisational norms, personal experience, and individual personality. Similarly, Hall’s high-context and low-context categories describe broad communication patterns rather than universal rules. In the Royal Mail–Japan Post partnership, cultural differences must therefore be considered alongside organisational structures and individual characteristics to accurately assess communication challenges.</w:t>
      </w:r>
    </w:p>
    <w:p w14:paraId="44626B2F">
      <w:pPr>
        <w:pStyle w:val="3"/>
        <w:keepNext w:val="0"/>
        <w:keepLines w:val="0"/>
        <w:widowControl/>
        <w:suppressLineNumbers w:val="0"/>
        <w:rPr>
          <w:rFonts w:hint="default" w:ascii="Times New Roman" w:hAnsi="Times New Roman" w:cs="Times New Roman"/>
          <w:sz w:val="28"/>
          <w:szCs w:val="28"/>
        </w:rPr>
      </w:pPr>
      <w:r>
        <w:rPr>
          <w:rStyle w:val="18"/>
          <w:rFonts w:hint="default" w:ascii="Times New Roman" w:hAnsi="Times New Roman" w:cs="Times New Roman"/>
          <w:sz w:val="28"/>
          <w:szCs w:val="28"/>
        </w:rPr>
        <w:t>UK–Japan Communication Differences</w:t>
      </w:r>
    </w:p>
    <w:p w14:paraId="5FC0F7CE">
      <w:pPr>
        <w:pStyle w:val="17"/>
        <w:keepNext w:val="0"/>
        <w:keepLines w:val="0"/>
        <w:widowControl/>
        <w:suppressLineNumbers w:val="0"/>
        <w:rPr>
          <w:rFonts w:hint="default" w:ascii="Times New Roman" w:hAnsi="Times New Roman" w:cs="Times New Roman"/>
        </w:rPr>
      </w:pPr>
      <w:r>
        <w:rPr>
          <w:rFonts w:hint="default" w:ascii="Times New Roman" w:hAnsi="Times New Roman" w:cs="Times New Roman"/>
        </w:rPr>
        <w:t>The United Kingdom and Japan demonstrate contrasting cultural norms and communication preferences, which become visible in collaborative projects. Hofstede’s framework highlights a clear divide between the UK’s low-context communication style and Japan’s high-context orientation (Hofstede et al., 2010). In practice, British team members tend to express ideas directly, whereas Japanese colleagues often rely on more implicit forms of communication, which can lead to misunderstandings (Gudykunst &amp; Nishida, 1994). Decision-making also differs: UK teams typically reach conclusions quickly, while Japanese teams adopt a more measured and deliberate approach. Although structured meetings may improve negotiation efficiency, discussions in Japan often take longer due to hierarchical expectations and governance norms.</w:t>
      </w:r>
    </w:p>
    <w:p w14:paraId="20C04D03">
      <w:pPr>
        <w:pStyle w:val="4"/>
        <w:keepNext w:val="0"/>
        <w:keepLines w:val="0"/>
        <w:widowControl/>
        <w:suppressLineNumbers w:val="0"/>
        <w:rPr>
          <w:rFonts w:hint="default" w:ascii="Times New Roman" w:hAnsi="Times New Roman" w:cs="Times New Roman"/>
          <w:sz w:val="24"/>
          <w:szCs w:val="24"/>
        </w:rPr>
      </w:pPr>
      <w:r>
        <w:rPr>
          <w:rStyle w:val="18"/>
          <w:rFonts w:hint="default" w:ascii="Times New Roman" w:hAnsi="Times New Roman" w:cs="Times New Roman"/>
          <w:sz w:val="24"/>
          <w:szCs w:val="24"/>
        </w:rPr>
        <w:t>Information Sharing and Decision-Making</w:t>
      </w:r>
    </w:p>
    <w:p w14:paraId="1820109E">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Communication patterns within Royal Mail and Japan Post illustrate how cultural differences can disrupt NPD collaboration. Japanese employees frequently limit information sharing until decisions are finalised, whereas UK teams prefer early and open exchanges. British staff often communicate rapidly, while Japanese colleagues may take more time to evaluate information before responding. As a result, Japanese teams may perceive UK contributions as speculative, while UK teams may struggle to interpret Japanese engagement. Expectations around authority also differ: Royal Mail associates information rights with managerial roles, whereas Japan Post views decision-making as a collective responsibility. These contrasting assumptions reflect Hofstede’s cultural dimensions and Hall’s high</w:t>
      </w:r>
      <w:r>
        <w:rPr>
          <w:rFonts w:hint="default" w:ascii="Times New Roman" w:hAnsi="Times New Roman" w:cs="Times New Roman"/>
          <w:sz w:val="24"/>
          <w:szCs w:val="24"/>
        </w:rPr>
        <w:noBreakHyphen/>
      </w:r>
      <w:r>
        <w:rPr>
          <w:rFonts w:hint="default" w:ascii="Times New Roman" w:hAnsi="Times New Roman" w:cs="Times New Roman"/>
          <w:sz w:val="24"/>
          <w:szCs w:val="24"/>
        </w:rPr>
        <w:t>context versus low</w:t>
      </w:r>
      <w:r>
        <w:rPr>
          <w:rFonts w:hint="default" w:ascii="Times New Roman" w:hAnsi="Times New Roman" w:cs="Times New Roman"/>
          <w:sz w:val="24"/>
          <w:szCs w:val="24"/>
        </w:rPr>
        <w:noBreakHyphen/>
      </w:r>
      <w:r>
        <w:rPr>
          <w:rFonts w:hint="default" w:ascii="Times New Roman" w:hAnsi="Times New Roman" w:cs="Times New Roman"/>
          <w:sz w:val="24"/>
          <w:szCs w:val="24"/>
        </w:rPr>
        <w:t>context communication theory.</w:t>
      </w:r>
    </w:p>
    <w:p w14:paraId="107A0C0D">
      <w:pPr>
        <w:pStyle w:val="4"/>
        <w:keepNext w:val="0"/>
        <w:keepLines w:val="0"/>
        <w:widowControl/>
        <w:suppressLineNumbers w:val="0"/>
        <w:rPr>
          <w:rStyle w:val="18"/>
          <w:rFonts w:hint="default" w:ascii="Times New Roman" w:hAnsi="Times New Roman" w:cs="Times New Roman"/>
          <w:sz w:val="24"/>
          <w:szCs w:val="24"/>
        </w:rPr>
      </w:pPr>
    </w:p>
    <w:p w14:paraId="4B7D87F7">
      <w:pPr>
        <w:pStyle w:val="4"/>
        <w:keepNext w:val="0"/>
        <w:keepLines w:val="0"/>
        <w:widowControl/>
        <w:suppressLineNumbers w:val="0"/>
        <w:rPr>
          <w:rFonts w:hint="default" w:ascii="Times New Roman" w:hAnsi="Times New Roman" w:cs="Times New Roman"/>
          <w:sz w:val="24"/>
          <w:szCs w:val="24"/>
        </w:rPr>
      </w:pPr>
      <w:r>
        <w:rPr>
          <w:rStyle w:val="18"/>
          <w:rFonts w:hint="default" w:ascii="Times New Roman" w:hAnsi="Times New Roman" w:cs="Times New Roman"/>
          <w:sz w:val="24"/>
          <w:szCs w:val="24"/>
        </w:rPr>
        <w:t>Meetings, Hierarchy and Feedback</w:t>
      </w:r>
    </w:p>
    <w:p w14:paraId="24F8DD00">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Meetings play a central role in problem-solving for both organisations, yet cultural expectations shape how they unfold. Hofstede’s Power Distance dimension suggests that UK meetings are typically informal and flexible, while Japanese meetings emphasise formality and respect for hierarchy (House et al., 2004). Feedback practices also diverge: British teams often provide concise and direct feedback, whereas Japanese colleagues favour subtle and indirect responses.</w:t>
      </w:r>
    </w:p>
    <w:p w14:paraId="3D43A590">
      <w:pPr>
        <w:pStyle w:val="4"/>
        <w:keepNext w:val="0"/>
        <w:keepLines w:val="0"/>
        <w:widowControl/>
        <w:suppressLineNumbers w:val="0"/>
        <w:rPr>
          <w:rFonts w:hint="default" w:ascii="Times New Roman" w:hAnsi="Times New Roman" w:cs="Times New Roman"/>
          <w:sz w:val="24"/>
          <w:szCs w:val="24"/>
        </w:rPr>
      </w:pPr>
      <w:r>
        <w:rPr>
          <w:rStyle w:val="18"/>
          <w:rFonts w:hint="default" w:ascii="Times New Roman" w:hAnsi="Times New Roman" w:cs="Times New Roman"/>
          <w:sz w:val="24"/>
          <w:szCs w:val="24"/>
        </w:rPr>
        <w:t>Negotiation and Conflict Management</w:t>
      </w:r>
    </w:p>
    <w:p w14:paraId="3E4976E4">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International negotiations can be hindered by limited preparation, insufficient cultural awareness, and language barriers. Japanese negotiators may revisit earlier discussion points, reflecting a high-context communication style (Hall, 1976). Without cultural sensitivity, these behaviours may be misinterpreted by UK participants.</w:t>
      </w:r>
    </w:p>
    <w:p w14:paraId="59BBD7CA">
      <w:pPr>
        <w:pStyle w:val="3"/>
        <w:keepNext w:val="0"/>
        <w:keepLines w:val="0"/>
        <w:widowControl/>
        <w:suppressLineNumbers w:val="0"/>
        <w:rPr>
          <w:rFonts w:hint="default" w:ascii="Times New Roman" w:hAnsi="Times New Roman" w:cs="Times New Roman"/>
          <w:sz w:val="28"/>
          <w:szCs w:val="28"/>
        </w:rPr>
      </w:pPr>
      <w:r>
        <w:rPr>
          <w:rStyle w:val="18"/>
          <w:rFonts w:hint="default" w:ascii="Times New Roman" w:hAnsi="Times New Roman" w:cs="Times New Roman"/>
          <w:sz w:val="28"/>
          <w:szCs w:val="28"/>
        </w:rPr>
        <w:t>Potential Misunderstandings and Their Causes</w:t>
      </w:r>
    </w:p>
    <w:p w14:paraId="0431132B">
      <w:pPr>
        <w:pStyle w:val="17"/>
        <w:keepNext w:val="0"/>
        <w:keepLines w:val="0"/>
        <w:widowControl/>
        <w:suppressLineNumbers w:val="0"/>
        <w:rPr>
          <w:rFonts w:hint="default" w:ascii="Times New Roman" w:hAnsi="Times New Roman" w:cs="Times New Roman"/>
        </w:rPr>
      </w:pPr>
      <w:r>
        <w:rPr>
          <w:rFonts w:hint="default" w:ascii="Times New Roman" w:hAnsi="Times New Roman" w:cs="Times New Roman"/>
        </w:rPr>
        <w:t>Cross-cultural misunderstandings may arise even when language proficiency is strong. Marketing terminology often lacks precise equivalents across languages, increasing the likelihood of misinterpretation (Harzing, 2006). Silence is another source of confusion: in Japanese communication, silence often signals reflection or careful consideration, whereas UK team members may interpret it as discomfort or disagreement (Nakane, 2007).</w:t>
      </w:r>
    </w:p>
    <w:p w14:paraId="70036983">
      <w:pPr>
        <w:pStyle w:val="4"/>
        <w:keepNext w:val="0"/>
        <w:keepLines w:val="0"/>
        <w:widowControl/>
        <w:suppressLineNumbers w:val="0"/>
        <w:rPr>
          <w:rFonts w:hint="default" w:ascii="Times New Roman" w:hAnsi="Times New Roman" w:cs="Times New Roman"/>
          <w:sz w:val="24"/>
          <w:szCs w:val="24"/>
        </w:rPr>
      </w:pPr>
      <w:r>
        <w:rPr>
          <w:rStyle w:val="18"/>
          <w:rFonts w:hint="default" w:ascii="Times New Roman" w:hAnsi="Times New Roman" w:cs="Times New Roman"/>
          <w:sz w:val="24"/>
          <w:szCs w:val="24"/>
        </w:rPr>
        <w:t>Language and Communication Style</w:t>
      </w:r>
    </w:p>
    <w:p w14:paraId="773C215B">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Effective NPD collaboration requires bilingual team members with strong intercultural competence. Differences in English proficiency, especially in technical contexts, can complicate communication. Terminology inconsistencies—such as Royal Mail’s use of trilingual terms for French–Spanish parcel routes—may create confusion when definitions are not clearly established. In hybrid communication formats, UK participants may respond without summarising previous context, increasing the risk of misunderstanding for Japanese colleagues (Lauring, 2011).</w:t>
      </w:r>
    </w:p>
    <w:p w14:paraId="3773BE09">
      <w:pPr>
        <w:pStyle w:val="4"/>
        <w:keepNext w:val="0"/>
        <w:keepLines w:val="0"/>
        <w:widowControl/>
        <w:suppressLineNumbers w:val="0"/>
        <w:rPr>
          <w:rFonts w:hint="default" w:ascii="Times New Roman" w:hAnsi="Times New Roman" w:cs="Times New Roman"/>
          <w:sz w:val="24"/>
          <w:szCs w:val="24"/>
        </w:rPr>
      </w:pPr>
      <w:r>
        <w:rPr>
          <w:rStyle w:val="18"/>
          <w:rFonts w:hint="default" w:ascii="Times New Roman" w:hAnsi="Times New Roman" w:cs="Times New Roman"/>
          <w:sz w:val="24"/>
          <w:szCs w:val="24"/>
        </w:rPr>
        <w:t>Context, Silence and Non-Verbal Communication</w:t>
      </w:r>
    </w:p>
    <w:p w14:paraId="35156764">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Silence carries different meanings across cultures. British individuals often find prolonged silence uncomfortable and may interrupt it, while Japanese team members expect silence as part of thoughtful reflection. In Japan, silence can indicate caution, but it may also be misinterpreted as a sign of limited language ability, potentially causing embarrassment or withdrawal. Indirectness is also common in Japanese communication; responses such as “yes” or “no” may not fully reveal a person’s actual position. Understanding these nuances is essential for effective collaboration.</w:t>
      </w:r>
    </w:p>
    <w:p w14:paraId="0BD7C49F">
      <w:pPr>
        <w:pStyle w:val="4"/>
        <w:keepNext w:val="0"/>
        <w:keepLines w:val="0"/>
        <w:widowControl/>
        <w:suppressLineNumbers w:val="0"/>
        <w:rPr>
          <w:rFonts w:hint="default" w:ascii="Times New Roman" w:hAnsi="Times New Roman" w:cs="Times New Roman"/>
          <w:sz w:val="24"/>
          <w:szCs w:val="24"/>
        </w:rPr>
      </w:pPr>
      <w:r>
        <w:rPr>
          <w:rStyle w:val="18"/>
          <w:rFonts w:hint="default" w:ascii="Times New Roman" w:hAnsi="Times New Roman" w:cs="Times New Roman"/>
          <w:sz w:val="24"/>
          <w:szCs w:val="24"/>
        </w:rPr>
        <w:t>Time, Pace and Decision-Making</w:t>
      </w:r>
    </w:p>
    <w:p w14:paraId="48CB11F2">
      <w:pPr>
        <w:pStyle w:val="17"/>
        <w:keepNext w:val="0"/>
        <w:keepLines w:val="0"/>
        <w:widowControl/>
        <w:suppressLineNumbers w:val="0"/>
        <w:rPr>
          <w:rFonts w:hint="default" w:ascii="Times New Roman" w:hAnsi="Times New Roman" w:cs="Times New Roman"/>
        </w:rPr>
      </w:pPr>
      <w:r>
        <w:rPr>
          <w:rFonts w:hint="default" w:ascii="Times New Roman" w:hAnsi="Times New Roman" w:cs="Times New Roman"/>
          <w:sz w:val="24"/>
          <w:szCs w:val="24"/>
        </w:rPr>
        <w:t>Time orientation differs significantly between the</w:t>
      </w:r>
      <w:r>
        <w:rPr>
          <w:rFonts w:hint="default" w:ascii="Times New Roman" w:hAnsi="Times New Roman" w:cs="Times New Roman"/>
        </w:rPr>
        <w:t xml:space="preserve"> two cultures. The UK emphasises punctuality and linear time management, whereas Japan blends monochronic and polychronic approaches. These differences can lead to misunderstandings, particularly when documentation lacks clarity (Hall, 1983).</w:t>
      </w:r>
    </w:p>
    <w:p w14:paraId="07E027BF">
      <w:pPr>
        <w:pStyle w:val="4"/>
        <w:keepNext w:val="0"/>
        <w:keepLines w:val="0"/>
        <w:widowControl/>
        <w:suppressLineNumbers w:val="0"/>
        <w:rPr>
          <w:rFonts w:hint="default" w:ascii="Times New Roman" w:hAnsi="Times New Roman" w:cs="Times New Roman"/>
          <w:sz w:val="24"/>
          <w:szCs w:val="24"/>
        </w:rPr>
      </w:pPr>
      <w:r>
        <w:rPr>
          <w:rStyle w:val="18"/>
          <w:rFonts w:hint="default" w:ascii="Times New Roman" w:hAnsi="Times New Roman" w:cs="Times New Roman"/>
          <w:sz w:val="24"/>
          <w:szCs w:val="24"/>
        </w:rPr>
        <w:t>Power Distance and Authority Expectations</w:t>
      </w:r>
    </w:p>
    <w:p w14:paraId="63CC1806">
      <w:pPr>
        <w:pStyle w:val="17"/>
        <w:keepNext w:val="0"/>
        <w:keepLines w:val="0"/>
        <w:widowControl/>
        <w:suppressLineNumbers w:val="0"/>
        <w:rPr>
          <w:rFonts w:hint="default" w:ascii="Times New Roman" w:hAnsi="Times New Roman" w:cs="Times New Roman"/>
        </w:rPr>
      </w:pPr>
      <w:r>
        <w:rPr>
          <w:rFonts w:hint="default" w:ascii="Times New Roman" w:hAnsi="Times New Roman" w:cs="Times New Roman"/>
        </w:rPr>
        <w:t>Power-distance expectations strongly influence communication in cross-border interactions. Japan’s high-power-distance culture reinforces hierarchical norms, while the UK favours egalitarianism and open dialogue (Hofstede et al., 2010). In Japanese meetings, leaders typically speak first and subordinates avoid direct challenges. In contrast, UK–Japan NPD teams often adopt low-power-distance practices, such as shared agendas and collaborative feedback. British team members may view facilitation as a collective responsibility and use informal titles, whereas Japanese colleagues may expect more formal role distinctions.</w:t>
      </w:r>
    </w:p>
    <w:p w14:paraId="48BC2870">
      <w:pPr>
        <w:pStyle w:val="3"/>
        <w:keepNext w:val="0"/>
        <w:keepLines w:val="0"/>
        <w:widowControl/>
        <w:suppressLineNumbers w:val="0"/>
        <w:rPr>
          <w:rFonts w:hint="default" w:ascii="Times New Roman" w:hAnsi="Times New Roman" w:cs="Times New Roman"/>
          <w:sz w:val="28"/>
          <w:szCs w:val="28"/>
        </w:rPr>
      </w:pPr>
      <w:r>
        <w:rPr>
          <w:rStyle w:val="18"/>
          <w:rFonts w:hint="default" w:ascii="Times New Roman" w:hAnsi="Times New Roman" w:cs="Times New Roman"/>
          <w:sz w:val="28"/>
          <w:szCs w:val="28"/>
        </w:rPr>
        <w:t>Impact on Business Communication and Teamwork</w:t>
      </w:r>
    </w:p>
    <w:p w14:paraId="3095905E">
      <w:pPr>
        <w:pStyle w:val="17"/>
        <w:keepNext w:val="0"/>
        <w:keepLines w:val="0"/>
        <w:widowControl/>
        <w:suppressLineNumbers w:val="0"/>
        <w:rPr>
          <w:rFonts w:hint="default" w:ascii="Times New Roman" w:hAnsi="Times New Roman" w:cs="Times New Roman"/>
        </w:rPr>
      </w:pPr>
      <w:r>
        <w:rPr>
          <w:rFonts w:hint="default" w:ascii="Times New Roman" w:hAnsi="Times New Roman" w:cs="Times New Roman"/>
        </w:rPr>
        <w:t>National and organisational cultures significantly shape trust-building, information flow, and decision-making within UK–Japan collaborations. Differences in communication styles can hinder idea exchange and complicate the formation of effective transnational teams.</w:t>
      </w:r>
    </w:p>
    <w:p w14:paraId="2CA6634F">
      <w:pPr>
        <w:pStyle w:val="4"/>
        <w:keepNext w:val="0"/>
        <w:keepLines w:val="0"/>
        <w:widowControl/>
        <w:suppressLineNumbers w:val="0"/>
        <w:rPr>
          <w:rFonts w:hint="default" w:ascii="Times New Roman" w:hAnsi="Times New Roman" w:cs="Times New Roman"/>
          <w:sz w:val="24"/>
          <w:szCs w:val="24"/>
        </w:rPr>
      </w:pPr>
      <w:r>
        <w:rPr>
          <w:rStyle w:val="18"/>
          <w:rFonts w:hint="default" w:ascii="Times New Roman" w:hAnsi="Times New Roman" w:cs="Times New Roman"/>
          <w:sz w:val="24"/>
          <w:szCs w:val="24"/>
        </w:rPr>
        <w:t>Trust and Team Collaboration</w:t>
      </w:r>
    </w:p>
    <w:p w14:paraId="714B210E">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Trust is a crucial element in the Royal Mail–Japan Post partnership. However, challenges such as vendor relationships and language barriers can impede trust-building. Three practices proved beneficial: executive visits enhanced mutual understanding, informal meetings strengthened interpersonal relationships, and cross-verification improved data accuracy. As trust increased, UK team members became more relaxed and open in discussions.</w:t>
      </w:r>
    </w:p>
    <w:p w14:paraId="72D52860">
      <w:pPr>
        <w:pStyle w:val="4"/>
        <w:keepNext w:val="0"/>
        <w:keepLines w:val="0"/>
        <w:widowControl/>
        <w:suppressLineNumbers w:val="0"/>
        <w:rPr>
          <w:rFonts w:hint="default" w:ascii="Times New Roman" w:hAnsi="Times New Roman" w:cs="Times New Roman"/>
          <w:sz w:val="24"/>
          <w:szCs w:val="24"/>
        </w:rPr>
      </w:pPr>
      <w:r>
        <w:rPr>
          <w:rStyle w:val="18"/>
          <w:rFonts w:hint="default" w:ascii="Times New Roman" w:hAnsi="Times New Roman" w:cs="Times New Roman"/>
          <w:sz w:val="24"/>
          <w:szCs w:val="24"/>
        </w:rPr>
        <w:t>Impact on New Product Development and Marketing</w:t>
      </w:r>
    </w:p>
    <w:p w14:paraId="14CA423C">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collaboration on international packet products reflects the influence of Hofstede’s and Hall’s frameworks. Japan’s high uncertainty avoidance encourages thorough risk assessment during product development. Japan Post’s emphasis on market viability analysis—combined with limited counterarguments from Royal Mail—affects launch sequencing. Japan’s collectivist tendencies support rapid idea exchange, though cultural differences may limit deeper insights. Tight marketing deadlines arise from limited market knowledge, and local adaptation is often prioritised over cross-market consistency.</w:t>
      </w:r>
    </w:p>
    <w:p w14:paraId="2936CEFE">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Royal Mail’s low-context communication style can hinder understanding of Japanese intentions, particularly in discussions about transhipment. Requests for explicit agendas reflect UK norms, while Japan’s high-context communication increases the risk of assumptions and misinterpretations. Differences in communication styles require careful management, even when both teams use English. Royal Mail’s broad guideline design was misinterpreted by Japan Post as offering limited value, despite meeting budget constraints.</w:t>
      </w:r>
    </w:p>
    <w:p w14:paraId="3DE41D0B">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partnership illustrates how cultural dynamics influence NPD and marketing collaboration. Hofstede’s dimensions highlight communication challenges, while Hall’s framework deepens the analysis of managerial implications. Addressing cultural barriers can support long-term cross-border cooperation, especially as organisations recover from disruptions caused by the COVID</w:t>
      </w:r>
      <w:r>
        <w:rPr>
          <w:rFonts w:hint="default" w:ascii="Times New Roman" w:hAnsi="Times New Roman" w:cs="Times New Roman"/>
          <w:sz w:val="24"/>
          <w:szCs w:val="24"/>
        </w:rPr>
        <w:noBreakHyphen/>
      </w:r>
      <w:r>
        <w:rPr>
          <w:rFonts w:hint="default" w:ascii="Times New Roman" w:hAnsi="Times New Roman" w:cs="Times New Roman"/>
          <w:sz w:val="24"/>
          <w:szCs w:val="24"/>
        </w:rPr>
        <w:t>19 pandemic.</w:t>
      </w:r>
    </w:p>
    <w:p w14:paraId="34CF2C20">
      <w:pPr>
        <w:pStyle w:val="3"/>
        <w:keepNext w:val="0"/>
        <w:keepLines w:val="0"/>
        <w:widowControl/>
        <w:suppressLineNumbers w:val="0"/>
        <w:rPr>
          <w:rFonts w:hint="default" w:ascii="Times New Roman" w:hAnsi="Times New Roman" w:cs="Times New Roman"/>
          <w:sz w:val="28"/>
          <w:szCs w:val="28"/>
        </w:rPr>
      </w:pPr>
      <w:bookmarkStart w:id="0" w:name="_GoBack"/>
      <w:bookmarkEnd w:id="0"/>
      <w:r>
        <w:rPr>
          <w:rStyle w:val="18"/>
          <w:rFonts w:hint="default" w:ascii="Times New Roman" w:hAnsi="Times New Roman" w:cs="Times New Roman"/>
          <w:sz w:val="28"/>
          <w:szCs w:val="28"/>
        </w:rPr>
        <w:t>Strategies for Effective UK–Japan Communication</w:t>
      </w:r>
    </w:p>
    <w:p w14:paraId="3FA165BF">
      <w:pPr>
        <w:pStyle w:val="17"/>
        <w:keepNext w:val="0"/>
        <w:keepLines w:val="0"/>
        <w:widowControl/>
        <w:suppressLineNumbers w:val="0"/>
        <w:rPr>
          <w:rFonts w:hint="default" w:ascii="Times New Roman" w:hAnsi="Times New Roman" w:cs="Times New Roman"/>
        </w:rPr>
      </w:pPr>
      <w:r>
        <w:rPr>
          <w:rFonts w:hint="default" w:ascii="Times New Roman" w:hAnsi="Times New Roman" w:cs="Times New Roman"/>
        </w:rPr>
        <w:t>Effective communication is essential for the success of the Royal Mail–Japan Post initiative. Clear expectations, bilingual documentation, and defined communication rights can enhance coordination.</w:t>
      </w:r>
    </w:p>
    <w:p w14:paraId="6F7B9B3F">
      <w:pPr>
        <w:pStyle w:val="4"/>
        <w:keepNext w:val="0"/>
        <w:keepLines w:val="0"/>
        <w:widowControl/>
        <w:suppressLineNumbers w:val="0"/>
        <w:rPr>
          <w:rFonts w:hint="default" w:ascii="Times New Roman" w:hAnsi="Times New Roman" w:cs="Times New Roman"/>
          <w:sz w:val="24"/>
          <w:szCs w:val="24"/>
        </w:rPr>
      </w:pPr>
      <w:r>
        <w:rPr>
          <w:rStyle w:val="18"/>
          <w:rFonts w:hint="default" w:ascii="Times New Roman" w:hAnsi="Times New Roman" w:cs="Times New Roman"/>
          <w:sz w:val="24"/>
          <w:szCs w:val="24"/>
        </w:rPr>
        <w:t>Cross-Cultural Communication Practices</w:t>
      </w:r>
    </w:p>
    <w:p w14:paraId="462E21A9">
      <w:pPr>
        <w:pStyle w:val="17"/>
        <w:keepNext w:val="0"/>
        <w:keepLines w:val="0"/>
        <w:widowControl/>
        <w:suppressLineNumbers w:val="0"/>
        <w:rPr>
          <w:rFonts w:hint="default" w:ascii="Times New Roman" w:hAnsi="Times New Roman" w:cs="Times New Roman"/>
        </w:rPr>
      </w:pPr>
      <w:r>
        <w:rPr>
          <w:rFonts w:hint="default" w:ascii="Times New Roman" w:hAnsi="Times New Roman" w:cs="Times New Roman"/>
        </w:rPr>
        <w:t>Teams should establish structured communication strategies. Briefing documents must outline expectations, deliverables, deadlines, and budgets. UK participants often prefer open discussion, whereas Japanese colleagues rely more heavily on written documentation. These differences can slow progress if not managed carefully. Aligning marketing objectives early—by discussing project goals and customer needs—helps build shared understanding. Agreement on formats and messaging is also crucial.</w:t>
      </w:r>
    </w:p>
    <w:p w14:paraId="59CF8DF7">
      <w:pPr>
        <w:pStyle w:val="4"/>
        <w:keepNext w:val="0"/>
        <w:keepLines w:val="0"/>
        <w:widowControl/>
        <w:suppressLineNumbers w:val="0"/>
        <w:rPr>
          <w:rFonts w:hint="default" w:ascii="Times New Roman" w:hAnsi="Times New Roman" w:cs="Times New Roman"/>
          <w:sz w:val="24"/>
          <w:szCs w:val="24"/>
        </w:rPr>
      </w:pPr>
      <w:r>
        <w:rPr>
          <w:rStyle w:val="18"/>
          <w:rFonts w:hint="default" w:ascii="Times New Roman" w:hAnsi="Times New Roman" w:cs="Times New Roman"/>
          <w:sz w:val="24"/>
          <w:szCs w:val="24"/>
        </w:rPr>
        <w:t>Clear Decision-Making and Communication Protocols</w:t>
      </w:r>
    </w:p>
    <w:p w14:paraId="1A26D75D">
      <w:pPr>
        <w:pStyle w:val="17"/>
        <w:keepNext w:val="0"/>
        <w:keepLines w:val="0"/>
        <w:widowControl/>
        <w:suppressLineNumbers w:val="0"/>
        <w:rPr>
          <w:rFonts w:hint="default" w:ascii="Times New Roman" w:hAnsi="Times New Roman" w:cs="Times New Roman"/>
        </w:rPr>
      </w:pPr>
      <w:r>
        <w:rPr>
          <w:rFonts w:hint="default" w:ascii="Times New Roman" w:hAnsi="Times New Roman" w:cs="Times New Roman"/>
        </w:rPr>
        <w:t>Cross-border NPD requires well-defined processes for decision-making and information exchange. Asynchronous communication, primarily via email, increases the risk of misunderstandings. A RACI matrix can clarify roles and responsibilities, improving communication pathways. Although creating such a matrix can be time-consuming, it can be developed gradually. Written summaries in both English and Japanese are essential, especially when language proficiency varies. Drafting content in Japanese first and translating it can support clarity.</w:t>
      </w:r>
    </w:p>
    <w:p w14:paraId="0DCE0276">
      <w:pPr>
        <w:pStyle w:val="4"/>
        <w:keepNext w:val="0"/>
        <w:keepLines w:val="0"/>
        <w:widowControl/>
        <w:suppressLineNumbers w:val="0"/>
        <w:rPr>
          <w:rFonts w:hint="default" w:ascii="Times New Roman" w:hAnsi="Times New Roman" w:cs="Times New Roman"/>
          <w:sz w:val="24"/>
          <w:szCs w:val="24"/>
        </w:rPr>
      </w:pPr>
      <w:r>
        <w:rPr>
          <w:rStyle w:val="18"/>
          <w:rFonts w:hint="default" w:ascii="Times New Roman" w:hAnsi="Times New Roman" w:cs="Times New Roman"/>
          <w:sz w:val="24"/>
          <w:szCs w:val="24"/>
        </w:rPr>
        <w:t>Marketing and Teamwork Alignment</w:t>
      </w:r>
    </w:p>
    <w:p w14:paraId="443D64DD">
      <w:pPr>
        <w:pStyle w:val="17"/>
        <w:keepNext w:val="0"/>
        <w:keepLines w:val="0"/>
        <w:widowControl/>
        <w:suppressLineNumbers w:val="0"/>
        <w:rPr>
          <w:rFonts w:hint="default" w:ascii="Times New Roman" w:hAnsi="Times New Roman" w:cs="Times New Roman"/>
        </w:rPr>
      </w:pPr>
      <w:r>
        <w:rPr>
          <w:rFonts w:hint="default" w:ascii="Times New Roman" w:hAnsi="Times New Roman" w:cs="Times New Roman"/>
        </w:rPr>
        <w:t>Effective collaboration requires clear alignment on marketing tasks, branding, and risk management. The UK team aims to tailor strategies to local needs while maintaining Royal Mail’s brand identity. Joint marketing events can strengthen trust and enhance visibility for both organisations.</w:t>
      </w:r>
    </w:p>
    <w:p w14:paraId="4F884A94">
      <w:pPr>
        <w:pStyle w:val="3"/>
        <w:keepNext w:val="0"/>
        <w:keepLines w:val="0"/>
        <w:widowControl/>
        <w:suppressLineNumbers w:val="0"/>
        <w:rPr>
          <w:rFonts w:hint="default" w:ascii="Times New Roman" w:hAnsi="Times New Roman" w:cs="Times New Roman"/>
          <w:sz w:val="28"/>
          <w:szCs w:val="28"/>
        </w:rPr>
      </w:pPr>
      <w:r>
        <w:rPr>
          <w:rStyle w:val="18"/>
          <w:rFonts w:hint="default" w:ascii="Times New Roman" w:hAnsi="Times New Roman" w:cs="Times New Roman"/>
          <w:sz w:val="28"/>
          <w:szCs w:val="28"/>
        </w:rPr>
        <w:t>Conclusion</w:t>
      </w:r>
    </w:p>
    <w:p w14:paraId="08FA7509">
      <w:pPr>
        <w:pStyle w:val="17"/>
        <w:keepNext w:val="0"/>
        <w:keepLines w:val="0"/>
        <w:widowControl/>
        <w:suppressLineNumbers w:val="0"/>
        <w:rPr>
          <w:rFonts w:hint="default" w:ascii="Times New Roman" w:hAnsi="Times New Roman" w:cs="Times New Roman"/>
        </w:rPr>
      </w:pPr>
      <w:r>
        <w:rPr>
          <w:rFonts w:hint="default" w:ascii="Times New Roman" w:hAnsi="Times New Roman" w:cs="Times New Roman"/>
        </w:rPr>
        <w:t>This analysis of UK–Japan team dynamics in cross-border NPD and marketing highlights how cultural differences shape communication behaviours. Hofstede’s cultural dimensions and Hall’s high-context versus low-context communication framework provide valuable tools for understanding these dynamics. Many challenges stem from differing contextual orientations and expectations around communication, hierarchy, and decision-making.</w:t>
      </w:r>
    </w:p>
    <w:p w14:paraId="605CC219">
      <w:pPr>
        <w:pStyle w:val="2"/>
        <w:keepNext w:val="0"/>
        <w:keepLines w:val="0"/>
        <w:widowControl/>
        <w:suppressLineNumbers w:val="0"/>
        <w:rPr>
          <w:rStyle w:val="18"/>
          <w:rFonts w:hint="default" w:ascii="Times New Roman" w:hAnsi="Times New Roman" w:cs="Times New Roman"/>
        </w:rPr>
      </w:pPr>
    </w:p>
    <w:p w14:paraId="5A254000">
      <w:pPr>
        <w:pStyle w:val="2"/>
        <w:keepNext w:val="0"/>
        <w:keepLines w:val="0"/>
        <w:widowControl/>
        <w:suppressLineNumbers w:val="0"/>
        <w:rPr>
          <w:rStyle w:val="18"/>
          <w:rFonts w:hint="default" w:ascii="Times New Roman" w:hAnsi="Times New Roman" w:cs="Times New Roman"/>
        </w:rPr>
      </w:pPr>
    </w:p>
    <w:p w14:paraId="6BAF6193">
      <w:pPr>
        <w:pStyle w:val="2"/>
        <w:keepNext w:val="0"/>
        <w:keepLines w:val="0"/>
        <w:widowControl/>
        <w:suppressLineNumbers w:val="0"/>
        <w:rPr>
          <w:rStyle w:val="18"/>
          <w:rFonts w:hint="default" w:ascii="Times New Roman" w:hAnsi="Times New Roman" w:cs="Times New Roman"/>
        </w:rPr>
      </w:pPr>
    </w:p>
    <w:p w14:paraId="2EE5B7F0">
      <w:pPr>
        <w:pStyle w:val="2"/>
        <w:keepNext w:val="0"/>
        <w:keepLines w:val="0"/>
        <w:widowControl/>
        <w:suppressLineNumbers w:val="0"/>
        <w:rPr>
          <w:rFonts w:hint="default" w:ascii="Times New Roman" w:hAnsi="Times New Roman" w:cs="Times New Roman"/>
        </w:rPr>
      </w:pPr>
      <w:r>
        <w:rPr>
          <w:rStyle w:val="18"/>
          <w:rFonts w:hint="default" w:ascii="Times New Roman" w:hAnsi="Times New Roman" w:cs="Times New Roman"/>
        </w:rPr>
        <w:t>Reference List</w:t>
      </w:r>
    </w:p>
    <w:p w14:paraId="5BC0E7E6">
      <w:pPr>
        <w:pStyle w:val="17"/>
        <w:keepNext w:val="0"/>
        <w:keepLines w:val="0"/>
        <w:widowControl/>
        <w:suppressLineNumbers w:val="0"/>
        <w:rPr>
          <w:rFonts w:hint="default" w:ascii="Times New Roman" w:hAnsi="Times New Roman" w:cs="Times New Roman"/>
        </w:rPr>
      </w:pPr>
      <w:r>
        <w:rPr>
          <w:rFonts w:hint="default" w:ascii="Times New Roman" w:hAnsi="Times New Roman" w:cs="Times New Roman"/>
        </w:rPr>
        <w:t xml:space="preserve">Child, J. (2001) </w:t>
      </w:r>
      <w:r>
        <w:rPr>
          <w:rStyle w:val="13"/>
          <w:rFonts w:hint="default" w:ascii="Times New Roman" w:hAnsi="Times New Roman" w:cs="Times New Roman"/>
        </w:rPr>
        <w:t>Trust and international business relations</w:t>
      </w:r>
      <w:r>
        <w:rPr>
          <w:rFonts w:hint="default" w:ascii="Times New Roman" w:hAnsi="Times New Roman" w:cs="Times New Roman"/>
        </w:rPr>
        <w:t>. Cheltenham: Edward Elgar.</w:t>
      </w:r>
    </w:p>
    <w:p w14:paraId="3BA1B0EF">
      <w:pPr>
        <w:pStyle w:val="17"/>
        <w:keepNext w:val="0"/>
        <w:keepLines w:val="0"/>
        <w:widowControl/>
        <w:suppressLineNumbers w:val="0"/>
        <w:rPr>
          <w:rFonts w:hint="default" w:ascii="Times New Roman" w:hAnsi="Times New Roman" w:cs="Times New Roman"/>
        </w:rPr>
      </w:pPr>
      <w:r>
        <w:rPr>
          <w:rFonts w:hint="default" w:ascii="Times New Roman" w:hAnsi="Times New Roman" w:cs="Times New Roman"/>
        </w:rPr>
        <w:t xml:space="preserve">Gudykunst, W.B. &amp; Nishida, T. (1994) </w:t>
      </w:r>
      <w:r>
        <w:rPr>
          <w:rStyle w:val="13"/>
          <w:rFonts w:hint="default" w:ascii="Times New Roman" w:hAnsi="Times New Roman" w:cs="Times New Roman"/>
        </w:rPr>
        <w:t>Bridging Japanese/North American differences</w:t>
      </w:r>
      <w:r>
        <w:rPr>
          <w:rFonts w:hint="default" w:ascii="Times New Roman" w:hAnsi="Times New Roman" w:cs="Times New Roman"/>
        </w:rPr>
        <w:t>. Thousand Oaks: Sage.</w:t>
      </w:r>
    </w:p>
    <w:p w14:paraId="25EF803E">
      <w:pPr>
        <w:pStyle w:val="17"/>
        <w:keepNext w:val="0"/>
        <w:keepLines w:val="0"/>
        <w:widowControl/>
        <w:suppressLineNumbers w:val="0"/>
        <w:rPr>
          <w:rFonts w:hint="default" w:ascii="Times New Roman" w:hAnsi="Times New Roman" w:cs="Times New Roman"/>
        </w:rPr>
      </w:pPr>
      <w:r>
        <w:rPr>
          <w:rFonts w:hint="default" w:ascii="Times New Roman" w:hAnsi="Times New Roman" w:cs="Times New Roman"/>
        </w:rPr>
        <w:t xml:space="preserve">Hall, E.T. (1976) </w:t>
      </w:r>
      <w:r>
        <w:rPr>
          <w:rStyle w:val="13"/>
          <w:rFonts w:hint="default" w:ascii="Times New Roman" w:hAnsi="Times New Roman" w:cs="Times New Roman"/>
        </w:rPr>
        <w:t>Beyond Culture</w:t>
      </w:r>
      <w:r>
        <w:rPr>
          <w:rFonts w:hint="default" w:ascii="Times New Roman" w:hAnsi="Times New Roman" w:cs="Times New Roman"/>
        </w:rPr>
        <w:t>. New York: Anchor Books.</w:t>
      </w:r>
    </w:p>
    <w:p w14:paraId="47FA13AC">
      <w:pPr>
        <w:pStyle w:val="17"/>
        <w:keepNext w:val="0"/>
        <w:keepLines w:val="0"/>
        <w:widowControl/>
        <w:suppressLineNumbers w:val="0"/>
        <w:rPr>
          <w:rFonts w:hint="default" w:ascii="Times New Roman" w:hAnsi="Times New Roman" w:cs="Times New Roman"/>
        </w:rPr>
      </w:pPr>
      <w:r>
        <w:rPr>
          <w:rFonts w:hint="default" w:ascii="Times New Roman" w:hAnsi="Times New Roman" w:cs="Times New Roman"/>
        </w:rPr>
        <w:t xml:space="preserve">Hall, E.T. (1983) </w:t>
      </w:r>
      <w:r>
        <w:rPr>
          <w:rStyle w:val="13"/>
          <w:rFonts w:hint="default" w:ascii="Times New Roman" w:hAnsi="Times New Roman" w:cs="Times New Roman"/>
        </w:rPr>
        <w:t>The Dance of Life: The Other Dimension of Time</w:t>
      </w:r>
      <w:r>
        <w:rPr>
          <w:rFonts w:hint="default" w:ascii="Times New Roman" w:hAnsi="Times New Roman" w:cs="Times New Roman"/>
        </w:rPr>
        <w:t>. New York: Anchor Books.</w:t>
      </w:r>
    </w:p>
    <w:p w14:paraId="13181E84">
      <w:pPr>
        <w:pStyle w:val="17"/>
        <w:keepNext w:val="0"/>
        <w:keepLines w:val="0"/>
        <w:widowControl/>
        <w:suppressLineNumbers w:val="0"/>
        <w:rPr>
          <w:rFonts w:hint="default" w:ascii="Times New Roman" w:hAnsi="Times New Roman" w:cs="Times New Roman"/>
        </w:rPr>
      </w:pPr>
      <w:r>
        <w:rPr>
          <w:rFonts w:hint="default" w:ascii="Times New Roman" w:hAnsi="Times New Roman" w:cs="Times New Roman"/>
        </w:rPr>
        <w:t xml:space="preserve">Harzing, A.-W. (2006) ‘Response styles in cross-cultural research’, </w:t>
      </w:r>
      <w:r>
        <w:rPr>
          <w:rStyle w:val="13"/>
          <w:rFonts w:hint="default" w:ascii="Times New Roman" w:hAnsi="Times New Roman" w:cs="Times New Roman"/>
        </w:rPr>
        <w:t>International Journal of Cross Cultural Management</w:t>
      </w:r>
      <w:r>
        <w:rPr>
          <w:rFonts w:hint="default" w:ascii="Times New Roman" w:hAnsi="Times New Roman" w:cs="Times New Roman"/>
        </w:rPr>
        <w:t>, 6(2), pp. 243–266.</w:t>
      </w:r>
    </w:p>
    <w:p w14:paraId="4E29CFCD">
      <w:pPr>
        <w:pStyle w:val="17"/>
        <w:keepNext w:val="0"/>
        <w:keepLines w:val="0"/>
        <w:widowControl/>
        <w:suppressLineNumbers w:val="0"/>
        <w:rPr>
          <w:rFonts w:hint="default" w:ascii="Times New Roman" w:hAnsi="Times New Roman" w:cs="Times New Roman"/>
        </w:rPr>
      </w:pPr>
      <w:r>
        <w:rPr>
          <w:rFonts w:hint="default" w:ascii="Times New Roman" w:hAnsi="Times New Roman" w:cs="Times New Roman"/>
        </w:rPr>
        <w:t xml:space="preserve">Hofstede, G., Hofstede, G.J. &amp; Minkov, M. (2010) </w:t>
      </w:r>
      <w:r>
        <w:rPr>
          <w:rStyle w:val="13"/>
          <w:rFonts w:hint="default" w:ascii="Times New Roman" w:hAnsi="Times New Roman" w:cs="Times New Roman"/>
        </w:rPr>
        <w:t>Cultures and Organizations: Software of the Mind</w:t>
      </w:r>
      <w:r>
        <w:rPr>
          <w:rFonts w:hint="default" w:ascii="Times New Roman" w:hAnsi="Times New Roman" w:cs="Times New Roman"/>
        </w:rPr>
        <w:t>. 3rd edn. New York: McGraw-Hill.</w:t>
      </w:r>
    </w:p>
    <w:p w14:paraId="21D415E0">
      <w:pPr>
        <w:pStyle w:val="17"/>
        <w:keepNext w:val="0"/>
        <w:keepLines w:val="0"/>
        <w:widowControl/>
        <w:suppressLineNumbers w:val="0"/>
        <w:rPr>
          <w:rFonts w:hint="default" w:ascii="Times New Roman" w:hAnsi="Times New Roman" w:cs="Times New Roman"/>
        </w:rPr>
      </w:pPr>
      <w:r>
        <w:rPr>
          <w:rFonts w:hint="default" w:ascii="Times New Roman" w:hAnsi="Times New Roman" w:cs="Times New Roman"/>
        </w:rPr>
        <w:t xml:space="preserve">House, R.J. et al. (2004) </w:t>
      </w:r>
      <w:r>
        <w:rPr>
          <w:rStyle w:val="13"/>
          <w:rFonts w:hint="default" w:ascii="Times New Roman" w:hAnsi="Times New Roman" w:cs="Times New Roman"/>
        </w:rPr>
        <w:t>Culture, Leadership, and Organizations: The GLOBE Study of 62 Societies</w:t>
      </w:r>
      <w:r>
        <w:rPr>
          <w:rFonts w:hint="default" w:ascii="Times New Roman" w:hAnsi="Times New Roman" w:cs="Times New Roman"/>
        </w:rPr>
        <w:t>. Thousand Oaks: Sage.</w:t>
      </w:r>
    </w:p>
    <w:p w14:paraId="034AD326">
      <w:pPr>
        <w:pStyle w:val="17"/>
        <w:keepNext w:val="0"/>
        <w:keepLines w:val="0"/>
        <w:widowControl/>
        <w:suppressLineNumbers w:val="0"/>
        <w:rPr>
          <w:rFonts w:hint="default" w:ascii="Times New Roman" w:hAnsi="Times New Roman" w:cs="Times New Roman"/>
        </w:rPr>
      </w:pPr>
      <w:r>
        <w:rPr>
          <w:rFonts w:hint="default" w:ascii="Times New Roman" w:hAnsi="Times New Roman" w:cs="Times New Roman"/>
        </w:rPr>
        <w:t xml:space="preserve">Lauring, J. (2011) ‘Intercultural organizational communication’, </w:t>
      </w:r>
      <w:r>
        <w:rPr>
          <w:rStyle w:val="13"/>
          <w:rFonts w:hint="default" w:ascii="Times New Roman" w:hAnsi="Times New Roman" w:cs="Times New Roman"/>
        </w:rPr>
        <w:t>Journal of Business Communication</w:t>
      </w:r>
      <w:r>
        <w:rPr>
          <w:rFonts w:hint="default" w:ascii="Times New Roman" w:hAnsi="Times New Roman" w:cs="Times New Roman"/>
        </w:rPr>
        <w:t>, 48(3), pp. 231–255.</w:t>
      </w:r>
    </w:p>
    <w:p w14:paraId="5FF82C1F">
      <w:pPr>
        <w:pStyle w:val="17"/>
        <w:keepNext w:val="0"/>
        <w:keepLines w:val="0"/>
        <w:widowControl/>
        <w:suppressLineNumbers w:val="0"/>
        <w:rPr>
          <w:rFonts w:hint="default" w:ascii="Times New Roman" w:hAnsi="Times New Roman" w:cs="Times New Roman"/>
        </w:rPr>
      </w:pPr>
      <w:r>
        <w:rPr>
          <w:rFonts w:hint="default" w:ascii="Times New Roman" w:hAnsi="Times New Roman" w:cs="Times New Roman"/>
        </w:rPr>
        <w:t xml:space="preserve">McSweeney, B. (2002) ‘Hofstede’s model of national cultural differences’, </w:t>
      </w:r>
      <w:r>
        <w:rPr>
          <w:rStyle w:val="13"/>
          <w:rFonts w:hint="default" w:ascii="Times New Roman" w:hAnsi="Times New Roman" w:cs="Times New Roman"/>
        </w:rPr>
        <w:t>Human Relations</w:t>
      </w:r>
      <w:r>
        <w:rPr>
          <w:rFonts w:hint="default" w:ascii="Times New Roman" w:hAnsi="Times New Roman" w:cs="Times New Roman"/>
        </w:rPr>
        <w:t>, 55(1), pp. 89–118.</w:t>
      </w:r>
    </w:p>
    <w:p w14:paraId="3C2B67F1">
      <w:pPr>
        <w:pStyle w:val="17"/>
        <w:keepNext w:val="0"/>
        <w:keepLines w:val="0"/>
        <w:widowControl/>
        <w:suppressLineNumbers w:val="0"/>
        <w:rPr>
          <w:rFonts w:hint="default" w:ascii="Times New Roman" w:hAnsi="Times New Roman" w:cs="Times New Roman"/>
        </w:rPr>
      </w:pPr>
      <w:r>
        <w:rPr>
          <w:rFonts w:hint="default" w:ascii="Times New Roman" w:hAnsi="Times New Roman" w:cs="Times New Roman"/>
        </w:rPr>
        <w:t xml:space="preserve">Nakane, I. (2007) </w:t>
      </w:r>
      <w:r>
        <w:rPr>
          <w:rStyle w:val="13"/>
          <w:rFonts w:hint="default" w:ascii="Times New Roman" w:hAnsi="Times New Roman" w:cs="Times New Roman"/>
        </w:rPr>
        <w:t>Silence in Intercultural Communication</w:t>
      </w:r>
      <w:r>
        <w:rPr>
          <w:rFonts w:hint="default" w:ascii="Times New Roman" w:hAnsi="Times New Roman" w:cs="Times New Roman"/>
        </w:rPr>
        <w:t>. Amsterdam: John Benjamins.</w:t>
      </w:r>
    </w:p>
    <w:p w14:paraId="62DADB69">
      <w:pPr>
        <w:pStyle w:val="17"/>
        <w:keepNext w:val="0"/>
        <w:keepLines w:val="0"/>
        <w:widowControl/>
        <w:suppressLineNumbers w:val="0"/>
        <w:rPr>
          <w:rFonts w:hint="default" w:ascii="Times New Roman" w:hAnsi="Times New Roman" w:cs="Times New Roman"/>
        </w:rPr>
      </w:pPr>
      <w:r>
        <w:rPr>
          <w:rFonts w:hint="default" w:ascii="Times New Roman" w:hAnsi="Times New Roman" w:cs="Times New Roman"/>
        </w:rPr>
        <w:t xml:space="preserve">Tjosvold, D. &amp; Leung, K. (2003) </w:t>
      </w:r>
      <w:r>
        <w:rPr>
          <w:rStyle w:val="13"/>
          <w:rFonts w:hint="default" w:ascii="Times New Roman" w:hAnsi="Times New Roman" w:cs="Times New Roman"/>
        </w:rPr>
        <w:t>Cross-cultural management: Foundations and future</w:t>
      </w:r>
      <w:r>
        <w:rPr>
          <w:rFonts w:hint="default" w:ascii="Times New Roman" w:hAnsi="Times New Roman" w:cs="Times New Roman"/>
        </w:rPr>
        <w:t>. Aldershot: Ashgate.</w:t>
      </w:r>
    </w:p>
    <w:p w14:paraId="21E6B37C">
      <w:pPr>
        <w:pStyle w:val="17"/>
        <w:keepNext w:val="0"/>
        <w:keepLines w:val="0"/>
        <w:widowControl/>
        <w:suppressLineNumbers w:val="0"/>
        <w:rPr>
          <w:rFonts w:hint="default" w:ascii="Times New Roman" w:hAnsi="Times New Roman" w:cs="Times New Roman"/>
        </w:rPr>
      </w:pPr>
    </w:p>
    <w:p w14:paraId="35F1F9E6">
      <w:pPr>
        <w:rPr>
          <w:rFonts w:hint="default" w:ascii="Times New Roman" w:hAnsi="Times New Roman" w:cs="Times New Roman"/>
          <w:sz w:val="22"/>
          <w:szCs w:val="22"/>
        </w:rPr>
      </w:pPr>
    </w:p>
    <w:sectPr>
      <w:headerReference r:id="rId5" w:type="default"/>
      <w:footerReference r:id="rId6" w:type="default"/>
      <w:pgSz w:w="11906" w:h="16838"/>
      <w:pgMar w:top="1440" w:right="1440" w:bottom="1440" w:left="1440" w:header="708" w:footer="708" w:gutter="0"/>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egoe UI"/>
    <w:panose1 w:val="00000000000000000000"/>
    <w:charset w:val="86"/>
    <w:family w:val="swiss"/>
    <w:pitch w:val="default"/>
    <w:sig w:usb0="00000000" w:usb1="00000000" w:usb2="00000000" w:usb3="00000000" w:csb0="0000019F" w:csb1="00000000"/>
  </w:font>
  <w:font w:name="Aptos Display">
    <w:altName w:val="Segoe UI Variable Display"/>
    <w:panose1 w:val="00000000000000000000"/>
    <w:charset w:val="00"/>
    <w:family w:val="swiss"/>
    <w:pitch w:val="default"/>
    <w:sig w:usb0="00000000" w:usb1="00000000" w:usb2="00000000" w:usb3="00000000" w:csb0="0000019F" w:csb1="00000000"/>
  </w:font>
  <w:font w:name="Segoe UI">
    <w:panose1 w:val="020B0502040204020203"/>
    <w:charset w:val="00"/>
    <w:family w:val="auto"/>
    <w:pitch w:val="default"/>
    <w:sig w:usb0="E4002EFF" w:usb1="C000E47F" w:usb2="00000009" w:usb3="00000000" w:csb0="200001FF" w:csb1="00000000"/>
  </w:font>
  <w:font w:name="Segoe UI Variable Display">
    <w:panose1 w:val="00000000000000000000"/>
    <w:charset w:val="00"/>
    <w:family w:val="auto"/>
    <w:pitch w:val="default"/>
    <w:sig w:usb0="A00002FF" w:usb1="0000000B" w:usb2="00000000" w:usb3="00000000" w:csb0="2000019F"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55E06B4">
    <w:pPr>
      <w:pStyle w:val="14"/>
    </w:pPr>
    <w:r>
      <w:t xml:space="preserve">Page </w:t>
    </w:r>
    <w:r>
      <w:rPr>
        <w:b/>
        <w:bCs/>
      </w:rPr>
      <w:fldChar w:fldCharType="begin"/>
    </w:r>
    <w:r>
      <w:rPr>
        <w:b/>
        <w:bCs/>
      </w:rPr>
      <w:instrText xml:space="preserve"> PAGE </w:instrText>
    </w:r>
    <w:r>
      <w:rPr>
        <w:b/>
        <w:bCs/>
      </w:rPr>
      <w:fldChar w:fldCharType="separate"/>
    </w:r>
    <w:r>
      <w:rPr>
        <w:b/>
        <w:bCs/>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rPr>
      <w:t>2</w:t>
    </w:r>
    <w:r>
      <w:rPr>
        <w:b/>
        <w:bCs/>
      </w:rPr>
      <w:fldChar w:fldCharType="end"/>
    </w:r>
  </w:p>
  <w:p w14:paraId="154AC95B">
    <w:pPr>
      <w:pStyle w:val="1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F9EAD21">
    <w:pPr>
      <w:pStyle w:val="1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autoHyphenation/>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0B44"/>
    <w:rsid w:val="0006018F"/>
    <w:rsid w:val="00080B44"/>
    <w:rsid w:val="000A2CF0"/>
    <w:rsid w:val="000F02C2"/>
    <w:rsid w:val="00101B7A"/>
    <w:rsid w:val="002F4290"/>
    <w:rsid w:val="003F03A7"/>
    <w:rsid w:val="00433699"/>
    <w:rsid w:val="0049564F"/>
    <w:rsid w:val="004D64CA"/>
    <w:rsid w:val="004E2201"/>
    <w:rsid w:val="0054368A"/>
    <w:rsid w:val="005C24D2"/>
    <w:rsid w:val="0062770F"/>
    <w:rsid w:val="00654D7F"/>
    <w:rsid w:val="00677F1B"/>
    <w:rsid w:val="006D568A"/>
    <w:rsid w:val="00727289"/>
    <w:rsid w:val="00737951"/>
    <w:rsid w:val="007407EA"/>
    <w:rsid w:val="008B457F"/>
    <w:rsid w:val="009703F2"/>
    <w:rsid w:val="009E7666"/>
    <w:rsid w:val="00A57F43"/>
    <w:rsid w:val="00AA2E37"/>
    <w:rsid w:val="00B0007E"/>
    <w:rsid w:val="00B800FB"/>
    <w:rsid w:val="00BC177E"/>
    <w:rsid w:val="00BC7877"/>
    <w:rsid w:val="00E10B95"/>
    <w:rsid w:val="00E90C82"/>
    <w:rsid w:val="00FB5093"/>
    <w:rsid w:val="7FF33E0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unhideWhenUsed="0" w:uiPriority="0" w:semiHidden="0" w:name="heading 7"/>
    <w:lsdException w:qFormat="1" w:unhideWhenUsed="0" w:uiPriority="0" w:semiHidden="0" w:name="heading 8"/>
    <w:lsdException w:qFormat="1" w:unhideWhenUsed="0" w:uiPriority="0" w:semiHidden="0"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nhideWhenUsed="0" w:uiPriority="0" w:semiHidden="0" w:name="header"/>
    <w:lsdException w:unhideWhenUsed="0" w:uiPriority="0"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0"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0" w:semiHidden="0" w:name="List Paragraph"/>
    <w:lsdException w:unhideWhenUsed="0" w:uiPriority="0" w:semiHidden="0" w:name="Quote"/>
    <w:lsdException w:unhideWhenUsed="0" w:uiPriority="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uppressAutoHyphens/>
      <w:autoSpaceDN w:val="0"/>
      <w:spacing w:after="160" w:line="276" w:lineRule="auto"/>
    </w:pPr>
    <w:rPr>
      <w:rFonts w:ascii="Aptos" w:hAnsi="Aptos" w:eastAsia="Aptos" w:cs="Times New Roman"/>
      <w:kern w:val="3"/>
      <w:sz w:val="24"/>
      <w:szCs w:val="24"/>
      <w:lang w:val="en-GB" w:eastAsia="en-US" w:bidi="ar-SA"/>
    </w:rPr>
  </w:style>
  <w:style w:type="paragraph" w:styleId="2">
    <w:name w:val="heading 1"/>
    <w:basedOn w:val="1"/>
    <w:next w:val="1"/>
    <w:qFormat/>
    <w:uiPriority w:val="9"/>
    <w:pPr>
      <w:keepNext/>
      <w:keepLines/>
      <w:spacing w:before="360" w:after="80"/>
      <w:outlineLvl w:val="0"/>
    </w:pPr>
    <w:rPr>
      <w:rFonts w:ascii="Aptos Display" w:hAnsi="Aptos Display" w:eastAsia="Times New Roman"/>
      <w:color w:val="0F4761"/>
      <w:sz w:val="40"/>
      <w:szCs w:val="40"/>
    </w:rPr>
  </w:style>
  <w:style w:type="paragraph" w:styleId="3">
    <w:name w:val="heading 2"/>
    <w:basedOn w:val="1"/>
    <w:next w:val="1"/>
    <w:semiHidden/>
    <w:unhideWhenUsed/>
    <w:qFormat/>
    <w:uiPriority w:val="9"/>
    <w:pPr>
      <w:keepNext/>
      <w:keepLines/>
      <w:spacing w:before="160" w:after="80"/>
      <w:outlineLvl w:val="1"/>
    </w:pPr>
    <w:rPr>
      <w:rFonts w:ascii="Aptos Display" w:hAnsi="Aptos Display" w:eastAsia="Times New Roman"/>
      <w:color w:val="0F4761"/>
      <w:sz w:val="32"/>
      <w:szCs w:val="32"/>
    </w:rPr>
  </w:style>
  <w:style w:type="paragraph" w:styleId="4">
    <w:name w:val="heading 3"/>
    <w:basedOn w:val="1"/>
    <w:next w:val="1"/>
    <w:semiHidden/>
    <w:unhideWhenUsed/>
    <w:qFormat/>
    <w:uiPriority w:val="9"/>
    <w:pPr>
      <w:keepNext/>
      <w:keepLines/>
      <w:spacing w:before="160" w:after="80"/>
      <w:outlineLvl w:val="2"/>
    </w:pPr>
    <w:rPr>
      <w:rFonts w:eastAsia="Times New Roman"/>
      <w:color w:val="0F4761"/>
      <w:sz w:val="28"/>
      <w:szCs w:val="28"/>
    </w:rPr>
  </w:style>
  <w:style w:type="paragraph" w:styleId="5">
    <w:name w:val="heading 4"/>
    <w:basedOn w:val="1"/>
    <w:next w:val="1"/>
    <w:semiHidden/>
    <w:unhideWhenUsed/>
    <w:qFormat/>
    <w:uiPriority w:val="9"/>
    <w:pPr>
      <w:keepNext/>
      <w:keepLines/>
      <w:spacing w:before="80" w:after="40"/>
      <w:outlineLvl w:val="3"/>
    </w:pPr>
    <w:rPr>
      <w:rFonts w:eastAsia="Times New Roman"/>
      <w:i/>
      <w:iCs/>
      <w:color w:val="0F4761"/>
    </w:rPr>
  </w:style>
  <w:style w:type="paragraph" w:styleId="6">
    <w:name w:val="heading 5"/>
    <w:basedOn w:val="1"/>
    <w:next w:val="1"/>
    <w:semiHidden/>
    <w:unhideWhenUsed/>
    <w:qFormat/>
    <w:uiPriority w:val="9"/>
    <w:pPr>
      <w:keepNext/>
      <w:keepLines/>
      <w:spacing w:before="80" w:after="40"/>
      <w:outlineLvl w:val="4"/>
    </w:pPr>
    <w:rPr>
      <w:rFonts w:eastAsia="Times New Roman"/>
      <w:color w:val="0F4761"/>
    </w:rPr>
  </w:style>
  <w:style w:type="paragraph" w:styleId="7">
    <w:name w:val="heading 6"/>
    <w:basedOn w:val="1"/>
    <w:next w:val="1"/>
    <w:semiHidden/>
    <w:unhideWhenUsed/>
    <w:qFormat/>
    <w:uiPriority w:val="9"/>
    <w:pPr>
      <w:keepNext/>
      <w:keepLines/>
      <w:spacing w:before="40" w:after="0"/>
      <w:outlineLvl w:val="5"/>
    </w:pPr>
    <w:rPr>
      <w:rFonts w:eastAsia="Times New Roman"/>
      <w:i/>
      <w:iCs/>
      <w:color w:val="595959"/>
    </w:rPr>
  </w:style>
  <w:style w:type="paragraph" w:styleId="8">
    <w:name w:val="heading 7"/>
    <w:basedOn w:val="1"/>
    <w:next w:val="1"/>
    <w:uiPriority w:val="0"/>
    <w:pPr>
      <w:keepNext/>
      <w:keepLines/>
      <w:spacing w:before="40" w:after="0"/>
      <w:outlineLvl w:val="6"/>
    </w:pPr>
    <w:rPr>
      <w:rFonts w:eastAsia="Times New Roman"/>
      <w:color w:val="595959"/>
    </w:rPr>
  </w:style>
  <w:style w:type="paragraph" w:styleId="9">
    <w:name w:val="heading 8"/>
    <w:basedOn w:val="1"/>
    <w:next w:val="1"/>
    <w:qFormat/>
    <w:uiPriority w:val="0"/>
    <w:pPr>
      <w:keepNext/>
      <w:keepLines/>
      <w:spacing w:after="0"/>
      <w:outlineLvl w:val="7"/>
    </w:pPr>
    <w:rPr>
      <w:rFonts w:eastAsia="Times New Roman"/>
      <w:i/>
      <w:iCs/>
      <w:color w:val="272727"/>
    </w:rPr>
  </w:style>
  <w:style w:type="paragraph" w:styleId="10">
    <w:name w:val="heading 9"/>
    <w:basedOn w:val="1"/>
    <w:next w:val="1"/>
    <w:qFormat/>
    <w:uiPriority w:val="0"/>
    <w:pPr>
      <w:keepNext/>
      <w:keepLines/>
      <w:spacing w:after="0"/>
      <w:outlineLvl w:val="8"/>
    </w:pPr>
    <w:rPr>
      <w:rFonts w:eastAsia="Times New Roman"/>
      <w:color w:val="272727"/>
    </w:rPr>
  </w:style>
  <w:style w:type="character" w:default="1" w:styleId="11">
    <w:name w:val="Default Paragraph Font"/>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character" w:styleId="13">
    <w:name w:val="Emphasis"/>
    <w:basedOn w:val="11"/>
    <w:qFormat/>
    <w:uiPriority w:val="20"/>
    <w:rPr>
      <w:i/>
      <w:iCs/>
    </w:rPr>
  </w:style>
  <w:style w:type="paragraph" w:styleId="14">
    <w:name w:val="footer"/>
    <w:basedOn w:val="1"/>
    <w:uiPriority w:val="0"/>
    <w:pPr>
      <w:tabs>
        <w:tab w:val="center" w:pos="4513"/>
        <w:tab w:val="right" w:pos="9026"/>
      </w:tabs>
      <w:spacing w:after="0" w:line="240" w:lineRule="auto"/>
    </w:pPr>
  </w:style>
  <w:style w:type="paragraph" w:styleId="15">
    <w:name w:val="header"/>
    <w:basedOn w:val="1"/>
    <w:uiPriority w:val="0"/>
    <w:pPr>
      <w:tabs>
        <w:tab w:val="center" w:pos="4513"/>
        <w:tab w:val="right" w:pos="9026"/>
      </w:tabs>
      <w:spacing w:after="0" w:line="240" w:lineRule="auto"/>
    </w:pPr>
  </w:style>
  <w:style w:type="character" w:styleId="16">
    <w:name w:val="Hyperlink"/>
    <w:basedOn w:val="11"/>
    <w:qFormat/>
    <w:uiPriority w:val="0"/>
    <w:rPr>
      <w:color w:val="467886"/>
      <w:u w:val="single"/>
    </w:rPr>
  </w:style>
  <w:style w:type="paragraph" w:styleId="17">
    <w:name w:val="Normal (Web)"/>
    <w:semiHidden/>
    <w:unhideWhenUsed/>
    <w:uiPriority w:val="99"/>
    <w:pPr>
      <w:spacing w:before="0" w:beforeAutospacing="1" w:after="0" w:afterAutospacing="1"/>
      <w:ind w:left="0" w:right="0"/>
      <w:jc w:val="left"/>
    </w:pPr>
    <w:rPr>
      <w:kern w:val="0"/>
      <w:sz w:val="24"/>
      <w:szCs w:val="24"/>
      <w:lang w:val="en-US" w:eastAsia="zh-CN" w:bidi="ar"/>
    </w:rPr>
  </w:style>
  <w:style w:type="character" w:styleId="18">
    <w:name w:val="Strong"/>
    <w:basedOn w:val="11"/>
    <w:qFormat/>
    <w:uiPriority w:val="22"/>
    <w:rPr>
      <w:b/>
      <w:bCs/>
    </w:rPr>
  </w:style>
  <w:style w:type="paragraph" w:styleId="19">
    <w:name w:val="Subtitle"/>
    <w:basedOn w:val="1"/>
    <w:next w:val="1"/>
    <w:qFormat/>
    <w:uiPriority w:val="11"/>
    <w:rPr>
      <w:rFonts w:eastAsia="Times New Roman"/>
      <w:color w:val="595959"/>
      <w:spacing w:val="15"/>
      <w:sz w:val="28"/>
      <w:szCs w:val="28"/>
    </w:rPr>
  </w:style>
  <w:style w:type="paragraph" w:styleId="20">
    <w:name w:val="Title"/>
    <w:basedOn w:val="1"/>
    <w:next w:val="1"/>
    <w:qFormat/>
    <w:uiPriority w:val="10"/>
    <w:pPr>
      <w:spacing w:after="80" w:line="240" w:lineRule="auto"/>
      <w:contextualSpacing/>
    </w:pPr>
    <w:rPr>
      <w:rFonts w:ascii="Aptos Display" w:hAnsi="Aptos Display" w:eastAsia="Times New Roman"/>
      <w:spacing w:val="-10"/>
      <w:sz w:val="56"/>
      <w:szCs w:val="56"/>
    </w:rPr>
  </w:style>
  <w:style w:type="character" w:customStyle="1" w:styleId="21">
    <w:name w:val="Heading 1 Char"/>
    <w:basedOn w:val="11"/>
    <w:uiPriority w:val="0"/>
    <w:rPr>
      <w:rFonts w:ascii="Aptos Display" w:hAnsi="Aptos Display" w:eastAsia="Times New Roman" w:cs="Times New Roman"/>
      <w:color w:val="0F4761"/>
      <w:sz w:val="40"/>
      <w:szCs w:val="40"/>
    </w:rPr>
  </w:style>
  <w:style w:type="character" w:customStyle="1" w:styleId="22">
    <w:name w:val="Heading 2 Char"/>
    <w:basedOn w:val="11"/>
    <w:qFormat/>
    <w:uiPriority w:val="0"/>
    <w:rPr>
      <w:rFonts w:ascii="Aptos Display" w:hAnsi="Aptos Display" w:eastAsia="Times New Roman" w:cs="Times New Roman"/>
      <w:color w:val="0F4761"/>
      <w:sz w:val="32"/>
      <w:szCs w:val="32"/>
    </w:rPr>
  </w:style>
  <w:style w:type="character" w:customStyle="1" w:styleId="23">
    <w:name w:val="Heading 3 Char"/>
    <w:basedOn w:val="11"/>
    <w:qFormat/>
    <w:uiPriority w:val="0"/>
    <w:rPr>
      <w:rFonts w:eastAsia="Times New Roman" w:cs="Times New Roman"/>
      <w:color w:val="0F4761"/>
      <w:sz w:val="28"/>
      <w:szCs w:val="28"/>
    </w:rPr>
  </w:style>
  <w:style w:type="character" w:customStyle="1" w:styleId="24">
    <w:name w:val="Heading 4 Char"/>
    <w:basedOn w:val="11"/>
    <w:uiPriority w:val="0"/>
    <w:rPr>
      <w:rFonts w:eastAsia="Times New Roman" w:cs="Times New Roman"/>
      <w:i/>
      <w:iCs/>
      <w:color w:val="0F4761"/>
    </w:rPr>
  </w:style>
  <w:style w:type="character" w:customStyle="1" w:styleId="25">
    <w:name w:val="Heading 5 Char"/>
    <w:basedOn w:val="11"/>
    <w:uiPriority w:val="0"/>
    <w:rPr>
      <w:rFonts w:eastAsia="Times New Roman" w:cs="Times New Roman"/>
      <w:color w:val="0F4761"/>
    </w:rPr>
  </w:style>
  <w:style w:type="character" w:customStyle="1" w:styleId="26">
    <w:name w:val="Heading 6 Char"/>
    <w:basedOn w:val="11"/>
    <w:uiPriority w:val="0"/>
    <w:rPr>
      <w:rFonts w:eastAsia="Times New Roman" w:cs="Times New Roman"/>
      <w:i/>
      <w:iCs/>
      <w:color w:val="595959"/>
    </w:rPr>
  </w:style>
  <w:style w:type="character" w:customStyle="1" w:styleId="27">
    <w:name w:val="Heading 7 Char"/>
    <w:basedOn w:val="11"/>
    <w:qFormat/>
    <w:uiPriority w:val="0"/>
    <w:rPr>
      <w:rFonts w:eastAsia="Times New Roman" w:cs="Times New Roman"/>
      <w:color w:val="595959"/>
    </w:rPr>
  </w:style>
  <w:style w:type="character" w:customStyle="1" w:styleId="28">
    <w:name w:val="Heading 8 Char"/>
    <w:basedOn w:val="11"/>
    <w:qFormat/>
    <w:uiPriority w:val="0"/>
    <w:rPr>
      <w:rFonts w:eastAsia="Times New Roman" w:cs="Times New Roman"/>
      <w:i/>
      <w:iCs/>
      <w:color w:val="272727"/>
    </w:rPr>
  </w:style>
  <w:style w:type="character" w:customStyle="1" w:styleId="29">
    <w:name w:val="Heading 9 Char"/>
    <w:basedOn w:val="11"/>
    <w:uiPriority w:val="0"/>
    <w:rPr>
      <w:rFonts w:eastAsia="Times New Roman" w:cs="Times New Roman"/>
      <w:color w:val="272727"/>
    </w:rPr>
  </w:style>
  <w:style w:type="character" w:customStyle="1" w:styleId="30">
    <w:name w:val="Title Char"/>
    <w:basedOn w:val="11"/>
    <w:uiPriority w:val="0"/>
    <w:rPr>
      <w:rFonts w:ascii="Aptos Display" w:hAnsi="Aptos Display" w:eastAsia="Times New Roman" w:cs="Times New Roman"/>
      <w:spacing w:val="-10"/>
      <w:kern w:val="3"/>
      <w:sz w:val="56"/>
      <w:szCs w:val="56"/>
    </w:rPr>
  </w:style>
  <w:style w:type="character" w:customStyle="1" w:styleId="31">
    <w:name w:val="Subtitle Char"/>
    <w:basedOn w:val="11"/>
    <w:qFormat/>
    <w:uiPriority w:val="0"/>
    <w:rPr>
      <w:rFonts w:eastAsia="Times New Roman" w:cs="Times New Roman"/>
      <w:color w:val="595959"/>
      <w:spacing w:val="15"/>
      <w:sz w:val="28"/>
      <w:szCs w:val="28"/>
    </w:rPr>
  </w:style>
  <w:style w:type="paragraph" w:styleId="32">
    <w:name w:val="Quote"/>
    <w:basedOn w:val="1"/>
    <w:next w:val="1"/>
    <w:uiPriority w:val="0"/>
    <w:pPr>
      <w:spacing w:before="160"/>
      <w:jc w:val="center"/>
    </w:pPr>
    <w:rPr>
      <w:i/>
      <w:iCs/>
      <w:color w:val="404040"/>
    </w:rPr>
  </w:style>
  <w:style w:type="character" w:customStyle="1" w:styleId="33">
    <w:name w:val="Quote Char"/>
    <w:basedOn w:val="11"/>
    <w:qFormat/>
    <w:uiPriority w:val="0"/>
    <w:rPr>
      <w:i/>
      <w:iCs/>
      <w:color w:val="404040"/>
    </w:rPr>
  </w:style>
  <w:style w:type="paragraph" w:styleId="34">
    <w:name w:val="List Paragraph"/>
    <w:basedOn w:val="1"/>
    <w:qFormat/>
    <w:uiPriority w:val="0"/>
    <w:pPr>
      <w:ind w:left="720"/>
      <w:contextualSpacing/>
    </w:pPr>
  </w:style>
  <w:style w:type="character" w:customStyle="1" w:styleId="35">
    <w:name w:val="Intense Emphasis"/>
    <w:basedOn w:val="11"/>
    <w:uiPriority w:val="0"/>
    <w:rPr>
      <w:i/>
      <w:iCs/>
      <w:color w:val="0F4761"/>
    </w:rPr>
  </w:style>
  <w:style w:type="paragraph" w:styleId="36">
    <w:name w:val="Intense Quote"/>
    <w:basedOn w:val="1"/>
    <w:next w:val="1"/>
    <w:uiPriority w:val="0"/>
    <w:pPr>
      <w:pBdr>
        <w:top w:val="single" w:color="0F4761" w:sz="4" w:space="10"/>
        <w:bottom w:val="single" w:color="0F4761" w:sz="4" w:space="10"/>
      </w:pBdr>
      <w:spacing w:before="360" w:after="360"/>
      <w:ind w:left="864" w:right="864"/>
      <w:jc w:val="center"/>
    </w:pPr>
    <w:rPr>
      <w:i/>
      <w:iCs/>
      <w:color w:val="0F4761"/>
    </w:rPr>
  </w:style>
  <w:style w:type="character" w:customStyle="1" w:styleId="37">
    <w:name w:val="Intense Quote Char"/>
    <w:basedOn w:val="11"/>
    <w:qFormat/>
    <w:uiPriority w:val="0"/>
    <w:rPr>
      <w:i/>
      <w:iCs/>
      <w:color w:val="0F4761"/>
    </w:rPr>
  </w:style>
  <w:style w:type="character" w:customStyle="1" w:styleId="38">
    <w:name w:val="Intense Reference"/>
    <w:basedOn w:val="11"/>
    <w:qFormat/>
    <w:uiPriority w:val="0"/>
    <w:rPr>
      <w:b/>
      <w:bCs/>
      <w:smallCaps/>
      <w:color w:val="0F4761"/>
      <w:spacing w:val="5"/>
    </w:rPr>
  </w:style>
  <w:style w:type="paragraph" w:customStyle="1" w:styleId="39">
    <w:name w:val="cvgsua"/>
    <w:basedOn w:val="1"/>
    <w:uiPriority w:val="0"/>
    <w:pPr>
      <w:spacing w:before="100" w:after="100" w:line="240" w:lineRule="auto"/>
    </w:pPr>
    <w:rPr>
      <w:rFonts w:ascii="Times New Roman" w:hAnsi="Times New Roman" w:eastAsia="Times New Roman"/>
      <w:kern w:val="0"/>
      <w:lang w:eastAsia="en-GB"/>
    </w:rPr>
  </w:style>
  <w:style w:type="character" w:customStyle="1" w:styleId="40">
    <w:name w:val="oypena"/>
    <w:basedOn w:val="11"/>
    <w:qFormat/>
    <w:uiPriority w:val="0"/>
  </w:style>
  <w:style w:type="character" w:customStyle="1" w:styleId="41">
    <w:name w:val="Header Char"/>
    <w:basedOn w:val="11"/>
    <w:uiPriority w:val="0"/>
  </w:style>
  <w:style w:type="character" w:customStyle="1" w:styleId="42">
    <w:name w:val="Footer Char"/>
    <w:basedOn w:val="11"/>
    <w:uiPriority w:val="0"/>
  </w:style>
  <w:style w:type="paragraph" w:styleId="43">
    <w:name w:val="No Spacing"/>
    <w:uiPriority w:val="0"/>
    <w:pPr>
      <w:suppressAutoHyphens/>
      <w:autoSpaceDN w:val="0"/>
      <w:spacing w:after="0" w:line="240" w:lineRule="auto"/>
    </w:pPr>
    <w:rPr>
      <w:rFonts w:ascii="Aptos" w:hAnsi="Aptos" w:eastAsia="Times New Roman" w:cs="Times New Roman"/>
      <w:kern w:val="0"/>
      <w:sz w:val="22"/>
      <w:szCs w:val="22"/>
      <w:lang w:val="en-GB" w:eastAsia="en-GB" w:bidi="ar-SA"/>
    </w:rPr>
  </w:style>
  <w:style w:type="character" w:customStyle="1" w:styleId="44">
    <w:name w:val="No Spacing Char"/>
    <w:basedOn w:val="11"/>
    <w:uiPriority w:val="0"/>
    <w:rPr>
      <w:rFonts w:eastAsia="Times New Roman"/>
      <w:kern w:val="0"/>
      <w:sz w:val="22"/>
      <w:szCs w:val="22"/>
      <w:lang w:eastAsia="en-GB"/>
    </w:rPr>
  </w:style>
  <w:style w:type="character" w:customStyle="1" w:styleId="45">
    <w:name w:val="Unresolved Mention"/>
    <w:basedOn w:val="11"/>
    <w:uiPriority w:val="0"/>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image" Target="media/image1.jpe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7</Pages>
  <Words>3121</Words>
  <Characters>20837</Characters>
  <Lines>170</Lines>
  <Paragraphs>47</Paragraphs>
  <TotalTime>71</TotalTime>
  <ScaleCrop>false</ScaleCrop>
  <LinksUpToDate>false</LinksUpToDate>
  <CharactersWithSpaces>23858</CharactersWithSpaces>
  <Application>WPS Office_12.1.0.28032_F1E327BC-269C-435d-A152-05C5408002CA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2025-04-05T14:04:00Z</dcterms:created>
  <dc:creator>Katarína Dydňanská</dc:creator>
  <cp:lastModifiedBy>Katarína Dydňanská</cp:lastModifiedBy>
  <dcterms:modified xsi:type="dcterms:W3CDTF">2026-08-15T13:07:52Z</dcterms:modified>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eyJoZGlkIjoiOWVmYTRmY2U2OWJkZjRkNDk1OWYzMzI5MWM5M2Y0YmUiLCJ1c2VySWQiOiIzNzI4MTQ1MDY4NDIwIn0=</vt:lpwstr>
  </property>
  <property fmtid="{D5CDD505-2E9C-101B-9397-08002B2CF9AE}" pid="3" name="KSOProductBuildVer">
    <vt:lpwstr>1033-12.1.0.28032</vt:lpwstr>
  </property>
  <property fmtid="{D5CDD505-2E9C-101B-9397-08002B2CF9AE}" pid="4" name="ICV">
    <vt:lpwstr>78B8EE34B44E4A6098922DC9E96EE38C_13</vt:lpwstr>
  </property>
</Properties>
</file>