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50F55" w14:textId="77777777" w:rsidR="00862BE0" w:rsidRDefault="00862BE0" w:rsidP="00862BE0">
      <w:pPr>
        <w:rPr>
          <w:b/>
          <w:bCs/>
          <w:lang w:val="en-US"/>
        </w:rPr>
      </w:pPr>
    </w:p>
    <w:p w14:paraId="61EA1901" w14:textId="77777777" w:rsidR="00862BE0" w:rsidRDefault="00862BE0" w:rsidP="00862BE0">
      <w:pPr>
        <w:rPr>
          <w:b/>
          <w:bCs/>
          <w:lang w:val="en-US"/>
        </w:rPr>
      </w:pPr>
    </w:p>
    <w:p w14:paraId="6CCE2622" w14:textId="77777777" w:rsidR="00862BE0" w:rsidRDefault="00862BE0" w:rsidP="00862BE0">
      <w:pPr>
        <w:rPr>
          <w:b/>
          <w:bCs/>
          <w:lang w:val="en-US"/>
        </w:rPr>
      </w:pPr>
    </w:p>
    <w:p w14:paraId="10B6F7EC" w14:textId="77777777" w:rsidR="00862BE0" w:rsidRDefault="00862BE0" w:rsidP="00862BE0">
      <w:pPr>
        <w:ind w:left="720" w:firstLine="720"/>
        <w:rPr>
          <w:b/>
          <w:bCs/>
          <w:lang w:val="en-US"/>
        </w:rPr>
      </w:pPr>
      <w:r>
        <w:rPr>
          <w:b/>
          <w:bCs/>
          <w:noProof/>
          <w:lang w:val="en-US"/>
        </w:rPr>
        <w:drawing>
          <wp:inline distT="0" distB="0" distL="0" distR="0" wp14:anchorId="057CD9CF" wp14:editId="21BC9312">
            <wp:extent cx="4349750" cy="1523810"/>
            <wp:effectExtent l="0" t="0" r="0" b="635"/>
            <wp:docPr id="831774516"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74516" name="Picture 2"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62936" cy="1563462"/>
                    </a:xfrm>
                    <a:prstGeom prst="rect">
                      <a:avLst/>
                    </a:prstGeom>
                  </pic:spPr>
                </pic:pic>
              </a:graphicData>
            </a:graphic>
          </wp:inline>
        </w:drawing>
      </w:r>
      <w:r>
        <w:rPr>
          <w:b/>
          <w:bCs/>
          <w:lang w:val="en-US"/>
        </w:rPr>
        <w:tab/>
      </w:r>
    </w:p>
    <w:p w14:paraId="1A3C6EFE" w14:textId="77777777" w:rsidR="00862BE0" w:rsidRDefault="00862BE0" w:rsidP="00862BE0">
      <w:pPr>
        <w:ind w:left="720" w:firstLine="720"/>
        <w:rPr>
          <w:b/>
          <w:bCs/>
          <w:lang w:val="en-US"/>
        </w:rPr>
      </w:pPr>
    </w:p>
    <w:p w14:paraId="42E6A81C" w14:textId="77777777" w:rsidR="00862BE0" w:rsidRDefault="00862BE0" w:rsidP="00862BE0">
      <w:pPr>
        <w:ind w:left="720" w:firstLine="720"/>
        <w:rPr>
          <w:b/>
          <w:bCs/>
          <w:lang w:val="en-US"/>
        </w:rPr>
      </w:pPr>
      <w:r w:rsidRPr="005F04F7">
        <w:rPr>
          <w:rFonts w:ascii="Times New Roman" w:hAnsi="Times New Roman" w:cs="Times New Roman"/>
          <w:b/>
          <w:bCs/>
          <w:sz w:val="28"/>
          <w:szCs w:val="28"/>
          <w:lang w:val="en-US"/>
        </w:rPr>
        <w:t>MODULE: HUMAN RESOURCE MANAGEMENT</w:t>
      </w:r>
    </w:p>
    <w:p w14:paraId="5999AB8B" w14:textId="20B58DF0" w:rsidR="00862BE0" w:rsidRPr="00862BE0" w:rsidRDefault="00862BE0" w:rsidP="00862BE0">
      <w:pPr>
        <w:ind w:left="720" w:firstLine="720"/>
        <w:rPr>
          <w:b/>
          <w:bCs/>
          <w:lang w:val="en-US"/>
        </w:rPr>
      </w:pPr>
      <w:r>
        <w:rPr>
          <w:b/>
          <w:bCs/>
          <w:lang w:val="en-US"/>
        </w:rPr>
        <w:tab/>
      </w:r>
      <w:r>
        <w:rPr>
          <w:b/>
          <w:bCs/>
          <w:lang w:val="en-US"/>
        </w:rPr>
        <w:tab/>
      </w:r>
      <w:r w:rsidRPr="005F04F7">
        <w:rPr>
          <w:rFonts w:ascii="Times New Roman" w:hAnsi="Times New Roman" w:cs="Times New Roman"/>
          <w:b/>
          <w:bCs/>
          <w:sz w:val="28"/>
          <w:szCs w:val="28"/>
          <w:lang w:val="en-US"/>
        </w:rPr>
        <w:t>MODULE CODE: LCMB7000</w:t>
      </w:r>
    </w:p>
    <w:p w14:paraId="7756D6FF" w14:textId="77777777" w:rsidR="00862BE0" w:rsidRPr="005F04F7" w:rsidRDefault="00862BE0" w:rsidP="00862BE0">
      <w:pPr>
        <w:rPr>
          <w:b/>
          <w:bCs/>
          <w:lang w:val="en-US"/>
        </w:rPr>
      </w:pPr>
    </w:p>
    <w:p w14:paraId="5982FD3B" w14:textId="77777777" w:rsidR="00862BE0" w:rsidRPr="005F04F7" w:rsidRDefault="00862BE0" w:rsidP="00862BE0">
      <w:pPr>
        <w:rPr>
          <w:b/>
          <w:bCs/>
          <w:lang w:val="en-US"/>
        </w:rPr>
      </w:pPr>
    </w:p>
    <w:p w14:paraId="11399F5F" w14:textId="77777777" w:rsidR="00862BE0" w:rsidRPr="005F04F7" w:rsidRDefault="00862BE0" w:rsidP="00862BE0">
      <w:pPr>
        <w:rPr>
          <w:b/>
          <w:bCs/>
          <w:lang w:val="en-US"/>
        </w:rPr>
      </w:pPr>
    </w:p>
    <w:p w14:paraId="6AA3B84E" w14:textId="77777777" w:rsidR="00862BE0" w:rsidRPr="005F04F7" w:rsidRDefault="00862BE0" w:rsidP="00862BE0">
      <w:pPr>
        <w:ind w:firstLine="720"/>
        <w:rPr>
          <w:b/>
          <w:bCs/>
          <w:lang w:val="en-US"/>
        </w:rPr>
      </w:pPr>
    </w:p>
    <w:p w14:paraId="25E27C67" w14:textId="77777777" w:rsidR="00862BE0" w:rsidRPr="005F04F7" w:rsidRDefault="00862BE0" w:rsidP="00862BE0">
      <w:pPr>
        <w:rPr>
          <w:b/>
          <w:bCs/>
          <w:lang w:val="en-US"/>
        </w:rPr>
      </w:pPr>
    </w:p>
    <w:p w14:paraId="21586F8D" w14:textId="77777777" w:rsidR="00862BE0" w:rsidRPr="005F04F7" w:rsidRDefault="00862BE0" w:rsidP="00862BE0">
      <w:pPr>
        <w:rPr>
          <w:b/>
          <w:bCs/>
          <w:lang w:val="en-US"/>
        </w:rPr>
      </w:pPr>
    </w:p>
    <w:p w14:paraId="470C3B86" w14:textId="77777777" w:rsidR="00862BE0" w:rsidRPr="005F04F7" w:rsidRDefault="00862BE0" w:rsidP="00862BE0">
      <w:pPr>
        <w:rPr>
          <w:b/>
          <w:bCs/>
          <w:lang w:val="en-US"/>
        </w:rPr>
      </w:pPr>
    </w:p>
    <w:p w14:paraId="7CCB3CC1" w14:textId="77777777" w:rsidR="00862BE0" w:rsidRDefault="00862BE0" w:rsidP="00862BE0">
      <w:pPr>
        <w:rPr>
          <w:b/>
          <w:bCs/>
          <w:lang w:val="en-US"/>
        </w:rPr>
      </w:pPr>
    </w:p>
    <w:p w14:paraId="65F43C5E" w14:textId="77777777" w:rsidR="00776DDC" w:rsidRDefault="00776DDC" w:rsidP="00862BE0">
      <w:pPr>
        <w:rPr>
          <w:b/>
          <w:bCs/>
          <w:lang w:val="en-US"/>
        </w:rPr>
      </w:pPr>
    </w:p>
    <w:p w14:paraId="18BA9A16" w14:textId="77777777" w:rsidR="00776DDC" w:rsidRPr="005F04F7" w:rsidRDefault="00776DDC" w:rsidP="00862BE0">
      <w:pPr>
        <w:rPr>
          <w:b/>
          <w:bCs/>
          <w:lang w:val="en-US"/>
        </w:rPr>
      </w:pPr>
    </w:p>
    <w:p w14:paraId="1BE6A0F1" w14:textId="77777777" w:rsidR="00862BE0" w:rsidRPr="005F04F7" w:rsidRDefault="00862BE0" w:rsidP="00862BE0">
      <w:pPr>
        <w:rPr>
          <w:b/>
          <w:bCs/>
          <w:lang w:val="en-US"/>
        </w:rPr>
      </w:pPr>
    </w:p>
    <w:p w14:paraId="79B8F585" w14:textId="77777777" w:rsidR="00862BE0" w:rsidRPr="005F04F7" w:rsidRDefault="00862BE0" w:rsidP="00862BE0">
      <w:pPr>
        <w:rPr>
          <w:b/>
          <w:bCs/>
          <w:lang w:val="en-US"/>
        </w:rPr>
      </w:pPr>
    </w:p>
    <w:p w14:paraId="47AFE375" w14:textId="4B076A07" w:rsidR="00862BE0" w:rsidRPr="00012E79" w:rsidRDefault="00862BE0" w:rsidP="00862BE0">
      <w:pPr>
        <w:rPr>
          <w:rFonts w:ascii="Times New Roman" w:hAnsi="Times New Roman" w:cs="Times New Roman"/>
          <w:sz w:val="24"/>
          <w:szCs w:val="24"/>
          <w:lang w:val="en-US"/>
        </w:rPr>
      </w:pPr>
      <w:r w:rsidRPr="00012E79">
        <w:rPr>
          <w:rFonts w:ascii="Times New Roman" w:hAnsi="Times New Roman" w:cs="Times New Roman"/>
          <w:sz w:val="24"/>
          <w:szCs w:val="24"/>
          <w:lang w:val="en-US"/>
        </w:rPr>
        <w:t xml:space="preserve">ASSIGNMENT TITLE: </w:t>
      </w:r>
      <w:r>
        <w:rPr>
          <w:rFonts w:ascii="Times New Roman" w:hAnsi="Times New Roman" w:cs="Times New Roman"/>
          <w:sz w:val="24"/>
          <w:szCs w:val="24"/>
          <w:lang w:val="en-US"/>
        </w:rPr>
        <w:t>HUMAN RESOURCE</w:t>
      </w:r>
      <w:r w:rsidRPr="00012E79">
        <w:rPr>
          <w:rFonts w:ascii="Times New Roman" w:hAnsi="Times New Roman" w:cs="Times New Roman"/>
          <w:sz w:val="24"/>
          <w:szCs w:val="24"/>
          <w:lang w:val="en-US"/>
        </w:rPr>
        <w:t xml:space="preserve"> MANAGEMENT ASSIGNMENT</w:t>
      </w:r>
    </w:p>
    <w:p w14:paraId="41B5C7F6" w14:textId="77777777" w:rsidR="00862BE0" w:rsidRPr="00012E79" w:rsidRDefault="00862BE0" w:rsidP="00862BE0">
      <w:pPr>
        <w:rPr>
          <w:rFonts w:ascii="Times New Roman" w:hAnsi="Times New Roman" w:cs="Times New Roman"/>
          <w:sz w:val="24"/>
          <w:szCs w:val="24"/>
          <w:lang w:val="en-US"/>
        </w:rPr>
      </w:pPr>
      <w:r w:rsidRPr="00012E79">
        <w:rPr>
          <w:rFonts w:ascii="Times New Roman" w:hAnsi="Times New Roman" w:cs="Times New Roman"/>
          <w:sz w:val="24"/>
          <w:szCs w:val="24"/>
          <w:lang w:val="en-US"/>
        </w:rPr>
        <w:t xml:space="preserve">Student Name: Jitendra </w:t>
      </w:r>
      <w:proofErr w:type="spellStart"/>
      <w:r w:rsidRPr="00012E79">
        <w:rPr>
          <w:rFonts w:ascii="Times New Roman" w:hAnsi="Times New Roman" w:cs="Times New Roman"/>
          <w:sz w:val="24"/>
          <w:szCs w:val="24"/>
          <w:lang w:val="en-US"/>
        </w:rPr>
        <w:t>Tulsibhai</w:t>
      </w:r>
      <w:proofErr w:type="spellEnd"/>
      <w:r w:rsidRPr="00012E79">
        <w:rPr>
          <w:rFonts w:ascii="Times New Roman" w:hAnsi="Times New Roman" w:cs="Times New Roman"/>
          <w:sz w:val="24"/>
          <w:szCs w:val="24"/>
          <w:lang w:val="en-US"/>
        </w:rPr>
        <w:t xml:space="preserve"> Gohel</w:t>
      </w:r>
    </w:p>
    <w:p w14:paraId="75C4F4A4" w14:textId="77777777" w:rsidR="00862BE0" w:rsidRPr="00012E79" w:rsidRDefault="00862BE0" w:rsidP="00862BE0">
      <w:pPr>
        <w:rPr>
          <w:rFonts w:ascii="Times New Roman" w:hAnsi="Times New Roman" w:cs="Times New Roman"/>
          <w:sz w:val="24"/>
          <w:szCs w:val="24"/>
          <w:lang w:val="en-US"/>
        </w:rPr>
      </w:pPr>
      <w:r w:rsidRPr="00012E79">
        <w:rPr>
          <w:rFonts w:ascii="Times New Roman" w:hAnsi="Times New Roman" w:cs="Times New Roman"/>
          <w:sz w:val="24"/>
          <w:szCs w:val="24"/>
          <w:lang w:val="en-US"/>
        </w:rPr>
        <w:t>Student ID: 2242698</w:t>
      </w:r>
    </w:p>
    <w:p w14:paraId="1FEA3456" w14:textId="2CE3DB01" w:rsidR="00862BE0" w:rsidRPr="00012E79" w:rsidRDefault="00862BE0" w:rsidP="00862BE0">
      <w:pPr>
        <w:rPr>
          <w:rFonts w:ascii="Times New Roman" w:hAnsi="Times New Roman" w:cs="Times New Roman"/>
          <w:sz w:val="24"/>
          <w:szCs w:val="24"/>
          <w:lang w:val="en-US"/>
        </w:rPr>
      </w:pPr>
      <w:r w:rsidRPr="00012E79">
        <w:rPr>
          <w:rFonts w:ascii="Times New Roman" w:hAnsi="Times New Roman" w:cs="Times New Roman"/>
          <w:sz w:val="24"/>
          <w:szCs w:val="24"/>
          <w:lang w:val="en-US"/>
        </w:rPr>
        <w:t>Lecturer Name:</w:t>
      </w:r>
      <w:r>
        <w:rPr>
          <w:rFonts w:ascii="Times New Roman" w:hAnsi="Times New Roman" w:cs="Times New Roman"/>
          <w:sz w:val="24"/>
          <w:szCs w:val="24"/>
          <w:lang w:val="en-US"/>
        </w:rPr>
        <w:t xml:space="preserve"> Dr. Mohamed Asim</w:t>
      </w:r>
    </w:p>
    <w:p w14:paraId="76E68B59" w14:textId="0F5EB148" w:rsidR="00862BE0" w:rsidRPr="00012E79" w:rsidRDefault="00862BE0" w:rsidP="00862BE0">
      <w:pPr>
        <w:rPr>
          <w:rFonts w:ascii="Times New Roman" w:hAnsi="Times New Roman" w:cs="Times New Roman"/>
          <w:sz w:val="24"/>
          <w:szCs w:val="24"/>
          <w:lang w:val="en-US"/>
        </w:rPr>
      </w:pPr>
      <w:r w:rsidRPr="00012E79">
        <w:rPr>
          <w:rFonts w:ascii="Times New Roman" w:hAnsi="Times New Roman" w:cs="Times New Roman"/>
          <w:sz w:val="24"/>
          <w:szCs w:val="24"/>
          <w:lang w:val="en-US"/>
        </w:rPr>
        <w:t>Submission Date: 2</w:t>
      </w:r>
      <w:r>
        <w:rPr>
          <w:rFonts w:ascii="Times New Roman" w:hAnsi="Times New Roman" w:cs="Times New Roman"/>
          <w:sz w:val="24"/>
          <w:szCs w:val="24"/>
          <w:lang w:val="en-US"/>
        </w:rPr>
        <w:t>3</w:t>
      </w:r>
      <w:r w:rsidRPr="00862BE0">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w:t>
      </w:r>
      <w:r w:rsidRPr="00012E79">
        <w:rPr>
          <w:rFonts w:ascii="Times New Roman" w:hAnsi="Times New Roman" w:cs="Times New Roman"/>
          <w:sz w:val="24"/>
          <w:szCs w:val="24"/>
          <w:lang w:val="en-US"/>
        </w:rPr>
        <w:t>August 2023</w:t>
      </w:r>
    </w:p>
    <w:p w14:paraId="13A848C2" w14:textId="77777777" w:rsidR="00862BE0" w:rsidRDefault="00862BE0" w:rsidP="00CF5BB9">
      <w:pPr>
        <w:rPr>
          <w:rFonts w:ascii="Times New Roman" w:hAnsi="Times New Roman" w:cs="Times New Roman"/>
          <w:b/>
          <w:bCs/>
          <w:sz w:val="40"/>
          <w:szCs w:val="40"/>
        </w:rPr>
      </w:pPr>
    </w:p>
    <w:p w14:paraId="10A8637E" w14:textId="77777777" w:rsidR="00C72D95" w:rsidRDefault="00C72D95" w:rsidP="00C72D95">
      <w:pPr>
        <w:jc w:val="center"/>
        <w:rPr>
          <w:rFonts w:ascii="Times New Roman" w:hAnsi="Times New Roman" w:cs="Times New Roman"/>
          <w:b/>
          <w:bCs/>
          <w:sz w:val="40"/>
          <w:szCs w:val="40"/>
        </w:rPr>
      </w:pPr>
    </w:p>
    <w:sdt>
      <w:sdtPr>
        <w:rPr>
          <w:rFonts w:ascii="Arial" w:eastAsia="Arial" w:hAnsi="Arial" w:cs="Arial"/>
          <w:color w:val="auto"/>
          <w:kern w:val="2"/>
          <w:sz w:val="22"/>
          <w:szCs w:val="22"/>
          <w:lang w:val="en-IN" w:eastAsia="en-IN"/>
          <w14:ligatures w14:val="standardContextual"/>
        </w:rPr>
        <w:id w:val="1539317059"/>
        <w:docPartObj>
          <w:docPartGallery w:val="Table of Contents"/>
          <w:docPartUnique/>
        </w:docPartObj>
      </w:sdtPr>
      <w:sdtEndPr>
        <w:rPr>
          <w:rFonts w:asciiTheme="minorHAnsi" w:eastAsiaTheme="minorHAnsi" w:hAnsiTheme="minorHAnsi" w:cstheme="minorBidi"/>
          <w:b/>
          <w:bCs/>
          <w:lang w:val="en-GB" w:eastAsia="en-US"/>
        </w:rPr>
      </w:sdtEndPr>
      <w:sdtContent>
        <w:p w14:paraId="1083BB05" w14:textId="77777777" w:rsidR="00C72D95" w:rsidRDefault="00C72D95" w:rsidP="00C72D95">
          <w:pPr>
            <w:pStyle w:val="TOCHeading1"/>
            <w:spacing w:line="360" w:lineRule="auto"/>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8"/>
              <w:szCs w:val="28"/>
            </w:rPr>
            <w:t>Table of Contents</w:t>
          </w:r>
          <w:r>
            <w:rPr>
              <w:rFonts w:ascii="Times New Roman" w:hAnsi="Times New Roman" w:cs="Times New Roman"/>
              <w:color w:val="000000" w:themeColor="text1"/>
              <w:sz w:val="28"/>
              <w:szCs w:val="28"/>
            </w:rPr>
            <w:fldChar w:fldCharType="begin"/>
          </w:r>
          <w:r>
            <w:rPr>
              <w:rFonts w:ascii="Times New Roman" w:hAnsi="Times New Roman" w:cs="Times New Roman"/>
              <w:color w:val="000000" w:themeColor="text1"/>
              <w:sz w:val="28"/>
              <w:szCs w:val="28"/>
            </w:rPr>
            <w:instrText xml:space="preserve"> TOC \o "1-3" \h \z \u </w:instrText>
          </w:r>
          <w:r>
            <w:rPr>
              <w:rFonts w:ascii="Times New Roman" w:hAnsi="Times New Roman" w:cs="Times New Roman"/>
              <w:color w:val="000000" w:themeColor="text1"/>
              <w:sz w:val="28"/>
              <w:szCs w:val="28"/>
            </w:rPr>
            <w:fldChar w:fldCharType="separate"/>
          </w:r>
          <w:hyperlink w:anchor="_Toc126596693" w:history="1"/>
        </w:p>
        <w:p w14:paraId="28AA7866" w14:textId="4665DB82" w:rsidR="00C72D95" w:rsidRDefault="00000000" w:rsidP="00C72D95">
          <w:pPr>
            <w:pStyle w:val="TOC1"/>
            <w:tabs>
              <w:tab w:val="right" w:leader="dot" w:pos="9019"/>
            </w:tabs>
            <w:spacing w:line="360" w:lineRule="auto"/>
            <w:jc w:val="both"/>
            <w:rPr>
              <w:rFonts w:ascii="Times New Roman" w:hAnsi="Times New Roman" w:cs="Times New Roman"/>
              <w:color w:val="000000" w:themeColor="text1"/>
              <w:sz w:val="24"/>
              <w:szCs w:val="24"/>
              <w:lang w:val="en-US"/>
            </w:rPr>
          </w:pPr>
          <w:hyperlink w:anchor="_Toc126596694" w:history="1">
            <w:r w:rsidR="00C72D95">
              <w:rPr>
                <w:rStyle w:val="Hyperlink"/>
                <w:rFonts w:ascii="Times New Roman" w:hAnsi="Times New Roman" w:cs="Times New Roman"/>
                <w:color w:val="000000" w:themeColor="text1"/>
                <w:sz w:val="24"/>
                <w:szCs w:val="24"/>
              </w:rPr>
              <w:t>Introduction</w:t>
            </w:r>
            <w:r w:rsidR="00C72D95">
              <w:rPr>
                <w:rFonts w:ascii="Times New Roman" w:hAnsi="Times New Roman" w:cs="Times New Roman"/>
                <w:color w:val="000000" w:themeColor="text1"/>
                <w:sz w:val="24"/>
                <w:szCs w:val="24"/>
              </w:rPr>
              <w:tab/>
            </w:r>
            <w:r w:rsidR="00924E10">
              <w:rPr>
                <w:rFonts w:ascii="Times New Roman" w:hAnsi="Times New Roman" w:cs="Times New Roman"/>
                <w:color w:val="000000" w:themeColor="text1"/>
                <w:sz w:val="24"/>
                <w:szCs w:val="24"/>
                <w:lang w:val="en-US"/>
              </w:rPr>
              <w:t>3</w:t>
            </w:r>
          </w:hyperlink>
        </w:p>
        <w:p w14:paraId="2ED9A2C5" w14:textId="1F1A1D1A" w:rsidR="00C72D95" w:rsidRDefault="00000000" w:rsidP="00C72D95">
          <w:pPr>
            <w:pStyle w:val="TOC1"/>
            <w:tabs>
              <w:tab w:val="right" w:leader="dot" w:pos="9019"/>
            </w:tabs>
            <w:spacing w:line="360" w:lineRule="auto"/>
            <w:jc w:val="both"/>
            <w:rPr>
              <w:rFonts w:ascii="Times New Roman" w:hAnsi="Times New Roman" w:cs="Times New Roman"/>
              <w:color w:val="000000" w:themeColor="text1"/>
              <w:sz w:val="24"/>
              <w:szCs w:val="24"/>
            </w:rPr>
          </w:pPr>
          <w:hyperlink w:anchor="_Toc126596695" w:history="1">
            <w:r w:rsidR="00C72D95">
              <w:rPr>
                <w:rStyle w:val="Hyperlink"/>
                <w:rFonts w:ascii="Times New Roman" w:hAnsi="Times New Roman" w:cs="Times New Roman"/>
                <w:color w:val="000000" w:themeColor="text1"/>
                <w:sz w:val="24"/>
                <w:szCs w:val="24"/>
              </w:rPr>
              <w:t>T</w:t>
            </w:r>
            <w:r w:rsidR="00924E10">
              <w:rPr>
                <w:rStyle w:val="Hyperlink"/>
                <w:rFonts w:ascii="Times New Roman" w:hAnsi="Times New Roman" w:cs="Times New Roman"/>
                <w:color w:val="000000" w:themeColor="text1"/>
                <w:sz w:val="24"/>
                <w:szCs w:val="24"/>
              </w:rPr>
              <w:t>he current state of the Labor Market in the UK</w:t>
            </w:r>
            <w:r w:rsidR="00C72D95">
              <w:rPr>
                <w:rFonts w:ascii="Times New Roman" w:hAnsi="Times New Roman" w:cs="Times New Roman"/>
                <w:color w:val="000000" w:themeColor="text1"/>
                <w:sz w:val="24"/>
                <w:szCs w:val="24"/>
              </w:rPr>
              <w:tab/>
            </w:r>
            <w:r w:rsidR="00924E10">
              <w:rPr>
                <w:rFonts w:ascii="Times New Roman" w:hAnsi="Times New Roman" w:cs="Times New Roman"/>
                <w:color w:val="000000" w:themeColor="text1"/>
                <w:sz w:val="24"/>
                <w:szCs w:val="24"/>
              </w:rPr>
              <w:t>3</w:t>
            </w:r>
          </w:hyperlink>
        </w:p>
        <w:p w14:paraId="6E461E81" w14:textId="6AE7250A" w:rsidR="00C72D95" w:rsidRDefault="00000000" w:rsidP="00C72D95">
          <w:pPr>
            <w:pStyle w:val="TOC1"/>
            <w:tabs>
              <w:tab w:val="right" w:leader="dot" w:pos="9019"/>
            </w:tabs>
            <w:spacing w:line="360" w:lineRule="auto"/>
            <w:jc w:val="both"/>
            <w:rPr>
              <w:rFonts w:ascii="Times New Roman" w:hAnsi="Times New Roman" w:cs="Times New Roman"/>
              <w:color w:val="000000" w:themeColor="text1"/>
              <w:sz w:val="24"/>
              <w:szCs w:val="24"/>
            </w:rPr>
          </w:pPr>
          <w:hyperlink w:anchor="_Toc126596696" w:history="1">
            <w:r w:rsidR="00924E10">
              <w:rPr>
                <w:rFonts w:ascii="Times New Roman" w:hAnsi="Times New Roman" w:cs="Times New Roman"/>
                <w:sz w:val="24"/>
                <w:szCs w:val="24"/>
              </w:rPr>
              <w:t>Emerging Changes In Human Resourcing Strategies</w:t>
            </w:r>
            <w:r w:rsidR="00C72D95">
              <w:rPr>
                <w:rFonts w:ascii="Times New Roman" w:hAnsi="Times New Roman" w:cs="Times New Roman"/>
                <w:color w:val="000000" w:themeColor="text1"/>
                <w:sz w:val="24"/>
                <w:szCs w:val="24"/>
              </w:rPr>
              <w:tab/>
              <w:t>6</w:t>
            </w:r>
          </w:hyperlink>
        </w:p>
        <w:p w14:paraId="130D2AE2" w14:textId="2997D642" w:rsidR="00C72D95" w:rsidRDefault="00000000" w:rsidP="00C72D95">
          <w:pPr>
            <w:pStyle w:val="TOC1"/>
            <w:tabs>
              <w:tab w:val="right" w:leader="dot" w:pos="9019"/>
            </w:tabs>
            <w:spacing w:line="360" w:lineRule="auto"/>
            <w:jc w:val="both"/>
            <w:rPr>
              <w:rFonts w:ascii="Times New Roman" w:hAnsi="Times New Roman" w:cs="Times New Roman"/>
              <w:color w:val="000000" w:themeColor="text1"/>
              <w:sz w:val="24"/>
              <w:szCs w:val="24"/>
            </w:rPr>
          </w:pPr>
          <w:hyperlink w:anchor="_Toc126596697" w:history="1">
            <w:r w:rsidR="00924E10">
              <w:rPr>
                <w:rStyle w:val="Hyperlink"/>
                <w:rFonts w:ascii="Times New Roman" w:hAnsi="Times New Roman" w:cs="Times New Roman"/>
                <w:color w:val="000000" w:themeColor="text1"/>
                <w:sz w:val="24"/>
                <w:szCs w:val="24"/>
              </w:rPr>
              <w:t>Conclusion</w:t>
            </w:r>
            <w:r w:rsidR="00C72D95">
              <w:rPr>
                <w:rFonts w:ascii="Times New Roman" w:hAnsi="Times New Roman" w:cs="Times New Roman"/>
                <w:color w:val="000000" w:themeColor="text1"/>
                <w:sz w:val="24"/>
                <w:szCs w:val="24"/>
              </w:rPr>
              <w:tab/>
              <w:t>8</w:t>
            </w:r>
          </w:hyperlink>
        </w:p>
        <w:p w14:paraId="7B32E8DB" w14:textId="1D0A267A" w:rsidR="00C72D95" w:rsidRDefault="00000000" w:rsidP="00C72D95">
          <w:pPr>
            <w:pStyle w:val="TOC1"/>
            <w:tabs>
              <w:tab w:val="right" w:leader="dot" w:pos="9019"/>
            </w:tabs>
            <w:spacing w:line="360" w:lineRule="auto"/>
            <w:jc w:val="both"/>
            <w:rPr>
              <w:rFonts w:ascii="Times New Roman" w:hAnsi="Times New Roman" w:cs="Times New Roman"/>
              <w:color w:val="000000" w:themeColor="text1"/>
              <w:sz w:val="24"/>
              <w:szCs w:val="24"/>
            </w:rPr>
          </w:pPr>
          <w:hyperlink w:anchor="_Toc126596701" w:history="1">
            <w:r w:rsidR="00924E10">
              <w:rPr>
                <w:rStyle w:val="Hyperlink"/>
                <w:rFonts w:ascii="Times New Roman" w:hAnsi="Times New Roman" w:cs="Times New Roman"/>
                <w:color w:val="000000" w:themeColor="text1"/>
                <w:sz w:val="24"/>
                <w:szCs w:val="24"/>
              </w:rPr>
              <w:t>Recommendations</w:t>
            </w:r>
            <w:r w:rsidR="00C72D95">
              <w:rPr>
                <w:rFonts w:ascii="Times New Roman" w:hAnsi="Times New Roman" w:cs="Times New Roman"/>
                <w:color w:val="000000" w:themeColor="text1"/>
                <w:sz w:val="24"/>
                <w:szCs w:val="24"/>
              </w:rPr>
              <w:tab/>
            </w:r>
            <w:r w:rsidR="00924E10">
              <w:rPr>
                <w:rFonts w:ascii="Times New Roman" w:hAnsi="Times New Roman" w:cs="Times New Roman"/>
                <w:color w:val="000000" w:themeColor="text1"/>
                <w:sz w:val="24"/>
                <w:szCs w:val="24"/>
                <w:lang w:val="en-US"/>
              </w:rPr>
              <w:t>9</w:t>
            </w:r>
          </w:hyperlink>
        </w:p>
        <w:p w14:paraId="6B1C01B5" w14:textId="35D0D078" w:rsidR="00C72D95" w:rsidRDefault="00000000" w:rsidP="00C72D95">
          <w:pPr>
            <w:pStyle w:val="TOC1"/>
            <w:tabs>
              <w:tab w:val="right" w:leader="dot" w:pos="9019"/>
            </w:tabs>
            <w:spacing w:line="360" w:lineRule="auto"/>
            <w:jc w:val="both"/>
            <w:rPr>
              <w:rFonts w:ascii="Times New Roman" w:hAnsi="Times New Roman" w:cs="Times New Roman"/>
              <w:color w:val="000000" w:themeColor="text1"/>
              <w:sz w:val="24"/>
              <w:szCs w:val="24"/>
            </w:rPr>
          </w:pPr>
          <w:hyperlink w:anchor="_Toc126596702" w:history="1">
            <w:r w:rsidR="00C72D95">
              <w:rPr>
                <w:rStyle w:val="Hyperlink"/>
                <w:rFonts w:ascii="Times New Roman" w:hAnsi="Times New Roman" w:cs="Times New Roman"/>
                <w:color w:val="000000" w:themeColor="text1"/>
                <w:sz w:val="24"/>
                <w:szCs w:val="24"/>
              </w:rPr>
              <w:t>References</w:t>
            </w:r>
            <w:r w:rsidR="00C72D95">
              <w:rPr>
                <w:rFonts w:ascii="Times New Roman" w:hAnsi="Times New Roman" w:cs="Times New Roman"/>
                <w:color w:val="000000" w:themeColor="text1"/>
                <w:sz w:val="24"/>
                <w:szCs w:val="24"/>
              </w:rPr>
              <w:tab/>
            </w:r>
            <w:r w:rsidR="00C72D95">
              <w:rPr>
                <w:rFonts w:ascii="Times New Roman" w:hAnsi="Times New Roman" w:cs="Times New Roman"/>
                <w:color w:val="000000" w:themeColor="text1"/>
                <w:sz w:val="24"/>
                <w:szCs w:val="24"/>
                <w:lang w:val="en-US"/>
              </w:rPr>
              <w:t>1</w:t>
            </w:r>
          </w:hyperlink>
          <w:r w:rsidR="00924E10">
            <w:rPr>
              <w:rFonts w:ascii="Times New Roman" w:hAnsi="Times New Roman" w:cs="Times New Roman"/>
              <w:color w:val="000000" w:themeColor="text1"/>
              <w:sz w:val="24"/>
              <w:szCs w:val="24"/>
            </w:rPr>
            <w:t>0</w:t>
          </w:r>
        </w:p>
        <w:p w14:paraId="2C7A692D" w14:textId="77777777" w:rsidR="00C72D95" w:rsidRDefault="00C72D95" w:rsidP="00C72D95">
          <w:pPr>
            <w:spacing w:after="0" w:line="360" w:lineRule="auto"/>
            <w:jc w:val="both"/>
            <w:rPr>
              <w:b/>
              <w:bCs/>
            </w:rPr>
          </w:pPr>
          <w:r>
            <w:rPr>
              <w:rFonts w:ascii="Times New Roman" w:hAnsi="Times New Roman" w:cs="Times New Roman"/>
              <w:bCs/>
              <w:color w:val="000000" w:themeColor="text1"/>
              <w:sz w:val="28"/>
              <w:szCs w:val="28"/>
            </w:rPr>
            <w:fldChar w:fldCharType="end"/>
          </w:r>
        </w:p>
      </w:sdtContent>
    </w:sdt>
    <w:p w14:paraId="6B8F3BAA" w14:textId="77777777" w:rsidR="00C72D95" w:rsidRDefault="00C72D95" w:rsidP="00C72D95">
      <w:pPr>
        <w:jc w:val="both"/>
        <w:rPr>
          <w:rFonts w:ascii="Times New Roman" w:hAnsi="Times New Roman" w:cs="Times New Roman"/>
          <w:sz w:val="28"/>
          <w:szCs w:val="28"/>
        </w:rPr>
      </w:pPr>
    </w:p>
    <w:p w14:paraId="772EDC52" w14:textId="77777777" w:rsidR="00C72D95" w:rsidRDefault="00C72D95" w:rsidP="00C72D95">
      <w:pPr>
        <w:jc w:val="both"/>
        <w:rPr>
          <w:rFonts w:ascii="Times New Roman" w:hAnsi="Times New Roman" w:cs="Times New Roman"/>
          <w:sz w:val="28"/>
          <w:szCs w:val="28"/>
        </w:rPr>
      </w:pPr>
    </w:p>
    <w:p w14:paraId="007870C0" w14:textId="77777777" w:rsidR="00C72D95" w:rsidRDefault="00C72D95" w:rsidP="00C72D95">
      <w:pPr>
        <w:jc w:val="both"/>
        <w:rPr>
          <w:rFonts w:ascii="Times New Roman" w:hAnsi="Times New Roman" w:cs="Times New Roman"/>
          <w:sz w:val="28"/>
          <w:szCs w:val="28"/>
        </w:rPr>
      </w:pPr>
    </w:p>
    <w:p w14:paraId="7BEBF5C4" w14:textId="77777777" w:rsidR="00C72D95" w:rsidRDefault="00C72D95" w:rsidP="00C72D95">
      <w:pPr>
        <w:jc w:val="both"/>
        <w:rPr>
          <w:rFonts w:ascii="Times New Roman" w:hAnsi="Times New Roman" w:cs="Times New Roman"/>
          <w:sz w:val="28"/>
          <w:szCs w:val="28"/>
        </w:rPr>
      </w:pPr>
    </w:p>
    <w:p w14:paraId="0B0C221B" w14:textId="77777777" w:rsidR="00C72D95" w:rsidRDefault="00C72D95" w:rsidP="00C72D95">
      <w:pPr>
        <w:jc w:val="both"/>
        <w:rPr>
          <w:rFonts w:ascii="Times New Roman" w:hAnsi="Times New Roman" w:cs="Times New Roman"/>
          <w:sz w:val="28"/>
          <w:szCs w:val="28"/>
        </w:rPr>
      </w:pPr>
    </w:p>
    <w:p w14:paraId="6EE257C3" w14:textId="77777777" w:rsidR="00C72D95" w:rsidRDefault="00C72D95" w:rsidP="00C72D95">
      <w:pPr>
        <w:jc w:val="both"/>
        <w:rPr>
          <w:rFonts w:ascii="Times New Roman" w:hAnsi="Times New Roman" w:cs="Times New Roman"/>
          <w:sz w:val="28"/>
          <w:szCs w:val="28"/>
        </w:rPr>
      </w:pPr>
    </w:p>
    <w:p w14:paraId="5025C33E" w14:textId="77777777" w:rsidR="00C72D95" w:rsidRDefault="00C72D95" w:rsidP="00C72D95">
      <w:pPr>
        <w:jc w:val="both"/>
        <w:rPr>
          <w:rFonts w:ascii="Times New Roman" w:hAnsi="Times New Roman" w:cs="Times New Roman"/>
          <w:sz w:val="28"/>
          <w:szCs w:val="28"/>
        </w:rPr>
      </w:pPr>
    </w:p>
    <w:p w14:paraId="096B15D2" w14:textId="77777777" w:rsidR="00C72D95" w:rsidRDefault="00C72D95" w:rsidP="00C72D95">
      <w:pPr>
        <w:jc w:val="both"/>
        <w:rPr>
          <w:rFonts w:ascii="Times New Roman" w:hAnsi="Times New Roman" w:cs="Times New Roman"/>
          <w:sz w:val="28"/>
          <w:szCs w:val="28"/>
        </w:rPr>
      </w:pPr>
    </w:p>
    <w:p w14:paraId="265D5630" w14:textId="77777777" w:rsidR="00C72D95" w:rsidRDefault="00C72D95" w:rsidP="00C72D95">
      <w:pPr>
        <w:jc w:val="both"/>
        <w:rPr>
          <w:rFonts w:ascii="Times New Roman" w:hAnsi="Times New Roman" w:cs="Times New Roman"/>
          <w:sz w:val="28"/>
          <w:szCs w:val="28"/>
        </w:rPr>
      </w:pPr>
    </w:p>
    <w:p w14:paraId="1B358C93" w14:textId="77777777" w:rsidR="00C72D95" w:rsidRDefault="00C72D95" w:rsidP="00C72D95">
      <w:pPr>
        <w:jc w:val="both"/>
        <w:rPr>
          <w:rFonts w:ascii="Times New Roman" w:hAnsi="Times New Roman" w:cs="Times New Roman"/>
          <w:sz w:val="28"/>
          <w:szCs w:val="28"/>
        </w:rPr>
      </w:pPr>
    </w:p>
    <w:p w14:paraId="77F74599" w14:textId="77777777" w:rsidR="00C72D95" w:rsidRDefault="00C72D95" w:rsidP="00C72D95">
      <w:pPr>
        <w:jc w:val="both"/>
        <w:rPr>
          <w:rFonts w:ascii="Times New Roman" w:hAnsi="Times New Roman" w:cs="Times New Roman"/>
          <w:sz w:val="28"/>
          <w:szCs w:val="28"/>
        </w:rPr>
      </w:pPr>
    </w:p>
    <w:p w14:paraId="038558EA" w14:textId="77777777" w:rsidR="00C72D95" w:rsidRDefault="00C72D95" w:rsidP="00C72D95">
      <w:pPr>
        <w:jc w:val="both"/>
        <w:rPr>
          <w:rFonts w:ascii="Times New Roman" w:hAnsi="Times New Roman" w:cs="Times New Roman"/>
          <w:sz w:val="28"/>
          <w:szCs w:val="28"/>
        </w:rPr>
      </w:pPr>
    </w:p>
    <w:p w14:paraId="6D86F1E2" w14:textId="77777777" w:rsidR="00C72D95" w:rsidRDefault="00C72D95" w:rsidP="00C72D95">
      <w:pPr>
        <w:jc w:val="both"/>
        <w:rPr>
          <w:rFonts w:ascii="Times New Roman" w:hAnsi="Times New Roman" w:cs="Times New Roman"/>
          <w:sz w:val="28"/>
          <w:szCs w:val="28"/>
        </w:rPr>
      </w:pPr>
    </w:p>
    <w:p w14:paraId="5D3E4927" w14:textId="77777777" w:rsidR="00C72D95" w:rsidRDefault="00C72D95" w:rsidP="00C72D95">
      <w:pPr>
        <w:jc w:val="both"/>
        <w:rPr>
          <w:rFonts w:ascii="Times New Roman" w:hAnsi="Times New Roman" w:cs="Times New Roman"/>
          <w:sz w:val="28"/>
          <w:szCs w:val="28"/>
        </w:rPr>
      </w:pPr>
    </w:p>
    <w:p w14:paraId="646B6738" w14:textId="77777777" w:rsidR="00C72D95" w:rsidRDefault="00C72D95" w:rsidP="00C72D95">
      <w:pPr>
        <w:jc w:val="both"/>
        <w:rPr>
          <w:rFonts w:ascii="Times New Roman" w:hAnsi="Times New Roman" w:cs="Times New Roman"/>
          <w:sz w:val="28"/>
          <w:szCs w:val="28"/>
        </w:rPr>
      </w:pPr>
    </w:p>
    <w:p w14:paraId="17246D51" w14:textId="77777777" w:rsidR="00C72D95" w:rsidRDefault="00C72D95" w:rsidP="00C72D95">
      <w:pPr>
        <w:jc w:val="both"/>
        <w:rPr>
          <w:rFonts w:ascii="Times New Roman" w:hAnsi="Times New Roman" w:cs="Times New Roman"/>
          <w:sz w:val="28"/>
          <w:szCs w:val="28"/>
        </w:rPr>
      </w:pPr>
    </w:p>
    <w:p w14:paraId="0622C18F" w14:textId="77777777" w:rsidR="00C72D95" w:rsidRDefault="00C72D95" w:rsidP="00C72D95">
      <w:pPr>
        <w:jc w:val="both"/>
        <w:rPr>
          <w:rFonts w:ascii="Times New Roman" w:hAnsi="Times New Roman" w:cs="Times New Roman"/>
          <w:sz w:val="28"/>
          <w:szCs w:val="28"/>
        </w:rPr>
      </w:pPr>
    </w:p>
    <w:p w14:paraId="2F1DA943" w14:textId="77777777" w:rsidR="00C72D95" w:rsidRDefault="00C72D95" w:rsidP="00C72D95">
      <w:pPr>
        <w:jc w:val="both"/>
        <w:rPr>
          <w:rFonts w:ascii="Times New Roman" w:hAnsi="Times New Roman" w:cs="Times New Roman"/>
          <w:sz w:val="28"/>
          <w:szCs w:val="28"/>
        </w:rPr>
      </w:pPr>
    </w:p>
    <w:p w14:paraId="4A797B18" w14:textId="77777777" w:rsidR="00C72D95" w:rsidRDefault="00C72D95" w:rsidP="00C72D95">
      <w:pPr>
        <w:jc w:val="both"/>
        <w:rPr>
          <w:rFonts w:ascii="Times New Roman" w:hAnsi="Times New Roman" w:cs="Times New Roman"/>
          <w:sz w:val="28"/>
          <w:szCs w:val="28"/>
        </w:rPr>
      </w:pPr>
    </w:p>
    <w:p w14:paraId="4E7A8528" w14:textId="1AFA49BD" w:rsidR="00C72D95" w:rsidRPr="008B6258" w:rsidRDefault="008B6258" w:rsidP="00C72D95">
      <w:pPr>
        <w:jc w:val="both"/>
        <w:rPr>
          <w:rFonts w:ascii="Times New Roman" w:hAnsi="Times New Roman" w:cs="Times New Roman"/>
          <w:b/>
          <w:bCs/>
          <w:sz w:val="28"/>
          <w:szCs w:val="28"/>
        </w:rPr>
      </w:pPr>
      <w:r w:rsidRPr="008B6258">
        <w:rPr>
          <w:rFonts w:ascii="Times New Roman" w:hAnsi="Times New Roman" w:cs="Times New Roman"/>
          <w:b/>
          <w:bCs/>
          <w:sz w:val="28"/>
          <w:szCs w:val="28"/>
        </w:rPr>
        <w:t>Introduction</w:t>
      </w:r>
    </w:p>
    <w:p w14:paraId="28EFC74C" w14:textId="458BA45E" w:rsidR="008B6258" w:rsidRDefault="009B3968" w:rsidP="008B6258">
      <w:pPr>
        <w:spacing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The labour market in the United Kingdom (UK) has seen significant transformations due to two exceptional events in recent history: the separation from the European Union (Brexit) and the global COVID-19 pandemic. The </w:t>
      </w:r>
      <w:r w:rsidR="008C490D">
        <w:rPr>
          <w:rFonts w:ascii="Times New Roman" w:hAnsi="Times New Roman" w:cs="Times New Roman"/>
          <w:sz w:val="24"/>
          <w:szCs w:val="24"/>
        </w:rPr>
        <w:t>above-listed</w:t>
      </w:r>
      <w:r w:rsidRPr="009B3968">
        <w:rPr>
          <w:rFonts w:ascii="Times New Roman" w:hAnsi="Times New Roman" w:cs="Times New Roman"/>
          <w:sz w:val="24"/>
          <w:szCs w:val="24"/>
        </w:rPr>
        <w:t xml:space="preserve"> notable occurrences have not just impacted the economic climate, but have also led to considerable changes in the labour market and Human Resource (HR) strategies within the United Kingdom (Smith &amp; Thomas, 2020). In order to have a thorough understanding of the existing challenges and evolving trends within the labour market, it is necessary to conduct a complete study, taking into account the contextual factors that have precipitated these changes. The primary aim of this study is to conduct a thorough examination of the current state of the employment market in the United Kingdom. </w:t>
      </w:r>
      <w:r w:rsidR="008C490D">
        <w:rPr>
          <w:rFonts w:ascii="Times New Roman" w:hAnsi="Times New Roman" w:cs="Times New Roman"/>
          <w:sz w:val="24"/>
          <w:szCs w:val="24"/>
        </w:rPr>
        <w:t>Examining</w:t>
      </w:r>
      <w:r w:rsidRPr="009B3968">
        <w:rPr>
          <w:rFonts w:ascii="Times New Roman" w:hAnsi="Times New Roman" w:cs="Times New Roman"/>
          <w:sz w:val="24"/>
          <w:szCs w:val="24"/>
        </w:rPr>
        <w:t xml:space="preserve"> many indicators, including unemployment rates, job vacancies, wage increases, and sectorial changes, as reported by the Office for National Statistics in 2022, will facilitate the achievement of this objective. Moreover, the primary objective of this study is to offer valuable perspectives on the dynamic patterns observed in human resource (HR) strategies. These strategies encompass various aspects such as remote work arrangements, the cultivation of diversity and inclusion, the incorporation of technology, and the alignment with environmental and social goals (Jackson, Schuler &amp; Jiang, 2014). This inquiry has substantial significance for scholarly understanding and the development of governmental policies and organisational strategies in the post-Covid-19 epidemic era and the United Kingdom's departure from the European Union. This study seeks to provide a comprehensive comprehension of the complexities and progressions that define the current labour market in the United Kingdom, with a focus on four essential categories.</w:t>
      </w:r>
    </w:p>
    <w:p w14:paraId="0E62F2DE" w14:textId="77777777" w:rsidR="009B3968" w:rsidRDefault="009B3968" w:rsidP="008B6258">
      <w:pPr>
        <w:spacing w:line="360" w:lineRule="auto"/>
        <w:jc w:val="both"/>
        <w:rPr>
          <w:rFonts w:ascii="Times New Roman" w:hAnsi="Times New Roman" w:cs="Times New Roman"/>
          <w:sz w:val="24"/>
          <w:szCs w:val="24"/>
        </w:rPr>
      </w:pPr>
    </w:p>
    <w:p w14:paraId="4A259029" w14:textId="77777777" w:rsidR="008B6258" w:rsidRPr="008B6258" w:rsidRDefault="008B6258" w:rsidP="008B6258">
      <w:pPr>
        <w:spacing w:after="0" w:line="360" w:lineRule="auto"/>
        <w:jc w:val="both"/>
        <w:rPr>
          <w:rFonts w:ascii="Times New Roman" w:hAnsi="Times New Roman" w:cs="Times New Roman"/>
          <w:b/>
          <w:bCs/>
          <w:sz w:val="28"/>
          <w:szCs w:val="28"/>
        </w:rPr>
      </w:pPr>
      <w:r w:rsidRPr="008B6258">
        <w:rPr>
          <w:rFonts w:ascii="Times New Roman" w:hAnsi="Times New Roman" w:cs="Times New Roman"/>
          <w:b/>
          <w:bCs/>
          <w:sz w:val="28"/>
          <w:szCs w:val="28"/>
        </w:rPr>
        <w:t>The Current State of the Labor Market in the UK</w:t>
      </w:r>
    </w:p>
    <w:p w14:paraId="1E184751" w14:textId="212B2F34" w:rsidR="008B6258" w:rsidRPr="008B6258" w:rsidRDefault="008B6258" w:rsidP="008B6258">
      <w:pPr>
        <w:spacing w:after="0" w:line="360" w:lineRule="auto"/>
        <w:jc w:val="both"/>
        <w:rPr>
          <w:rFonts w:ascii="Times New Roman" w:hAnsi="Times New Roman" w:cs="Times New Roman"/>
          <w:b/>
          <w:bCs/>
          <w:sz w:val="24"/>
          <w:szCs w:val="24"/>
        </w:rPr>
      </w:pPr>
      <w:r w:rsidRPr="008B6258">
        <w:rPr>
          <w:rFonts w:ascii="Times New Roman" w:hAnsi="Times New Roman" w:cs="Times New Roman"/>
          <w:b/>
          <w:bCs/>
          <w:sz w:val="24"/>
          <w:szCs w:val="24"/>
        </w:rPr>
        <w:t xml:space="preserve">Economic Overview </w:t>
      </w:r>
    </w:p>
    <w:p w14:paraId="2E14374F" w14:textId="12AF10DC" w:rsidR="008B6258" w:rsidRDefault="009B3968" w:rsidP="008B625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Over the course of the last several years, the economy of the United Kingdom has been exposed to a bewildering assortment of changes and difficulties. The pace of growth has been unpredictable, with stages of expansion and contraction driven by variables such as the dynamics of international trade, the debates around Brexit, and the COVID-19 pandemic (OECD, 2021). These phases of expansion and contraction have been driven by factors such as Brexit, the negotiations surrounding Brexit, and the pandemic. Even while there has been </w:t>
      </w:r>
      <w:r w:rsidRPr="009B3968">
        <w:rPr>
          <w:rFonts w:ascii="Times New Roman" w:hAnsi="Times New Roman" w:cs="Times New Roman"/>
          <w:sz w:val="24"/>
          <w:szCs w:val="24"/>
        </w:rPr>
        <w:lastRenderedPageBreak/>
        <w:t xml:space="preserve">some fluctuation in inflation rates, which has had an effect on consumer spending and has had an impact, interest rates have remained relatively low in order to encourage growth (Bank of England, 2022). Both the aftermath of the outbreak and the unresolved issues surrounding Brexit </w:t>
      </w:r>
      <w:r w:rsidR="00F32DBD">
        <w:rPr>
          <w:rFonts w:ascii="Times New Roman" w:hAnsi="Times New Roman" w:cs="Times New Roman"/>
          <w:sz w:val="24"/>
          <w:szCs w:val="24"/>
        </w:rPr>
        <w:t>has</w:t>
      </w:r>
      <w:r w:rsidRPr="009B3968">
        <w:rPr>
          <w:rFonts w:ascii="Times New Roman" w:hAnsi="Times New Roman" w:cs="Times New Roman"/>
          <w:sz w:val="24"/>
          <w:szCs w:val="24"/>
        </w:rPr>
        <w:t xml:space="preserve"> contributed to an unstable climate for financial investments. On the other hand, it is clear that the economy of the nation has demonstrated a remarkable capacity for resilience, as seen by the manner in which patterns in the labour market have adjusted to reflect this flexibility. Because of the government's furlough plans and assistance measures, the impact on unemployment has been alleviated to some degree; yet, this has created the stage for a difficult picture regarding the labour market (HM Treasury, 2020).</w:t>
      </w:r>
    </w:p>
    <w:p w14:paraId="0FCF5FD2" w14:textId="77777777" w:rsidR="009B3968" w:rsidRPr="008B6258" w:rsidRDefault="009B3968" w:rsidP="008B6258">
      <w:pPr>
        <w:spacing w:after="0" w:line="360" w:lineRule="auto"/>
        <w:jc w:val="both"/>
        <w:rPr>
          <w:rFonts w:ascii="Times New Roman" w:hAnsi="Times New Roman" w:cs="Times New Roman"/>
          <w:sz w:val="24"/>
          <w:szCs w:val="24"/>
        </w:rPr>
      </w:pPr>
    </w:p>
    <w:p w14:paraId="589AA132" w14:textId="5507A3FE" w:rsidR="008B6258" w:rsidRPr="008B6258" w:rsidRDefault="008B6258" w:rsidP="008B6258">
      <w:pPr>
        <w:spacing w:after="0" w:line="360" w:lineRule="auto"/>
        <w:jc w:val="both"/>
        <w:rPr>
          <w:rFonts w:ascii="Times New Roman" w:hAnsi="Times New Roman" w:cs="Times New Roman"/>
          <w:b/>
          <w:bCs/>
          <w:sz w:val="24"/>
          <w:szCs w:val="24"/>
        </w:rPr>
      </w:pPr>
      <w:r w:rsidRPr="008B6258">
        <w:rPr>
          <w:rFonts w:ascii="Times New Roman" w:hAnsi="Times New Roman" w:cs="Times New Roman"/>
          <w:b/>
          <w:bCs/>
          <w:sz w:val="24"/>
          <w:szCs w:val="24"/>
        </w:rPr>
        <w:t>Employment Trends </w:t>
      </w:r>
    </w:p>
    <w:p w14:paraId="3F26F0A7" w14:textId="77777777" w:rsidR="008B6258" w:rsidRPr="008B6258" w:rsidRDefault="008B6258" w:rsidP="008B6258">
      <w:pPr>
        <w:spacing w:after="0" w:line="360" w:lineRule="auto"/>
        <w:jc w:val="both"/>
        <w:rPr>
          <w:rFonts w:ascii="Times New Roman" w:hAnsi="Times New Roman" w:cs="Times New Roman"/>
          <w:b/>
          <w:bCs/>
          <w:i/>
          <w:iCs/>
          <w:sz w:val="24"/>
          <w:szCs w:val="24"/>
        </w:rPr>
      </w:pPr>
      <w:r w:rsidRPr="008B6258">
        <w:rPr>
          <w:rFonts w:ascii="Times New Roman" w:hAnsi="Times New Roman" w:cs="Times New Roman"/>
          <w:b/>
          <w:bCs/>
          <w:i/>
          <w:iCs/>
          <w:sz w:val="24"/>
          <w:szCs w:val="24"/>
        </w:rPr>
        <w:t>Unemployment Rates</w:t>
      </w:r>
    </w:p>
    <w:p w14:paraId="7AD1294F" w14:textId="142F329A" w:rsidR="008B6258" w:rsidRDefault="009B3968" w:rsidP="008B625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The unemployment rate has been fluctuating, reaching its greatest point during the early phase of the epidemic but showing signs of recovery in the most recent months (ONS, 2022). This may be attributed to the fact that the pandemic is still in its early stages. There is still an issue with youth unemployment, with rates that are higher than those of other demographic groups (Furlong et al., 2021). This is a problem that has to be addressed.</w:t>
      </w:r>
    </w:p>
    <w:p w14:paraId="4978818C" w14:textId="77777777" w:rsidR="009B3968" w:rsidRPr="008B6258" w:rsidRDefault="009B3968" w:rsidP="008B6258">
      <w:pPr>
        <w:spacing w:after="0" w:line="360" w:lineRule="auto"/>
        <w:jc w:val="both"/>
        <w:rPr>
          <w:rFonts w:ascii="Times New Roman" w:hAnsi="Times New Roman" w:cs="Times New Roman"/>
          <w:sz w:val="24"/>
          <w:szCs w:val="24"/>
        </w:rPr>
      </w:pPr>
    </w:p>
    <w:p w14:paraId="452AC771" w14:textId="77777777" w:rsidR="008B6258" w:rsidRPr="008B6258" w:rsidRDefault="008B6258" w:rsidP="008B6258">
      <w:pPr>
        <w:spacing w:after="0" w:line="360" w:lineRule="auto"/>
        <w:jc w:val="both"/>
        <w:rPr>
          <w:rFonts w:ascii="Times New Roman" w:hAnsi="Times New Roman" w:cs="Times New Roman"/>
          <w:b/>
          <w:bCs/>
          <w:i/>
          <w:iCs/>
          <w:sz w:val="24"/>
          <w:szCs w:val="24"/>
        </w:rPr>
      </w:pPr>
      <w:r w:rsidRPr="008B6258">
        <w:rPr>
          <w:rFonts w:ascii="Times New Roman" w:hAnsi="Times New Roman" w:cs="Times New Roman"/>
          <w:b/>
          <w:bCs/>
          <w:i/>
          <w:iCs/>
          <w:sz w:val="24"/>
          <w:szCs w:val="24"/>
        </w:rPr>
        <w:t>Job Vacancies</w:t>
      </w:r>
    </w:p>
    <w:p w14:paraId="3BD33347" w14:textId="71DBB722" w:rsidR="008B6258" w:rsidRDefault="009B3968" w:rsidP="008B625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There has been a general increase in the number of job vacancies across a range of sectors, with the biggest increase coming in the domains of technology, healthcare, and logistics. Since the economy started to recover, there has been a general increase in the number of job opportunities across a variety of industries. The "K-shaped" recovery has led to disparities among sectors, which has </w:t>
      </w:r>
      <w:r w:rsidR="00E17306">
        <w:rPr>
          <w:rFonts w:ascii="Times New Roman" w:hAnsi="Times New Roman" w:cs="Times New Roman"/>
          <w:sz w:val="24"/>
          <w:szCs w:val="24"/>
        </w:rPr>
        <w:t>influenced</w:t>
      </w:r>
      <w:r w:rsidRPr="009B3968">
        <w:rPr>
          <w:rFonts w:ascii="Times New Roman" w:hAnsi="Times New Roman" w:cs="Times New Roman"/>
          <w:sz w:val="24"/>
          <w:szCs w:val="24"/>
        </w:rPr>
        <w:t xml:space="preserve"> the number of jobs that are now available, as stated by Adams-</w:t>
      </w:r>
      <w:proofErr w:type="spellStart"/>
      <w:r w:rsidRPr="009B3968">
        <w:rPr>
          <w:rFonts w:ascii="Times New Roman" w:hAnsi="Times New Roman" w:cs="Times New Roman"/>
          <w:sz w:val="24"/>
          <w:szCs w:val="24"/>
        </w:rPr>
        <w:t>Prassl</w:t>
      </w:r>
      <w:proofErr w:type="spellEnd"/>
      <w:r w:rsidRPr="009B3968">
        <w:rPr>
          <w:rFonts w:ascii="Times New Roman" w:hAnsi="Times New Roman" w:cs="Times New Roman"/>
          <w:sz w:val="24"/>
          <w:szCs w:val="24"/>
        </w:rPr>
        <w:t xml:space="preserve"> et al. 2020.</w:t>
      </w:r>
    </w:p>
    <w:p w14:paraId="49578432" w14:textId="77777777" w:rsidR="009B3968" w:rsidRPr="008B6258" w:rsidRDefault="009B3968" w:rsidP="008B6258">
      <w:pPr>
        <w:spacing w:after="0" w:line="360" w:lineRule="auto"/>
        <w:jc w:val="both"/>
        <w:rPr>
          <w:rFonts w:ascii="Times New Roman" w:hAnsi="Times New Roman" w:cs="Times New Roman"/>
          <w:sz w:val="24"/>
          <w:szCs w:val="24"/>
        </w:rPr>
      </w:pPr>
    </w:p>
    <w:p w14:paraId="3063083B" w14:textId="77777777" w:rsidR="008B6258" w:rsidRPr="008B6258" w:rsidRDefault="008B6258" w:rsidP="008B6258">
      <w:pPr>
        <w:spacing w:after="0" w:line="360" w:lineRule="auto"/>
        <w:jc w:val="both"/>
        <w:rPr>
          <w:rFonts w:ascii="Times New Roman" w:hAnsi="Times New Roman" w:cs="Times New Roman"/>
          <w:b/>
          <w:bCs/>
          <w:i/>
          <w:iCs/>
          <w:sz w:val="24"/>
          <w:szCs w:val="24"/>
        </w:rPr>
      </w:pPr>
      <w:r w:rsidRPr="008B6258">
        <w:rPr>
          <w:rFonts w:ascii="Times New Roman" w:hAnsi="Times New Roman" w:cs="Times New Roman"/>
          <w:b/>
          <w:bCs/>
          <w:i/>
          <w:iCs/>
          <w:sz w:val="24"/>
          <w:szCs w:val="24"/>
        </w:rPr>
        <w:t>Wage Growth</w:t>
      </w:r>
    </w:p>
    <w:p w14:paraId="35CC2F9C" w14:textId="77777777" w:rsidR="009B3968" w:rsidRP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The pace of pay growth has not been consistent, which is a reflection of both the rising demand for certain occupations and the economic limitations impacting other sectors. This lack of consistency is a direct result of both factors. There are certain areas of the country in which real wages have not grown over the course of many decades, which makes it challenging to maintain a given standard of life (Plunkett &amp; Gardiner, 2021).</w:t>
      </w:r>
    </w:p>
    <w:p w14:paraId="754B4AD0" w14:textId="77777777" w:rsidR="009B3968" w:rsidRPr="009B3968" w:rsidRDefault="009B3968" w:rsidP="009B3968">
      <w:pPr>
        <w:spacing w:after="0" w:line="360" w:lineRule="auto"/>
        <w:jc w:val="both"/>
        <w:rPr>
          <w:rFonts w:ascii="Times New Roman" w:hAnsi="Times New Roman" w:cs="Times New Roman"/>
          <w:sz w:val="24"/>
          <w:szCs w:val="24"/>
        </w:rPr>
      </w:pPr>
    </w:p>
    <w:p w14:paraId="2B8FEC80" w14:textId="77777777" w:rsidR="008B6258" w:rsidRPr="008B6258" w:rsidRDefault="008B6258" w:rsidP="008B6258">
      <w:pPr>
        <w:spacing w:after="0" w:line="360" w:lineRule="auto"/>
        <w:jc w:val="both"/>
        <w:rPr>
          <w:rFonts w:ascii="Times New Roman" w:hAnsi="Times New Roman" w:cs="Times New Roman"/>
          <w:b/>
          <w:bCs/>
          <w:i/>
          <w:iCs/>
          <w:sz w:val="24"/>
          <w:szCs w:val="24"/>
        </w:rPr>
      </w:pPr>
      <w:r w:rsidRPr="008B6258">
        <w:rPr>
          <w:rFonts w:ascii="Times New Roman" w:hAnsi="Times New Roman" w:cs="Times New Roman"/>
          <w:b/>
          <w:bCs/>
          <w:i/>
          <w:iCs/>
          <w:sz w:val="24"/>
          <w:szCs w:val="24"/>
        </w:rPr>
        <w:t>Sectorial Shifts</w:t>
      </w:r>
    </w:p>
    <w:p w14:paraId="3BB6C27E" w14:textId="0B40230F" w:rsidR="008B6258" w:rsidRDefault="009B3968" w:rsidP="008B625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lastRenderedPageBreak/>
        <w:t>Conventional sectors, such as retail and hotels, have seen decline and reorganisation as a consequence of the transformation, but the move towards digitization has resulted in expansion in the technological sector. The Chartered Institute of Personnel and Development (2021) asserts that this shows a significant realignment of the job market in the United Kingdom.</w:t>
      </w:r>
    </w:p>
    <w:p w14:paraId="75212ABB" w14:textId="77777777" w:rsidR="009B3968" w:rsidRPr="008B6258" w:rsidRDefault="009B3968" w:rsidP="008B6258">
      <w:pPr>
        <w:spacing w:after="0" w:line="360" w:lineRule="auto"/>
        <w:jc w:val="both"/>
        <w:rPr>
          <w:rFonts w:ascii="Times New Roman" w:hAnsi="Times New Roman" w:cs="Times New Roman"/>
          <w:b/>
          <w:bCs/>
          <w:i/>
          <w:iCs/>
          <w:sz w:val="24"/>
          <w:szCs w:val="24"/>
        </w:rPr>
      </w:pPr>
    </w:p>
    <w:p w14:paraId="6D50237A" w14:textId="77777777" w:rsidR="008B6258" w:rsidRPr="009B3968" w:rsidRDefault="008B6258" w:rsidP="008B6258">
      <w:pPr>
        <w:spacing w:after="0" w:line="360" w:lineRule="auto"/>
        <w:jc w:val="both"/>
        <w:rPr>
          <w:rFonts w:ascii="Times New Roman" w:hAnsi="Times New Roman" w:cs="Times New Roman"/>
          <w:b/>
          <w:bCs/>
          <w:sz w:val="24"/>
          <w:szCs w:val="24"/>
        </w:rPr>
      </w:pPr>
      <w:r w:rsidRPr="009B3968">
        <w:rPr>
          <w:rFonts w:ascii="Times New Roman" w:hAnsi="Times New Roman" w:cs="Times New Roman"/>
          <w:b/>
          <w:bCs/>
          <w:sz w:val="24"/>
          <w:szCs w:val="24"/>
        </w:rPr>
        <w:t>Impact of Brexit</w:t>
      </w:r>
    </w:p>
    <w:p w14:paraId="3C1DCBA0" w14:textId="540DF203" w:rsidR="009B3968" w:rsidRP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As a direct and indirect outcome of Brexit, the employment market in the United Kingdom has been dramatically and adversely affected in a variety of different ways. There have been recent changes made to the laws that control work, which have led to the introduction of new rules that have an effect on the job opportunities available to members of the EU (Oliver, 2020). According to </w:t>
      </w:r>
      <w:proofErr w:type="spellStart"/>
      <w:r w:rsidRPr="009B3968">
        <w:rPr>
          <w:rFonts w:ascii="Times New Roman" w:hAnsi="Times New Roman" w:cs="Times New Roman"/>
          <w:sz w:val="24"/>
          <w:szCs w:val="24"/>
        </w:rPr>
        <w:t>Portes</w:t>
      </w:r>
      <w:proofErr w:type="spellEnd"/>
      <w:r w:rsidRPr="009B3968">
        <w:rPr>
          <w:rFonts w:ascii="Times New Roman" w:hAnsi="Times New Roman" w:cs="Times New Roman"/>
          <w:sz w:val="24"/>
          <w:szCs w:val="24"/>
        </w:rPr>
        <w:t xml:space="preserve"> (2018), the loss of free movement has resulted in a shortage of labour in sectors such as agriculture and healthcare that are reliant on workers from other EU nations. These industries include healthcare and agriculture. Alterations to the terms of trade agreements have also had an influence on some sectors, such as manufacturing, which has produced changes in supply chains as well as the redistribution of jobs (</w:t>
      </w:r>
      <w:proofErr w:type="spellStart"/>
      <w:r w:rsidRPr="009B3968">
        <w:rPr>
          <w:rFonts w:ascii="Times New Roman" w:hAnsi="Times New Roman" w:cs="Times New Roman"/>
          <w:sz w:val="24"/>
          <w:szCs w:val="24"/>
        </w:rPr>
        <w:t>Springford</w:t>
      </w:r>
      <w:proofErr w:type="spellEnd"/>
      <w:r w:rsidRPr="009B3968">
        <w:rPr>
          <w:rFonts w:ascii="Times New Roman" w:hAnsi="Times New Roman" w:cs="Times New Roman"/>
          <w:sz w:val="24"/>
          <w:szCs w:val="24"/>
        </w:rPr>
        <w:t xml:space="preserve"> &amp; Tilford, 2020). One of these industries is agriculture. The long-term impacts of Brexit on workforce availability, pay, and legislation are not yet clear, and they are a topic of ongoing discussion and susceptible to change across a wide range of sectors.</w:t>
      </w:r>
    </w:p>
    <w:p w14:paraId="5E19827A" w14:textId="77777777" w:rsidR="009B3968" w:rsidRPr="009B3968" w:rsidRDefault="009B3968" w:rsidP="009B3968">
      <w:pPr>
        <w:spacing w:after="0" w:line="360" w:lineRule="auto"/>
        <w:jc w:val="both"/>
        <w:rPr>
          <w:rFonts w:ascii="Times New Roman" w:hAnsi="Times New Roman" w:cs="Times New Roman"/>
          <w:sz w:val="24"/>
          <w:szCs w:val="24"/>
        </w:rPr>
      </w:pPr>
    </w:p>
    <w:p w14:paraId="10E41E9A" w14:textId="77777777" w:rsidR="008B6258" w:rsidRPr="008B6258" w:rsidRDefault="008B6258" w:rsidP="008B6258">
      <w:pPr>
        <w:spacing w:after="0" w:line="360" w:lineRule="auto"/>
        <w:jc w:val="both"/>
        <w:rPr>
          <w:rFonts w:ascii="Times New Roman" w:hAnsi="Times New Roman" w:cs="Times New Roman"/>
          <w:b/>
          <w:bCs/>
          <w:sz w:val="24"/>
          <w:szCs w:val="24"/>
        </w:rPr>
      </w:pPr>
      <w:r w:rsidRPr="008B6258">
        <w:rPr>
          <w:rFonts w:ascii="Times New Roman" w:hAnsi="Times New Roman" w:cs="Times New Roman"/>
          <w:b/>
          <w:bCs/>
          <w:sz w:val="24"/>
          <w:szCs w:val="24"/>
        </w:rPr>
        <w:t>Impact of Covid-19</w:t>
      </w:r>
    </w:p>
    <w:p w14:paraId="572771DB" w14:textId="5156C13D" w:rsidR="008B6258" w:rsidRDefault="009B3968" w:rsidP="008B625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The labour industry in the UK has been significantly impacted as a result of the epidemic that was induced by COVID-19. According to the findings of a study that was conducted in the year 2020 by </w:t>
      </w:r>
      <w:proofErr w:type="spellStart"/>
      <w:r w:rsidRPr="009B3968">
        <w:rPr>
          <w:rFonts w:ascii="Times New Roman" w:hAnsi="Times New Roman" w:cs="Times New Roman"/>
          <w:sz w:val="24"/>
          <w:szCs w:val="24"/>
        </w:rPr>
        <w:t>Barrero</w:t>
      </w:r>
      <w:proofErr w:type="spellEnd"/>
      <w:r w:rsidRPr="009B3968">
        <w:rPr>
          <w:rFonts w:ascii="Times New Roman" w:hAnsi="Times New Roman" w:cs="Times New Roman"/>
          <w:sz w:val="24"/>
          <w:szCs w:val="24"/>
        </w:rPr>
        <w:t xml:space="preserve"> and colleagues, temporary shutdowns in a range of sectors led to quick job losses and furloughs, which had an effect on businesses such as retail, entertainment, and tourism. According to Bloom et al. (2020), the rising frequency of working from home has had a transformational influence on the culture of the workplace, ushering in both new obstacles and opportunities for organisations and employees. This has led to a significant shift in the nature of the relationship between the two. This transition has almost likely had long-lasting repercussions on the culture of the workplace, which has resulted in a </w:t>
      </w:r>
      <w:r w:rsidR="00F32DBD" w:rsidRPr="009B3968">
        <w:rPr>
          <w:rFonts w:ascii="Times New Roman" w:hAnsi="Times New Roman" w:cs="Times New Roman"/>
          <w:sz w:val="24"/>
          <w:szCs w:val="24"/>
        </w:rPr>
        <w:t>re-evaluation</w:t>
      </w:r>
      <w:r w:rsidRPr="009B3968">
        <w:rPr>
          <w:rFonts w:ascii="Times New Roman" w:hAnsi="Times New Roman" w:cs="Times New Roman"/>
          <w:sz w:val="24"/>
          <w:szCs w:val="24"/>
        </w:rPr>
        <w:t xml:space="preserve"> of the work-life balance, office space utilisation, and employee well-being. In addition to this, the pandemic accelerated the shift to digital technology, which had an impact on the demand for certain talents and changed the job landscape. The path that the </w:t>
      </w:r>
      <w:proofErr w:type="spellStart"/>
      <w:r w:rsidR="00107042">
        <w:rPr>
          <w:rFonts w:ascii="Times New Roman" w:hAnsi="Times New Roman" w:cs="Times New Roman"/>
          <w:sz w:val="24"/>
          <w:szCs w:val="24"/>
        </w:rPr>
        <w:t>labor</w:t>
      </w:r>
      <w:proofErr w:type="spellEnd"/>
      <w:r w:rsidRPr="009B3968">
        <w:rPr>
          <w:rFonts w:ascii="Times New Roman" w:hAnsi="Times New Roman" w:cs="Times New Roman"/>
          <w:sz w:val="24"/>
          <w:szCs w:val="24"/>
        </w:rPr>
        <w:t xml:space="preserve"> </w:t>
      </w:r>
      <w:r w:rsidRPr="009B3968">
        <w:rPr>
          <w:rFonts w:ascii="Times New Roman" w:hAnsi="Times New Roman" w:cs="Times New Roman"/>
          <w:sz w:val="24"/>
          <w:szCs w:val="24"/>
        </w:rPr>
        <w:lastRenderedPageBreak/>
        <w:t>market takes in the post-Covid era will be mapped out according to the manner in which employers respond to the modifications that have been made.</w:t>
      </w:r>
    </w:p>
    <w:p w14:paraId="7FCECDDE" w14:textId="77777777" w:rsidR="008C490D" w:rsidRDefault="008C490D" w:rsidP="008B6258">
      <w:pPr>
        <w:spacing w:after="0" w:line="360" w:lineRule="auto"/>
        <w:jc w:val="both"/>
        <w:rPr>
          <w:rFonts w:ascii="Times New Roman" w:hAnsi="Times New Roman" w:cs="Times New Roman"/>
          <w:sz w:val="24"/>
          <w:szCs w:val="24"/>
        </w:rPr>
      </w:pPr>
    </w:p>
    <w:p w14:paraId="1F3C6BEB" w14:textId="1E664A42" w:rsidR="009B3968" w:rsidRPr="009B3968" w:rsidRDefault="009B3968" w:rsidP="009B3968">
      <w:pPr>
        <w:spacing w:after="0" w:line="360" w:lineRule="auto"/>
        <w:jc w:val="both"/>
        <w:rPr>
          <w:rFonts w:ascii="Times New Roman" w:hAnsi="Times New Roman" w:cs="Times New Roman"/>
          <w:b/>
          <w:bCs/>
          <w:sz w:val="28"/>
          <w:szCs w:val="28"/>
        </w:rPr>
      </w:pPr>
      <w:r w:rsidRPr="009B3968">
        <w:rPr>
          <w:rFonts w:ascii="Times New Roman" w:hAnsi="Times New Roman" w:cs="Times New Roman"/>
          <w:b/>
          <w:bCs/>
          <w:sz w:val="28"/>
          <w:szCs w:val="28"/>
        </w:rPr>
        <w:t>Emerging Changes in Human Resourcing Strategies</w:t>
      </w:r>
    </w:p>
    <w:p w14:paraId="6C04EABD" w14:textId="4D9F501D" w:rsidR="009B3968" w:rsidRPr="009B3968" w:rsidRDefault="009B3968" w:rsidP="009B3968">
      <w:pPr>
        <w:spacing w:after="0" w:line="360" w:lineRule="auto"/>
        <w:jc w:val="both"/>
        <w:rPr>
          <w:rFonts w:ascii="Times New Roman" w:hAnsi="Times New Roman" w:cs="Times New Roman"/>
          <w:b/>
          <w:bCs/>
          <w:sz w:val="24"/>
          <w:szCs w:val="24"/>
        </w:rPr>
      </w:pPr>
      <w:r w:rsidRPr="009B3968">
        <w:rPr>
          <w:rFonts w:ascii="Times New Roman" w:hAnsi="Times New Roman" w:cs="Times New Roman"/>
          <w:b/>
          <w:bCs/>
          <w:sz w:val="24"/>
          <w:szCs w:val="24"/>
        </w:rPr>
        <w:t>Remote Working and Flexibility</w:t>
      </w:r>
    </w:p>
    <w:p w14:paraId="1F42D355" w14:textId="1AFBD315" w:rsid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According to the findings of a study that was conducted in the year 2020 by Bloom et al., the global pandemic helped accelerate the already-existing trend towards remote working, which has become an integral component of contemporary HR strategy. The variety that remote work arrangements provide, such as full-time remote employment, hybrid models, and flexible work hours, has led to substantial implications as a result of their use. There is an improvement in employee satisfaction as a consequence of a better work-life balance (</w:t>
      </w:r>
      <w:proofErr w:type="spellStart"/>
      <w:r w:rsidRPr="009B3968">
        <w:rPr>
          <w:rFonts w:ascii="Times New Roman" w:hAnsi="Times New Roman" w:cs="Times New Roman"/>
          <w:sz w:val="24"/>
          <w:szCs w:val="24"/>
        </w:rPr>
        <w:t>Kossek</w:t>
      </w:r>
      <w:proofErr w:type="spellEnd"/>
      <w:r w:rsidRPr="009B3968">
        <w:rPr>
          <w:rFonts w:ascii="Times New Roman" w:hAnsi="Times New Roman" w:cs="Times New Roman"/>
          <w:sz w:val="24"/>
          <w:szCs w:val="24"/>
        </w:rPr>
        <w:t xml:space="preserve"> et al., 2006), accessibility to global talent pools (Allen et al., 2015), and a drop in operational expenditures (Allen et al., 2015). These benefits come as a result of a better work-life balance. (2017), by Suh and Lee The shift, on the other hand, raises a variety of issues, some of which include the potential for isolation, the challenges associated with maintaining corporate culture, and an increase in the likelihood of being targeted by cyberattacks. The departments of human resources are looking at innovative solutions such as robust cybersecurity processes and online activities for forming teams in order to mitigate the consequences of these challenges.</w:t>
      </w:r>
    </w:p>
    <w:p w14:paraId="53852697" w14:textId="77777777" w:rsidR="009B3968" w:rsidRPr="009B3968" w:rsidRDefault="009B3968" w:rsidP="009B3968">
      <w:pPr>
        <w:spacing w:after="0" w:line="360" w:lineRule="auto"/>
        <w:jc w:val="both"/>
        <w:rPr>
          <w:rFonts w:ascii="Times New Roman" w:hAnsi="Times New Roman" w:cs="Times New Roman"/>
          <w:sz w:val="24"/>
          <w:szCs w:val="24"/>
        </w:rPr>
      </w:pPr>
    </w:p>
    <w:p w14:paraId="61B21DB9" w14:textId="77777777" w:rsidR="009B3968" w:rsidRPr="009B3968" w:rsidRDefault="009B3968" w:rsidP="009B3968">
      <w:pPr>
        <w:spacing w:after="0" w:line="360" w:lineRule="auto"/>
        <w:jc w:val="both"/>
        <w:rPr>
          <w:rFonts w:ascii="Times New Roman" w:hAnsi="Times New Roman" w:cs="Times New Roman"/>
          <w:b/>
          <w:bCs/>
          <w:sz w:val="24"/>
          <w:szCs w:val="24"/>
        </w:rPr>
      </w:pPr>
      <w:r w:rsidRPr="009B3968">
        <w:rPr>
          <w:rFonts w:ascii="Times New Roman" w:hAnsi="Times New Roman" w:cs="Times New Roman"/>
          <w:b/>
          <w:bCs/>
          <w:sz w:val="24"/>
          <w:szCs w:val="24"/>
        </w:rPr>
        <w:t>Emphasis on Employee Well-being</w:t>
      </w:r>
    </w:p>
    <w:p w14:paraId="4E4F5F94" w14:textId="4044DE32" w:rsid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According to Pfeffer (2018), the emphasis that modern society takes on both mental and physical health has resulted in a rise in the significance that is placed on the well-being of workers as a fundamental component of HR strategy. This is true for both employees and employers. According to the findings of </w:t>
      </w:r>
      <w:r w:rsidR="00F32DBD">
        <w:rPr>
          <w:rFonts w:ascii="Times New Roman" w:hAnsi="Times New Roman" w:cs="Times New Roman"/>
          <w:sz w:val="24"/>
          <w:szCs w:val="24"/>
        </w:rPr>
        <w:t xml:space="preserve">a </w:t>
      </w:r>
      <w:r w:rsidRPr="009B3968">
        <w:rPr>
          <w:rFonts w:ascii="Times New Roman" w:hAnsi="Times New Roman" w:cs="Times New Roman"/>
          <w:sz w:val="24"/>
          <w:szCs w:val="24"/>
        </w:rPr>
        <w:t xml:space="preserve">study conducted by </w:t>
      </w:r>
      <w:proofErr w:type="spellStart"/>
      <w:r w:rsidRPr="009B3968">
        <w:rPr>
          <w:rFonts w:ascii="Times New Roman" w:hAnsi="Times New Roman" w:cs="Times New Roman"/>
          <w:sz w:val="24"/>
          <w:szCs w:val="24"/>
        </w:rPr>
        <w:t>Grawitch</w:t>
      </w:r>
      <w:proofErr w:type="spellEnd"/>
      <w:r w:rsidRPr="009B3968">
        <w:rPr>
          <w:rFonts w:ascii="Times New Roman" w:hAnsi="Times New Roman" w:cs="Times New Roman"/>
          <w:sz w:val="24"/>
          <w:szCs w:val="24"/>
        </w:rPr>
        <w:t xml:space="preserve"> and colleagues (200</w:t>
      </w:r>
      <w:r w:rsidR="005F04F7">
        <w:rPr>
          <w:rFonts w:ascii="Times New Roman" w:hAnsi="Times New Roman" w:cs="Times New Roman"/>
          <w:sz w:val="24"/>
          <w:szCs w:val="24"/>
        </w:rPr>
        <w:t>6</w:t>
      </w:r>
      <w:r w:rsidRPr="009B3968">
        <w:rPr>
          <w:rFonts w:ascii="Times New Roman" w:hAnsi="Times New Roman" w:cs="Times New Roman"/>
          <w:sz w:val="24"/>
          <w:szCs w:val="24"/>
        </w:rPr>
        <w:t xml:space="preserve">), human resources departments are increasingly introducing all-encompassing wellness programmes for their employees. These programmes may include assistance for mental health, incentives for physical exercise, ergonomic office designs, and flexible working hours. The adoption of these efforts has been connected to enhanced levels of productivity and worker involvement, as well as lower levels of absenteeism, as stated by </w:t>
      </w:r>
      <w:proofErr w:type="spellStart"/>
      <w:r w:rsidRPr="009B3968">
        <w:rPr>
          <w:rFonts w:ascii="Times New Roman" w:hAnsi="Times New Roman" w:cs="Times New Roman"/>
          <w:sz w:val="24"/>
          <w:szCs w:val="24"/>
        </w:rPr>
        <w:t>Goetzel</w:t>
      </w:r>
      <w:proofErr w:type="spellEnd"/>
      <w:r w:rsidRPr="009B3968">
        <w:rPr>
          <w:rFonts w:ascii="Times New Roman" w:hAnsi="Times New Roman" w:cs="Times New Roman"/>
          <w:sz w:val="24"/>
          <w:szCs w:val="24"/>
        </w:rPr>
        <w:t xml:space="preserve"> et al. (2014). In addition, the proliferation of work that can be done from home has necessitated a heightened focus on the promotion of mental health via the use of regular emotional check-ins and online communities dedicated to mental health assistance. Because of the necessity to </w:t>
      </w:r>
      <w:r w:rsidRPr="009B3968">
        <w:rPr>
          <w:rFonts w:ascii="Times New Roman" w:hAnsi="Times New Roman" w:cs="Times New Roman"/>
          <w:sz w:val="24"/>
          <w:szCs w:val="24"/>
        </w:rPr>
        <w:lastRenderedPageBreak/>
        <w:t>adapt to the changing requirements of the contemporary workplace, this is a need that has been pushed upon us.</w:t>
      </w:r>
    </w:p>
    <w:p w14:paraId="19489D8F" w14:textId="77777777" w:rsidR="009B3968" w:rsidRDefault="009B3968" w:rsidP="009B3968">
      <w:pPr>
        <w:spacing w:after="0" w:line="360" w:lineRule="auto"/>
        <w:jc w:val="both"/>
        <w:rPr>
          <w:rFonts w:ascii="Times New Roman" w:hAnsi="Times New Roman" w:cs="Times New Roman"/>
          <w:sz w:val="24"/>
          <w:szCs w:val="24"/>
        </w:rPr>
      </w:pPr>
    </w:p>
    <w:p w14:paraId="203E6A4E" w14:textId="77777777" w:rsidR="009B3968" w:rsidRPr="009B3968" w:rsidRDefault="009B3968" w:rsidP="009B3968">
      <w:pPr>
        <w:spacing w:after="0" w:line="360" w:lineRule="auto"/>
        <w:jc w:val="both"/>
        <w:rPr>
          <w:rFonts w:ascii="Times New Roman" w:hAnsi="Times New Roman" w:cs="Times New Roman"/>
          <w:sz w:val="24"/>
          <w:szCs w:val="24"/>
        </w:rPr>
      </w:pPr>
    </w:p>
    <w:p w14:paraId="7D3E699C" w14:textId="77777777" w:rsidR="009B3968" w:rsidRPr="009B3968" w:rsidRDefault="009B3968" w:rsidP="009B3968">
      <w:pPr>
        <w:spacing w:after="0" w:line="360" w:lineRule="auto"/>
        <w:jc w:val="both"/>
        <w:rPr>
          <w:rFonts w:ascii="Times New Roman" w:hAnsi="Times New Roman" w:cs="Times New Roman"/>
          <w:b/>
          <w:bCs/>
          <w:sz w:val="24"/>
          <w:szCs w:val="24"/>
        </w:rPr>
      </w:pPr>
      <w:r w:rsidRPr="009B3968">
        <w:rPr>
          <w:rFonts w:ascii="Times New Roman" w:hAnsi="Times New Roman" w:cs="Times New Roman"/>
          <w:b/>
          <w:bCs/>
          <w:sz w:val="24"/>
          <w:szCs w:val="24"/>
        </w:rPr>
        <w:t>Diversity and Inclusion</w:t>
      </w:r>
    </w:p>
    <w:p w14:paraId="1D309F4D" w14:textId="4E76D6F3" w:rsid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According to Nishii (2013), HR efforts have shifted their focus to place a greater emphasis on diversity and inclusion. Because of the emphasis placed on accepting individuals whose experiences and perspectives differ from one another, unique practises have emerged as a consequence of this attention. According to Cox (1994), there has been a significant movement towards the introduction of non-discriminatory employment practises, increased diversity training, mentorship programmes for underrepresented groups, and rigorous anti-discrimination rules. This change has taken place across a broad range of industries and fields. Such programmes are consistent with the objectives of broader society and have the potential to result in a range of beneficial outcomes, such as the facilitation of better decision-making, the development of an organization's reputation, and the promotion of creative thinking (Herring, 2009). On the other hand, in order for these policies to be effective and really inclusive (Roberson, 2006), they need to be implemented and monitored in a very particular manner.</w:t>
      </w:r>
    </w:p>
    <w:p w14:paraId="11DCB61C" w14:textId="77777777" w:rsidR="009B3968" w:rsidRPr="009B3968" w:rsidRDefault="009B3968" w:rsidP="009B3968">
      <w:pPr>
        <w:spacing w:after="0" w:line="360" w:lineRule="auto"/>
        <w:jc w:val="both"/>
        <w:rPr>
          <w:rFonts w:ascii="Times New Roman" w:hAnsi="Times New Roman" w:cs="Times New Roman"/>
          <w:sz w:val="24"/>
          <w:szCs w:val="24"/>
        </w:rPr>
      </w:pPr>
    </w:p>
    <w:p w14:paraId="6D5C0D42" w14:textId="77777777" w:rsidR="009B3968" w:rsidRPr="009B3968" w:rsidRDefault="009B3968" w:rsidP="009B3968">
      <w:pPr>
        <w:spacing w:after="0" w:line="360" w:lineRule="auto"/>
        <w:jc w:val="both"/>
        <w:rPr>
          <w:rFonts w:ascii="Times New Roman" w:hAnsi="Times New Roman" w:cs="Times New Roman"/>
          <w:b/>
          <w:bCs/>
          <w:sz w:val="24"/>
          <w:szCs w:val="24"/>
        </w:rPr>
      </w:pPr>
      <w:r w:rsidRPr="009B3968">
        <w:rPr>
          <w:rFonts w:ascii="Times New Roman" w:hAnsi="Times New Roman" w:cs="Times New Roman"/>
          <w:b/>
          <w:bCs/>
          <w:sz w:val="24"/>
          <w:szCs w:val="24"/>
        </w:rPr>
        <w:t>Technological Integration</w:t>
      </w:r>
    </w:p>
    <w:p w14:paraId="5D3B898B" w14:textId="0D12B192" w:rsid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According to research carried out by Davenport et al. (2018), modern technologies such as AI and analytics are becoming more important to the field of human resources. (Gupta &amp; Sharma, 2020) discovered that using AI technology to assess applicants and even carry out first interview rounds made the recruiting process far more effective. Analytics provide vital insights into employee performance, job satisfaction, and viable areas for growth, as stated by Rasmussen and Ulrich (2015). The development of new technologies has the impact of expediting HR tasks, which in turn increases accuracy and strategic alignment. However, they also bring concerns with them, such as the privacy of data and the possibility of mechanising human resource operations to an excessive degree. All of these issues need ethical considerations, and it is important to maintain a strategic balance.</w:t>
      </w:r>
    </w:p>
    <w:p w14:paraId="380DD61C" w14:textId="77777777" w:rsidR="009B3968" w:rsidRPr="009B3968" w:rsidRDefault="009B3968" w:rsidP="009B3968">
      <w:pPr>
        <w:spacing w:after="0" w:line="360" w:lineRule="auto"/>
        <w:jc w:val="both"/>
        <w:rPr>
          <w:rFonts w:ascii="Times New Roman" w:hAnsi="Times New Roman" w:cs="Times New Roman"/>
          <w:sz w:val="24"/>
          <w:szCs w:val="24"/>
        </w:rPr>
      </w:pPr>
    </w:p>
    <w:p w14:paraId="50188877" w14:textId="77777777" w:rsidR="009B3968" w:rsidRPr="009B3968" w:rsidRDefault="009B3968" w:rsidP="009B3968">
      <w:pPr>
        <w:spacing w:after="0" w:line="360" w:lineRule="auto"/>
        <w:jc w:val="both"/>
        <w:rPr>
          <w:rFonts w:ascii="Times New Roman" w:hAnsi="Times New Roman" w:cs="Times New Roman"/>
          <w:b/>
          <w:bCs/>
          <w:sz w:val="24"/>
          <w:szCs w:val="24"/>
        </w:rPr>
      </w:pPr>
      <w:r w:rsidRPr="009B3968">
        <w:rPr>
          <w:rFonts w:ascii="Times New Roman" w:hAnsi="Times New Roman" w:cs="Times New Roman"/>
          <w:b/>
          <w:bCs/>
          <w:sz w:val="24"/>
          <w:szCs w:val="24"/>
        </w:rPr>
        <w:t>Alignment with Environmental and Social Goals</w:t>
      </w:r>
    </w:p>
    <w:p w14:paraId="3AB50576" w14:textId="455FF58E" w:rsid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According to </w:t>
      </w:r>
      <w:proofErr w:type="spellStart"/>
      <w:r w:rsidRPr="009B3968">
        <w:rPr>
          <w:rFonts w:ascii="Times New Roman" w:hAnsi="Times New Roman" w:cs="Times New Roman"/>
          <w:sz w:val="24"/>
          <w:szCs w:val="24"/>
        </w:rPr>
        <w:t>Aguinis</w:t>
      </w:r>
      <w:proofErr w:type="spellEnd"/>
      <w:r w:rsidRPr="009B3968">
        <w:rPr>
          <w:rFonts w:ascii="Times New Roman" w:hAnsi="Times New Roman" w:cs="Times New Roman"/>
          <w:sz w:val="24"/>
          <w:szCs w:val="24"/>
        </w:rPr>
        <w:t xml:space="preserve"> and </w:t>
      </w:r>
      <w:proofErr w:type="spellStart"/>
      <w:r w:rsidRPr="009B3968">
        <w:rPr>
          <w:rFonts w:ascii="Times New Roman" w:hAnsi="Times New Roman" w:cs="Times New Roman"/>
          <w:sz w:val="24"/>
          <w:szCs w:val="24"/>
        </w:rPr>
        <w:t>Glavas</w:t>
      </w:r>
      <w:proofErr w:type="spellEnd"/>
      <w:r w:rsidRPr="009B3968">
        <w:rPr>
          <w:rFonts w:ascii="Times New Roman" w:hAnsi="Times New Roman" w:cs="Times New Roman"/>
          <w:sz w:val="24"/>
          <w:szCs w:val="24"/>
        </w:rPr>
        <w:t xml:space="preserve"> (2012), modern HR strategies are increasingly mirroring societal values, particularly in the areas of ecologically sustainable </w:t>
      </w:r>
      <w:r w:rsidR="005F04F7">
        <w:rPr>
          <w:rFonts w:ascii="Times New Roman" w:hAnsi="Times New Roman" w:cs="Times New Roman"/>
          <w:sz w:val="24"/>
          <w:szCs w:val="24"/>
        </w:rPr>
        <w:t>practices</w:t>
      </w:r>
      <w:r w:rsidRPr="009B3968">
        <w:rPr>
          <w:rFonts w:ascii="Times New Roman" w:hAnsi="Times New Roman" w:cs="Times New Roman"/>
          <w:sz w:val="24"/>
          <w:szCs w:val="24"/>
        </w:rPr>
        <w:t xml:space="preserve"> and social </w:t>
      </w:r>
      <w:r w:rsidRPr="009B3968">
        <w:rPr>
          <w:rFonts w:ascii="Times New Roman" w:hAnsi="Times New Roman" w:cs="Times New Roman"/>
          <w:sz w:val="24"/>
          <w:szCs w:val="24"/>
        </w:rPr>
        <w:lastRenderedPageBreak/>
        <w:t xml:space="preserve">responsibility. This trend can be seen across a variety of industries, including healthcare, education, and government. According to Bhattacharya et al. (2008), companies are not only encouraging their workers to participate in environmentally responsible behaviours, but they are also actively employing individuals who are devoted to preserving these ideas. This is a significant shift from the past when businesses just encouraged their employees to engage in ecologically responsible activities. According to </w:t>
      </w:r>
      <w:proofErr w:type="spellStart"/>
      <w:r w:rsidRPr="009B3968">
        <w:rPr>
          <w:rFonts w:ascii="Times New Roman" w:hAnsi="Times New Roman" w:cs="Times New Roman"/>
          <w:sz w:val="24"/>
          <w:szCs w:val="24"/>
        </w:rPr>
        <w:t>Glavas</w:t>
      </w:r>
      <w:proofErr w:type="spellEnd"/>
      <w:r w:rsidRPr="009B3968">
        <w:rPr>
          <w:rFonts w:ascii="Times New Roman" w:hAnsi="Times New Roman" w:cs="Times New Roman"/>
          <w:sz w:val="24"/>
          <w:szCs w:val="24"/>
        </w:rPr>
        <w:t xml:space="preserve"> (2016), human resource policies are becoming more interwoven with corporate social responsibility (CSR), which is what drives ethical business </w:t>
      </w:r>
      <w:r w:rsidR="00F32DBD">
        <w:rPr>
          <w:rFonts w:ascii="Times New Roman" w:hAnsi="Times New Roman" w:cs="Times New Roman"/>
          <w:sz w:val="24"/>
          <w:szCs w:val="24"/>
        </w:rPr>
        <w:t>practices</w:t>
      </w:r>
      <w:r w:rsidRPr="009B3968">
        <w:rPr>
          <w:rFonts w:ascii="Times New Roman" w:hAnsi="Times New Roman" w:cs="Times New Roman"/>
          <w:sz w:val="24"/>
          <w:szCs w:val="24"/>
        </w:rPr>
        <w:t xml:space="preserve">, community involvement, and sustainability goals. This alignment, as stated by Hansen et al. (2011), not only resonates with employees and consumers, but it also enhances an organization's capability to compete in the industry in which it operates. The adoption of social and environmental objectives within human resource </w:t>
      </w:r>
      <w:r w:rsidR="005F04F7">
        <w:rPr>
          <w:rFonts w:ascii="Times New Roman" w:hAnsi="Times New Roman" w:cs="Times New Roman"/>
          <w:sz w:val="24"/>
          <w:szCs w:val="24"/>
        </w:rPr>
        <w:t>practices</w:t>
      </w:r>
      <w:r w:rsidRPr="009B3968">
        <w:rPr>
          <w:rFonts w:ascii="Times New Roman" w:hAnsi="Times New Roman" w:cs="Times New Roman"/>
          <w:sz w:val="24"/>
          <w:szCs w:val="24"/>
        </w:rPr>
        <w:t xml:space="preserve"> is a symptom of a development of corporate identity that </w:t>
      </w:r>
      <w:r w:rsidR="005F04F7">
        <w:rPr>
          <w:rFonts w:ascii="Times New Roman" w:hAnsi="Times New Roman" w:cs="Times New Roman"/>
          <w:sz w:val="24"/>
          <w:szCs w:val="24"/>
        </w:rPr>
        <w:t>synchronizes</w:t>
      </w:r>
      <w:r w:rsidRPr="009B3968">
        <w:rPr>
          <w:rFonts w:ascii="Times New Roman" w:hAnsi="Times New Roman" w:cs="Times New Roman"/>
          <w:sz w:val="24"/>
          <w:szCs w:val="24"/>
        </w:rPr>
        <w:t xml:space="preserve"> the goals of the corporation with the requirements of </w:t>
      </w:r>
      <w:r w:rsidR="00F32DBD">
        <w:rPr>
          <w:rFonts w:ascii="Times New Roman" w:hAnsi="Times New Roman" w:cs="Times New Roman"/>
          <w:sz w:val="24"/>
          <w:szCs w:val="24"/>
        </w:rPr>
        <w:t xml:space="preserve">a </w:t>
      </w:r>
      <w:r w:rsidRPr="009B3968">
        <w:rPr>
          <w:rFonts w:ascii="Times New Roman" w:hAnsi="Times New Roman" w:cs="Times New Roman"/>
          <w:sz w:val="24"/>
          <w:szCs w:val="24"/>
        </w:rPr>
        <w:t xml:space="preserve">global society. This age is one in which profit and purpose are merging, and this age is exemplified by an age in which social and environmental objectives are accepted inside HR </w:t>
      </w:r>
      <w:r w:rsidR="00F32DBD">
        <w:rPr>
          <w:rFonts w:ascii="Times New Roman" w:hAnsi="Times New Roman" w:cs="Times New Roman"/>
          <w:sz w:val="24"/>
          <w:szCs w:val="24"/>
        </w:rPr>
        <w:t>practices</w:t>
      </w:r>
      <w:r w:rsidRPr="009B3968">
        <w:rPr>
          <w:rFonts w:ascii="Times New Roman" w:hAnsi="Times New Roman" w:cs="Times New Roman"/>
          <w:sz w:val="24"/>
          <w:szCs w:val="24"/>
        </w:rPr>
        <w:t>. Currently, we are living in an age in which profit and purpose are converging.</w:t>
      </w:r>
    </w:p>
    <w:p w14:paraId="01E97B73" w14:textId="77777777" w:rsidR="009B3968" w:rsidRDefault="009B3968" w:rsidP="009B3968">
      <w:pPr>
        <w:spacing w:after="0" w:line="360" w:lineRule="auto"/>
        <w:jc w:val="both"/>
        <w:rPr>
          <w:rFonts w:ascii="Times New Roman" w:hAnsi="Times New Roman" w:cs="Times New Roman"/>
          <w:sz w:val="24"/>
          <w:szCs w:val="24"/>
        </w:rPr>
      </w:pPr>
    </w:p>
    <w:p w14:paraId="699D0C75" w14:textId="77777777" w:rsidR="008B6258" w:rsidRPr="008B6258" w:rsidRDefault="008B6258" w:rsidP="008B6258">
      <w:pPr>
        <w:spacing w:after="0" w:line="360" w:lineRule="auto"/>
        <w:jc w:val="both"/>
        <w:rPr>
          <w:rFonts w:ascii="Times New Roman" w:hAnsi="Times New Roman" w:cs="Times New Roman"/>
          <w:b/>
          <w:bCs/>
          <w:sz w:val="28"/>
          <w:szCs w:val="28"/>
        </w:rPr>
      </w:pPr>
      <w:r w:rsidRPr="008B6258">
        <w:rPr>
          <w:rFonts w:ascii="Times New Roman" w:hAnsi="Times New Roman" w:cs="Times New Roman"/>
          <w:b/>
          <w:bCs/>
          <w:sz w:val="28"/>
          <w:szCs w:val="28"/>
        </w:rPr>
        <w:t xml:space="preserve">Conclusion </w:t>
      </w:r>
    </w:p>
    <w:p w14:paraId="48F3D798" w14:textId="3DB739E8" w:rsidR="008B6258" w:rsidRPr="008B6258" w:rsidRDefault="008B6258" w:rsidP="008B6258">
      <w:pPr>
        <w:spacing w:after="0" w:line="360" w:lineRule="auto"/>
        <w:jc w:val="both"/>
        <w:rPr>
          <w:rFonts w:ascii="Times New Roman" w:hAnsi="Times New Roman" w:cs="Times New Roman"/>
          <w:sz w:val="24"/>
          <w:szCs w:val="24"/>
        </w:rPr>
      </w:pPr>
      <w:r w:rsidRPr="008B6258">
        <w:rPr>
          <w:rFonts w:ascii="Times New Roman" w:hAnsi="Times New Roman" w:cs="Times New Roman"/>
          <w:sz w:val="24"/>
          <w:szCs w:val="24"/>
        </w:rPr>
        <w:t xml:space="preserve">The paper has identified significant developments that are influencing the </w:t>
      </w:r>
      <w:proofErr w:type="spellStart"/>
      <w:r w:rsidR="005F04F7">
        <w:rPr>
          <w:rFonts w:ascii="Times New Roman" w:hAnsi="Times New Roman" w:cs="Times New Roman"/>
          <w:sz w:val="24"/>
          <w:szCs w:val="24"/>
        </w:rPr>
        <w:t>labor</w:t>
      </w:r>
      <w:proofErr w:type="spellEnd"/>
      <w:r w:rsidRPr="008B6258">
        <w:rPr>
          <w:rFonts w:ascii="Times New Roman" w:hAnsi="Times New Roman" w:cs="Times New Roman"/>
          <w:sz w:val="24"/>
          <w:szCs w:val="24"/>
        </w:rPr>
        <w:t xml:space="preserve"> market in the United Kingdom, as well as the evolving alterations in Human Resource strategy within the context of the post-Covid and post-Brexit environment.</w:t>
      </w:r>
    </w:p>
    <w:p w14:paraId="77155D1E" w14:textId="77777777" w:rsidR="008B6258" w:rsidRPr="008B6258" w:rsidRDefault="008B6258" w:rsidP="008B6258">
      <w:pPr>
        <w:spacing w:after="0" w:line="360" w:lineRule="auto"/>
        <w:jc w:val="both"/>
        <w:rPr>
          <w:rFonts w:ascii="Times New Roman" w:hAnsi="Times New Roman" w:cs="Times New Roman"/>
          <w:sz w:val="24"/>
          <w:szCs w:val="24"/>
        </w:rPr>
      </w:pPr>
    </w:p>
    <w:p w14:paraId="6D3CBFD0" w14:textId="24F7665F" w:rsidR="008B6258" w:rsidRPr="008B6258" w:rsidRDefault="008B6258" w:rsidP="008B6258">
      <w:pPr>
        <w:spacing w:after="0" w:line="360" w:lineRule="auto"/>
        <w:jc w:val="both"/>
        <w:rPr>
          <w:rFonts w:ascii="Times New Roman" w:hAnsi="Times New Roman" w:cs="Times New Roman"/>
          <w:sz w:val="24"/>
          <w:szCs w:val="24"/>
        </w:rPr>
      </w:pPr>
      <w:r w:rsidRPr="008B6258">
        <w:rPr>
          <w:rFonts w:ascii="Times New Roman" w:hAnsi="Times New Roman" w:cs="Times New Roman"/>
          <w:sz w:val="24"/>
          <w:szCs w:val="24"/>
        </w:rPr>
        <w:t xml:space="preserve">The </w:t>
      </w:r>
      <w:proofErr w:type="spellStart"/>
      <w:r w:rsidR="005F04F7">
        <w:rPr>
          <w:rFonts w:ascii="Times New Roman" w:hAnsi="Times New Roman" w:cs="Times New Roman"/>
          <w:sz w:val="24"/>
          <w:szCs w:val="24"/>
        </w:rPr>
        <w:t>labor</w:t>
      </w:r>
      <w:proofErr w:type="spellEnd"/>
      <w:r w:rsidRPr="008B6258">
        <w:rPr>
          <w:rFonts w:ascii="Times New Roman" w:hAnsi="Times New Roman" w:cs="Times New Roman"/>
          <w:sz w:val="24"/>
          <w:szCs w:val="24"/>
        </w:rPr>
        <w:t xml:space="preserve"> market in the United Kingdom exhibits dynamic fluctuations, which are characterised by evolving patterns of employment that are driven by the impact of both the Covid-19 pandemic and the Brexit process (Office for National Statistics, 2021). The enduring consequences of these notable occurrences are anticipated to foster ongoing development, placing emphasis on telecommuting,</w:t>
      </w:r>
      <w:r w:rsidR="00F32DBD">
        <w:rPr>
          <w:rFonts w:ascii="Times New Roman" w:hAnsi="Times New Roman" w:cs="Times New Roman"/>
          <w:sz w:val="24"/>
          <w:szCs w:val="24"/>
        </w:rPr>
        <w:t xml:space="preserve"> </w:t>
      </w:r>
      <w:r w:rsidRPr="008B6258">
        <w:rPr>
          <w:rFonts w:ascii="Times New Roman" w:hAnsi="Times New Roman" w:cs="Times New Roman"/>
          <w:sz w:val="24"/>
          <w:szCs w:val="24"/>
        </w:rPr>
        <w:t>adaptability, employee welfare, inclusivity, technology assimilation, and congruence with ecological and societal objectives.</w:t>
      </w:r>
    </w:p>
    <w:p w14:paraId="4E977CC8" w14:textId="77777777" w:rsidR="008B6258" w:rsidRPr="008B6258" w:rsidRDefault="008B6258" w:rsidP="008B6258">
      <w:pPr>
        <w:spacing w:after="0" w:line="360" w:lineRule="auto"/>
        <w:jc w:val="both"/>
        <w:rPr>
          <w:rFonts w:ascii="Times New Roman" w:hAnsi="Times New Roman" w:cs="Times New Roman"/>
          <w:sz w:val="24"/>
          <w:szCs w:val="24"/>
        </w:rPr>
      </w:pPr>
    </w:p>
    <w:p w14:paraId="249AE5FD" w14:textId="18A45852" w:rsidR="008B6258" w:rsidRPr="008B6258" w:rsidRDefault="008B6258" w:rsidP="008B6258">
      <w:pPr>
        <w:spacing w:after="0" w:line="360" w:lineRule="auto"/>
        <w:jc w:val="both"/>
        <w:rPr>
          <w:rFonts w:ascii="Times New Roman" w:hAnsi="Times New Roman" w:cs="Times New Roman"/>
          <w:sz w:val="24"/>
          <w:szCs w:val="24"/>
        </w:rPr>
      </w:pPr>
      <w:r w:rsidRPr="008B6258">
        <w:rPr>
          <w:rFonts w:ascii="Times New Roman" w:hAnsi="Times New Roman" w:cs="Times New Roman"/>
          <w:sz w:val="24"/>
          <w:szCs w:val="24"/>
        </w:rPr>
        <w:t xml:space="preserve">The </w:t>
      </w:r>
      <w:r w:rsidR="00F32DBD">
        <w:rPr>
          <w:rFonts w:ascii="Times New Roman" w:hAnsi="Times New Roman" w:cs="Times New Roman"/>
          <w:sz w:val="24"/>
          <w:szCs w:val="24"/>
        </w:rPr>
        <w:t>practice</w:t>
      </w:r>
      <w:r w:rsidRPr="008B6258">
        <w:rPr>
          <w:rFonts w:ascii="Times New Roman" w:hAnsi="Times New Roman" w:cs="Times New Roman"/>
          <w:sz w:val="24"/>
          <w:szCs w:val="24"/>
        </w:rPr>
        <w:t xml:space="preserve"> of remote working, once considered a transitory solution, has now become an essential component of work culture, presenting new difficulties and prospects (Bloom et al., 2020). Concurrently, the congruence between HR strategy and social values signifies a more comprehensive transformation in organisational culture and goals (</w:t>
      </w:r>
      <w:proofErr w:type="spellStart"/>
      <w:r w:rsidRPr="008B6258">
        <w:rPr>
          <w:rFonts w:ascii="Times New Roman" w:hAnsi="Times New Roman" w:cs="Times New Roman"/>
          <w:sz w:val="24"/>
          <w:szCs w:val="24"/>
        </w:rPr>
        <w:t>Aguinis</w:t>
      </w:r>
      <w:proofErr w:type="spellEnd"/>
      <w:r w:rsidRPr="008B6258">
        <w:rPr>
          <w:rFonts w:ascii="Times New Roman" w:hAnsi="Times New Roman" w:cs="Times New Roman"/>
          <w:sz w:val="24"/>
          <w:szCs w:val="24"/>
        </w:rPr>
        <w:t xml:space="preserve"> &amp; </w:t>
      </w:r>
      <w:proofErr w:type="spellStart"/>
      <w:r w:rsidRPr="008B6258">
        <w:rPr>
          <w:rFonts w:ascii="Times New Roman" w:hAnsi="Times New Roman" w:cs="Times New Roman"/>
          <w:sz w:val="24"/>
          <w:szCs w:val="24"/>
        </w:rPr>
        <w:t>Glavas</w:t>
      </w:r>
      <w:proofErr w:type="spellEnd"/>
      <w:r w:rsidRPr="008B6258">
        <w:rPr>
          <w:rFonts w:ascii="Times New Roman" w:hAnsi="Times New Roman" w:cs="Times New Roman"/>
          <w:sz w:val="24"/>
          <w:szCs w:val="24"/>
        </w:rPr>
        <w:t>, 2012).</w:t>
      </w:r>
    </w:p>
    <w:p w14:paraId="2B83205C" w14:textId="77777777" w:rsidR="008B6258" w:rsidRPr="008B6258" w:rsidRDefault="008B6258" w:rsidP="008B6258">
      <w:pPr>
        <w:spacing w:after="0" w:line="360" w:lineRule="auto"/>
        <w:jc w:val="both"/>
        <w:rPr>
          <w:rFonts w:ascii="Times New Roman" w:hAnsi="Times New Roman" w:cs="Times New Roman"/>
          <w:sz w:val="24"/>
          <w:szCs w:val="24"/>
        </w:rPr>
      </w:pPr>
    </w:p>
    <w:p w14:paraId="607D2E48" w14:textId="77777777" w:rsidR="008B6258" w:rsidRPr="008B6258" w:rsidRDefault="008B6258" w:rsidP="008B6258">
      <w:pPr>
        <w:spacing w:after="0" w:line="360" w:lineRule="auto"/>
        <w:jc w:val="both"/>
        <w:rPr>
          <w:rFonts w:ascii="Times New Roman" w:hAnsi="Times New Roman" w:cs="Times New Roman"/>
          <w:sz w:val="24"/>
          <w:szCs w:val="24"/>
        </w:rPr>
      </w:pPr>
      <w:r w:rsidRPr="008B6258">
        <w:rPr>
          <w:rFonts w:ascii="Times New Roman" w:hAnsi="Times New Roman" w:cs="Times New Roman"/>
          <w:sz w:val="24"/>
          <w:szCs w:val="24"/>
        </w:rPr>
        <w:t>The implications of these results suggest a future characterised by a growing convergence of work and personal life, a greater acceptance of diversity, a significant reliance on technology, and a heightened awareness among firms of global social demands. In order to maintain competitiveness and adapt to the dynamic nature of the global landscape, firms must prioritise adaptation and innovation (Davenport et al., 2018).</w:t>
      </w:r>
    </w:p>
    <w:p w14:paraId="6C1677DC" w14:textId="77777777" w:rsidR="008B6258" w:rsidRDefault="008B6258" w:rsidP="008B6258">
      <w:pPr>
        <w:spacing w:after="0" w:line="360" w:lineRule="auto"/>
        <w:jc w:val="both"/>
        <w:rPr>
          <w:rFonts w:ascii="Times New Roman" w:hAnsi="Times New Roman" w:cs="Times New Roman"/>
          <w:sz w:val="24"/>
          <w:szCs w:val="24"/>
        </w:rPr>
      </w:pPr>
    </w:p>
    <w:p w14:paraId="0139050C" w14:textId="77777777" w:rsidR="009B3968" w:rsidRPr="009B3968" w:rsidRDefault="009B3968" w:rsidP="009B3968">
      <w:pPr>
        <w:spacing w:after="0" w:line="360" w:lineRule="auto"/>
        <w:jc w:val="both"/>
        <w:rPr>
          <w:rFonts w:ascii="Times New Roman" w:hAnsi="Times New Roman" w:cs="Times New Roman"/>
          <w:b/>
          <w:bCs/>
          <w:sz w:val="28"/>
          <w:szCs w:val="28"/>
        </w:rPr>
      </w:pPr>
      <w:r w:rsidRPr="009B3968">
        <w:rPr>
          <w:rFonts w:ascii="Times New Roman" w:hAnsi="Times New Roman" w:cs="Times New Roman"/>
          <w:b/>
          <w:bCs/>
          <w:sz w:val="28"/>
          <w:szCs w:val="28"/>
        </w:rPr>
        <w:t xml:space="preserve">Recommendations </w:t>
      </w:r>
    </w:p>
    <w:p w14:paraId="472A4226" w14:textId="3E2C1822" w:rsidR="009B3968" w:rsidRP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(CIPD, 2020) The government need to create legislation that </w:t>
      </w:r>
      <w:r w:rsidR="008C490D">
        <w:rPr>
          <w:rFonts w:ascii="Times New Roman" w:hAnsi="Times New Roman" w:cs="Times New Roman"/>
          <w:sz w:val="24"/>
          <w:szCs w:val="24"/>
        </w:rPr>
        <w:t>encourages</w:t>
      </w:r>
      <w:r w:rsidRPr="009B3968">
        <w:rPr>
          <w:rFonts w:ascii="Times New Roman" w:hAnsi="Times New Roman" w:cs="Times New Roman"/>
          <w:sz w:val="24"/>
          <w:szCs w:val="24"/>
        </w:rPr>
        <w:t xml:space="preserve"> the construction of flexible work environments, ensures the well-being of workers, and supports continual skill development in order for businesses to successfully adapt to advances in technology.</w:t>
      </w:r>
    </w:p>
    <w:p w14:paraId="3B38947B" w14:textId="77777777" w:rsidR="009B3968" w:rsidRPr="009B3968" w:rsidRDefault="009B3968" w:rsidP="009B3968">
      <w:pPr>
        <w:spacing w:after="0" w:line="360" w:lineRule="auto"/>
        <w:jc w:val="both"/>
        <w:rPr>
          <w:rFonts w:ascii="Times New Roman" w:hAnsi="Times New Roman" w:cs="Times New Roman"/>
          <w:sz w:val="24"/>
          <w:szCs w:val="24"/>
        </w:rPr>
      </w:pPr>
    </w:p>
    <w:p w14:paraId="04A50303" w14:textId="2D385D03" w:rsidR="009B3968" w:rsidRP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 xml:space="preserve">The construction of welcoming and diverse working environments </w:t>
      </w:r>
      <w:r w:rsidR="008C490D">
        <w:rPr>
          <w:rFonts w:ascii="Times New Roman" w:hAnsi="Times New Roman" w:cs="Times New Roman"/>
          <w:sz w:val="24"/>
          <w:szCs w:val="24"/>
        </w:rPr>
        <w:t>needs</w:t>
      </w:r>
      <w:r w:rsidRPr="009B3968">
        <w:rPr>
          <w:rFonts w:ascii="Times New Roman" w:hAnsi="Times New Roman" w:cs="Times New Roman"/>
          <w:sz w:val="24"/>
          <w:szCs w:val="24"/>
        </w:rPr>
        <w:t xml:space="preserve"> to be at the top of the priority list for commercial firms, together with the provision of resources for programmes aimed at improving the health and well-being of workers and the implementation of technical advances in order to improve the effectiveness of human resource management. According to Deloitte's research from 2021, "</w:t>
      </w:r>
      <w:r w:rsidR="008C490D">
        <w:rPr>
          <w:rFonts w:ascii="Times New Roman" w:hAnsi="Times New Roman" w:cs="Times New Roman"/>
          <w:sz w:val="24"/>
          <w:szCs w:val="24"/>
        </w:rPr>
        <w:t>It</w:t>
      </w:r>
      <w:r w:rsidRPr="009B3968">
        <w:rPr>
          <w:rFonts w:ascii="Times New Roman" w:hAnsi="Times New Roman" w:cs="Times New Roman"/>
          <w:sz w:val="24"/>
          <w:szCs w:val="24"/>
        </w:rPr>
        <w:t xml:space="preserve"> is recommended to establish partnerships with educational institutions in order to synchronise skill development with the demands of the job market."</w:t>
      </w:r>
    </w:p>
    <w:p w14:paraId="497132C7" w14:textId="77777777" w:rsidR="009B3968" w:rsidRPr="009B3968" w:rsidRDefault="009B3968" w:rsidP="009B3968">
      <w:pPr>
        <w:spacing w:after="0" w:line="360" w:lineRule="auto"/>
        <w:jc w:val="both"/>
        <w:rPr>
          <w:rFonts w:ascii="Times New Roman" w:hAnsi="Times New Roman" w:cs="Times New Roman"/>
          <w:sz w:val="24"/>
          <w:szCs w:val="24"/>
        </w:rPr>
      </w:pPr>
    </w:p>
    <w:p w14:paraId="16B5C7F9" w14:textId="77777777" w:rsidR="009B3968" w:rsidRPr="009B3968" w:rsidRDefault="009B3968" w:rsidP="009B3968">
      <w:pPr>
        <w:spacing w:after="0" w:line="360" w:lineRule="auto"/>
        <w:jc w:val="both"/>
        <w:rPr>
          <w:rFonts w:ascii="Times New Roman" w:hAnsi="Times New Roman" w:cs="Times New Roman"/>
          <w:sz w:val="24"/>
          <w:szCs w:val="24"/>
        </w:rPr>
      </w:pPr>
      <w:r w:rsidRPr="009B3968">
        <w:rPr>
          <w:rFonts w:ascii="Times New Roman" w:hAnsi="Times New Roman" w:cs="Times New Roman"/>
          <w:sz w:val="24"/>
          <w:szCs w:val="24"/>
        </w:rPr>
        <w:t>It is important to include more stakeholders if we want to encourage collaboration between the private sector, academic institutions, and nonprofit groups. According to the World Economic Forum (2019), the importance of cooperation cannot be overstated when it comes to aligning human resources (HR) strategy with social and environmental goals in order to make a contribution to the realisation of a sustainable future.</w:t>
      </w:r>
    </w:p>
    <w:p w14:paraId="2F533C6F" w14:textId="10EBF532" w:rsidR="009B3968" w:rsidRDefault="009B3968" w:rsidP="009B3968">
      <w:pPr>
        <w:spacing w:after="0" w:line="360" w:lineRule="auto"/>
        <w:jc w:val="both"/>
        <w:rPr>
          <w:rFonts w:ascii="Times New Roman" w:hAnsi="Times New Roman" w:cs="Times New Roman"/>
          <w:sz w:val="24"/>
          <w:szCs w:val="24"/>
        </w:rPr>
      </w:pPr>
    </w:p>
    <w:p w14:paraId="6D129A3B" w14:textId="77777777" w:rsidR="009B3968" w:rsidRDefault="009B3968" w:rsidP="009B3968">
      <w:pPr>
        <w:spacing w:after="0" w:line="360" w:lineRule="auto"/>
        <w:jc w:val="both"/>
        <w:rPr>
          <w:rFonts w:ascii="Times New Roman" w:hAnsi="Times New Roman" w:cs="Times New Roman"/>
          <w:sz w:val="24"/>
          <w:szCs w:val="24"/>
        </w:rPr>
      </w:pPr>
    </w:p>
    <w:p w14:paraId="7470CDCA" w14:textId="77777777" w:rsidR="009B3968" w:rsidRDefault="009B3968" w:rsidP="009B3968">
      <w:pPr>
        <w:spacing w:after="0" w:line="360" w:lineRule="auto"/>
        <w:jc w:val="both"/>
        <w:rPr>
          <w:rFonts w:ascii="Times New Roman" w:hAnsi="Times New Roman" w:cs="Times New Roman"/>
          <w:sz w:val="24"/>
          <w:szCs w:val="24"/>
        </w:rPr>
      </w:pPr>
    </w:p>
    <w:p w14:paraId="0931FE37" w14:textId="77777777" w:rsidR="009B3968" w:rsidRDefault="009B3968" w:rsidP="009B3968">
      <w:pPr>
        <w:spacing w:after="0" w:line="360" w:lineRule="auto"/>
        <w:jc w:val="both"/>
        <w:rPr>
          <w:rFonts w:ascii="Times New Roman" w:hAnsi="Times New Roman" w:cs="Times New Roman"/>
          <w:sz w:val="24"/>
          <w:szCs w:val="24"/>
        </w:rPr>
      </w:pPr>
    </w:p>
    <w:p w14:paraId="2E83097B" w14:textId="77777777" w:rsidR="009B3968" w:rsidRDefault="009B3968" w:rsidP="009B3968">
      <w:pPr>
        <w:spacing w:after="0" w:line="360" w:lineRule="auto"/>
        <w:jc w:val="both"/>
        <w:rPr>
          <w:rFonts w:ascii="Times New Roman" w:hAnsi="Times New Roman" w:cs="Times New Roman"/>
          <w:sz w:val="24"/>
          <w:szCs w:val="24"/>
        </w:rPr>
      </w:pPr>
    </w:p>
    <w:p w14:paraId="12DD890E" w14:textId="77777777" w:rsidR="009B3968" w:rsidRDefault="009B3968" w:rsidP="009B3968">
      <w:pPr>
        <w:spacing w:after="0" w:line="360" w:lineRule="auto"/>
        <w:jc w:val="both"/>
        <w:rPr>
          <w:rFonts w:ascii="Times New Roman" w:hAnsi="Times New Roman" w:cs="Times New Roman"/>
          <w:sz w:val="24"/>
          <w:szCs w:val="24"/>
        </w:rPr>
      </w:pPr>
    </w:p>
    <w:p w14:paraId="37250FE2" w14:textId="77777777" w:rsidR="009B3968" w:rsidRDefault="009B3968" w:rsidP="009B3968">
      <w:pPr>
        <w:spacing w:after="0" w:line="360" w:lineRule="auto"/>
        <w:jc w:val="both"/>
        <w:rPr>
          <w:rFonts w:ascii="Times New Roman" w:hAnsi="Times New Roman" w:cs="Times New Roman"/>
          <w:sz w:val="24"/>
          <w:szCs w:val="24"/>
        </w:rPr>
      </w:pPr>
    </w:p>
    <w:p w14:paraId="401B1848" w14:textId="77777777" w:rsidR="009B3968" w:rsidRDefault="009B3968" w:rsidP="009B3968">
      <w:pPr>
        <w:spacing w:after="0" w:line="360" w:lineRule="auto"/>
        <w:jc w:val="both"/>
        <w:rPr>
          <w:rFonts w:ascii="Times New Roman" w:hAnsi="Times New Roman" w:cs="Times New Roman"/>
          <w:sz w:val="24"/>
          <w:szCs w:val="24"/>
        </w:rPr>
      </w:pPr>
    </w:p>
    <w:p w14:paraId="2FB1BD13" w14:textId="77777777" w:rsidR="009B3968" w:rsidRDefault="009B3968" w:rsidP="009B3968">
      <w:pPr>
        <w:spacing w:after="0" w:line="360" w:lineRule="auto"/>
        <w:jc w:val="both"/>
        <w:rPr>
          <w:rFonts w:ascii="Times New Roman" w:hAnsi="Times New Roman" w:cs="Times New Roman"/>
          <w:sz w:val="24"/>
          <w:szCs w:val="24"/>
        </w:rPr>
      </w:pPr>
    </w:p>
    <w:p w14:paraId="6D34FCB0" w14:textId="77777777" w:rsidR="009B3968" w:rsidRDefault="009B3968" w:rsidP="009B3968">
      <w:pPr>
        <w:spacing w:after="0" w:line="360" w:lineRule="auto"/>
        <w:jc w:val="both"/>
        <w:rPr>
          <w:rFonts w:ascii="Times New Roman" w:hAnsi="Times New Roman" w:cs="Times New Roman"/>
          <w:sz w:val="24"/>
          <w:szCs w:val="24"/>
        </w:rPr>
      </w:pPr>
    </w:p>
    <w:p w14:paraId="49CE122F" w14:textId="3D1D1C1D" w:rsidR="007C2D16" w:rsidRPr="007C2D16" w:rsidRDefault="009B3968" w:rsidP="007C2D16">
      <w:pPr>
        <w:spacing w:after="0" w:line="360" w:lineRule="auto"/>
        <w:jc w:val="both"/>
        <w:rPr>
          <w:rFonts w:ascii="Times New Roman" w:hAnsi="Times New Roman" w:cs="Times New Roman"/>
          <w:b/>
          <w:bCs/>
          <w:sz w:val="28"/>
          <w:szCs w:val="28"/>
        </w:rPr>
      </w:pPr>
      <w:r w:rsidRPr="009B3968">
        <w:rPr>
          <w:rFonts w:ascii="Times New Roman" w:hAnsi="Times New Roman" w:cs="Times New Roman"/>
          <w:b/>
          <w:bCs/>
          <w:sz w:val="28"/>
          <w:szCs w:val="28"/>
        </w:rPr>
        <w:t>References</w:t>
      </w:r>
    </w:p>
    <w:p w14:paraId="019C658D"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lang w:val="fr-FR"/>
        </w:rPr>
        <w:t>Adams-</w:t>
      </w:r>
      <w:proofErr w:type="spellStart"/>
      <w:r w:rsidRPr="00EA742B">
        <w:rPr>
          <w:rFonts w:ascii="Times New Roman" w:hAnsi="Times New Roman" w:cs="Times New Roman"/>
          <w:sz w:val="24"/>
          <w:szCs w:val="24"/>
          <w:lang w:val="fr-FR"/>
        </w:rPr>
        <w:t>Prassl</w:t>
      </w:r>
      <w:proofErr w:type="spellEnd"/>
      <w:r w:rsidRPr="00EA742B">
        <w:rPr>
          <w:rFonts w:ascii="Times New Roman" w:hAnsi="Times New Roman" w:cs="Times New Roman"/>
          <w:sz w:val="24"/>
          <w:szCs w:val="24"/>
          <w:lang w:val="fr-FR"/>
        </w:rPr>
        <w:t xml:space="preserve">, A. et al. </w:t>
      </w:r>
      <w:r w:rsidRPr="00EA742B">
        <w:rPr>
          <w:rFonts w:ascii="Times New Roman" w:hAnsi="Times New Roman" w:cs="Times New Roman"/>
          <w:sz w:val="24"/>
          <w:szCs w:val="24"/>
        </w:rPr>
        <w:t>(2020). Inequality in the Impact of the Coronavirus Shock. Cambridge-INET Working Paper Series.</w:t>
      </w:r>
    </w:p>
    <w:p w14:paraId="67F088D8"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proofErr w:type="spellStart"/>
      <w:r w:rsidRPr="00EA742B">
        <w:rPr>
          <w:rFonts w:ascii="Times New Roman" w:hAnsi="Times New Roman" w:cs="Times New Roman"/>
          <w:sz w:val="24"/>
          <w:szCs w:val="24"/>
        </w:rPr>
        <w:t>Aguinis</w:t>
      </w:r>
      <w:proofErr w:type="spellEnd"/>
      <w:r w:rsidRPr="00EA742B">
        <w:rPr>
          <w:rFonts w:ascii="Times New Roman" w:hAnsi="Times New Roman" w:cs="Times New Roman"/>
          <w:sz w:val="24"/>
          <w:szCs w:val="24"/>
        </w:rPr>
        <w:t xml:space="preserve">, H. &amp; </w:t>
      </w:r>
      <w:proofErr w:type="spellStart"/>
      <w:r w:rsidRPr="00EA742B">
        <w:rPr>
          <w:rFonts w:ascii="Times New Roman" w:hAnsi="Times New Roman" w:cs="Times New Roman"/>
          <w:sz w:val="24"/>
          <w:szCs w:val="24"/>
        </w:rPr>
        <w:t>Glavas</w:t>
      </w:r>
      <w:proofErr w:type="spellEnd"/>
      <w:r w:rsidRPr="00EA742B">
        <w:rPr>
          <w:rFonts w:ascii="Times New Roman" w:hAnsi="Times New Roman" w:cs="Times New Roman"/>
          <w:sz w:val="24"/>
          <w:szCs w:val="24"/>
        </w:rPr>
        <w:t>, A. (2012). What We Know and Don’t Know About Corporate Social Responsibility: A Review and Research Agenda. Journal of Management, 38(4), 932-968.</w:t>
      </w:r>
    </w:p>
    <w:p w14:paraId="6919A4D3"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lang w:val="de-DE"/>
        </w:rPr>
        <w:t xml:space="preserve">Allen, T. D., Golden, T. D., &amp; Shockley, K. M. (2015). </w:t>
      </w:r>
      <w:r w:rsidRPr="00EA742B">
        <w:rPr>
          <w:rFonts w:ascii="Times New Roman" w:hAnsi="Times New Roman" w:cs="Times New Roman"/>
          <w:sz w:val="24"/>
          <w:szCs w:val="24"/>
        </w:rPr>
        <w:t>How Effective Is Telecommuting? Psychological Science in the Public Interest, 16(2), 40-68.</w:t>
      </w:r>
    </w:p>
    <w:sdt>
      <w:sdtPr>
        <w:rPr>
          <w:sz w:val="24"/>
          <w:szCs w:val="24"/>
          <w:lang w:val="en-GB"/>
        </w:rPr>
        <w:id w:val="-573587230"/>
        <w:bibliography/>
      </w:sdtPr>
      <w:sdtContent>
        <w:p w14:paraId="08D2CD5F" w14:textId="77777777" w:rsidR="00294059" w:rsidRPr="00EA742B" w:rsidRDefault="00294059" w:rsidP="00294059">
          <w:pPr>
            <w:pStyle w:val="Bibliography"/>
            <w:numPr>
              <w:ilvl w:val="0"/>
              <w:numId w:val="1"/>
            </w:numPr>
            <w:rPr>
              <w:rFonts w:ascii="Times New Roman" w:hAnsi="Times New Roman" w:cs="Times New Roman"/>
              <w:noProof/>
              <w:kern w:val="0"/>
              <w:sz w:val="24"/>
              <w:szCs w:val="24"/>
              <w:lang w:val="en-US"/>
              <w14:ligatures w14:val="none"/>
            </w:rPr>
          </w:pPr>
          <w:r w:rsidRPr="00EA742B">
            <w:rPr>
              <w:rFonts w:ascii="Times New Roman" w:hAnsi="Times New Roman" w:cs="Times New Roman"/>
              <w:sz w:val="24"/>
              <w:szCs w:val="24"/>
            </w:rPr>
            <w:fldChar w:fldCharType="begin"/>
          </w:r>
          <w:r w:rsidRPr="00EA742B">
            <w:rPr>
              <w:rFonts w:ascii="Times New Roman" w:hAnsi="Times New Roman" w:cs="Times New Roman"/>
              <w:sz w:val="24"/>
              <w:szCs w:val="24"/>
            </w:rPr>
            <w:instrText xml:space="preserve"> BIBLIOGRAPHY </w:instrText>
          </w:r>
          <w:r w:rsidRPr="00EA742B">
            <w:rPr>
              <w:rFonts w:ascii="Times New Roman" w:hAnsi="Times New Roman" w:cs="Times New Roman"/>
              <w:sz w:val="24"/>
              <w:szCs w:val="24"/>
            </w:rPr>
            <w:fldChar w:fldCharType="separate"/>
          </w:r>
          <w:r w:rsidRPr="00EA742B">
            <w:rPr>
              <w:rFonts w:ascii="Times New Roman" w:hAnsi="Times New Roman" w:cs="Times New Roman"/>
              <w:noProof/>
              <w:sz w:val="24"/>
              <w:szCs w:val="24"/>
              <w:lang w:val="en-US"/>
            </w:rPr>
            <w:t xml:space="preserve">Bank of England. (2022, 08 04). </w:t>
          </w:r>
          <w:r w:rsidRPr="00EA742B">
            <w:rPr>
              <w:rFonts w:ascii="Times New Roman" w:hAnsi="Times New Roman" w:cs="Times New Roman"/>
              <w:i/>
              <w:iCs/>
              <w:noProof/>
              <w:sz w:val="24"/>
              <w:szCs w:val="24"/>
              <w:lang w:val="en-US"/>
            </w:rPr>
            <w:t>Monetary Policy Report - August 2022</w:t>
          </w:r>
          <w:r w:rsidRPr="00EA742B">
            <w:rPr>
              <w:rFonts w:ascii="Times New Roman" w:hAnsi="Times New Roman" w:cs="Times New Roman"/>
              <w:noProof/>
              <w:sz w:val="24"/>
              <w:szCs w:val="24"/>
              <w:lang w:val="en-US"/>
            </w:rPr>
            <w:t>. Retrieved from https://www.bankofengland.co.uk/: https://www.bankofengland.co.uk/monetary-policy-report/2022/august-2022</w:t>
          </w:r>
        </w:p>
        <w:p w14:paraId="0078C4AC" w14:textId="1B37856C" w:rsidR="007C2D16" w:rsidRPr="00EA742B" w:rsidRDefault="00294059" w:rsidP="00294059">
          <w:pPr>
            <w:pStyle w:val="ListParagraph"/>
            <w:numPr>
              <w:ilvl w:val="0"/>
              <w:numId w:val="1"/>
            </w:numPr>
            <w:rPr>
              <w:sz w:val="24"/>
              <w:szCs w:val="24"/>
            </w:rPr>
          </w:pPr>
          <w:r w:rsidRPr="00EA742B">
            <w:rPr>
              <w:rFonts w:ascii="Times New Roman" w:hAnsi="Times New Roman" w:cs="Times New Roman"/>
              <w:b/>
              <w:bCs/>
              <w:noProof/>
              <w:sz w:val="24"/>
              <w:szCs w:val="24"/>
            </w:rPr>
            <w:fldChar w:fldCharType="end"/>
          </w:r>
          <w:proofErr w:type="spellStart"/>
          <w:r w:rsidR="007C2D16" w:rsidRPr="00EA742B">
            <w:rPr>
              <w:rFonts w:ascii="Times New Roman" w:hAnsi="Times New Roman" w:cs="Times New Roman"/>
              <w:sz w:val="24"/>
              <w:szCs w:val="24"/>
            </w:rPr>
            <w:t>Barrero</w:t>
          </w:r>
          <w:proofErr w:type="spellEnd"/>
          <w:r w:rsidR="007C2D16" w:rsidRPr="00EA742B">
            <w:rPr>
              <w:rFonts w:ascii="Times New Roman" w:hAnsi="Times New Roman" w:cs="Times New Roman"/>
              <w:sz w:val="24"/>
              <w:szCs w:val="24"/>
            </w:rPr>
            <w:t>, J.M., Bloom, N., &amp; Davis, S.J. (2020). COVID-19 Is Also a Reallocation Shock. Brookings Papers on Economic Activity.</w:t>
          </w:r>
        </w:p>
      </w:sdtContent>
    </w:sdt>
    <w:p w14:paraId="341DBD8C"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lang w:val="de-DE"/>
        </w:rPr>
        <w:t xml:space="preserve">Bhattacharya, C. B., Sen, S., &amp; </w:t>
      </w:r>
      <w:proofErr w:type="spellStart"/>
      <w:r w:rsidRPr="00EA742B">
        <w:rPr>
          <w:rFonts w:ascii="Times New Roman" w:hAnsi="Times New Roman" w:cs="Times New Roman"/>
          <w:sz w:val="24"/>
          <w:szCs w:val="24"/>
          <w:lang w:val="de-DE"/>
        </w:rPr>
        <w:t>Korschun</w:t>
      </w:r>
      <w:proofErr w:type="spellEnd"/>
      <w:r w:rsidRPr="00EA742B">
        <w:rPr>
          <w:rFonts w:ascii="Times New Roman" w:hAnsi="Times New Roman" w:cs="Times New Roman"/>
          <w:sz w:val="24"/>
          <w:szCs w:val="24"/>
          <w:lang w:val="de-DE"/>
        </w:rPr>
        <w:t xml:space="preserve">, D. (2008). </w:t>
      </w:r>
      <w:r w:rsidRPr="00EA742B">
        <w:rPr>
          <w:rFonts w:ascii="Times New Roman" w:hAnsi="Times New Roman" w:cs="Times New Roman"/>
          <w:sz w:val="24"/>
          <w:szCs w:val="24"/>
        </w:rPr>
        <w:t>Using Corporate Social Responsibility to Win the War for Talent. MIT Sloan Management Review, 49(2), 37-44.</w:t>
      </w:r>
    </w:p>
    <w:p w14:paraId="4E8CBC3F"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Bloom, N., Liang, J., Roberts, J. &amp; Ying, Z.J. (2020). Does Working From Home Work? Evidence from a Chinese Experiment. The Quarterly Journal of Economics, 130(4), 1655-1685.</w:t>
      </w:r>
    </w:p>
    <w:p w14:paraId="081EA0D8" w14:textId="33E06725" w:rsidR="007C2D16" w:rsidRPr="00EA742B" w:rsidRDefault="007C2D16" w:rsidP="007C2D16">
      <w:pPr>
        <w:pStyle w:val="ListParagraph"/>
        <w:numPr>
          <w:ilvl w:val="0"/>
          <w:numId w:val="1"/>
        </w:numPr>
        <w:spacing w:after="0" w:line="360" w:lineRule="auto"/>
        <w:jc w:val="both"/>
        <w:rPr>
          <w:rFonts w:ascii="Times New Roman" w:hAnsi="Times New Roman" w:cs="Times New Roman"/>
          <w:bCs/>
          <w:i/>
          <w:iCs/>
          <w:sz w:val="24"/>
          <w:szCs w:val="24"/>
        </w:rPr>
      </w:pPr>
      <w:r w:rsidRPr="00EA742B">
        <w:rPr>
          <w:rFonts w:ascii="Times New Roman" w:hAnsi="Times New Roman" w:cs="Times New Roman"/>
          <w:bCs/>
          <w:sz w:val="24"/>
          <w:szCs w:val="24"/>
        </w:rPr>
        <w:t>CIPD (2020)</w:t>
      </w:r>
      <w:r w:rsidR="006751F9" w:rsidRPr="00EA742B">
        <w:rPr>
          <w:rFonts w:ascii="Times New Roman" w:hAnsi="Times New Roman" w:cs="Times New Roman"/>
          <w:bCs/>
          <w:sz w:val="24"/>
          <w:szCs w:val="24"/>
        </w:rPr>
        <w:t xml:space="preserve">, </w:t>
      </w:r>
      <w:r w:rsidR="006751F9" w:rsidRPr="00EA742B">
        <w:rPr>
          <w:rFonts w:ascii="Times New Roman" w:hAnsi="Times New Roman" w:cs="Times New Roman"/>
          <w:bCs/>
          <w:i/>
          <w:iCs/>
          <w:sz w:val="24"/>
          <w:szCs w:val="24"/>
        </w:rPr>
        <w:t xml:space="preserve">Health and Well-being at </w:t>
      </w:r>
      <w:r w:rsidR="008C490D" w:rsidRPr="00EA742B">
        <w:rPr>
          <w:rFonts w:ascii="Times New Roman" w:hAnsi="Times New Roman" w:cs="Times New Roman"/>
          <w:bCs/>
          <w:i/>
          <w:iCs/>
          <w:sz w:val="24"/>
          <w:szCs w:val="24"/>
        </w:rPr>
        <w:t>Work</w:t>
      </w:r>
      <w:r w:rsidR="00BE5C19" w:rsidRPr="00EA742B">
        <w:rPr>
          <w:rFonts w:ascii="Times New Roman" w:hAnsi="Times New Roman" w:cs="Times New Roman"/>
          <w:bCs/>
          <w:i/>
          <w:iCs/>
          <w:sz w:val="24"/>
          <w:szCs w:val="24"/>
        </w:rPr>
        <w:t xml:space="preserve">, Survey Report. </w:t>
      </w:r>
      <w:r w:rsidR="00BE5C19" w:rsidRPr="00EA742B">
        <w:rPr>
          <w:rFonts w:ascii="Times New Roman" w:hAnsi="Times New Roman" w:cs="Times New Roman"/>
          <w:bCs/>
          <w:sz w:val="24"/>
          <w:szCs w:val="24"/>
        </w:rPr>
        <w:t>London, UK: Chartered Institute of Personnel and Development.</w:t>
      </w:r>
    </w:p>
    <w:p w14:paraId="1A0D3DC9" w14:textId="566B2829" w:rsidR="007C2D16" w:rsidRPr="00EA742B" w:rsidRDefault="00BE5C19" w:rsidP="00BE5C19">
      <w:pPr>
        <w:pStyle w:val="Bibliography"/>
        <w:numPr>
          <w:ilvl w:val="0"/>
          <w:numId w:val="1"/>
        </w:numPr>
        <w:rPr>
          <w:rFonts w:ascii="Times New Roman" w:hAnsi="Times New Roman" w:cs="Times New Roman"/>
          <w:noProof/>
          <w:sz w:val="24"/>
          <w:szCs w:val="24"/>
          <w:lang w:val="en-US"/>
        </w:rPr>
      </w:pPr>
      <w:r w:rsidRPr="00EA742B">
        <w:rPr>
          <w:rFonts w:ascii="Times New Roman" w:hAnsi="Times New Roman" w:cs="Times New Roman"/>
          <w:noProof/>
          <w:sz w:val="24"/>
          <w:szCs w:val="24"/>
          <w:lang w:val="en-US"/>
        </w:rPr>
        <w:t xml:space="preserve">CIPD. (2021). </w:t>
      </w:r>
      <w:r w:rsidRPr="00EA742B">
        <w:rPr>
          <w:rFonts w:ascii="Times New Roman" w:hAnsi="Times New Roman" w:cs="Times New Roman"/>
          <w:i/>
          <w:iCs/>
          <w:noProof/>
          <w:sz w:val="24"/>
          <w:szCs w:val="24"/>
          <w:lang w:val="en-US"/>
        </w:rPr>
        <w:t>CIPD Good Work, UK Working Lives Survey.</w:t>
      </w:r>
      <w:r w:rsidRPr="00EA742B">
        <w:rPr>
          <w:rFonts w:ascii="Times New Roman" w:hAnsi="Times New Roman" w:cs="Times New Roman"/>
          <w:noProof/>
          <w:sz w:val="24"/>
          <w:szCs w:val="24"/>
          <w:lang w:val="en-US"/>
        </w:rPr>
        <w:t xml:space="preserve"> London, UK: Chartered Institute of Personnel and Development.</w:t>
      </w:r>
    </w:p>
    <w:p w14:paraId="09080E28"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Cox, T. (1994). Cultural Diversity in Organizations. Berrett-Koehler.</w:t>
      </w:r>
    </w:p>
    <w:p w14:paraId="7EA910AA" w14:textId="77777777" w:rsidR="006E5F78" w:rsidRPr="00EA742B" w:rsidRDefault="007C2D16" w:rsidP="006E5F78">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lang w:val="de-DE"/>
        </w:rPr>
        <w:t xml:space="preserve">Davenport, T. H., </w:t>
      </w:r>
      <w:proofErr w:type="spellStart"/>
      <w:r w:rsidRPr="00EA742B">
        <w:rPr>
          <w:rFonts w:ascii="Times New Roman" w:hAnsi="Times New Roman" w:cs="Times New Roman"/>
          <w:sz w:val="24"/>
          <w:szCs w:val="24"/>
          <w:lang w:val="de-DE"/>
        </w:rPr>
        <w:t>Guenole</w:t>
      </w:r>
      <w:proofErr w:type="spellEnd"/>
      <w:r w:rsidRPr="00EA742B">
        <w:rPr>
          <w:rFonts w:ascii="Times New Roman" w:hAnsi="Times New Roman" w:cs="Times New Roman"/>
          <w:sz w:val="24"/>
          <w:szCs w:val="24"/>
          <w:lang w:val="de-DE"/>
        </w:rPr>
        <w:t xml:space="preserve">, N., Laursen, G., &amp; Tucker, D. (2018). </w:t>
      </w:r>
      <w:r w:rsidRPr="00EA742B">
        <w:rPr>
          <w:rFonts w:ascii="Times New Roman" w:hAnsi="Times New Roman" w:cs="Times New Roman"/>
          <w:sz w:val="24"/>
          <w:szCs w:val="24"/>
        </w:rPr>
        <w:t>Algorithm-Driven HR Decision Making. MIT Sloan Management Review.</w:t>
      </w:r>
    </w:p>
    <w:p w14:paraId="648DA86B" w14:textId="295795F1" w:rsidR="003A26B4" w:rsidRPr="003A26B4" w:rsidRDefault="003A26B4" w:rsidP="007C2D16">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3A26B4">
        <w:rPr>
          <w:rFonts w:ascii="Times New Roman" w:hAnsi="Times New Roman" w:cs="Times New Roman"/>
          <w:noProof/>
          <w:color w:val="000000" w:themeColor="text1"/>
          <w:sz w:val="24"/>
          <w:szCs w:val="24"/>
          <w:lang w:val="en-US"/>
        </w:rPr>
        <w:t xml:space="preserve">Deloitte Insight. (2021). </w:t>
      </w:r>
      <w:r w:rsidRPr="003A26B4">
        <w:rPr>
          <w:rFonts w:ascii="Times New Roman" w:hAnsi="Times New Roman" w:cs="Times New Roman"/>
          <w:i/>
          <w:iCs/>
          <w:noProof/>
          <w:color w:val="000000" w:themeColor="text1"/>
          <w:sz w:val="24"/>
          <w:szCs w:val="24"/>
          <w:lang w:val="en-US"/>
        </w:rPr>
        <w:t>Global Human Capital Trends 2021</w:t>
      </w:r>
      <w:r w:rsidRPr="003A26B4">
        <w:rPr>
          <w:rFonts w:ascii="Times New Roman" w:hAnsi="Times New Roman" w:cs="Times New Roman"/>
          <w:noProof/>
          <w:color w:val="000000" w:themeColor="text1"/>
          <w:sz w:val="24"/>
          <w:szCs w:val="24"/>
          <w:lang w:val="en-US"/>
        </w:rPr>
        <w:t xml:space="preserve">. Retrieved from https://www2.deloitte.com/uk/en/explore/home.html: </w:t>
      </w:r>
      <w:hyperlink r:id="rId9" w:history="1">
        <w:r w:rsidRPr="003A26B4">
          <w:rPr>
            <w:rStyle w:val="Hyperlink"/>
            <w:rFonts w:ascii="Times New Roman" w:hAnsi="Times New Roman" w:cs="Times New Roman"/>
            <w:noProof/>
            <w:color w:val="000000" w:themeColor="text1"/>
            <w:sz w:val="24"/>
            <w:szCs w:val="24"/>
            <w:lang w:val="en-US"/>
          </w:rPr>
          <w:t>https://www2.deloitte.com/uk/en/pages/human-capital/articles/global-human-capital-trends-2021.html</w:t>
        </w:r>
      </w:hyperlink>
    </w:p>
    <w:p w14:paraId="1E1BAE1C" w14:textId="2CEB93B1"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Furlong, A. et al. (2021). Youth Unemployment in the UK. Journal of Youth Studies, 24(2), 156-174.</w:t>
      </w:r>
    </w:p>
    <w:p w14:paraId="26F331AE" w14:textId="3970800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proofErr w:type="spellStart"/>
      <w:r w:rsidRPr="00EA742B">
        <w:rPr>
          <w:rFonts w:ascii="Times New Roman" w:hAnsi="Times New Roman" w:cs="Times New Roman"/>
          <w:sz w:val="24"/>
          <w:szCs w:val="24"/>
        </w:rPr>
        <w:lastRenderedPageBreak/>
        <w:t>Grawitch</w:t>
      </w:r>
      <w:proofErr w:type="spellEnd"/>
      <w:r w:rsidRPr="00EA742B">
        <w:rPr>
          <w:rFonts w:ascii="Times New Roman" w:hAnsi="Times New Roman" w:cs="Times New Roman"/>
          <w:sz w:val="24"/>
          <w:szCs w:val="24"/>
        </w:rPr>
        <w:t xml:space="preserve">, M. J., Gottschalk, M., &amp; </w:t>
      </w:r>
      <w:proofErr w:type="spellStart"/>
      <w:r w:rsidRPr="00EA742B">
        <w:rPr>
          <w:rFonts w:ascii="Times New Roman" w:hAnsi="Times New Roman" w:cs="Times New Roman"/>
          <w:sz w:val="24"/>
          <w:szCs w:val="24"/>
        </w:rPr>
        <w:t>Munz</w:t>
      </w:r>
      <w:proofErr w:type="spellEnd"/>
      <w:r w:rsidRPr="00EA742B">
        <w:rPr>
          <w:rFonts w:ascii="Times New Roman" w:hAnsi="Times New Roman" w:cs="Times New Roman"/>
          <w:sz w:val="24"/>
          <w:szCs w:val="24"/>
        </w:rPr>
        <w:t>, D. C. (200</w:t>
      </w:r>
      <w:r w:rsidR="005F04F7">
        <w:rPr>
          <w:rFonts w:ascii="Times New Roman" w:hAnsi="Times New Roman" w:cs="Times New Roman"/>
          <w:sz w:val="24"/>
          <w:szCs w:val="24"/>
        </w:rPr>
        <w:t>6</w:t>
      </w:r>
      <w:r w:rsidRPr="00EA742B">
        <w:rPr>
          <w:rFonts w:ascii="Times New Roman" w:hAnsi="Times New Roman" w:cs="Times New Roman"/>
          <w:sz w:val="24"/>
          <w:szCs w:val="24"/>
        </w:rPr>
        <w:t>). The Path to a Healthy Workplace. Consulting Psychology Journal: Practice and Research, 5</w:t>
      </w:r>
      <w:r w:rsidR="005F04F7">
        <w:rPr>
          <w:rFonts w:ascii="Times New Roman" w:hAnsi="Times New Roman" w:cs="Times New Roman"/>
          <w:sz w:val="24"/>
          <w:szCs w:val="24"/>
        </w:rPr>
        <w:t>8</w:t>
      </w:r>
      <w:r w:rsidRPr="00EA742B">
        <w:rPr>
          <w:rFonts w:ascii="Times New Roman" w:hAnsi="Times New Roman" w:cs="Times New Roman"/>
          <w:sz w:val="24"/>
          <w:szCs w:val="24"/>
        </w:rPr>
        <w:t>(</w:t>
      </w:r>
      <w:r w:rsidR="005F04F7">
        <w:rPr>
          <w:rFonts w:ascii="Times New Roman" w:hAnsi="Times New Roman" w:cs="Times New Roman"/>
          <w:sz w:val="24"/>
          <w:szCs w:val="24"/>
        </w:rPr>
        <w:t>3</w:t>
      </w:r>
      <w:r w:rsidRPr="00EA742B">
        <w:rPr>
          <w:rFonts w:ascii="Times New Roman" w:hAnsi="Times New Roman" w:cs="Times New Roman"/>
          <w:sz w:val="24"/>
          <w:szCs w:val="24"/>
        </w:rPr>
        <w:t>), 129-147.</w:t>
      </w:r>
    </w:p>
    <w:p w14:paraId="5AC59AF4"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Gupta, A., &amp; Sharma, A. K. (2020). Predictive Analytics in Human Resource Management. Human Resource Management International Digest.</w:t>
      </w:r>
    </w:p>
    <w:p w14:paraId="69D66C10" w14:textId="3071B028" w:rsidR="007C2D16" w:rsidRPr="00EA742B" w:rsidRDefault="007C2D16" w:rsidP="007C2D16">
      <w:pPr>
        <w:pStyle w:val="ListParagraph"/>
        <w:numPr>
          <w:ilvl w:val="0"/>
          <w:numId w:val="1"/>
        </w:numPr>
        <w:spacing w:after="0" w:line="360" w:lineRule="auto"/>
        <w:jc w:val="both"/>
        <w:rPr>
          <w:rFonts w:ascii="Times New Roman" w:hAnsi="Times New Roman" w:cs="Times New Roman"/>
          <w:bCs/>
          <w:sz w:val="24"/>
          <w:szCs w:val="24"/>
        </w:rPr>
      </w:pPr>
      <w:r w:rsidRPr="00EA742B">
        <w:rPr>
          <w:rFonts w:ascii="Times New Roman" w:hAnsi="Times New Roman" w:cs="Times New Roman"/>
          <w:bCs/>
          <w:sz w:val="24"/>
          <w:szCs w:val="24"/>
        </w:rPr>
        <w:t xml:space="preserve">HM Treasury (2020). COVID-19 Support Measures. </w:t>
      </w:r>
      <w:r w:rsidR="00EA742B" w:rsidRPr="00EA742B">
        <w:rPr>
          <w:rFonts w:ascii="Times New Roman" w:hAnsi="Times New Roman" w:cs="Times New Roman"/>
          <w:bCs/>
          <w:sz w:val="24"/>
          <w:szCs w:val="24"/>
        </w:rPr>
        <w:t>[online] available at</w:t>
      </w:r>
      <w:r w:rsidRPr="00EA742B">
        <w:rPr>
          <w:rFonts w:ascii="Times New Roman" w:hAnsi="Times New Roman" w:cs="Times New Roman"/>
          <w:bCs/>
          <w:sz w:val="24"/>
          <w:szCs w:val="24"/>
        </w:rPr>
        <w:t xml:space="preserve"> https://www.gov.uk</w:t>
      </w:r>
      <w:r w:rsidR="00EA742B" w:rsidRPr="00EA742B">
        <w:rPr>
          <w:rFonts w:ascii="Times New Roman" w:hAnsi="Times New Roman" w:cs="Times New Roman"/>
          <w:bCs/>
          <w:sz w:val="24"/>
          <w:szCs w:val="24"/>
        </w:rPr>
        <w:t>.</w:t>
      </w:r>
    </w:p>
    <w:p w14:paraId="61FC9174"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lang w:val="de-DE"/>
        </w:rPr>
        <w:t xml:space="preserve">Jackson, S. E., Schuler, R. S., &amp; Jiang, K. (2014). </w:t>
      </w:r>
      <w:r w:rsidRPr="00EA742B">
        <w:rPr>
          <w:rFonts w:ascii="Times New Roman" w:hAnsi="Times New Roman" w:cs="Times New Roman"/>
          <w:sz w:val="24"/>
          <w:szCs w:val="24"/>
        </w:rPr>
        <w:t>An Aspirational Framework for Strategic Human Resource Management. The Academy of Management Annals, 8(1), 1-56.</w:t>
      </w:r>
    </w:p>
    <w:p w14:paraId="316501B5"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Nishii, L. (2013). The Benefits of Climate for Inclusion. Journal of Applied Psychology, 98(6), 998-1003.</w:t>
      </w:r>
    </w:p>
    <w:p w14:paraId="0AFF4C2E" w14:textId="59AFEC45" w:rsidR="007C2D16" w:rsidRPr="00EA742B" w:rsidRDefault="007C2D16" w:rsidP="007C2D16">
      <w:pPr>
        <w:pStyle w:val="ListParagraph"/>
        <w:numPr>
          <w:ilvl w:val="0"/>
          <w:numId w:val="1"/>
        </w:numPr>
        <w:spacing w:after="0" w:line="360" w:lineRule="auto"/>
        <w:jc w:val="both"/>
        <w:rPr>
          <w:rFonts w:ascii="Times New Roman" w:hAnsi="Times New Roman" w:cs="Times New Roman"/>
          <w:bCs/>
          <w:sz w:val="24"/>
          <w:szCs w:val="24"/>
        </w:rPr>
      </w:pPr>
      <w:r w:rsidRPr="00EA742B">
        <w:rPr>
          <w:rFonts w:ascii="Times New Roman" w:hAnsi="Times New Roman" w:cs="Times New Roman"/>
          <w:bCs/>
          <w:sz w:val="24"/>
          <w:szCs w:val="24"/>
        </w:rPr>
        <w:t>OECD (2021). Economic Survey of the United Kingdom.</w:t>
      </w:r>
      <w:r w:rsidR="00EA742B" w:rsidRPr="00EA742B">
        <w:rPr>
          <w:rFonts w:ascii="Times New Roman" w:hAnsi="Times New Roman" w:cs="Times New Roman"/>
          <w:bCs/>
          <w:sz w:val="24"/>
          <w:szCs w:val="24"/>
        </w:rPr>
        <w:t xml:space="preserve"> [online] available at </w:t>
      </w:r>
      <w:r w:rsidRPr="00EA742B">
        <w:rPr>
          <w:rFonts w:ascii="Times New Roman" w:hAnsi="Times New Roman" w:cs="Times New Roman"/>
          <w:bCs/>
          <w:sz w:val="24"/>
          <w:szCs w:val="24"/>
        </w:rPr>
        <w:t>https://www.oecd.org</w:t>
      </w:r>
    </w:p>
    <w:p w14:paraId="7F1A48DD"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Oliver, T. (2020). Brexit: What Next? Political Quarterly, 91(1), 52-60.</w:t>
      </w:r>
    </w:p>
    <w:p w14:paraId="3DA92089" w14:textId="72FFFE1D" w:rsidR="007C2D16" w:rsidRPr="00EA742B" w:rsidRDefault="007C2D16" w:rsidP="007C2D16">
      <w:pPr>
        <w:pStyle w:val="ListParagraph"/>
        <w:numPr>
          <w:ilvl w:val="0"/>
          <w:numId w:val="1"/>
        </w:numPr>
        <w:spacing w:after="0" w:line="360" w:lineRule="auto"/>
        <w:jc w:val="both"/>
        <w:rPr>
          <w:rFonts w:ascii="Times New Roman" w:hAnsi="Times New Roman" w:cs="Times New Roman"/>
          <w:bCs/>
          <w:sz w:val="24"/>
          <w:szCs w:val="24"/>
        </w:rPr>
      </w:pPr>
      <w:r w:rsidRPr="00EA742B">
        <w:rPr>
          <w:rFonts w:ascii="Times New Roman" w:hAnsi="Times New Roman" w:cs="Times New Roman"/>
          <w:bCs/>
          <w:sz w:val="24"/>
          <w:szCs w:val="24"/>
        </w:rPr>
        <w:t xml:space="preserve">ONS (2022). UK Labour Market: Latest Trends and Analysis. Office for National Statistics. </w:t>
      </w:r>
      <w:r w:rsidR="00EA742B" w:rsidRPr="00EA742B">
        <w:rPr>
          <w:rFonts w:ascii="Times New Roman" w:hAnsi="Times New Roman" w:cs="Times New Roman"/>
          <w:bCs/>
          <w:sz w:val="24"/>
          <w:szCs w:val="24"/>
        </w:rPr>
        <w:t xml:space="preserve">[online] available at </w:t>
      </w:r>
      <w:r w:rsidRPr="00EA742B">
        <w:rPr>
          <w:rFonts w:ascii="Times New Roman" w:hAnsi="Times New Roman" w:cs="Times New Roman"/>
          <w:bCs/>
          <w:sz w:val="24"/>
          <w:szCs w:val="24"/>
        </w:rPr>
        <w:t>https://www.ons.gov.uk</w:t>
      </w:r>
    </w:p>
    <w:p w14:paraId="0FAD3F83"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 xml:space="preserve">Pfeffer, J. (2018). Dying for a </w:t>
      </w:r>
      <w:proofErr w:type="spellStart"/>
      <w:r w:rsidRPr="00EA742B">
        <w:rPr>
          <w:rFonts w:ascii="Times New Roman" w:hAnsi="Times New Roman" w:cs="Times New Roman"/>
          <w:sz w:val="24"/>
          <w:szCs w:val="24"/>
        </w:rPr>
        <w:t>Paycheck</w:t>
      </w:r>
      <w:proofErr w:type="spellEnd"/>
      <w:r w:rsidRPr="00EA742B">
        <w:rPr>
          <w:rFonts w:ascii="Times New Roman" w:hAnsi="Times New Roman" w:cs="Times New Roman"/>
          <w:sz w:val="24"/>
          <w:szCs w:val="24"/>
        </w:rPr>
        <w:t>. HarperCollins.</w:t>
      </w:r>
    </w:p>
    <w:p w14:paraId="046A4807"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Plunkett, J., &amp; Gardiner, L. (2021). Shifting Sands: An Interim Report on the UK Labour Market. Resolution Foundation.</w:t>
      </w:r>
    </w:p>
    <w:p w14:paraId="7C59FA4C" w14:textId="0509916F"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proofErr w:type="spellStart"/>
      <w:r w:rsidRPr="00EA742B">
        <w:rPr>
          <w:rFonts w:ascii="Times New Roman" w:hAnsi="Times New Roman" w:cs="Times New Roman"/>
          <w:sz w:val="24"/>
          <w:szCs w:val="24"/>
        </w:rPr>
        <w:t>Portes</w:t>
      </w:r>
      <w:proofErr w:type="spellEnd"/>
      <w:r w:rsidRPr="00EA742B">
        <w:rPr>
          <w:rFonts w:ascii="Times New Roman" w:hAnsi="Times New Roman" w:cs="Times New Roman"/>
          <w:sz w:val="24"/>
          <w:szCs w:val="24"/>
        </w:rPr>
        <w:t>, J. (2018). The Economic Impact of Brexit: Jobs, Growth and the Public Finances. European Journal of Political Economy, 47, 11-20.</w:t>
      </w:r>
    </w:p>
    <w:p w14:paraId="22E439EF"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r w:rsidRPr="00EA742B">
        <w:rPr>
          <w:rFonts w:ascii="Times New Roman" w:hAnsi="Times New Roman" w:cs="Times New Roman"/>
          <w:sz w:val="24"/>
          <w:szCs w:val="24"/>
        </w:rPr>
        <w:t>Smith, J., &amp; Thomas, R. (2020). Brexit and the Labour Market: Challenges and Opportunities. Oxford Economics Journal, 22(4), 345-367.</w:t>
      </w:r>
    </w:p>
    <w:p w14:paraId="288F5746" w14:textId="77777777" w:rsidR="007C2D16" w:rsidRPr="00EA742B" w:rsidRDefault="007C2D16" w:rsidP="007C2D16">
      <w:pPr>
        <w:pStyle w:val="ListParagraph"/>
        <w:numPr>
          <w:ilvl w:val="0"/>
          <w:numId w:val="1"/>
        </w:numPr>
        <w:spacing w:after="0" w:line="360" w:lineRule="auto"/>
        <w:jc w:val="both"/>
        <w:rPr>
          <w:rFonts w:ascii="Times New Roman" w:hAnsi="Times New Roman" w:cs="Times New Roman"/>
          <w:sz w:val="24"/>
          <w:szCs w:val="24"/>
        </w:rPr>
      </w:pPr>
      <w:proofErr w:type="spellStart"/>
      <w:r w:rsidRPr="00EA742B">
        <w:rPr>
          <w:rFonts w:ascii="Times New Roman" w:hAnsi="Times New Roman" w:cs="Times New Roman"/>
          <w:sz w:val="24"/>
          <w:szCs w:val="24"/>
        </w:rPr>
        <w:t>Springford</w:t>
      </w:r>
      <w:proofErr w:type="spellEnd"/>
      <w:r w:rsidRPr="00EA742B">
        <w:rPr>
          <w:rFonts w:ascii="Times New Roman" w:hAnsi="Times New Roman" w:cs="Times New Roman"/>
          <w:sz w:val="24"/>
          <w:szCs w:val="24"/>
        </w:rPr>
        <w:t>, J., &amp; Tilford, S. (2020). Brexit: The Economic Consequences. Centre for European Reform.</w:t>
      </w:r>
    </w:p>
    <w:p w14:paraId="1E13DCEB" w14:textId="6455D5E5" w:rsidR="007C2D16" w:rsidRPr="00EA742B" w:rsidRDefault="007C2D16" w:rsidP="007C2D16">
      <w:pPr>
        <w:pStyle w:val="ListParagraph"/>
        <w:numPr>
          <w:ilvl w:val="0"/>
          <w:numId w:val="1"/>
        </w:numPr>
        <w:spacing w:after="0" w:line="360" w:lineRule="auto"/>
        <w:jc w:val="both"/>
        <w:rPr>
          <w:rFonts w:ascii="Times New Roman" w:hAnsi="Times New Roman" w:cs="Times New Roman"/>
          <w:bCs/>
          <w:sz w:val="20"/>
          <w:szCs w:val="20"/>
        </w:rPr>
      </w:pPr>
      <w:r w:rsidRPr="00EA742B">
        <w:rPr>
          <w:rFonts w:ascii="Times New Roman" w:hAnsi="Times New Roman" w:cs="Times New Roman"/>
          <w:bCs/>
          <w:sz w:val="24"/>
          <w:szCs w:val="24"/>
        </w:rPr>
        <w:t>World Economic Forum (2019). Towards a Reskilling Revolution.</w:t>
      </w:r>
      <w:r w:rsidRPr="00EA742B">
        <w:rPr>
          <w:rFonts w:ascii="Times New Roman" w:hAnsi="Times New Roman" w:cs="Times New Roman"/>
          <w:bCs/>
          <w:sz w:val="20"/>
          <w:szCs w:val="20"/>
        </w:rPr>
        <w:t xml:space="preserve"> </w:t>
      </w:r>
    </w:p>
    <w:p w14:paraId="342ECC02" w14:textId="77777777" w:rsidR="009B3968" w:rsidRPr="008B6258" w:rsidRDefault="009B3968" w:rsidP="009B3968">
      <w:pPr>
        <w:spacing w:after="0" w:line="360" w:lineRule="auto"/>
        <w:jc w:val="both"/>
        <w:rPr>
          <w:rFonts w:ascii="Times New Roman" w:hAnsi="Times New Roman" w:cs="Times New Roman"/>
          <w:sz w:val="24"/>
          <w:szCs w:val="24"/>
        </w:rPr>
      </w:pPr>
    </w:p>
    <w:sectPr w:rsidR="009B3968" w:rsidRPr="008B6258" w:rsidSect="008C490D">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714CF" w14:textId="77777777" w:rsidR="0063587B" w:rsidRDefault="0063587B" w:rsidP="009B3968">
      <w:pPr>
        <w:spacing w:after="0" w:line="240" w:lineRule="auto"/>
      </w:pPr>
      <w:r>
        <w:separator/>
      </w:r>
    </w:p>
  </w:endnote>
  <w:endnote w:type="continuationSeparator" w:id="0">
    <w:p w14:paraId="0357FCEE" w14:textId="77777777" w:rsidR="0063587B" w:rsidRDefault="0063587B" w:rsidP="009B3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782124"/>
      <w:docPartObj>
        <w:docPartGallery w:val="Page Numbers (Bottom of Page)"/>
        <w:docPartUnique/>
      </w:docPartObj>
    </w:sdtPr>
    <w:sdtEndPr>
      <w:rPr>
        <w:noProof/>
      </w:rPr>
    </w:sdtEndPr>
    <w:sdtContent>
      <w:p w14:paraId="08C04B71" w14:textId="0C173870" w:rsidR="00F32DBD" w:rsidRDefault="00F32D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8A2234" w14:textId="77777777" w:rsidR="009B3968" w:rsidRDefault="009B3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CEDE9" w14:textId="77777777" w:rsidR="0063587B" w:rsidRDefault="0063587B" w:rsidP="009B3968">
      <w:pPr>
        <w:spacing w:after="0" w:line="240" w:lineRule="auto"/>
      </w:pPr>
      <w:r>
        <w:separator/>
      </w:r>
    </w:p>
  </w:footnote>
  <w:footnote w:type="continuationSeparator" w:id="0">
    <w:p w14:paraId="3B20C046" w14:textId="77777777" w:rsidR="0063587B" w:rsidRDefault="0063587B" w:rsidP="009B39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C03726"/>
    <w:multiLevelType w:val="hybridMultilevel"/>
    <w:tmpl w:val="E394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165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2D95"/>
    <w:rsid w:val="00062289"/>
    <w:rsid w:val="000D1BFE"/>
    <w:rsid w:val="00107042"/>
    <w:rsid w:val="00163F36"/>
    <w:rsid w:val="00184F90"/>
    <w:rsid w:val="001A19AA"/>
    <w:rsid w:val="001E29BE"/>
    <w:rsid w:val="0028213C"/>
    <w:rsid w:val="00294059"/>
    <w:rsid w:val="003A26B4"/>
    <w:rsid w:val="00596DA4"/>
    <w:rsid w:val="005D5098"/>
    <w:rsid w:val="005F04F7"/>
    <w:rsid w:val="006241C8"/>
    <w:rsid w:val="0063587B"/>
    <w:rsid w:val="006751F9"/>
    <w:rsid w:val="006E5F78"/>
    <w:rsid w:val="00776DDC"/>
    <w:rsid w:val="007C2D16"/>
    <w:rsid w:val="007E2D37"/>
    <w:rsid w:val="00862BE0"/>
    <w:rsid w:val="008B520F"/>
    <w:rsid w:val="008B6258"/>
    <w:rsid w:val="008C490D"/>
    <w:rsid w:val="00924E10"/>
    <w:rsid w:val="00936713"/>
    <w:rsid w:val="009B3968"/>
    <w:rsid w:val="00BE5C19"/>
    <w:rsid w:val="00BF7313"/>
    <w:rsid w:val="00C72D95"/>
    <w:rsid w:val="00CF5BB9"/>
    <w:rsid w:val="00E17306"/>
    <w:rsid w:val="00E46D90"/>
    <w:rsid w:val="00EA742B"/>
    <w:rsid w:val="00F32DBD"/>
    <w:rsid w:val="00FD72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A681"/>
  <w15:docId w15:val="{749D58DF-E810-461E-AACD-F0DB17B1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D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C72D95"/>
    <w:rPr>
      <w:color w:val="0563C1" w:themeColor="hyperlink"/>
      <w:u w:val="single"/>
    </w:rPr>
  </w:style>
  <w:style w:type="paragraph" w:styleId="TOC1">
    <w:name w:val="toc 1"/>
    <w:basedOn w:val="Normal"/>
    <w:next w:val="Normal"/>
    <w:uiPriority w:val="39"/>
    <w:unhideWhenUsed/>
    <w:qFormat/>
    <w:rsid w:val="00C72D95"/>
    <w:pPr>
      <w:spacing w:after="100" w:line="276" w:lineRule="auto"/>
    </w:pPr>
    <w:rPr>
      <w:rFonts w:ascii="Arial" w:eastAsia="Arial" w:hAnsi="Arial" w:cs="Arial"/>
      <w:kern w:val="0"/>
      <w:lang w:val="en-IN" w:eastAsia="en-IN"/>
      <w14:ligatures w14:val="none"/>
    </w:rPr>
  </w:style>
  <w:style w:type="paragraph" w:customStyle="1" w:styleId="TOCHeading1">
    <w:name w:val="TOC Heading1"/>
    <w:basedOn w:val="Heading1"/>
    <w:next w:val="Normal"/>
    <w:uiPriority w:val="39"/>
    <w:unhideWhenUsed/>
    <w:qFormat/>
    <w:rsid w:val="00C72D95"/>
    <w:pPr>
      <w:outlineLvl w:val="9"/>
    </w:pPr>
    <w:rPr>
      <w:kern w:val="0"/>
      <w:lang w:val="en-US"/>
      <w14:ligatures w14:val="none"/>
    </w:rPr>
  </w:style>
  <w:style w:type="character" w:customStyle="1" w:styleId="Heading1Char">
    <w:name w:val="Heading 1 Char"/>
    <w:basedOn w:val="DefaultParagraphFont"/>
    <w:link w:val="Heading1"/>
    <w:uiPriority w:val="9"/>
    <w:rsid w:val="00C72D9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B39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968"/>
  </w:style>
  <w:style w:type="paragraph" w:styleId="Footer">
    <w:name w:val="footer"/>
    <w:basedOn w:val="Normal"/>
    <w:link w:val="FooterChar"/>
    <w:uiPriority w:val="99"/>
    <w:unhideWhenUsed/>
    <w:rsid w:val="009B39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968"/>
  </w:style>
  <w:style w:type="paragraph" w:styleId="ListParagraph">
    <w:name w:val="List Paragraph"/>
    <w:basedOn w:val="Normal"/>
    <w:uiPriority w:val="34"/>
    <w:qFormat/>
    <w:rsid w:val="007C2D16"/>
    <w:pPr>
      <w:ind w:left="720"/>
      <w:contextualSpacing/>
    </w:pPr>
  </w:style>
  <w:style w:type="paragraph" w:styleId="BalloonText">
    <w:name w:val="Balloon Text"/>
    <w:basedOn w:val="Normal"/>
    <w:link w:val="BalloonTextChar"/>
    <w:uiPriority w:val="99"/>
    <w:semiHidden/>
    <w:unhideWhenUsed/>
    <w:rsid w:val="00CF5B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BB9"/>
    <w:rPr>
      <w:rFonts w:ascii="Tahoma" w:hAnsi="Tahoma" w:cs="Tahoma"/>
      <w:sz w:val="16"/>
      <w:szCs w:val="16"/>
    </w:rPr>
  </w:style>
  <w:style w:type="paragraph" w:styleId="Bibliography">
    <w:name w:val="Bibliography"/>
    <w:basedOn w:val="Normal"/>
    <w:next w:val="Normal"/>
    <w:uiPriority w:val="37"/>
    <w:unhideWhenUsed/>
    <w:rsid w:val="00294059"/>
    <w:rPr>
      <w:lang w:val="en-IN"/>
    </w:rPr>
  </w:style>
  <w:style w:type="character" w:styleId="UnresolvedMention">
    <w:name w:val="Unresolved Mention"/>
    <w:basedOn w:val="DefaultParagraphFont"/>
    <w:uiPriority w:val="99"/>
    <w:semiHidden/>
    <w:unhideWhenUsed/>
    <w:rsid w:val="003A2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2.deloitte.com/uk/en/pages/human-capital/articles/global-human-capital-trends-202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Ban22</b:Tag>
    <b:SourceType>InternetSite</b:SourceType>
    <b:Guid>{979AEB1D-CD86-4550-8E59-C9C6A0A54516}</b:Guid>
    <b:Title>Monetary Policy Report - August 2022</b:Title>
    <b:Year>2022</b:Year>
    <b:Author>
      <b:Author>
        <b:Corporate>Bank of England</b:Corporate>
      </b:Author>
    </b:Author>
    <b:InternetSiteTitle>https://www.bankofengland.co.uk/</b:InternetSiteTitle>
    <b:Month>08</b:Month>
    <b:Day>04</b:Day>
    <b:URL>https://www.bankofengland.co.uk/monetary-policy-report/2022/august-2022</b:URL>
    <b:RefOrder>1</b:RefOrder>
  </b:Source>
</b:Sources>
</file>

<file path=customXml/itemProps1.xml><?xml version="1.0" encoding="utf-8"?>
<ds:datastoreItem xmlns:ds="http://schemas.openxmlformats.org/officeDocument/2006/customXml" ds:itemID="{783A0305-D998-4259-8DAD-205C9F556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3095</Words>
  <Characters>17644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Jitendra Gohel (2242698)</cp:lastModifiedBy>
  <cp:revision>13</cp:revision>
  <dcterms:created xsi:type="dcterms:W3CDTF">2023-08-19T11:37:00Z</dcterms:created>
  <dcterms:modified xsi:type="dcterms:W3CDTF">2023-08-21T20:24:00Z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46c198a7e61da8495124f7bf03264e2d632df4b1fdf95b8c283dbf2945d02e7f</vt:lpwstr>
  </property>
</Properties>
</file>