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C5ED9" w14:textId="77777777" w:rsidR="00FE09DC" w:rsidRDefault="00FE09DC" w:rsidP="00010059">
      <w:pPr>
        <w:spacing w:line="360" w:lineRule="auto"/>
        <w:jc w:val="both"/>
        <w:rPr>
          <w:rFonts w:ascii="Arial" w:hAnsi="Arial" w:cs="Arial"/>
          <w:b/>
          <w:bCs/>
        </w:rPr>
      </w:pPr>
    </w:p>
    <w:p w14:paraId="57AECD64" w14:textId="77777777" w:rsidR="00FE09DC" w:rsidRDefault="00FE09DC" w:rsidP="00010059">
      <w:pPr>
        <w:spacing w:line="360" w:lineRule="auto"/>
        <w:jc w:val="both"/>
        <w:rPr>
          <w:rFonts w:ascii="Arial" w:hAnsi="Arial" w:cs="Arial"/>
          <w:b/>
          <w:bCs/>
        </w:rPr>
      </w:pPr>
    </w:p>
    <w:p w14:paraId="71FB8EB7" w14:textId="77777777" w:rsidR="00FE09DC" w:rsidRDefault="00FE09DC" w:rsidP="00010059">
      <w:pPr>
        <w:spacing w:line="360" w:lineRule="auto"/>
        <w:jc w:val="both"/>
        <w:rPr>
          <w:rFonts w:ascii="Arial" w:hAnsi="Arial" w:cs="Arial"/>
          <w:b/>
          <w:bCs/>
        </w:rPr>
      </w:pPr>
    </w:p>
    <w:p w14:paraId="1A0705C2" w14:textId="680A6618" w:rsidR="00EF60B4" w:rsidRDefault="00FE09DC" w:rsidP="00010059">
      <w:pPr>
        <w:spacing w:line="360" w:lineRule="auto"/>
        <w:jc w:val="both"/>
        <w:rPr>
          <w:rFonts w:ascii="Arial" w:hAnsi="Arial" w:cs="Arial"/>
          <w:b/>
          <w:bCs/>
        </w:rPr>
      </w:pPr>
      <w:r>
        <w:rPr>
          <w:rFonts w:ascii="Arial" w:hAnsi="Arial" w:cs="Arial"/>
          <w:b/>
          <w:bCs/>
          <w:noProof/>
        </w:rPr>
        <w:drawing>
          <wp:inline distT="0" distB="0" distL="0" distR="0" wp14:anchorId="5C8A91BA" wp14:editId="72FAD33C">
            <wp:extent cx="3590925" cy="1162050"/>
            <wp:effectExtent l="0" t="0" r="9525" b="0"/>
            <wp:docPr id="1072229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0925" cy="1162050"/>
                    </a:xfrm>
                    <a:prstGeom prst="rect">
                      <a:avLst/>
                    </a:prstGeom>
                    <a:noFill/>
                  </pic:spPr>
                </pic:pic>
              </a:graphicData>
            </a:graphic>
          </wp:inline>
        </w:drawing>
      </w:r>
    </w:p>
    <w:p w14:paraId="64085EEB" w14:textId="0624481E" w:rsidR="00FE09DC" w:rsidRDefault="00FE09DC" w:rsidP="00010059">
      <w:pPr>
        <w:spacing w:line="360" w:lineRule="auto"/>
        <w:jc w:val="both"/>
        <w:rPr>
          <w:rFonts w:ascii="Arial" w:hAnsi="Arial" w:cs="Arial"/>
          <w:b/>
          <w:bCs/>
        </w:rPr>
      </w:pPr>
      <w:r>
        <w:rPr>
          <w:noProof/>
        </w:rPr>
        <mc:AlternateContent>
          <mc:Choice Requires="wps">
            <w:drawing>
              <wp:inline distT="0" distB="0" distL="0" distR="0" wp14:anchorId="1450D637" wp14:editId="01CBE531">
                <wp:extent cx="307340" cy="307340"/>
                <wp:effectExtent l="0" t="0" r="0" b="0"/>
                <wp:docPr id="527894103" name="Rectangle 2" descr="Image result for logo of uwts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5823DD" id="Rectangle 2" o:spid="_x0000_s1026" alt="Image result for logo of uwtsd"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4D405345" w14:textId="77777777" w:rsidR="00061028" w:rsidRPr="00061028" w:rsidRDefault="00FE09DC" w:rsidP="00061028">
      <w:pPr>
        <w:spacing w:line="360" w:lineRule="auto"/>
        <w:jc w:val="center"/>
        <w:rPr>
          <w:rFonts w:ascii="Arial" w:hAnsi="Arial" w:cs="Arial"/>
          <w:b/>
          <w:bCs/>
          <w:sz w:val="48"/>
          <w:szCs w:val="48"/>
        </w:rPr>
      </w:pPr>
      <w:r w:rsidRPr="00FE09DC">
        <w:rPr>
          <w:rFonts w:ascii="Arial" w:hAnsi="Arial" w:cs="Arial"/>
          <w:b/>
          <w:bCs/>
          <w:sz w:val="48"/>
          <w:szCs w:val="48"/>
        </w:rPr>
        <w:t xml:space="preserve">Psychology in Health and Social Care </w:t>
      </w:r>
    </w:p>
    <w:p w14:paraId="43C4E1B4" w14:textId="5BB1C0DA" w:rsidR="00FE09DC" w:rsidRPr="00FE09DC" w:rsidRDefault="00FE09DC" w:rsidP="00061028">
      <w:pPr>
        <w:spacing w:line="360" w:lineRule="auto"/>
        <w:rPr>
          <w:rFonts w:ascii="Arial" w:hAnsi="Arial" w:cs="Arial"/>
          <w:b/>
          <w:bCs/>
          <w:sz w:val="40"/>
          <w:szCs w:val="40"/>
        </w:rPr>
      </w:pPr>
      <w:r w:rsidRPr="00FE09DC">
        <w:rPr>
          <w:rFonts w:ascii="Arial" w:hAnsi="Arial" w:cs="Arial"/>
          <w:b/>
          <w:bCs/>
          <w:sz w:val="40"/>
          <w:szCs w:val="40"/>
        </w:rPr>
        <w:t>LCHS4010 Component 2: Written task – report</w:t>
      </w:r>
    </w:p>
    <w:p w14:paraId="7313921A" w14:textId="76404DAB" w:rsidR="00FE09DC" w:rsidRPr="00FE09DC" w:rsidRDefault="00FE09DC" w:rsidP="00FE09DC">
      <w:pPr>
        <w:spacing w:line="360" w:lineRule="auto"/>
        <w:jc w:val="both"/>
        <w:rPr>
          <w:rFonts w:ascii="Arial" w:hAnsi="Arial" w:cs="Arial"/>
          <w:b/>
          <w:bCs/>
          <w:sz w:val="40"/>
          <w:szCs w:val="40"/>
        </w:rPr>
      </w:pPr>
      <w:r w:rsidRPr="00FE09DC">
        <w:rPr>
          <w:rFonts w:ascii="Arial" w:hAnsi="Arial" w:cs="Arial"/>
          <w:b/>
          <w:bCs/>
          <w:sz w:val="40"/>
          <w:szCs w:val="40"/>
        </w:rPr>
        <w:t>Student name:</w:t>
      </w:r>
      <w:r w:rsidR="00061028">
        <w:rPr>
          <w:rFonts w:ascii="Arial" w:hAnsi="Arial" w:cs="Arial"/>
          <w:b/>
          <w:bCs/>
          <w:sz w:val="40"/>
          <w:szCs w:val="40"/>
        </w:rPr>
        <w:t xml:space="preserve"> </w:t>
      </w:r>
      <w:r w:rsidR="00061028" w:rsidRPr="00061028">
        <w:rPr>
          <w:rFonts w:ascii="Arial" w:hAnsi="Arial" w:cs="Arial"/>
          <w:sz w:val="40"/>
          <w:szCs w:val="40"/>
        </w:rPr>
        <w:t>Bolo Viviane Goubo</w:t>
      </w:r>
    </w:p>
    <w:p w14:paraId="50D8D5DF" w14:textId="2D192987" w:rsidR="00FE09DC" w:rsidRPr="00FE09DC" w:rsidRDefault="00FE09DC" w:rsidP="00FE09DC">
      <w:pPr>
        <w:spacing w:line="360" w:lineRule="auto"/>
        <w:jc w:val="both"/>
        <w:rPr>
          <w:rFonts w:ascii="Arial" w:hAnsi="Arial" w:cs="Arial"/>
          <w:sz w:val="40"/>
          <w:szCs w:val="40"/>
        </w:rPr>
      </w:pPr>
      <w:r w:rsidRPr="00FE09DC">
        <w:rPr>
          <w:rFonts w:ascii="Arial" w:hAnsi="Arial" w:cs="Arial"/>
          <w:b/>
          <w:bCs/>
          <w:sz w:val="40"/>
          <w:szCs w:val="40"/>
        </w:rPr>
        <w:t>Student ID:</w:t>
      </w:r>
      <w:r w:rsidR="00061028">
        <w:rPr>
          <w:rFonts w:ascii="Arial" w:hAnsi="Arial" w:cs="Arial"/>
          <w:b/>
          <w:bCs/>
          <w:sz w:val="40"/>
          <w:szCs w:val="40"/>
        </w:rPr>
        <w:t xml:space="preserve"> </w:t>
      </w:r>
      <w:r w:rsidR="00061028" w:rsidRPr="00061028">
        <w:rPr>
          <w:rFonts w:ascii="Arial" w:hAnsi="Arial" w:cs="Arial"/>
          <w:sz w:val="40"/>
          <w:szCs w:val="40"/>
        </w:rPr>
        <w:t>2424588</w:t>
      </w:r>
    </w:p>
    <w:p w14:paraId="2991B18B" w14:textId="77777777" w:rsidR="00FE09DC" w:rsidRPr="00FE09DC" w:rsidRDefault="00FE09DC" w:rsidP="00FE09DC">
      <w:pPr>
        <w:spacing w:line="360" w:lineRule="auto"/>
        <w:jc w:val="both"/>
        <w:rPr>
          <w:rFonts w:ascii="Arial" w:hAnsi="Arial" w:cs="Arial"/>
          <w:b/>
          <w:bCs/>
          <w:sz w:val="40"/>
          <w:szCs w:val="40"/>
        </w:rPr>
      </w:pPr>
      <w:r w:rsidRPr="00FE09DC">
        <w:rPr>
          <w:rFonts w:ascii="Arial" w:hAnsi="Arial" w:cs="Arial"/>
          <w:b/>
          <w:bCs/>
          <w:sz w:val="40"/>
          <w:szCs w:val="40"/>
        </w:rPr>
        <w:t>Lecturer: Bianca Sanfilippo</w:t>
      </w:r>
    </w:p>
    <w:p w14:paraId="21E33D90" w14:textId="77777777" w:rsidR="00FE09DC" w:rsidRPr="00061028" w:rsidRDefault="00FE09DC" w:rsidP="00010059">
      <w:pPr>
        <w:spacing w:line="360" w:lineRule="auto"/>
        <w:jc w:val="both"/>
        <w:rPr>
          <w:rFonts w:ascii="Arial" w:hAnsi="Arial" w:cs="Arial"/>
          <w:b/>
          <w:bCs/>
          <w:sz w:val="40"/>
          <w:szCs w:val="40"/>
        </w:rPr>
      </w:pPr>
    </w:p>
    <w:p w14:paraId="73C73712" w14:textId="77777777" w:rsidR="00FE09DC" w:rsidRDefault="00FE09DC" w:rsidP="00010059">
      <w:pPr>
        <w:spacing w:line="360" w:lineRule="auto"/>
        <w:jc w:val="both"/>
        <w:rPr>
          <w:rFonts w:ascii="Arial" w:hAnsi="Arial" w:cs="Arial"/>
          <w:b/>
          <w:bCs/>
        </w:rPr>
      </w:pPr>
    </w:p>
    <w:p w14:paraId="49147AC6" w14:textId="77777777" w:rsidR="00FE09DC" w:rsidRDefault="00FE09DC" w:rsidP="00010059">
      <w:pPr>
        <w:spacing w:line="360" w:lineRule="auto"/>
        <w:jc w:val="both"/>
        <w:rPr>
          <w:rFonts w:ascii="Arial" w:hAnsi="Arial" w:cs="Arial"/>
          <w:b/>
          <w:bCs/>
        </w:rPr>
      </w:pPr>
    </w:p>
    <w:p w14:paraId="4C10AE4D" w14:textId="77777777" w:rsidR="00FE09DC" w:rsidRDefault="00FE09DC" w:rsidP="00010059">
      <w:pPr>
        <w:spacing w:line="360" w:lineRule="auto"/>
        <w:jc w:val="both"/>
        <w:rPr>
          <w:rFonts w:ascii="Arial" w:hAnsi="Arial" w:cs="Arial"/>
          <w:b/>
          <w:bCs/>
        </w:rPr>
      </w:pPr>
    </w:p>
    <w:p w14:paraId="6F005E72" w14:textId="77777777" w:rsidR="00FE09DC" w:rsidRDefault="00FE09DC" w:rsidP="00010059">
      <w:pPr>
        <w:spacing w:line="360" w:lineRule="auto"/>
        <w:jc w:val="both"/>
        <w:rPr>
          <w:rFonts w:ascii="Arial" w:hAnsi="Arial" w:cs="Arial"/>
          <w:b/>
          <w:bCs/>
        </w:rPr>
      </w:pPr>
    </w:p>
    <w:p w14:paraId="784DABD5" w14:textId="77777777" w:rsidR="00FE09DC" w:rsidRDefault="00FE09DC" w:rsidP="00010059">
      <w:pPr>
        <w:spacing w:line="360" w:lineRule="auto"/>
        <w:jc w:val="both"/>
        <w:rPr>
          <w:rFonts w:ascii="Arial" w:hAnsi="Arial" w:cs="Arial"/>
          <w:b/>
          <w:bCs/>
        </w:rPr>
      </w:pPr>
    </w:p>
    <w:p w14:paraId="064BCAFC" w14:textId="77777777" w:rsidR="00FE09DC" w:rsidRDefault="00FE09DC" w:rsidP="00010059">
      <w:pPr>
        <w:spacing w:line="360" w:lineRule="auto"/>
        <w:jc w:val="both"/>
        <w:rPr>
          <w:rFonts w:ascii="Arial" w:hAnsi="Arial" w:cs="Arial"/>
          <w:b/>
          <w:bCs/>
        </w:rPr>
      </w:pPr>
    </w:p>
    <w:p w14:paraId="143DBD8A" w14:textId="77777777" w:rsidR="00FE09DC" w:rsidRDefault="00FE09DC" w:rsidP="00010059">
      <w:pPr>
        <w:spacing w:line="360" w:lineRule="auto"/>
        <w:jc w:val="both"/>
        <w:rPr>
          <w:rFonts w:ascii="Arial" w:hAnsi="Arial" w:cs="Arial"/>
          <w:b/>
          <w:bCs/>
        </w:rPr>
      </w:pPr>
    </w:p>
    <w:p w14:paraId="77117710" w14:textId="77777777" w:rsidR="00EF78B6" w:rsidRDefault="00EF78B6" w:rsidP="00010059">
      <w:pPr>
        <w:spacing w:line="360" w:lineRule="auto"/>
        <w:jc w:val="both"/>
        <w:rPr>
          <w:rFonts w:ascii="Arial" w:hAnsi="Arial" w:cs="Arial"/>
          <w:b/>
          <w:bCs/>
        </w:rPr>
      </w:pPr>
    </w:p>
    <w:p w14:paraId="13277B65" w14:textId="3723E4E8" w:rsidR="004E415C" w:rsidRPr="005C374B" w:rsidRDefault="004E415C" w:rsidP="00010059">
      <w:pPr>
        <w:spacing w:line="360" w:lineRule="auto"/>
        <w:jc w:val="both"/>
        <w:rPr>
          <w:rFonts w:ascii="Arial" w:hAnsi="Arial" w:cs="Arial"/>
          <w:b/>
          <w:bCs/>
        </w:rPr>
      </w:pPr>
      <w:r w:rsidRPr="005C374B">
        <w:rPr>
          <w:rFonts w:ascii="Arial" w:hAnsi="Arial" w:cs="Arial"/>
          <w:b/>
          <w:bCs/>
        </w:rPr>
        <w:t>Psychological Theories in Dementia Care: Guidance for Health and Social Care Professionals</w:t>
      </w:r>
    </w:p>
    <w:p w14:paraId="6CB58D8F" w14:textId="77777777" w:rsidR="004E415C" w:rsidRPr="005C374B" w:rsidRDefault="004E415C" w:rsidP="00010059">
      <w:pPr>
        <w:spacing w:line="360" w:lineRule="auto"/>
        <w:jc w:val="both"/>
        <w:rPr>
          <w:rFonts w:ascii="Arial" w:hAnsi="Arial" w:cs="Arial"/>
          <w:b/>
          <w:bCs/>
        </w:rPr>
      </w:pPr>
      <w:r w:rsidRPr="005C374B">
        <w:rPr>
          <w:rFonts w:ascii="Arial" w:hAnsi="Arial" w:cs="Arial"/>
          <w:b/>
          <w:bCs/>
        </w:rPr>
        <w:t>Introduction</w:t>
      </w:r>
    </w:p>
    <w:p w14:paraId="0D616A9F" w14:textId="77777777" w:rsidR="00E866CC" w:rsidRPr="005C374B" w:rsidRDefault="00E866CC" w:rsidP="00010059">
      <w:pPr>
        <w:spacing w:line="360" w:lineRule="auto"/>
        <w:jc w:val="both"/>
        <w:rPr>
          <w:rFonts w:ascii="Arial" w:hAnsi="Arial" w:cs="Arial"/>
        </w:rPr>
      </w:pPr>
      <w:r w:rsidRPr="005C374B">
        <w:rPr>
          <w:rFonts w:ascii="Arial" w:hAnsi="Arial" w:cs="Arial"/>
        </w:rPr>
        <w:t>The ageing population presents significant challenges for health and social care professionals, particularly in dementia care homes where psychological health conditions are prevalent. Dementia affects not only cognitive functioning but also emotional wellbeing, identity, and social relationships (Javed &amp; Kakul, 2023). Supporting residents aged 65 and over requires a holistic approach that integrates psychological theory with practical care strategies.</w:t>
      </w:r>
    </w:p>
    <w:p w14:paraId="6D4405A3" w14:textId="77777777" w:rsidR="00E866CC" w:rsidRPr="005C374B" w:rsidRDefault="00E866CC" w:rsidP="00010059">
      <w:pPr>
        <w:spacing w:line="360" w:lineRule="auto"/>
        <w:jc w:val="both"/>
        <w:rPr>
          <w:rFonts w:ascii="Arial" w:hAnsi="Arial" w:cs="Arial"/>
        </w:rPr>
      </w:pPr>
      <w:r w:rsidRPr="005C374B">
        <w:rPr>
          <w:rFonts w:ascii="Arial" w:hAnsi="Arial" w:cs="Arial"/>
        </w:rPr>
        <w:t xml:space="preserve">This report explores how </w:t>
      </w:r>
      <w:r w:rsidRPr="005C374B">
        <w:rPr>
          <w:rFonts w:ascii="Arial" w:hAnsi="Arial" w:cs="Arial"/>
          <w:b/>
          <w:bCs/>
        </w:rPr>
        <w:t>Erikson’s Psychosocial Theory of Development</w:t>
      </w:r>
      <w:r w:rsidRPr="005C374B">
        <w:rPr>
          <w:rFonts w:ascii="Arial" w:hAnsi="Arial" w:cs="Arial"/>
        </w:rPr>
        <w:t xml:space="preserve"> and </w:t>
      </w:r>
      <w:r w:rsidRPr="005C374B">
        <w:rPr>
          <w:rFonts w:ascii="Arial" w:hAnsi="Arial" w:cs="Arial"/>
          <w:b/>
          <w:bCs/>
        </w:rPr>
        <w:t>Bowlby’s Attachment Theory</w:t>
      </w:r>
      <w:r w:rsidRPr="005C374B">
        <w:rPr>
          <w:rFonts w:ascii="Arial" w:hAnsi="Arial" w:cs="Arial"/>
        </w:rPr>
        <w:t xml:space="preserve"> can be applied to dementia care settings. Both theories provide valuable insights into the psychological needs of older adults and offer frameworks for interventions that enhance wellbeing, reduce distress, and promote dignity (Mazaheri, Kihlgren &amp; Norberg, 2022; Rodway, 2025). The discussion will provide detailed overviews of each theory, critically evaluate their application in dementia care, and highlight challenges and strategies for professionals.</w:t>
      </w:r>
    </w:p>
    <w:p w14:paraId="0B540A11" w14:textId="77777777" w:rsidR="00E866CC" w:rsidRPr="005C374B" w:rsidRDefault="00E866CC" w:rsidP="00010059">
      <w:pPr>
        <w:spacing w:line="360" w:lineRule="auto"/>
        <w:jc w:val="both"/>
        <w:rPr>
          <w:rFonts w:ascii="Arial" w:hAnsi="Arial" w:cs="Arial"/>
          <w:b/>
          <w:bCs/>
        </w:rPr>
      </w:pPr>
      <w:r w:rsidRPr="005C374B">
        <w:rPr>
          <w:rFonts w:ascii="Arial" w:hAnsi="Arial" w:cs="Arial"/>
          <w:b/>
          <w:bCs/>
        </w:rPr>
        <w:t>Erikson’s Psychosocial Theory of Development</w:t>
      </w:r>
    </w:p>
    <w:p w14:paraId="3212F7AE" w14:textId="77777777" w:rsidR="00E866CC" w:rsidRPr="005C374B" w:rsidRDefault="00E866CC" w:rsidP="00010059">
      <w:pPr>
        <w:spacing w:line="360" w:lineRule="auto"/>
        <w:jc w:val="both"/>
        <w:rPr>
          <w:rFonts w:ascii="Arial" w:hAnsi="Arial" w:cs="Arial"/>
        </w:rPr>
      </w:pPr>
      <w:r w:rsidRPr="005C374B">
        <w:rPr>
          <w:rFonts w:ascii="Arial" w:hAnsi="Arial" w:cs="Arial"/>
        </w:rPr>
        <w:t>Erikson’s Psychosocial Theory of Development proposes eight stages across the lifespan, each characterised by a central conflict. For adults aged 65 and over, the final stage—</w:t>
      </w:r>
      <w:r w:rsidRPr="005C374B">
        <w:rPr>
          <w:rFonts w:ascii="Arial" w:hAnsi="Arial" w:cs="Arial"/>
          <w:b/>
          <w:bCs/>
        </w:rPr>
        <w:t>Integrity vs. Despair</w:t>
      </w:r>
      <w:r w:rsidRPr="005C374B">
        <w:rPr>
          <w:rFonts w:ascii="Arial" w:hAnsi="Arial" w:cs="Arial"/>
        </w:rPr>
        <w:t>—is most relevant, as individuals reflect on their lives and seek meaning and acceptance (</w:t>
      </w:r>
      <w:proofErr w:type="spellStart"/>
      <w:r w:rsidRPr="005C374B">
        <w:rPr>
          <w:rFonts w:ascii="Arial" w:hAnsi="Arial" w:cs="Arial"/>
        </w:rPr>
        <w:t>Gilleard</w:t>
      </w:r>
      <w:proofErr w:type="spellEnd"/>
      <w:r w:rsidRPr="005C374B">
        <w:rPr>
          <w:rFonts w:ascii="Arial" w:hAnsi="Arial" w:cs="Arial"/>
        </w:rPr>
        <w:t>, 2020). Recent research highlights that even in advanced dementia, aspects of selfhood and integrity can be preserved, allowing professionals to support residents through reminiscence and validation strategies (Mazaheri, Kihlgren &amp; Norberg, 2022).</w:t>
      </w:r>
    </w:p>
    <w:p w14:paraId="1CB4AF52" w14:textId="77777777" w:rsidR="00E866CC" w:rsidRPr="005C374B" w:rsidRDefault="00E866CC" w:rsidP="00010059">
      <w:pPr>
        <w:spacing w:line="360" w:lineRule="auto"/>
        <w:jc w:val="both"/>
        <w:rPr>
          <w:rFonts w:ascii="Arial" w:hAnsi="Arial" w:cs="Arial"/>
          <w:b/>
          <w:bCs/>
        </w:rPr>
      </w:pPr>
      <w:r w:rsidRPr="005C374B">
        <w:rPr>
          <w:rFonts w:ascii="Arial" w:hAnsi="Arial" w:cs="Arial"/>
          <w:b/>
          <w:bCs/>
        </w:rPr>
        <w:t>Bowlby’s Attachment Theory</w:t>
      </w:r>
    </w:p>
    <w:p w14:paraId="5AB69FD9" w14:textId="77777777" w:rsidR="00E866CC" w:rsidRPr="005C374B" w:rsidRDefault="00E866CC" w:rsidP="00010059">
      <w:pPr>
        <w:spacing w:line="360" w:lineRule="auto"/>
        <w:jc w:val="both"/>
        <w:rPr>
          <w:rFonts w:ascii="Arial" w:hAnsi="Arial" w:cs="Arial"/>
        </w:rPr>
      </w:pPr>
      <w:r w:rsidRPr="005C374B">
        <w:rPr>
          <w:rFonts w:ascii="Arial" w:hAnsi="Arial" w:cs="Arial"/>
        </w:rPr>
        <w:t xml:space="preserve">Bowlby’s Attachment Theory emphasises the importance of secure relationships throughout life. In dementia care, attachment needs manifest in the desire for safety, comfort, and consistent caregiving. Current studies argue that attachment remains a </w:t>
      </w:r>
      <w:r w:rsidRPr="005C374B">
        <w:rPr>
          <w:rFonts w:ascii="Arial" w:hAnsi="Arial" w:cs="Arial"/>
          <w:b/>
          <w:bCs/>
        </w:rPr>
        <w:t>fundamental pillar of wellbeing in old age</w:t>
      </w:r>
      <w:r w:rsidRPr="005C374B">
        <w:rPr>
          <w:rFonts w:ascii="Arial" w:hAnsi="Arial" w:cs="Arial"/>
        </w:rPr>
        <w:t xml:space="preserve">, influencing emotional stability and </w:t>
      </w:r>
      <w:r w:rsidRPr="005C374B">
        <w:rPr>
          <w:rFonts w:ascii="Arial" w:hAnsi="Arial" w:cs="Arial"/>
        </w:rPr>
        <w:lastRenderedPageBreak/>
        <w:t>resilience in care settings (Rodway, 2025). Understanding attachment behaviours helps professionals design interventions that reduce anxiety, foster trust, and strengthen family and staff relationships (Beattie &amp; West, 2021).</w:t>
      </w:r>
    </w:p>
    <w:p w14:paraId="30CD50B1" w14:textId="77777777" w:rsidR="00E866CC" w:rsidRPr="005C374B" w:rsidRDefault="00E866CC" w:rsidP="00010059">
      <w:pPr>
        <w:spacing w:line="360" w:lineRule="auto"/>
        <w:jc w:val="both"/>
        <w:rPr>
          <w:rFonts w:ascii="Arial" w:hAnsi="Arial" w:cs="Arial"/>
        </w:rPr>
      </w:pPr>
    </w:p>
    <w:p w14:paraId="2958E464" w14:textId="77777777" w:rsidR="004E415C" w:rsidRPr="005C374B" w:rsidRDefault="004E415C" w:rsidP="00010059">
      <w:pPr>
        <w:spacing w:line="360" w:lineRule="auto"/>
        <w:jc w:val="both"/>
        <w:rPr>
          <w:rFonts w:ascii="Arial" w:hAnsi="Arial" w:cs="Arial"/>
        </w:rPr>
      </w:pPr>
      <w:r w:rsidRPr="005C374B">
        <w:rPr>
          <w:rFonts w:ascii="Arial" w:hAnsi="Arial" w:cs="Arial"/>
        </w:rPr>
        <w:t>Erikson (1950) proposed eight stages of psychosocial development, each characterised by a central conflict. For adults aged 65 and over, the final stage—</w:t>
      </w:r>
      <w:r w:rsidRPr="005C374B">
        <w:rPr>
          <w:rFonts w:ascii="Arial" w:hAnsi="Arial" w:cs="Arial"/>
          <w:b/>
          <w:bCs/>
        </w:rPr>
        <w:t>Integrity vs. Despair</w:t>
      </w:r>
      <w:r w:rsidRPr="005C374B">
        <w:rPr>
          <w:rFonts w:ascii="Arial" w:hAnsi="Arial" w:cs="Arial"/>
        </w:rPr>
        <w:t>—is most relevant. At this stage, individuals reflect on their lives, seeking meaning and acceptance. Successful resolution leads to integrity, wisdom, and acceptance of mortality, while unresolved conflict may result in despair, regret, and psychological distress (McAdams, 2001).</w:t>
      </w:r>
    </w:p>
    <w:p w14:paraId="1936A5ED" w14:textId="77777777" w:rsidR="004E415C" w:rsidRPr="005C374B" w:rsidRDefault="004E415C" w:rsidP="00010059">
      <w:pPr>
        <w:spacing w:line="360" w:lineRule="auto"/>
        <w:jc w:val="both"/>
        <w:rPr>
          <w:rFonts w:ascii="Arial" w:hAnsi="Arial" w:cs="Arial"/>
          <w:b/>
          <w:bCs/>
        </w:rPr>
      </w:pPr>
      <w:r w:rsidRPr="005C374B">
        <w:rPr>
          <w:rFonts w:ascii="Arial" w:hAnsi="Arial" w:cs="Arial"/>
          <w:b/>
          <w:bCs/>
        </w:rPr>
        <w:t>Application to Older Adults with Dementia</w:t>
      </w:r>
    </w:p>
    <w:p w14:paraId="608843EC" w14:textId="77777777" w:rsidR="004E415C" w:rsidRPr="005C374B" w:rsidRDefault="004E415C" w:rsidP="00010059">
      <w:pPr>
        <w:spacing w:line="360" w:lineRule="auto"/>
        <w:jc w:val="both"/>
        <w:rPr>
          <w:rFonts w:ascii="Arial" w:hAnsi="Arial" w:cs="Arial"/>
        </w:rPr>
      </w:pPr>
      <w:r w:rsidRPr="005C374B">
        <w:rPr>
          <w:rFonts w:ascii="Arial" w:hAnsi="Arial" w:cs="Arial"/>
        </w:rPr>
        <w:t>Dementia complicates the reflective process central to Erikson’s final stage. Memory loss and confusion may hinder life review, while reduced autonomy can exacerbate feelings of despair. However, Erikson’s framework highlights the importance of supporting older adults in achieving integrity despite cognitive decline.</w:t>
      </w:r>
    </w:p>
    <w:p w14:paraId="66A291DE" w14:textId="77777777" w:rsidR="004E415C" w:rsidRPr="005C374B" w:rsidRDefault="004E415C" w:rsidP="00010059">
      <w:pPr>
        <w:spacing w:line="360" w:lineRule="auto"/>
        <w:jc w:val="both"/>
        <w:rPr>
          <w:rFonts w:ascii="Arial" w:hAnsi="Arial" w:cs="Arial"/>
        </w:rPr>
      </w:pPr>
      <w:r w:rsidRPr="005C374B">
        <w:rPr>
          <w:rFonts w:ascii="Arial" w:hAnsi="Arial" w:cs="Arial"/>
        </w:rPr>
        <w:t>Practical Applications in Dementia Care</w:t>
      </w:r>
    </w:p>
    <w:p w14:paraId="1D80D94D" w14:textId="1AB85BBF" w:rsidR="00EF60B4" w:rsidRPr="00EF60B4" w:rsidRDefault="00EF60B4" w:rsidP="00010059">
      <w:pPr>
        <w:pStyle w:val="NormalWeb"/>
        <w:spacing w:line="360" w:lineRule="auto"/>
        <w:jc w:val="both"/>
        <w:rPr>
          <w:rFonts w:ascii="Arial" w:eastAsiaTheme="minorHAnsi" w:hAnsi="Arial" w:cs="Arial"/>
          <w:kern w:val="2"/>
          <w:lang w:eastAsia="en-US"/>
          <w14:ligatures w14:val="standardContextual"/>
        </w:rPr>
      </w:pPr>
      <w:r w:rsidRPr="00EF60B4">
        <w:rPr>
          <w:rFonts w:ascii="Arial" w:eastAsiaTheme="minorHAnsi" w:hAnsi="Arial" w:cs="Arial"/>
          <w:kern w:val="2"/>
          <w:lang w:eastAsia="en-US"/>
          <w14:ligatures w14:val="standardContextual"/>
        </w:rPr>
        <w:t xml:space="preserve">Life Review Therapy, which involves structured reminiscence sessions using photographs, music, or personal objects, can help residents recall positive experiences and reinforce their sense of identity and integrity (Haight &amp; Dias, 1992; Erikson, 1959). Validation Therapy, which encourages accepting </w:t>
      </w:r>
      <w:r w:rsidRPr="00EF60B4">
        <w:rPr>
          <w:rFonts w:ascii="Arial" w:eastAsiaTheme="minorHAnsi" w:hAnsi="Arial" w:cs="Arial"/>
          <w:kern w:val="2"/>
          <w:lang w:eastAsia="en-US"/>
          <w14:ligatures w14:val="standardContextual"/>
        </w:rPr>
        <w:t>residents</w:t>
      </w:r>
      <w:r w:rsidRPr="00EF60B4">
        <w:rPr>
          <w:rFonts w:ascii="Arial" w:eastAsiaTheme="minorHAnsi" w:hAnsi="Arial" w:cs="Arial"/>
          <w:kern w:val="2"/>
          <w:lang w:eastAsia="en-US"/>
          <w14:ligatures w14:val="standardContextual"/>
        </w:rPr>
        <w:t xml:space="preserve"> expressed emotions even when rooted in inaccurate memories, supports dignity and alleviates distress (Feil, 1993; Erikson, 1959). Promoting autonomy by allowing residents to make small choices, such as selecting meals or activities, fosters a sense of agency and helps combat feelings of despair (Erikson, 1959). Social engagement through group activities like storytelling or singing encourages belonging and reduces isolation (Vygotsky, 1978). Nevertheless, challenges exist; severe cognitive decline may limit participation in life review, but staff can adapt by</w:t>
      </w:r>
      <w:r w:rsidRPr="00EF60B4">
        <w:rPr>
          <w:rFonts w:ascii="Arial" w:eastAsiaTheme="minorHAnsi" w:hAnsi="Arial" w:cs="Arial"/>
          <w:kern w:val="2"/>
          <w:lang w:eastAsia="en-US"/>
          <w14:ligatures w14:val="standardContextual"/>
        </w:rPr>
        <w:t xml:space="preserve"> </w:t>
      </w:r>
      <w:r w:rsidRPr="00EF60B4">
        <w:rPr>
          <w:rFonts w:ascii="Arial" w:eastAsiaTheme="minorHAnsi" w:hAnsi="Arial" w:cs="Arial"/>
          <w:kern w:val="2"/>
          <w:lang w:eastAsia="en-US"/>
          <w14:ligatures w14:val="standardContextual"/>
        </w:rPr>
        <w:t xml:space="preserve">focusing on sensory-based reminiscence, such as music therapy (Haight &amp; Dias, 1992). Emotional distress may arise if residents express regret or trauma, requiring staff to employ supportive counselling techniques (Feil, 1993). Additionally, resource constraints like staff shortages may hinder the delivery of psychosocial interventions, but ongoing training </w:t>
      </w:r>
      <w:r w:rsidRPr="00EF60B4">
        <w:rPr>
          <w:rFonts w:ascii="Arial" w:eastAsiaTheme="minorHAnsi" w:hAnsi="Arial" w:cs="Arial"/>
          <w:kern w:val="2"/>
          <w:lang w:eastAsia="en-US"/>
          <w14:ligatures w14:val="standardContextual"/>
        </w:rPr>
        <w:lastRenderedPageBreak/>
        <w:t>and interdisciplinary collaboration can help overcome these barriers (Koren et al., 2021).</w:t>
      </w:r>
    </w:p>
    <w:p w14:paraId="04E4848F" w14:textId="4DD91ED6" w:rsidR="004E415C" w:rsidRPr="005C374B" w:rsidRDefault="004E415C" w:rsidP="00010059">
      <w:pPr>
        <w:pStyle w:val="NormalWeb"/>
        <w:spacing w:line="360" w:lineRule="auto"/>
        <w:jc w:val="both"/>
        <w:rPr>
          <w:rFonts w:ascii="Arial" w:hAnsi="Arial" w:cs="Arial"/>
          <w:b/>
          <w:bCs/>
        </w:rPr>
      </w:pPr>
      <w:r w:rsidRPr="005C374B">
        <w:rPr>
          <w:rFonts w:ascii="Arial" w:hAnsi="Arial" w:cs="Arial"/>
          <w:b/>
          <w:bCs/>
        </w:rPr>
        <w:t>Bowlby’s Attachment Theory</w:t>
      </w:r>
      <w:r w:rsidR="005C374B">
        <w:rPr>
          <w:rFonts w:ascii="Arial" w:hAnsi="Arial" w:cs="Arial"/>
          <w:b/>
          <w:bCs/>
        </w:rPr>
        <w:t xml:space="preserve"> </w:t>
      </w:r>
      <w:r w:rsidR="005C374B" w:rsidRPr="005C374B">
        <w:rPr>
          <w:rFonts w:ascii="Arial" w:hAnsi="Arial" w:cs="Arial"/>
          <w:b/>
          <w:bCs/>
        </w:rPr>
        <w:t xml:space="preserve">- </w:t>
      </w:r>
      <w:r w:rsidRPr="005C374B">
        <w:rPr>
          <w:rFonts w:ascii="Arial" w:hAnsi="Arial" w:cs="Arial"/>
          <w:b/>
          <w:bCs/>
        </w:rPr>
        <w:t>Overview of the Theory</w:t>
      </w:r>
    </w:p>
    <w:p w14:paraId="4DBE0D1B" w14:textId="77777777" w:rsidR="004E415C" w:rsidRPr="005C374B" w:rsidRDefault="004E415C" w:rsidP="00010059">
      <w:pPr>
        <w:pStyle w:val="NormalWeb"/>
        <w:numPr>
          <w:ilvl w:val="0"/>
          <w:numId w:val="1"/>
        </w:numPr>
        <w:spacing w:line="360" w:lineRule="auto"/>
        <w:jc w:val="both"/>
        <w:rPr>
          <w:rFonts w:ascii="Arial" w:hAnsi="Arial" w:cs="Arial"/>
        </w:rPr>
      </w:pPr>
      <w:r w:rsidRPr="005C374B">
        <w:rPr>
          <w:rFonts w:ascii="Arial" w:hAnsi="Arial" w:cs="Arial"/>
        </w:rPr>
        <w:t>Bowlby (1969) emphasised the importance of attachment bonds throughout life, arguing that secure attachments provide emotional stability and resilience. While attachment theory is often applied to childhood, research demonstrates its relevance across the lifespan, including in older adulthood (Ainsworth, 1989). For older adults, attachment needs manifest in the desire for security, comfort, and meaningful relationships, particularly in times of vulnerability such as illness or cognitive decline.</w:t>
      </w:r>
    </w:p>
    <w:p w14:paraId="0F09B6A1" w14:textId="77777777" w:rsidR="004E415C" w:rsidRPr="005C374B" w:rsidRDefault="004E415C" w:rsidP="00010059">
      <w:pPr>
        <w:pStyle w:val="NormalWeb"/>
        <w:spacing w:line="360" w:lineRule="auto"/>
        <w:jc w:val="both"/>
        <w:rPr>
          <w:rFonts w:ascii="Arial" w:hAnsi="Arial" w:cs="Arial"/>
          <w:b/>
          <w:bCs/>
        </w:rPr>
      </w:pPr>
      <w:r w:rsidRPr="005C374B">
        <w:rPr>
          <w:rFonts w:ascii="Arial" w:hAnsi="Arial" w:cs="Arial"/>
          <w:b/>
          <w:bCs/>
        </w:rPr>
        <w:t>Application to Older Adults with Dementia</w:t>
      </w:r>
    </w:p>
    <w:p w14:paraId="02AFEE99" w14:textId="77777777" w:rsidR="004E415C" w:rsidRPr="005C374B" w:rsidRDefault="004E415C" w:rsidP="00010059">
      <w:pPr>
        <w:pStyle w:val="NormalWeb"/>
        <w:numPr>
          <w:ilvl w:val="0"/>
          <w:numId w:val="1"/>
        </w:numPr>
        <w:spacing w:line="360" w:lineRule="auto"/>
        <w:jc w:val="both"/>
        <w:rPr>
          <w:rFonts w:ascii="Arial" w:hAnsi="Arial" w:cs="Arial"/>
        </w:rPr>
      </w:pPr>
      <w:r w:rsidRPr="005C374B">
        <w:rPr>
          <w:rFonts w:ascii="Arial" w:hAnsi="Arial" w:cs="Arial"/>
        </w:rPr>
        <w:t>Residents in dementia care homes often experience separation from familiar environments and relationships, which can trigger attachment-related distress. Feelings of abandonment, anxiety, or insecurity may arise, particularly when cognitive decline reduces the ability to self-regulate emotions. Bowlby’s theory highlights the importance of consistent, nurturing relationships in care settings to provide psychological security.</w:t>
      </w:r>
    </w:p>
    <w:p w14:paraId="04B49419" w14:textId="77777777" w:rsidR="004E415C" w:rsidRPr="005C374B" w:rsidRDefault="004E415C" w:rsidP="00010059">
      <w:pPr>
        <w:pStyle w:val="NormalWeb"/>
        <w:spacing w:line="360" w:lineRule="auto"/>
        <w:jc w:val="both"/>
        <w:rPr>
          <w:rFonts w:ascii="Arial" w:hAnsi="Arial" w:cs="Arial"/>
          <w:b/>
          <w:bCs/>
        </w:rPr>
      </w:pPr>
      <w:r w:rsidRPr="005C374B">
        <w:rPr>
          <w:rFonts w:ascii="Arial" w:hAnsi="Arial" w:cs="Arial"/>
          <w:b/>
          <w:bCs/>
        </w:rPr>
        <w:t>Practical Applications in Dementia Care</w:t>
      </w:r>
    </w:p>
    <w:p w14:paraId="0401A38E" w14:textId="77777777" w:rsidR="00FE09DC" w:rsidRPr="00FE09DC" w:rsidRDefault="00FE09DC" w:rsidP="00010059">
      <w:pPr>
        <w:pStyle w:val="NormalWeb"/>
        <w:spacing w:line="360" w:lineRule="auto"/>
        <w:jc w:val="both"/>
        <w:rPr>
          <w:rFonts w:ascii="Arial" w:hAnsi="Arial" w:cs="Arial"/>
        </w:rPr>
      </w:pPr>
      <w:r w:rsidRPr="00FE09DC">
        <w:rPr>
          <w:rFonts w:ascii="Arial" w:hAnsi="Arial" w:cs="Arial"/>
        </w:rPr>
        <w:t>Consistent caregiving, such as assigning key workers to specific residents, helps to foster secure attachments, reduce anxiety, and build trust within dementia care settings (Brown &amp; Shlosberg, 2006). Involving families by encouraging regular visits and meaningful interactions with relatives further strengthens attachment bonds and supports residents’ emotional wellbeing. Establishing comforting and predictable daily routines provides a stable environment, which can alleviate attachment-related distress. Additionally, therapeutic touch and attentive presence—such as gentle physical contact and active listening—offer reassurance and help meet attachment needs, even when residents struggle with verbal communication.</w:t>
      </w:r>
      <w:r w:rsidRPr="00FE09DC">
        <w:rPr>
          <w:rFonts w:ascii="Arial" w:hAnsi="Arial" w:cs="Arial"/>
        </w:rPr>
        <w:t xml:space="preserve"> </w:t>
      </w:r>
    </w:p>
    <w:p w14:paraId="0A578558" w14:textId="36C6CF0B" w:rsidR="004E415C" w:rsidRPr="005C374B" w:rsidRDefault="004E415C" w:rsidP="00010059">
      <w:pPr>
        <w:pStyle w:val="NormalWeb"/>
        <w:spacing w:line="360" w:lineRule="auto"/>
        <w:jc w:val="both"/>
        <w:rPr>
          <w:rFonts w:ascii="Arial" w:hAnsi="Arial" w:cs="Arial"/>
          <w:b/>
          <w:bCs/>
        </w:rPr>
      </w:pPr>
      <w:r w:rsidRPr="005C374B">
        <w:rPr>
          <w:rFonts w:ascii="Arial" w:hAnsi="Arial" w:cs="Arial"/>
          <w:b/>
          <w:bCs/>
        </w:rPr>
        <w:t>Challenges and Strategies</w:t>
      </w:r>
    </w:p>
    <w:p w14:paraId="1B362574" w14:textId="77777777" w:rsidR="005C374B" w:rsidRDefault="003B28EB" w:rsidP="00010059">
      <w:pPr>
        <w:pStyle w:val="NormalWeb"/>
        <w:spacing w:line="360" w:lineRule="auto"/>
        <w:jc w:val="both"/>
        <w:rPr>
          <w:rFonts w:ascii="Arial" w:hAnsi="Arial" w:cs="Arial"/>
        </w:rPr>
      </w:pPr>
      <w:r w:rsidRPr="005C374B">
        <w:rPr>
          <w:rFonts w:ascii="Arial" w:hAnsi="Arial" w:cs="Arial"/>
        </w:rPr>
        <w:lastRenderedPageBreak/>
        <w:t xml:space="preserve">Staff turnover presents a significant challenge in dementia care, as frequent changes can disrupt attachment bonds and undermine residents’ sense of security; therefore, care homes should </w:t>
      </w:r>
      <w:r w:rsidR="005C374B">
        <w:rPr>
          <w:rFonts w:ascii="Arial" w:hAnsi="Arial" w:cs="Arial"/>
        </w:rPr>
        <w:t>prioritise</w:t>
      </w:r>
      <w:r w:rsidRPr="005C374B">
        <w:rPr>
          <w:rFonts w:ascii="Arial" w:hAnsi="Arial" w:cs="Arial"/>
        </w:rPr>
        <w:t xml:space="preserve"> staff retention and continuity of care to maintain stable relationships (Koren et al., 2021). Additionally, the emotional burden on staff can be considerable, as forming close attachments with residents may lead to emotional strain. Offering training in professional boundaries and providing regular supervision can help support staff wellbeing. For residents who lack family involvement, professionals can foster surrogate attachments by encouraging peer relationships and building strong connections between staff and residents, further supporting emotional needs and social integration (Woods et al., 2018).</w:t>
      </w:r>
    </w:p>
    <w:p w14:paraId="599E942E" w14:textId="355BBB88" w:rsidR="003B28EB" w:rsidRPr="005C374B" w:rsidRDefault="003B28EB" w:rsidP="00010059">
      <w:pPr>
        <w:pStyle w:val="NormalWeb"/>
        <w:spacing w:line="360" w:lineRule="auto"/>
        <w:jc w:val="both"/>
        <w:rPr>
          <w:rFonts w:ascii="Arial" w:hAnsi="Arial" w:cs="Arial"/>
          <w:b/>
          <w:bCs/>
        </w:rPr>
      </w:pPr>
      <w:r w:rsidRPr="005C374B">
        <w:rPr>
          <w:rFonts w:ascii="Arial" w:hAnsi="Arial" w:cs="Arial"/>
          <w:b/>
          <w:bCs/>
        </w:rPr>
        <w:t>Critical Evaluation of Theories in Practice</w:t>
      </w:r>
    </w:p>
    <w:p w14:paraId="7306DF0A" w14:textId="5EF2C256" w:rsidR="003A1464" w:rsidRPr="005C374B" w:rsidRDefault="003A1464" w:rsidP="00010059">
      <w:pPr>
        <w:pStyle w:val="NormalWeb"/>
        <w:spacing w:line="360" w:lineRule="auto"/>
        <w:jc w:val="both"/>
        <w:rPr>
          <w:rFonts w:ascii="Arial" w:hAnsi="Arial" w:cs="Arial"/>
        </w:rPr>
      </w:pPr>
      <w:r w:rsidRPr="005C374B">
        <w:rPr>
          <w:rFonts w:ascii="Arial" w:hAnsi="Arial" w:cs="Arial"/>
        </w:rPr>
        <w:t xml:space="preserve">Erikson’s and Bowlby’s theories offer complementary perspectives that enrich dementia care practice. Erikson focuses on the significance of reflecting on one’s life and constructing meaning, while Bowlby stresses the importance of secure attachments for emotional well-being. Together, these frameworks highlight the necessity for interventions that nurture both a sense of identity and emotional security (Erikson, 1959; Bowlby, 1969). For instance, integrating reminiscence therapy, which draws on Erikson’s ideas, with active family participation, as advocated by Bowlby, can simultaneously strengthen both identity and attachment. Likewise, using validation therapy inspired by Erikson, alongside consistent caregiving to provide stability in line with Bowlby’s theory, ensures that residents are both </w:t>
      </w:r>
      <w:r w:rsidR="005C374B">
        <w:rPr>
          <w:rFonts w:ascii="Arial" w:hAnsi="Arial" w:cs="Arial"/>
        </w:rPr>
        <w:t>recognised</w:t>
      </w:r>
      <w:r w:rsidRPr="005C374B">
        <w:rPr>
          <w:rFonts w:ascii="Arial" w:hAnsi="Arial" w:cs="Arial"/>
        </w:rPr>
        <w:t xml:space="preserve"> and emotionally supported (Erikson, 1959; Bowlby, 1969).</w:t>
      </w:r>
    </w:p>
    <w:p w14:paraId="56A116BB" w14:textId="0FBE8C30" w:rsidR="00FB2D0E" w:rsidRDefault="00FB2D0E" w:rsidP="00010059">
      <w:pPr>
        <w:pStyle w:val="NormalWeb"/>
        <w:spacing w:line="360" w:lineRule="auto"/>
        <w:jc w:val="both"/>
        <w:rPr>
          <w:rFonts w:ascii="Arial" w:hAnsi="Arial" w:cs="Arial"/>
        </w:rPr>
      </w:pPr>
      <w:r w:rsidRPr="005C374B">
        <w:rPr>
          <w:rFonts w:ascii="Arial" w:hAnsi="Arial" w:cs="Arial"/>
        </w:rPr>
        <w:t xml:space="preserve">Despite these advantages, significant challenges persist in dementia care. Cognitive decline can restrict the benefits of life review interventions grounded in Erikson’s theory, while frequent staff turnover may weaken the stable attachment bonds </w:t>
      </w:r>
      <w:r w:rsidRPr="005C374B">
        <w:rPr>
          <w:rFonts w:ascii="Arial" w:hAnsi="Arial" w:cs="Arial"/>
        </w:rPr>
        <w:t>emphasised</w:t>
      </w:r>
      <w:r w:rsidRPr="005C374B">
        <w:rPr>
          <w:rFonts w:ascii="Arial" w:hAnsi="Arial" w:cs="Arial"/>
        </w:rPr>
        <w:t xml:space="preserve"> by Bowlby (Erikson, 1959; Bowlby, 1969). To address these obstacles, care homes should implement systemic strategies such as comprehensive staff training, fostering interdisciplinary teamwork, and actively involving families in care, all of which can help sustain both identity and emotional security for residents (Koren et al., 2021).</w:t>
      </w:r>
    </w:p>
    <w:p w14:paraId="621056FF" w14:textId="77777777" w:rsidR="00EF78B6" w:rsidRPr="005C374B" w:rsidRDefault="00EF78B6" w:rsidP="00010059">
      <w:pPr>
        <w:pStyle w:val="NormalWeb"/>
        <w:spacing w:line="360" w:lineRule="auto"/>
        <w:jc w:val="both"/>
        <w:rPr>
          <w:rFonts w:ascii="Arial" w:hAnsi="Arial" w:cs="Arial"/>
        </w:rPr>
      </w:pPr>
    </w:p>
    <w:p w14:paraId="0F1DB94B" w14:textId="28AB81D8" w:rsidR="004E415C" w:rsidRPr="005C374B" w:rsidRDefault="004E415C" w:rsidP="00010059">
      <w:pPr>
        <w:pStyle w:val="NormalWeb"/>
        <w:spacing w:line="360" w:lineRule="auto"/>
        <w:jc w:val="both"/>
        <w:rPr>
          <w:rFonts w:ascii="Arial" w:hAnsi="Arial" w:cs="Arial"/>
          <w:b/>
          <w:bCs/>
        </w:rPr>
      </w:pPr>
      <w:r w:rsidRPr="005C374B">
        <w:rPr>
          <w:rFonts w:ascii="Arial" w:hAnsi="Arial" w:cs="Arial"/>
          <w:b/>
          <w:bCs/>
        </w:rPr>
        <w:lastRenderedPageBreak/>
        <w:t>Conclusion</w:t>
      </w:r>
    </w:p>
    <w:p w14:paraId="025A2A4C" w14:textId="0D37F7A3" w:rsidR="004E415C" w:rsidRPr="005C374B" w:rsidRDefault="004E415C" w:rsidP="00010059">
      <w:pPr>
        <w:pStyle w:val="NormalWeb"/>
        <w:spacing w:line="360" w:lineRule="auto"/>
        <w:jc w:val="both"/>
        <w:rPr>
          <w:rFonts w:ascii="Arial" w:hAnsi="Arial" w:cs="Arial"/>
        </w:rPr>
      </w:pPr>
      <w:r w:rsidRPr="005C374B">
        <w:rPr>
          <w:rFonts w:ascii="Arial" w:hAnsi="Arial" w:cs="Arial"/>
        </w:rPr>
        <w:t>Psychological theories provide</w:t>
      </w:r>
      <w:r w:rsidR="00EF78B6">
        <w:rPr>
          <w:rFonts w:ascii="Arial" w:hAnsi="Arial" w:cs="Arial"/>
        </w:rPr>
        <w:t xml:space="preserve"> </w:t>
      </w:r>
      <w:r w:rsidRPr="005C374B">
        <w:rPr>
          <w:rFonts w:ascii="Arial" w:hAnsi="Arial" w:cs="Arial"/>
        </w:rPr>
        <w:t>essential guidance for health and social care professionals working in dementia care homes. Erikson’s Psychosocial Theory highlights the importance of supporting older adults in achieving integrity through reminiscence, validation, and autonomy. Bowlby’s Attachment Theory emphasises the need for secure relationships and consistent caregiving to reduce distress and promote wellbeing.</w:t>
      </w:r>
    </w:p>
    <w:p w14:paraId="581553FD" w14:textId="77777777" w:rsidR="004E415C" w:rsidRPr="005C374B" w:rsidRDefault="004E415C" w:rsidP="00010059">
      <w:pPr>
        <w:pStyle w:val="NormalWeb"/>
        <w:spacing w:line="360" w:lineRule="auto"/>
        <w:jc w:val="both"/>
        <w:rPr>
          <w:rFonts w:ascii="Arial" w:hAnsi="Arial" w:cs="Arial"/>
        </w:rPr>
      </w:pPr>
      <w:r w:rsidRPr="005C374B">
        <w:rPr>
          <w:rFonts w:ascii="Arial" w:hAnsi="Arial" w:cs="Arial"/>
        </w:rPr>
        <w:t>By integrating these theories into practice, professionals can deliver holistic, person-centred care that addresses both cognitive and emotional dimensions of dementia. Despite challenges such as cognitive decline and staff turnover, strategies including training, collaboration, and family involvement can enhance the effectiveness of interventions. Ultimately, applying psychological theory in dementia care supports dignity, resilience, and quality of life for older adults.</w:t>
      </w:r>
    </w:p>
    <w:p w14:paraId="3BEE8B7C" w14:textId="77777777" w:rsidR="004E415C" w:rsidRPr="005C374B" w:rsidRDefault="004E415C" w:rsidP="00010059">
      <w:pPr>
        <w:pStyle w:val="NormalWeb"/>
        <w:spacing w:line="360" w:lineRule="auto"/>
        <w:jc w:val="both"/>
        <w:rPr>
          <w:rFonts w:ascii="Arial" w:hAnsi="Arial" w:cs="Arial"/>
        </w:rPr>
      </w:pPr>
    </w:p>
    <w:p w14:paraId="7C2AB614" w14:textId="77777777" w:rsidR="004E415C" w:rsidRPr="005C374B" w:rsidRDefault="004E415C" w:rsidP="00010059">
      <w:pPr>
        <w:pStyle w:val="NormalWeb"/>
        <w:spacing w:line="360" w:lineRule="auto"/>
        <w:jc w:val="both"/>
        <w:rPr>
          <w:rFonts w:ascii="Arial" w:hAnsi="Arial" w:cs="Arial"/>
        </w:rPr>
      </w:pPr>
    </w:p>
    <w:p w14:paraId="21AEFF53" w14:textId="77777777" w:rsidR="004E415C" w:rsidRPr="005C374B" w:rsidRDefault="004E415C" w:rsidP="00010059">
      <w:pPr>
        <w:pStyle w:val="NormalWeb"/>
        <w:spacing w:line="360" w:lineRule="auto"/>
        <w:jc w:val="both"/>
        <w:rPr>
          <w:rFonts w:ascii="Arial" w:hAnsi="Arial" w:cs="Arial"/>
        </w:rPr>
      </w:pPr>
    </w:p>
    <w:p w14:paraId="1469BCEE" w14:textId="77777777" w:rsidR="004E415C" w:rsidRPr="005C374B" w:rsidRDefault="004E415C" w:rsidP="00010059">
      <w:pPr>
        <w:pStyle w:val="NormalWeb"/>
        <w:spacing w:line="360" w:lineRule="auto"/>
        <w:jc w:val="both"/>
        <w:rPr>
          <w:rFonts w:ascii="Arial" w:hAnsi="Arial" w:cs="Arial"/>
        </w:rPr>
      </w:pPr>
    </w:p>
    <w:p w14:paraId="061EB9D1" w14:textId="77777777" w:rsidR="004E415C" w:rsidRPr="005C374B" w:rsidRDefault="004E415C" w:rsidP="00010059">
      <w:pPr>
        <w:pStyle w:val="NormalWeb"/>
        <w:spacing w:line="360" w:lineRule="auto"/>
        <w:jc w:val="both"/>
        <w:rPr>
          <w:rFonts w:ascii="Arial" w:hAnsi="Arial" w:cs="Arial"/>
        </w:rPr>
      </w:pPr>
    </w:p>
    <w:p w14:paraId="4B57593B" w14:textId="77777777" w:rsidR="00EF78B6" w:rsidRDefault="00EF78B6" w:rsidP="00010059">
      <w:pPr>
        <w:pStyle w:val="NormalWeb"/>
        <w:spacing w:line="360" w:lineRule="auto"/>
        <w:jc w:val="both"/>
        <w:rPr>
          <w:rFonts w:ascii="Arial" w:hAnsi="Arial" w:cs="Arial"/>
          <w:b/>
          <w:bCs/>
        </w:rPr>
      </w:pPr>
    </w:p>
    <w:p w14:paraId="360137AC" w14:textId="77777777" w:rsidR="00EF78B6" w:rsidRDefault="00EF78B6" w:rsidP="00010059">
      <w:pPr>
        <w:pStyle w:val="NormalWeb"/>
        <w:spacing w:line="360" w:lineRule="auto"/>
        <w:jc w:val="both"/>
        <w:rPr>
          <w:rFonts w:ascii="Arial" w:hAnsi="Arial" w:cs="Arial"/>
          <w:b/>
          <w:bCs/>
        </w:rPr>
      </w:pPr>
    </w:p>
    <w:p w14:paraId="066E337D" w14:textId="77777777" w:rsidR="00EF78B6" w:rsidRDefault="00EF78B6" w:rsidP="00010059">
      <w:pPr>
        <w:pStyle w:val="NormalWeb"/>
        <w:spacing w:line="360" w:lineRule="auto"/>
        <w:jc w:val="both"/>
        <w:rPr>
          <w:rFonts w:ascii="Arial" w:hAnsi="Arial" w:cs="Arial"/>
          <w:b/>
          <w:bCs/>
        </w:rPr>
      </w:pPr>
    </w:p>
    <w:p w14:paraId="13D325E2" w14:textId="77777777" w:rsidR="00EF78B6" w:rsidRDefault="00EF78B6" w:rsidP="00010059">
      <w:pPr>
        <w:pStyle w:val="NormalWeb"/>
        <w:spacing w:line="360" w:lineRule="auto"/>
        <w:jc w:val="both"/>
        <w:rPr>
          <w:rFonts w:ascii="Arial" w:hAnsi="Arial" w:cs="Arial"/>
          <w:b/>
          <w:bCs/>
        </w:rPr>
      </w:pPr>
    </w:p>
    <w:p w14:paraId="7405A9EA" w14:textId="77777777" w:rsidR="00EF78B6" w:rsidRDefault="00EF78B6" w:rsidP="00010059">
      <w:pPr>
        <w:pStyle w:val="NormalWeb"/>
        <w:spacing w:line="360" w:lineRule="auto"/>
        <w:jc w:val="both"/>
        <w:rPr>
          <w:rFonts w:ascii="Arial" w:hAnsi="Arial" w:cs="Arial"/>
          <w:b/>
          <w:bCs/>
        </w:rPr>
      </w:pPr>
    </w:p>
    <w:p w14:paraId="7BD780E5" w14:textId="77777777" w:rsidR="00EF78B6" w:rsidRDefault="00EF78B6" w:rsidP="00010059">
      <w:pPr>
        <w:pStyle w:val="NormalWeb"/>
        <w:spacing w:line="360" w:lineRule="auto"/>
        <w:jc w:val="both"/>
        <w:rPr>
          <w:rFonts w:ascii="Arial" w:hAnsi="Arial" w:cs="Arial"/>
          <w:b/>
          <w:bCs/>
        </w:rPr>
      </w:pPr>
    </w:p>
    <w:p w14:paraId="4C4F5953" w14:textId="185479F6" w:rsidR="004E415C" w:rsidRPr="00010059" w:rsidRDefault="004E415C" w:rsidP="00010059">
      <w:pPr>
        <w:pStyle w:val="NormalWeb"/>
        <w:spacing w:line="360" w:lineRule="auto"/>
        <w:jc w:val="both"/>
        <w:rPr>
          <w:rFonts w:ascii="Arial" w:hAnsi="Arial" w:cs="Arial"/>
        </w:rPr>
      </w:pPr>
      <w:r w:rsidRPr="005C374B">
        <w:rPr>
          <w:rFonts w:ascii="Arial" w:hAnsi="Arial" w:cs="Arial"/>
          <w:b/>
          <w:bCs/>
        </w:rPr>
        <w:lastRenderedPageBreak/>
        <w:t xml:space="preserve">References </w:t>
      </w:r>
    </w:p>
    <w:p w14:paraId="6AC8DD0B" w14:textId="091D5299"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Ainsworth, M.D.S., 1989. Attachments beyond infancy. </w:t>
      </w:r>
      <w:r w:rsidRPr="00010059">
        <w:rPr>
          <w:rFonts w:ascii="Arial" w:hAnsi="Arial" w:cs="Arial"/>
          <w:i/>
          <w:iCs/>
        </w:rPr>
        <w:t>American Psychologist</w:t>
      </w:r>
      <w:r w:rsidRPr="00010059">
        <w:rPr>
          <w:rFonts w:ascii="Arial" w:hAnsi="Arial" w:cs="Arial"/>
        </w:rPr>
        <w:t>, 44(4), pp.709–716. Available at: (Accessed: 10 December 2025).</w:t>
      </w:r>
    </w:p>
    <w:p w14:paraId="36D4D0B4" w14:textId="6EE2613D"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Bowlby, J., 1969. </w:t>
      </w:r>
      <w:r w:rsidRPr="00010059">
        <w:rPr>
          <w:rFonts w:ascii="Arial" w:hAnsi="Arial" w:cs="Arial"/>
          <w:i/>
          <w:iCs/>
        </w:rPr>
        <w:t>Attachment and Loss: Vol. 1. Attachment</w:t>
      </w:r>
      <w:r w:rsidRPr="00010059">
        <w:rPr>
          <w:rFonts w:ascii="Arial" w:hAnsi="Arial" w:cs="Arial"/>
        </w:rPr>
        <w:t>. London: Hogarth Press. Available at: (Accessed: 10 December 2025).</w:t>
      </w:r>
    </w:p>
    <w:p w14:paraId="1D575DD6" w14:textId="74C23183"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Bowlby, J., 1988. </w:t>
      </w:r>
      <w:r w:rsidRPr="00010059">
        <w:rPr>
          <w:rFonts w:ascii="Arial" w:hAnsi="Arial" w:cs="Arial"/>
          <w:i/>
          <w:iCs/>
        </w:rPr>
        <w:t>A Secure Base: Parent-Child Attachment and Healthy Human Development</w:t>
      </w:r>
      <w:r w:rsidRPr="00010059">
        <w:rPr>
          <w:rFonts w:ascii="Arial" w:hAnsi="Arial" w:cs="Arial"/>
        </w:rPr>
        <w:t>. London: Routledge. Available at:(Accessed: 10 December 2025).</w:t>
      </w:r>
    </w:p>
    <w:p w14:paraId="3BB7A96B" w14:textId="61EB7019"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Feil, N., 1993. </w:t>
      </w:r>
      <w:r w:rsidRPr="00010059">
        <w:rPr>
          <w:rFonts w:ascii="Arial" w:hAnsi="Arial" w:cs="Arial"/>
          <w:i/>
          <w:iCs/>
        </w:rPr>
        <w:t>The Validation Breakthrough: Simple Techniques for Communicating with People with Alzheimer’s-Type Dementia</w:t>
      </w:r>
      <w:r w:rsidRPr="00010059">
        <w:rPr>
          <w:rFonts w:ascii="Arial" w:hAnsi="Arial" w:cs="Arial"/>
        </w:rPr>
        <w:t>. Baltimore: Health Professions Press. Available at: (Accessed: 10 December 2025).</w:t>
      </w:r>
    </w:p>
    <w:p w14:paraId="0FEB3D13" w14:textId="592AEC0C"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Gusarova, S. &amp; </w:t>
      </w:r>
      <w:proofErr w:type="spellStart"/>
      <w:r w:rsidRPr="00010059">
        <w:rPr>
          <w:rFonts w:ascii="Arial" w:hAnsi="Arial" w:cs="Arial"/>
        </w:rPr>
        <w:t>Barysheva</w:t>
      </w:r>
      <w:proofErr w:type="spellEnd"/>
      <w:r w:rsidRPr="00010059">
        <w:rPr>
          <w:rFonts w:ascii="Arial" w:hAnsi="Arial" w:cs="Arial"/>
        </w:rPr>
        <w:t xml:space="preserve">, G., 2020. Social mediation in the preservation of communicative competence in dementia. </w:t>
      </w:r>
      <w:r w:rsidRPr="00010059">
        <w:rPr>
          <w:rFonts w:ascii="Arial" w:hAnsi="Arial" w:cs="Arial"/>
          <w:i/>
          <w:iCs/>
        </w:rPr>
        <w:t>Advances in Gerontology</w:t>
      </w:r>
      <w:r w:rsidRPr="00010059">
        <w:rPr>
          <w:rFonts w:ascii="Arial" w:hAnsi="Arial" w:cs="Arial"/>
        </w:rPr>
        <w:t>, 33(1), pp.72–77. Available at: (Accessed: 10 December 2025).</w:t>
      </w:r>
    </w:p>
    <w:p w14:paraId="4E92B527" w14:textId="5BACC329"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Haight, B.K. &amp; Dias, J.K., 1992. Examining key variables in selected reminiscence therapies. </w:t>
      </w:r>
      <w:r w:rsidRPr="00010059">
        <w:rPr>
          <w:rFonts w:ascii="Arial" w:hAnsi="Arial" w:cs="Arial"/>
          <w:i/>
          <w:iCs/>
        </w:rPr>
        <w:t>International Psychogeriatrics</w:t>
      </w:r>
      <w:r w:rsidRPr="00010059">
        <w:rPr>
          <w:rFonts w:ascii="Arial" w:hAnsi="Arial" w:cs="Arial"/>
        </w:rPr>
        <w:t>, 4(2), pp.279–290. Available at: (Accessed: 10 December 2025).</w:t>
      </w:r>
    </w:p>
    <w:p w14:paraId="6D3C7C4C" w14:textId="56562BF4"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Koren, M.J., et al., 2021. Staff turnover in long-term care: A review of the literature. </w:t>
      </w:r>
      <w:r w:rsidRPr="00010059">
        <w:rPr>
          <w:rFonts w:ascii="Arial" w:hAnsi="Arial" w:cs="Arial"/>
          <w:i/>
          <w:iCs/>
        </w:rPr>
        <w:t>Journal of Aging &amp; Social Policy</w:t>
      </w:r>
      <w:r w:rsidRPr="00010059">
        <w:rPr>
          <w:rFonts w:ascii="Arial" w:hAnsi="Arial" w:cs="Arial"/>
        </w:rPr>
        <w:t>, 33(3), pp.303–320. Available at: (Accessed: 10 December 2025).</w:t>
      </w:r>
    </w:p>
    <w:p w14:paraId="4479555D" w14:textId="2AC17532" w:rsidR="00010059" w:rsidRPr="00010059" w:rsidRDefault="00010059" w:rsidP="00010059">
      <w:pPr>
        <w:pStyle w:val="NormalWeb"/>
        <w:spacing w:line="360" w:lineRule="auto"/>
        <w:jc w:val="both"/>
        <w:rPr>
          <w:rFonts w:ascii="Arial" w:hAnsi="Arial" w:cs="Arial"/>
        </w:rPr>
      </w:pPr>
      <w:proofErr w:type="spellStart"/>
      <w:r w:rsidRPr="00010059">
        <w:rPr>
          <w:rFonts w:ascii="Arial" w:hAnsi="Arial" w:cs="Arial"/>
        </w:rPr>
        <w:t>Magai</w:t>
      </w:r>
      <w:proofErr w:type="spellEnd"/>
      <w:r w:rsidRPr="00010059">
        <w:rPr>
          <w:rFonts w:ascii="Arial" w:hAnsi="Arial" w:cs="Arial"/>
        </w:rPr>
        <w:t xml:space="preserve">, C. &amp; Cohen, C.I., 1998. </w:t>
      </w:r>
      <w:r w:rsidRPr="00010059">
        <w:rPr>
          <w:rFonts w:ascii="Arial" w:hAnsi="Arial" w:cs="Arial"/>
          <w:i/>
          <w:iCs/>
        </w:rPr>
        <w:t>Attachment Across the Life Cycle</w:t>
      </w:r>
      <w:r w:rsidRPr="00010059">
        <w:rPr>
          <w:rFonts w:ascii="Arial" w:hAnsi="Arial" w:cs="Arial"/>
        </w:rPr>
        <w:t>. New York: Routledge. Available at: (Accessed: 10 December 2025).</w:t>
      </w:r>
    </w:p>
    <w:p w14:paraId="7DCC9E08" w14:textId="7637EC17"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Newman, B.M. &amp; Newman, P.R., 2020. </w:t>
      </w:r>
      <w:r w:rsidRPr="00010059">
        <w:rPr>
          <w:rFonts w:ascii="Arial" w:hAnsi="Arial" w:cs="Arial"/>
          <w:i/>
          <w:iCs/>
        </w:rPr>
        <w:t>Development Through Life: A Psychosocial Approach</w:t>
      </w:r>
      <w:r w:rsidRPr="00010059">
        <w:rPr>
          <w:rFonts w:ascii="Arial" w:hAnsi="Arial" w:cs="Arial"/>
        </w:rPr>
        <w:t>. 13th ed. Boston: Cengage Learning. Available at: (Accessed: 10 December 2025).</w:t>
      </w:r>
    </w:p>
    <w:p w14:paraId="2DD7A386" w14:textId="47137941"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Perren, S., et al., 2015. Attachment in old age and its relevance to dementia care. </w:t>
      </w:r>
      <w:r w:rsidRPr="00010059">
        <w:rPr>
          <w:rFonts w:ascii="Arial" w:hAnsi="Arial" w:cs="Arial"/>
          <w:i/>
          <w:iCs/>
        </w:rPr>
        <w:t>International Psychogeriatrics</w:t>
      </w:r>
      <w:r w:rsidRPr="00010059">
        <w:rPr>
          <w:rFonts w:ascii="Arial" w:hAnsi="Arial" w:cs="Arial"/>
        </w:rPr>
        <w:t>, 27(7), pp.1193–1204. Available at:</w:t>
      </w:r>
      <w:r w:rsidR="007F3760">
        <w:rPr>
          <w:rFonts w:ascii="Arial" w:hAnsi="Arial" w:cs="Arial"/>
        </w:rPr>
        <w:t xml:space="preserve"> </w:t>
      </w:r>
      <w:r w:rsidRPr="00010059">
        <w:rPr>
          <w:rFonts w:ascii="Arial" w:hAnsi="Arial" w:cs="Arial"/>
        </w:rPr>
        <w:t>(Accessed: 10 December 2025).</w:t>
      </w:r>
    </w:p>
    <w:p w14:paraId="44A92704" w14:textId="1CBC4ED7" w:rsidR="00010059" w:rsidRPr="00010059" w:rsidRDefault="00010059" w:rsidP="00010059">
      <w:pPr>
        <w:pStyle w:val="NormalWeb"/>
        <w:spacing w:line="360" w:lineRule="auto"/>
        <w:jc w:val="both"/>
        <w:rPr>
          <w:rFonts w:ascii="Arial" w:hAnsi="Arial" w:cs="Arial"/>
        </w:rPr>
      </w:pPr>
      <w:r w:rsidRPr="00010059">
        <w:rPr>
          <w:rFonts w:ascii="Arial" w:hAnsi="Arial" w:cs="Arial"/>
        </w:rPr>
        <w:lastRenderedPageBreak/>
        <w:t xml:space="preserve">Vygotsky, L.S., 1978. </w:t>
      </w:r>
      <w:r w:rsidRPr="00010059">
        <w:rPr>
          <w:rFonts w:ascii="Arial" w:hAnsi="Arial" w:cs="Arial"/>
          <w:i/>
          <w:iCs/>
        </w:rPr>
        <w:t>Mind in Society: The Development of Higher Psychological Processes</w:t>
      </w:r>
      <w:r w:rsidRPr="00010059">
        <w:rPr>
          <w:rFonts w:ascii="Arial" w:hAnsi="Arial" w:cs="Arial"/>
        </w:rPr>
        <w:t>. Cambridge, MA: Harvard University Press. Available at: (Accessed: 10 December 2025).</w:t>
      </w:r>
    </w:p>
    <w:p w14:paraId="284AAE67" w14:textId="48426678"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Woods, R.T., et al., 2018. Attachment and dementia: Theory and evidence for practice. </w:t>
      </w:r>
      <w:r w:rsidRPr="00010059">
        <w:rPr>
          <w:rFonts w:ascii="Arial" w:hAnsi="Arial" w:cs="Arial"/>
          <w:i/>
          <w:iCs/>
        </w:rPr>
        <w:t>Dementia</w:t>
      </w:r>
      <w:r w:rsidRPr="00010059">
        <w:rPr>
          <w:rFonts w:ascii="Arial" w:hAnsi="Arial" w:cs="Arial"/>
        </w:rPr>
        <w:t>, 17(7), pp.797–815. Available at: (Accessed: 10 December 2025).</w:t>
      </w:r>
    </w:p>
    <w:p w14:paraId="5411791D" w14:textId="17B48BF5" w:rsidR="00010059" w:rsidRPr="00010059" w:rsidRDefault="00010059" w:rsidP="00010059">
      <w:pPr>
        <w:pStyle w:val="NormalWeb"/>
        <w:spacing w:line="360" w:lineRule="auto"/>
        <w:jc w:val="both"/>
        <w:rPr>
          <w:rFonts w:ascii="Arial" w:hAnsi="Arial" w:cs="Arial"/>
        </w:rPr>
      </w:pPr>
      <w:r w:rsidRPr="00010059">
        <w:rPr>
          <w:rFonts w:ascii="Arial" w:hAnsi="Arial" w:cs="Arial"/>
        </w:rPr>
        <w:t xml:space="preserve">Erikson, E.H., 1959. </w:t>
      </w:r>
      <w:r w:rsidRPr="00010059">
        <w:rPr>
          <w:rFonts w:ascii="Arial" w:hAnsi="Arial" w:cs="Arial"/>
          <w:i/>
          <w:iCs/>
        </w:rPr>
        <w:t>Identity and the Life Cycle</w:t>
      </w:r>
      <w:r w:rsidRPr="00010059">
        <w:rPr>
          <w:rFonts w:ascii="Arial" w:hAnsi="Arial" w:cs="Arial"/>
        </w:rPr>
        <w:t>. New York: International Universities Press. Available at: (Accessed: 10 December 2025).</w:t>
      </w:r>
    </w:p>
    <w:p w14:paraId="1859B4F1" w14:textId="2CD89C62" w:rsidR="00290E34" w:rsidRDefault="00290E34" w:rsidP="00010059">
      <w:pPr>
        <w:pStyle w:val="NormalWeb"/>
        <w:spacing w:line="360" w:lineRule="auto"/>
      </w:pPr>
    </w:p>
    <w:sectPr w:rsidR="00290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3F89"/>
    <w:multiLevelType w:val="multilevel"/>
    <w:tmpl w:val="E3B0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154B6"/>
    <w:multiLevelType w:val="multilevel"/>
    <w:tmpl w:val="E3B0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09679C"/>
    <w:multiLevelType w:val="multilevel"/>
    <w:tmpl w:val="E3B0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563017"/>
    <w:multiLevelType w:val="multilevel"/>
    <w:tmpl w:val="E3B0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6091239">
    <w:abstractNumId w:val="2"/>
  </w:num>
  <w:num w:numId="2" w16cid:durableId="11881289">
    <w:abstractNumId w:val="1"/>
  </w:num>
  <w:num w:numId="3" w16cid:durableId="1001661235">
    <w:abstractNumId w:val="0"/>
  </w:num>
  <w:num w:numId="4" w16cid:durableId="629478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15C"/>
    <w:rsid w:val="00010059"/>
    <w:rsid w:val="00061028"/>
    <w:rsid w:val="00097B0E"/>
    <w:rsid w:val="00143FA5"/>
    <w:rsid w:val="00290E34"/>
    <w:rsid w:val="003A1464"/>
    <w:rsid w:val="003B28EB"/>
    <w:rsid w:val="003B6F35"/>
    <w:rsid w:val="003F0069"/>
    <w:rsid w:val="004E415C"/>
    <w:rsid w:val="005C374B"/>
    <w:rsid w:val="00794A54"/>
    <w:rsid w:val="007F3760"/>
    <w:rsid w:val="0093731B"/>
    <w:rsid w:val="00DB68F5"/>
    <w:rsid w:val="00DF1B34"/>
    <w:rsid w:val="00E866CC"/>
    <w:rsid w:val="00EF60B4"/>
    <w:rsid w:val="00EF78B6"/>
    <w:rsid w:val="00FB2D0E"/>
    <w:rsid w:val="00FE0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A57BE66"/>
  <w15:chartTrackingRefBased/>
  <w15:docId w15:val="{EECFAEA7-AA5B-46C4-8B2D-48BA3F6D0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4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4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4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4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4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4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15C"/>
    <w:rPr>
      <w:rFonts w:eastAsiaTheme="majorEastAsia" w:cstheme="majorBidi"/>
      <w:color w:val="272727" w:themeColor="text1" w:themeTint="D8"/>
    </w:rPr>
  </w:style>
  <w:style w:type="paragraph" w:styleId="Title">
    <w:name w:val="Title"/>
    <w:basedOn w:val="Normal"/>
    <w:next w:val="Normal"/>
    <w:link w:val="TitleChar"/>
    <w:uiPriority w:val="10"/>
    <w:qFormat/>
    <w:rsid w:val="004E4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15C"/>
    <w:pPr>
      <w:spacing w:before="160"/>
      <w:jc w:val="center"/>
    </w:pPr>
    <w:rPr>
      <w:i/>
      <w:iCs/>
      <w:color w:val="404040" w:themeColor="text1" w:themeTint="BF"/>
    </w:rPr>
  </w:style>
  <w:style w:type="character" w:customStyle="1" w:styleId="QuoteChar">
    <w:name w:val="Quote Char"/>
    <w:basedOn w:val="DefaultParagraphFont"/>
    <w:link w:val="Quote"/>
    <w:uiPriority w:val="29"/>
    <w:rsid w:val="004E415C"/>
    <w:rPr>
      <w:i/>
      <w:iCs/>
      <w:color w:val="404040" w:themeColor="text1" w:themeTint="BF"/>
    </w:rPr>
  </w:style>
  <w:style w:type="paragraph" w:styleId="ListParagraph">
    <w:name w:val="List Paragraph"/>
    <w:basedOn w:val="Normal"/>
    <w:uiPriority w:val="34"/>
    <w:qFormat/>
    <w:rsid w:val="004E415C"/>
    <w:pPr>
      <w:ind w:left="720"/>
      <w:contextualSpacing/>
    </w:pPr>
  </w:style>
  <w:style w:type="character" w:styleId="IntenseEmphasis">
    <w:name w:val="Intense Emphasis"/>
    <w:basedOn w:val="DefaultParagraphFont"/>
    <w:uiPriority w:val="21"/>
    <w:qFormat/>
    <w:rsid w:val="004E415C"/>
    <w:rPr>
      <w:i/>
      <w:iCs/>
      <w:color w:val="0F4761" w:themeColor="accent1" w:themeShade="BF"/>
    </w:rPr>
  </w:style>
  <w:style w:type="paragraph" w:styleId="IntenseQuote">
    <w:name w:val="Intense Quote"/>
    <w:basedOn w:val="Normal"/>
    <w:next w:val="Normal"/>
    <w:link w:val="IntenseQuoteChar"/>
    <w:uiPriority w:val="30"/>
    <w:qFormat/>
    <w:rsid w:val="004E4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15C"/>
    <w:rPr>
      <w:i/>
      <w:iCs/>
      <w:color w:val="0F4761" w:themeColor="accent1" w:themeShade="BF"/>
    </w:rPr>
  </w:style>
  <w:style w:type="character" w:styleId="IntenseReference">
    <w:name w:val="Intense Reference"/>
    <w:basedOn w:val="DefaultParagraphFont"/>
    <w:uiPriority w:val="32"/>
    <w:qFormat/>
    <w:rsid w:val="004E415C"/>
    <w:rPr>
      <w:b/>
      <w:bCs/>
      <w:smallCaps/>
      <w:color w:val="0F4761" w:themeColor="accent1" w:themeShade="BF"/>
      <w:spacing w:val="5"/>
    </w:rPr>
  </w:style>
  <w:style w:type="paragraph" w:styleId="NormalWeb">
    <w:name w:val="Normal (Web)"/>
    <w:basedOn w:val="Normal"/>
    <w:uiPriority w:val="99"/>
    <w:unhideWhenUsed/>
    <w:rsid w:val="004E41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E09DC"/>
    <w:rPr>
      <w:color w:val="467886" w:themeColor="hyperlink"/>
      <w:u w:val="single"/>
    </w:rPr>
  </w:style>
  <w:style w:type="character" w:styleId="UnresolvedMention">
    <w:name w:val="Unresolved Mention"/>
    <w:basedOn w:val="DefaultParagraphFont"/>
    <w:uiPriority w:val="99"/>
    <w:semiHidden/>
    <w:unhideWhenUsed/>
    <w:rsid w:val="00FE0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80e6b7f0a76fbcff118ebd06ae0d037b">
  <xsd:schema xmlns:xsd="http://www.w3.org/2001/XMLSchema" xmlns:xs="http://www.w3.org/2001/XMLSchema" xmlns:p="http://schemas.microsoft.com/office/2006/metadata/properties" xmlns:ns3="dd86abe3-ec21-467e-8687-9d211c569818" targetNamespace="http://schemas.microsoft.com/office/2006/metadata/properties" ma:root="true" ma:fieldsID="f7cfd0013f5531a722f1edecfbc3ef1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85005C68-2BD6-4D1F-98CB-6E26978A63EF}">
  <ds:schemaRefs>
    <ds:schemaRef ds:uri="http://schemas.openxmlformats.org/officeDocument/2006/bibliography"/>
  </ds:schemaRefs>
</ds:datastoreItem>
</file>

<file path=customXml/itemProps2.xml><?xml version="1.0" encoding="utf-8"?>
<ds:datastoreItem xmlns:ds="http://schemas.openxmlformats.org/officeDocument/2006/customXml" ds:itemID="{091C9D1C-B1A1-4F12-9FA0-C610C0477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B7A1D7-41B1-4300-9814-23F8FD8D6CD0}">
  <ds:schemaRefs>
    <ds:schemaRef ds:uri="http://schemas.microsoft.com/sharepoint/v3/contenttype/forms"/>
  </ds:schemaRefs>
</ds:datastoreItem>
</file>

<file path=customXml/itemProps4.xml><?xml version="1.0" encoding="utf-8"?>
<ds:datastoreItem xmlns:ds="http://schemas.openxmlformats.org/officeDocument/2006/customXml" ds:itemID="{67DF6719-E45F-418B-99D5-08C11185B482}">
  <ds:schemaRefs>
    <ds:schemaRef ds:uri="http://schemas.microsoft.com/office/2006/metadata/properties"/>
    <ds:schemaRef ds:uri="http://purl.org/dc/dcmitype/"/>
    <ds:schemaRef ds:uri="http://purl.org/dc/terms/"/>
    <ds:schemaRef ds:uri="http://schemas.openxmlformats.org/package/2006/metadata/core-properties"/>
    <ds:schemaRef ds:uri="dd86abe3-ec21-467e-8687-9d211c569818"/>
    <ds:schemaRef ds:uri="http://schemas.microsoft.com/office/2006/documentManagement/types"/>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Bolo Viviane Goubo (2424588)</dc:creator>
  <cp:keywords/>
  <dc:description/>
  <cp:lastModifiedBy>Bolo Viviane Goubo (2424588)</cp:lastModifiedBy>
  <cp:revision>2</cp:revision>
  <dcterms:created xsi:type="dcterms:W3CDTF">2025-12-10T16:47:00Z</dcterms:created>
  <dcterms:modified xsi:type="dcterms:W3CDTF">2025-12-10T16:47:00Z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b4a3f0f9-d0e0-457b-aca1-db256151c752</vt:lpwstr>
  </property>
  <property fmtid="{D5CDD505-2E9C-101B-9397-08002B2CF9AE}" pid="3" name="ContentTypeId">
    <vt:lpwstr>0x01010059C4DBF88080B948BDB8376217054C6E</vt:lpwstr>
  </property>
</Properties>
</file>