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240" w:lineRule="auto"/>
        <w:rPr>
          <w:rFonts w:ascii="Calibri" w:hAnsi="Calibri" w:cs="Calibri"/>
          <w:b/>
          <w:bCs/>
          <w:sz w:val="48"/>
          <w:szCs w:val="48"/>
        </w:rPr>
      </w:pPr>
      <w:r>
        <w:rPr>
          <w:rFonts w:ascii="Calibri" w:hAnsi="Calibri" w:cs="Calibri"/>
          <w:b/>
          <w:bCs/>
          <w:sz w:val="48"/>
          <w:szCs w:val="48"/>
        </w:rPr>
        <w:drawing>
          <wp:inline distT="0" distB="0" distL="0" distR="0">
            <wp:extent cx="5633085" cy="2212975"/>
            <wp:effectExtent l="0" t="0" r="5715"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rPr>
          <w:rStyle w:val="6"/>
          <w:rFonts w:ascii="Arial" w:hAnsi="Arial" w:cs="Arial"/>
          <w:sz w:val="48"/>
          <w:szCs w:val="48"/>
        </w:rPr>
      </w:pPr>
    </w:p>
    <w:p>
      <w:pPr>
        <w:spacing w:line="360" w:lineRule="auto"/>
        <w:rPr>
          <w:rFonts w:hint="default" w:ascii="Times New Roman" w:hAnsi="Times New Roman" w:cs="Times New Roman"/>
          <w:b/>
          <w:bCs/>
          <w:sz w:val="44"/>
          <w:szCs w:val="44"/>
        </w:rPr>
      </w:pPr>
    </w:p>
    <w:p>
      <w:pPr>
        <w:spacing w:line="360" w:lineRule="auto"/>
        <w:rPr>
          <w:rFonts w:hint="default" w:ascii="Times New Roman" w:hAnsi="Times New Roman" w:cs="Times New Roman"/>
          <w:b/>
          <w:bCs/>
          <w:sz w:val="44"/>
          <w:szCs w:val="44"/>
        </w:rPr>
      </w:pPr>
      <w:r>
        <w:rPr>
          <w:rFonts w:hint="default" w:ascii="Times New Roman" w:hAnsi="Times New Roman" w:cs="Times New Roman"/>
          <w:b/>
          <w:bCs/>
          <w:sz w:val="44"/>
          <w:szCs w:val="44"/>
        </w:rPr>
        <w:t>Cross-cultural business exchanges between Zimbabwe and the United Kingdom</w:t>
      </w:r>
    </w:p>
    <w:p>
      <w:pPr>
        <w:rPr>
          <w:rFonts w:ascii="Arial" w:hAnsi="Arial" w:cs="Arial"/>
          <w:sz w:val="48"/>
          <w:szCs w:val="48"/>
        </w:rPr>
      </w:pPr>
      <w:r>
        <w:rPr>
          <w:rFonts w:ascii="Arial" w:hAnsi="Arial" w:cs="Arial"/>
          <w:sz w:val="32"/>
          <w:szCs w:val="32"/>
        </w:rPr>
        <w:t xml:space="preserve">              </w:t>
      </w:r>
      <w:r>
        <w:rPr>
          <w:rFonts w:ascii="Arial" w:hAnsi="Arial" w:cs="Arial"/>
          <w:sz w:val="48"/>
          <w:szCs w:val="48"/>
        </w:rPr>
        <w:t xml:space="preserve">  </w:t>
      </w:r>
    </w:p>
    <w:p>
      <w:pPr>
        <w:rPr>
          <w:rFonts w:hint="default" w:ascii="Arial" w:hAnsi="Arial" w:cs="Arial" w:eastAsiaTheme="minorEastAsia"/>
          <w:sz w:val="44"/>
          <w:szCs w:val="44"/>
          <w:lang w:val="en-US" w:eastAsia="zh-CN"/>
        </w:rPr>
      </w:pPr>
      <w:r>
        <w:rPr>
          <w:rFonts w:hint="eastAsia" w:ascii="Arial" w:hAnsi="Arial" w:cs="Arial"/>
          <w:sz w:val="44"/>
          <w:szCs w:val="44"/>
          <w:lang w:val="en-US" w:eastAsia="zh-CN"/>
        </w:rPr>
        <w:t>Student name：Yao Rui</w:t>
      </w:r>
    </w:p>
    <w:p>
      <w:pPr>
        <w:rPr>
          <w:rFonts w:hint="default" w:ascii="Arial" w:hAnsi="Arial" w:cs="Arial"/>
          <w:sz w:val="44"/>
          <w:szCs w:val="44"/>
          <w:lang w:val="en-US" w:eastAsia="zh-CN"/>
        </w:rPr>
      </w:pPr>
      <w:r>
        <w:rPr>
          <w:rFonts w:hint="eastAsia" w:ascii="Arial" w:hAnsi="Arial" w:cs="Arial"/>
          <w:sz w:val="44"/>
          <w:szCs w:val="44"/>
          <w:lang w:val="en-US" w:eastAsia="zh-CN"/>
        </w:rPr>
        <w:t>Student Number：2108266</w:t>
      </w:r>
    </w:p>
    <w:p>
      <w:pPr>
        <w:rPr>
          <w:rFonts w:ascii="Arial" w:hAnsi="Arial" w:cs="Arial"/>
          <w:sz w:val="44"/>
          <w:szCs w:val="44"/>
        </w:rPr>
      </w:pPr>
      <w:r>
        <w:rPr>
          <w:rFonts w:ascii="Arial" w:hAnsi="Arial" w:cs="Arial"/>
          <w:sz w:val="44"/>
          <w:szCs w:val="44"/>
          <w:lang w:eastAsia="en-GB"/>
        </w:rPr>
        <w:t>Submission</w:t>
      </w:r>
      <w:r>
        <w:rPr>
          <w:rFonts w:hint="eastAsia" w:ascii="Arial" w:hAnsi="Arial" w:cs="Arial"/>
          <w:sz w:val="44"/>
          <w:szCs w:val="44"/>
          <w:lang w:eastAsia="en-GB"/>
        </w:rPr>
        <w:t xml:space="preserve"> Date</w:t>
      </w:r>
      <w:r>
        <w:rPr>
          <w:rFonts w:hint="eastAsia" w:ascii="Arial" w:hAnsi="Arial" w:cs="Arial"/>
          <w:sz w:val="44"/>
          <w:szCs w:val="44"/>
          <w:lang w:eastAsia="zh-CN"/>
        </w:rPr>
        <w:t>：</w:t>
      </w:r>
      <w:r>
        <w:rPr>
          <w:rFonts w:ascii="Arial" w:hAnsi="Arial" w:cs="Arial"/>
          <w:sz w:val="32"/>
          <w:szCs w:val="32"/>
        </w:rPr>
        <w:t xml:space="preserve"> </w:t>
      </w:r>
      <w:r>
        <w:rPr>
          <w:rFonts w:hint="eastAsia" w:ascii="Arial" w:hAnsi="Arial" w:cs="Arial"/>
          <w:sz w:val="44"/>
          <w:szCs w:val="44"/>
          <w:lang w:val="en-US" w:eastAsia="zh-CN"/>
        </w:rPr>
        <w:t>7</w:t>
      </w:r>
      <w:r>
        <w:rPr>
          <w:rFonts w:ascii="Arial" w:hAnsi="Arial" w:cs="Arial"/>
          <w:sz w:val="44"/>
          <w:szCs w:val="44"/>
        </w:rPr>
        <w:t xml:space="preserve"> </w:t>
      </w:r>
      <w:r>
        <w:rPr>
          <w:rFonts w:hint="eastAsia" w:ascii="Arial" w:hAnsi="Arial" w:cs="Arial"/>
          <w:sz w:val="44"/>
          <w:szCs w:val="44"/>
          <w:lang w:val="en-US" w:eastAsia="zh-CN"/>
        </w:rPr>
        <w:t>January</w:t>
      </w:r>
      <w:r>
        <w:rPr>
          <w:rFonts w:ascii="Arial" w:hAnsi="Arial" w:cs="Arial"/>
          <w:sz w:val="44"/>
          <w:szCs w:val="44"/>
        </w:rPr>
        <w:t xml:space="preserve"> 202</w:t>
      </w:r>
      <w:r>
        <w:rPr>
          <w:rFonts w:hint="eastAsia" w:ascii="Arial" w:hAnsi="Arial" w:cs="Arial"/>
          <w:sz w:val="44"/>
          <w:szCs w:val="44"/>
          <w:lang w:val="en-US" w:eastAsia="zh-CN"/>
        </w:rPr>
        <w:t>2</w:t>
      </w:r>
    </w:p>
    <w:p>
      <w:pPr>
        <w:rPr>
          <w:rFonts w:hint="default" w:ascii="Arial" w:hAnsi="Arial" w:cs="Arial" w:eastAsiaTheme="minorEastAsia"/>
          <w:sz w:val="32"/>
          <w:szCs w:val="32"/>
          <w:lang w:val="en-US" w:eastAsia="zh-CN"/>
        </w:rPr>
      </w:pPr>
    </w:p>
    <w:p>
      <w:pPr>
        <w:rPr>
          <w:rFonts w:ascii="Arial" w:hAnsi="Arial" w:cs="Arial"/>
          <w:sz w:val="44"/>
          <w:szCs w:val="44"/>
        </w:rPr>
      </w:pPr>
      <w:bookmarkStart w:id="0" w:name="_GoBack"/>
      <w:bookmarkEnd w:id="0"/>
    </w:p>
    <w:p>
      <w:pPr>
        <w:rPr>
          <w:rFonts w:ascii="Arial" w:hAnsi="Arial" w:cs="Arial"/>
          <w:sz w:val="44"/>
          <w:szCs w:val="44"/>
        </w:rPr>
      </w:pPr>
    </w:p>
    <w:p>
      <w:pPr>
        <w:rPr>
          <w:rFonts w:ascii="Arial" w:hAnsi="Arial" w:cs="Arial"/>
          <w:sz w:val="44"/>
          <w:szCs w:val="44"/>
        </w:rPr>
      </w:pPr>
    </w:p>
    <w:p>
      <w:pPr>
        <w:rPr>
          <w:rFonts w:ascii="Arial" w:hAnsi="Arial" w:cs="Arial"/>
          <w:sz w:val="36"/>
          <w:szCs w:val="36"/>
        </w:rPr>
      </w:pPr>
      <w:r>
        <w:rPr>
          <w:rFonts w:ascii="Arial" w:hAnsi="Arial" w:cs="Arial"/>
          <w:sz w:val="36"/>
          <w:szCs w:val="36"/>
        </w:rPr>
        <w:t>A report submitted in fulfilment of the requirements for Course M3X9089, International Business Communications, University of Wales Trinity Saint David.</w:t>
      </w:r>
    </w:p>
    <w:p>
      <w:pPr>
        <w:spacing w:line="360" w:lineRule="auto"/>
        <w:rPr>
          <w:rFonts w:hint="default" w:ascii="Times New Roman" w:hAnsi="Times New Roman" w:cs="Times New Roman"/>
          <w:b/>
          <w:bCs/>
          <w:sz w:val="24"/>
          <w:szCs w:val="24"/>
        </w:rPr>
      </w:pPr>
      <w:r>
        <w:rPr>
          <w:rFonts w:hint="default" w:ascii="Times New Roman" w:hAnsi="Times New Roman" w:cs="Times New Roman"/>
          <w:b/>
          <w:bCs/>
          <w:sz w:val="24"/>
          <w:szCs w:val="24"/>
        </w:rPr>
        <w:t>1.</w:t>
      </w:r>
      <w:r>
        <w:rPr>
          <w:rFonts w:hint="eastAsia" w:ascii="Times New Roman" w:hAnsi="Times New Roman" w:cs="Times New Roman"/>
          <w:b/>
          <w:bCs/>
          <w:sz w:val="24"/>
          <w:szCs w:val="24"/>
          <w:lang w:val="en-US" w:eastAsia="zh-CN"/>
        </w:rPr>
        <w:t xml:space="preserve">0 </w:t>
      </w:r>
      <w:r>
        <w:rPr>
          <w:rFonts w:hint="default" w:ascii="Times New Roman" w:hAnsi="Times New Roman" w:cs="Times New Roman"/>
          <w:b/>
          <w:bCs/>
          <w:sz w:val="24"/>
          <w:szCs w:val="24"/>
        </w:rPr>
        <w:t>Introduction</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With the continuous progress and development of science and technology, the trend of economic integration is becoming more and more obvious. The ties between countries are getting closer, the exchanges between countries are becoming more frequent, and the scale of trade is constantly increasing rapidly. The international division of labor is also constantly escalating and changing. The value creation capabilities of services are gradually becoming significant. Its growth rate is significantly faster than that of traditional trade in goods. Its contribution to GDP is also rising. Its status in the international division of labor is constantly improving. It has become an important part of international trade and has attracted the attention of various organizations and countries in the world. OECD proposed the concept of trade in services as early as 1972. Afterwards, various WTO member countries finally signed GATS in 1994 after constant consultations and discussions, giving specific directions for trade in services</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Curtin</w:t>
      </w:r>
      <w:r>
        <w:rPr>
          <w:rFonts w:hint="default" w:ascii="Times New Roman" w:hAnsi="Times New Roman" w:eastAsia="宋体" w:cs="Times New Roman"/>
          <w:i w:val="0"/>
          <w:iCs w:val="0"/>
          <w:caps w:val="0"/>
          <w:color w:val="222222"/>
          <w:spacing w:val="0"/>
          <w:sz w:val="24"/>
          <w:szCs w:val="24"/>
          <w:shd w:val="clear" w:fill="FFFFFF"/>
          <w:lang w:val="en-US" w:eastAsia="zh-CN"/>
        </w:rPr>
        <w:t>, 1984)</w:t>
      </w:r>
      <w:r>
        <w:rPr>
          <w:rFonts w:hint="default" w:ascii="Times New Roman" w:hAnsi="Times New Roman" w:cs="Times New Roman"/>
          <w:sz w:val="24"/>
          <w:szCs w:val="24"/>
        </w:rPr>
        <w:t>. Then, in 2002, the World Trade Organization joined other five major international organizations, the United Nations, the European Community, the International Monetary Fund, the Organization for Economic Cooperation and Development, and the United Nations Conference on Trade and Development to jointly negotiate and jointly write the Manual on State. ist ic s of INT IONAL TRADE IN SERVICES, MS ITS.</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Therefore, trade between countries involves many factors, not only affected by the economic development of the two countries, exchange rates, tariff systems, and geographic factors, but also by language and customs, religion, psychological characteristics, and personality preferences. And other cultural factors. With the continuous innovation of transportation and communication technology, and the further optimization and upgrading of the logistics system, the effect of spatial distance on trade is constantly weakening, and the cultural difference between the two countries has an increasingly obvious impact on international trade. The cultural differences have affected the trade activities between countries. Service trade is a relatively special part of international trade. Unlike traditional goods trade, it is a cross-border service transaction. It relies on goods transactions to a certain extent. Unlike goods trade, human participation is more important to a certain extent. Great, the choice of transaction, transaction process, service experience and both parties of the transaction are greatly influenced by culture. To a certain extent, it can be said that cultural differences between countries have a greater impact on service trade.</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Starting from cultural differences, this article explores the impact of cultural differences between Zimbabwe and the United Kingdom on the development of cross-cultural commerce based on the theory of cultural differences. Exports and economic growth have practical guiding significance, and they can also provide new clues for China's structural transformation of international trade.</w:t>
      </w:r>
    </w:p>
    <w:p>
      <w:pPr>
        <w:spacing w:line="360" w:lineRule="auto"/>
        <w:rPr>
          <w:rFonts w:hint="default" w:ascii="Times New Roman" w:hAnsi="Times New Roman" w:cs="Times New Roman"/>
          <w:sz w:val="24"/>
          <w:szCs w:val="24"/>
        </w:rPr>
      </w:pPr>
    </w:p>
    <w:p>
      <w:pPr>
        <w:numPr>
          <w:ilvl w:val="0"/>
          <w:numId w:val="1"/>
        </w:numPr>
        <w:spacing w:line="360" w:lineRule="auto"/>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 xml:space="preserve">0 </w:t>
      </w:r>
      <w:r>
        <w:rPr>
          <w:rFonts w:hint="default" w:ascii="Times New Roman" w:hAnsi="Times New Roman" w:cs="Times New Roman"/>
          <w:b/>
          <w:bCs/>
          <w:sz w:val="24"/>
          <w:szCs w:val="24"/>
        </w:rPr>
        <w:t>Theoretical analysis</w:t>
      </w:r>
    </w:p>
    <w:p>
      <w:pPr>
        <w:spacing w:line="360" w:lineRule="auto"/>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2</w:t>
      </w:r>
      <w:r>
        <w:rPr>
          <w:rFonts w:hint="default" w:ascii="Times New Roman" w:hAnsi="Times New Roman" w:cs="Times New Roman"/>
          <w:b/>
          <w:bCs/>
          <w:sz w:val="24"/>
          <w:szCs w:val="24"/>
        </w:rPr>
        <w:t>.1 Cultural differences</w:t>
      </w:r>
    </w:p>
    <w:p>
      <w:pPr>
        <w:spacing w:line="360" w:lineRule="auto"/>
        <w:rPr>
          <w:rFonts w:hint="default" w:ascii="Times New Roman" w:hAnsi="Times New Roman" w:cs="Times New Roman"/>
          <w:b/>
          <w:bCs/>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internalization of cultural differences The cultural differences have always been the focus of debates among scholars in many countries and abroad. Different scholars have put forward various viewpoints and explanations in their academic articles or writings</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Hoecklin</w:t>
      </w:r>
      <w:r>
        <w:rPr>
          <w:rFonts w:hint="default" w:ascii="Times New Roman" w:hAnsi="Times New Roman" w:eastAsia="宋体" w:cs="Times New Roman"/>
          <w:i w:val="0"/>
          <w:iCs w:val="0"/>
          <w:caps w:val="0"/>
          <w:color w:val="222222"/>
          <w:spacing w:val="0"/>
          <w:sz w:val="24"/>
          <w:szCs w:val="24"/>
          <w:shd w:val="clear" w:fill="FFFFFF"/>
          <w:lang w:val="en-US" w:eastAsia="zh-CN"/>
        </w:rPr>
        <w:t>, 1995)</w:t>
      </w:r>
      <w:r>
        <w:rPr>
          <w:rFonts w:hint="default" w:ascii="Times New Roman" w:hAnsi="Times New Roman" w:cs="Times New Roman"/>
          <w:sz w:val="24"/>
          <w:szCs w:val="24"/>
        </w:rPr>
        <w:t>. The Dutch scholar Hofsted believes that culture is not an individual characteristic. It is a group of people living in the same region or country and in the same environment. Because they receive the same education, they have formed the same or similar habits and customs, and the same or similar beliefs. Knowledge, concepts and value choices</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Petros</w:t>
      </w:r>
      <w:r>
        <w:rPr>
          <w:rFonts w:hint="default" w:ascii="Times New Roman" w:hAnsi="Times New Roman" w:eastAsia="宋体" w:cs="Times New Roman"/>
          <w:i w:val="0"/>
          <w:iCs w:val="0"/>
          <w:caps w:val="0"/>
          <w:color w:val="222222"/>
          <w:spacing w:val="0"/>
          <w:sz w:val="24"/>
          <w:szCs w:val="24"/>
          <w:shd w:val="clear" w:fill="FFFFFF"/>
          <w:lang w:val="en-US" w:eastAsia="zh-CN"/>
        </w:rPr>
        <w:t>, 2012)</w:t>
      </w:r>
      <w:r>
        <w:rPr>
          <w:rFonts w:hint="default" w:ascii="Times New Roman" w:hAnsi="Times New Roman" w:cs="Times New Roman"/>
          <w:sz w:val="24"/>
          <w:szCs w:val="24"/>
        </w:rPr>
        <w:t>. People in different regions or countries have different customs, cognitions, concepts, and value choices. There are differences, that is, cultural differences. This difference is present in all aspects, levels and dimensions of the elements of culture. The essence of cultural difference is the difference in cultural connotation, which is mainly manifested in the difference in values. The so-called "values" refer to the thinking tendency or orientation of cognition, discrimination, judgment, and choice of whether people, things, and things have a certain value or function</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Kanter</w:t>
      </w:r>
      <w:r>
        <w:rPr>
          <w:rFonts w:hint="default" w:ascii="Times New Roman" w:hAnsi="Times New Roman" w:eastAsia="宋体" w:cs="Times New Roman"/>
          <w:i w:val="0"/>
          <w:iCs w:val="0"/>
          <w:caps w:val="0"/>
          <w:color w:val="222222"/>
          <w:spacing w:val="0"/>
          <w:sz w:val="24"/>
          <w:szCs w:val="24"/>
          <w:shd w:val="clear" w:fill="FFFFFF"/>
          <w:lang w:val="en-US" w:eastAsia="zh-CN"/>
        </w:rPr>
        <w:t>, 1994)</w:t>
      </w:r>
      <w:r>
        <w:rPr>
          <w:rFonts w:hint="default" w:ascii="Times New Roman" w:hAnsi="Times New Roman" w:cs="Times New Roman"/>
          <w:sz w:val="24"/>
          <w:szCs w:val="24"/>
        </w:rPr>
        <w:t>. In measuring cultural differences between countries, the existing research results mainly adopt the following four categories. method . The first type of method uses some traditional cultural indicators, such as language, immigration network, religious beliefs, colonial relations, etc., to measure cultural similarity and use this as a proxy variable for cultural differences (Owusu-Ansah</w:t>
      </w:r>
      <w:r>
        <w:rPr>
          <w:rFonts w:hint="default" w:ascii="Times New Roman" w:hAnsi="Times New Roman" w:cs="Times New Roman"/>
          <w:sz w:val="24"/>
          <w:szCs w:val="24"/>
          <w:lang w:val="en-US" w:eastAsia="zh-CN"/>
        </w:rPr>
        <w:t>, 2000</w:t>
      </w:r>
      <w:r>
        <w:rPr>
          <w:rFonts w:hint="default" w:ascii="Times New Roman" w:hAnsi="Times New Roman" w:cs="Times New Roman"/>
          <w:sz w:val="24"/>
          <w:szCs w:val="24"/>
        </w:rPr>
        <w:t>). Among them, Dale Boisso and Michael Ferrantino (1997) and Rongxing Guo (2004) used the population proportion data of each language to construct the language of the two countries. Degree; and Melitz (2008) divides the common language into multiple dimensions-official language and spoken language, to study the mechanism of language factors on international trade. Among them, the common official language reflects that both parties have a common language choice in formal venues and exchanges of written documents, while the common spoken language reflects the possibility of direct communication between the two parties in trade. Melitz believes that the absence of a common official language means that both parties in trade need to spend time and money to find translations. The absence of a common spoken language adds to the difficulty of direct communication between the parties. In addition, the immigrant network has also been adopted as a proxy indicator to measure the cultural distance between the two countries. Rauch (2001), Wagner (2002), Rauch &amp; Trindade (2002), Combes (2020), etc., 5, etc. Immigration data is used to explore the impact of immigration networks on international trade. It is found that immigration networks can significantly reduce the cost of trade information and broaden the channels for obtaining business information, thereby helping to promote the development of international trade. The second type of method is based on the cultural distance index proposed by Inglehart and Baker (2010) to construct a bilateral trust index to measure cultural differences. These indicators expand the cultural agency indicators and scope, and to a greater extent reflect the universally representative customs, values, and other cultural characteristics of a country, so as to be able to reflect bilateral cultural differences more comprehensively and effectively. The third type of method is the Euclidean spatial distance measurement algorithm. Based on survey data of world values ​(Global Values ​(WVS) and European Values (EVS), spatial distance algorithms are used to construct indicators for measuring overall cultural differences</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Hooker</w:t>
      </w:r>
      <w:r>
        <w:rPr>
          <w:rFonts w:hint="default" w:ascii="Times New Roman" w:hAnsi="Times New Roman" w:eastAsia="宋体" w:cs="Times New Roman"/>
          <w:i w:val="0"/>
          <w:iCs w:val="0"/>
          <w:caps w:val="0"/>
          <w:color w:val="222222"/>
          <w:spacing w:val="0"/>
          <w:sz w:val="24"/>
          <w:szCs w:val="24"/>
          <w:shd w:val="clear" w:fill="FFFFFF"/>
          <w:lang w:val="en-US" w:eastAsia="zh-CN"/>
        </w:rPr>
        <w:t>, 2012)</w:t>
      </w:r>
      <w:r>
        <w:rPr>
          <w:rFonts w:hint="default" w:ascii="Times New Roman" w:hAnsi="Times New Roman" w:cs="Times New Roman"/>
          <w:sz w:val="24"/>
          <w:szCs w:val="24"/>
        </w:rPr>
        <w:t>. The fourth type of method is based on Hofstede six-dimensional cultural data, using Kogut And Sinh (1988) introduced the construction method, or use the Euclidean space distance measurement algorithm (Pythagoras theorem) to calculate and measure the cultural distance between countries.</w:t>
      </w:r>
      <w:r>
        <w:rPr>
          <w:rFonts w:hint="default" w:ascii="Times New Roman" w:hAnsi="Times New Roman" w:eastAsia="宋体" w:cs="Times New Roman"/>
          <w:i w:val="0"/>
          <w:iCs w:val="0"/>
          <w:caps w:val="0"/>
          <w:color w:val="222222"/>
          <w:spacing w:val="0"/>
          <w:sz w:val="24"/>
          <w:szCs w:val="24"/>
          <w:shd w:val="clear" w:fill="FFFFFF"/>
        </w:rPr>
        <w:t>Ranganathan</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(2006</w:t>
      </w:r>
      <w:r>
        <w:rPr>
          <w:rFonts w:hint="default" w:ascii="Times New Roman" w:hAnsi="Times New Roman" w:cs="Times New Roman"/>
          <w:sz w:val="24"/>
          <w:szCs w:val="24"/>
        </w:rPr>
        <w:t xml:space="preserve">), etc. The above method is used to construct indicators of cultural integration between countries to study the relationship between cultural integration and bilateral trade flows. This article is based on the six-dimensional cultural data of Hofste de, and references </w:t>
      </w:r>
      <w:r>
        <w:rPr>
          <w:rFonts w:hint="default" w:ascii="Times New Roman" w:hAnsi="Times New Roman" w:eastAsia="宋体" w:cs="Times New Roman"/>
          <w:i w:val="0"/>
          <w:iCs w:val="0"/>
          <w:caps w:val="0"/>
          <w:color w:val="222222"/>
          <w:spacing w:val="0"/>
          <w:sz w:val="24"/>
          <w:szCs w:val="24"/>
          <w:shd w:val="clear" w:fill="FFFFFF"/>
        </w:rPr>
        <w:t>Scott</w:t>
      </w:r>
      <w:r>
        <w:rPr>
          <w:rFonts w:hint="default" w:ascii="Times New Roman" w:hAnsi="Times New Roman" w:eastAsia="宋体" w:cs="Times New Roman"/>
          <w:i w:val="0"/>
          <w:iCs w:val="0"/>
          <w:caps w:val="0"/>
          <w:color w:val="222222"/>
          <w:spacing w:val="0"/>
          <w:sz w:val="24"/>
          <w:szCs w:val="24"/>
          <w:shd w:val="clear" w:fill="FFFFFF"/>
          <w:lang w:val="en-US" w:eastAsia="zh-CN"/>
        </w:rPr>
        <w:t>,etc</w:t>
      </w:r>
      <w:r>
        <w:rPr>
          <w:rFonts w:hint="default" w:ascii="Times New Roman" w:hAnsi="Times New Roman" w:cs="Times New Roman"/>
          <w:sz w:val="24"/>
          <w:szCs w:val="24"/>
        </w:rPr>
        <w:t xml:space="preserve"> (1</w:t>
      </w:r>
      <w:r>
        <w:rPr>
          <w:rFonts w:hint="default" w:ascii="Times New Roman" w:hAnsi="Times New Roman" w:cs="Times New Roman"/>
          <w:sz w:val="24"/>
          <w:szCs w:val="24"/>
          <w:lang w:val="en-US" w:eastAsia="zh-CN"/>
        </w:rPr>
        <w:t>995</w:t>
      </w:r>
      <w:r>
        <w:rPr>
          <w:rFonts w:hint="default" w:ascii="Times New Roman" w:hAnsi="Times New Roman" w:cs="Times New Roman"/>
          <w:sz w:val="24"/>
          <w:szCs w:val="24"/>
        </w:rPr>
        <w:t xml:space="preserve">) The construction method introduced is to measure cultural differences between countries and study its impact on </w:t>
      </w:r>
      <w:r>
        <w:rPr>
          <w:rFonts w:hint="default" w:ascii="Times New Roman" w:hAnsi="Times New Roman" w:cs="Times New Roman"/>
          <w:sz w:val="24"/>
          <w:szCs w:val="24"/>
          <w:lang w:val="en-US" w:eastAsia="zh-CN"/>
        </w:rPr>
        <w:t>its</w:t>
      </w:r>
      <w:r>
        <w:rPr>
          <w:rFonts w:hint="default" w:ascii="Times New Roman" w:hAnsi="Times New Roman" w:cs="Times New Roman"/>
          <w:sz w:val="24"/>
          <w:szCs w:val="24"/>
        </w:rPr>
        <w:t xml:space="preserve"> service trade exports</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Mehta</w:t>
      </w:r>
      <w:r>
        <w:rPr>
          <w:rFonts w:hint="default" w:ascii="Times New Roman" w:hAnsi="Times New Roman" w:eastAsia="宋体" w:cs="Times New Roman"/>
          <w:i w:val="0"/>
          <w:iCs w:val="0"/>
          <w:caps w:val="0"/>
          <w:color w:val="222222"/>
          <w:spacing w:val="0"/>
          <w:sz w:val="24"/>
          <w:szCs w:val="24"/>
          <w:shd w:val="clear" w:fill="FFFFFF"/>
          <w:lang w:val="en-US" w:eastAsia="zh-CN"/>
        </w:rPr>
        <w:t>, etc, 2006)</w:t>
      </w:r>
      <w:r>
        <w:rPr>
          <w:rFonts w:hint="default" w:ascii="Times New Roman" w:hAnsi="Times New Roman" w:cs="Times New Roman"/>
          <w:sz w:val="24"/>
          <w:szCs w:val="24"/>
        </w:rPr>
        <w:t>.</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b/>
          <w:bCs/>
          <w:sz w:val="24"/>
          <w:szCs w:val="24"/>
        </w:rPr>
      </w:pPr>
      <w:r>
        <w:rPr>
          <w:rFonts w:hint="default" w:ascii="Times New Roman" w:hAnsi="Times New Roman" w:cs="Times New Roman"/>
          <w:b/>
          <w:bCs/>
          <w:sz w:val="24"/>
          <w:szCs w:val="24"/>
        </w:rPr>
        <w:t>2.2 The impact of cultural differences on service trade exports</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As mentioned in the previous theoretical section, cultural differences will increase transaction costs. The cost in international trade covers a wide range, not only transportation costs, cultural differences between the two countries in trade, will increase the trade information costs, communication costs, contract costs and reputation risks between the two countries, reduce the return of goods, and thus certain </w:t>
      </w:r>
      <w:r>
        <w:rPr>
          <w:rFonts w:hint="default" w:ascii="Times New Roman" w:hAnsi="Times New Roman" w:cs="Times New Roman"/>
          <w:sz w:val="24"/>
          <w:szCs w:val="24"/>
          <w:lang w:val="en-US" w:eastAsia="zh-CN"/>
        </w:rPr>
        <w:t>t</w:t>
      </w:r>
      <w:r>
        <w:rPr>
          <w:rFonts w:hint="default" w:ascii="Times New Roman" w:hAnsi="Times New Roman" w:cs="Times New Roman"/>
          <w:sz w:val="24"/>
          <w:szCs w:val="24"/>
        </w:rPr>
        <w:t>o a certain extent, it hinders the trade exchanges between the two countries. Service trade is essentially a form of trade</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Furnham</w:t>
      </w:r>
      <w:r>
        <w:rPr>
          <w:rFonts w:hint="default" w:ascii="Times New Roman" w:hAnsi="Times New Roman" w:eastAsia="宋体" w:cs="Times New Roman"/>
          <w:i w:val="0"/>
          <w:iCs w:val="0"/>
          <w:caps w:val="0"/>
          <w:color w:val="222222"/>
          <w:spacing w:val="0"/>
          <w:sz w:val="24"/>
          <w:szCs w:val="24"/>
          <w:shd w:val="clear" w:fill="FFFFFF"/>
          <w:lang w:val="en-US" w:eastAsia="zh-CN"/>
        </w:rPr>
        <w:t>, 2006)</w:t>
      </w:r>
      <w:r>
        <w:rPr>
          <w:rFonts w:hint="default" w:ascii="Times New Roman" w:hAnsi="Times New Roman" w:cs="Times New Roman"/>
          <w:sz w:val="24"/>
          <w:szCs w:val="24"/>
        </w:rPr>
        <w:t>, except that the subject matter is an intangible and complex service. Trade is also a transaction, involving both buyers and sellers, the subject matter of the transaction, the pricing of the product, the venue of the transaction, and the process of the transaction. International trade is a commercial activity between countries. The exchange of goods and services between countries plays a very important role in the process of social reproduction. People in different countries have different languages, different historical and legal concepts, different customs and habits, etc., which will create certain obstacles to the exchanges and trade between many countries. International trade activities will inevitably encounter these first Cultural differences, we have to overcome the negative impact of these languages, cognitions, customs, etc., in order to accurately and completely conduct market research, trade negotiations, and even complete the signing and delivery, and smoothly resolve the disputes that may be encountered in coordination</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Tadesse</w:t>
      </w:r>
      <w:r>
        <w:rPr>
          <w:rFonts w:hint="default" w:ascii="Times New Roman" w:hAnsi="Times New Roman" w:eastAsia="宋体" w:cs="Times New Roman"/>
          <w:i w:val="0"/>
          <w:iCs w:val="0"/>
          <w:caps w:val="0"/>
          <w:color w:val="222222"/>
          <w:spacing w:val="0"/>
          <w:sz w:val="24"/>
          <w:szCs w:val="24"/>
          <w:shd w:val="clear" w:fill="FFFFFF"/>
          <w:lang w:val="en-US" w:eastAsia="zh-CN"/>
        </w:rPr>
        <w:t>, 2000)</w:t>
      </w:r>
      <w:r>
        <w:rPr>
          <w:rFonts w:hint="default" w:ascii="Times New Roman" w:hAnsi="Times New Roman" w:cs="Times New Roman"/>
          <w:sz w:val="24"/>
          <w:szCs w:val="24"/>
        </w:rPr>
        <w:t>. The following analysis is mainly based on information cost, communication cost and contract cost.</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Cost International trade is trade carried out between different countries and bears the brunt of the impact of heterogeneous cultures. Information is the key to a smooth trade transaction, and the cost of information is an extremely important part of the cost of trade. Information cost mainly involves the acquisition and interpretation of information</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Javalg</w:t>
      </w:r>
      <w:r>
        <w:rPr>
          <w:rFonts w:hint="default" w:ascii="Times New Roman" w:hAnsi="Times New Roman" w:eastAsia="宋体" w:cs="Times New Roman"/>
          <w:i w:val="0"/>
          <w:iCs w:val="0"/>
          <w:caps w:val="0"/>
          <w:color w:val="222222"/>
          <w:spacing w:val="0"/>
          <w:sz w:val="24"/>
          <w:szCs w:val="24"/>
          <w:shd w:val="clear" w:fill="FFFFFF"/>
          <w:lang w:val="en-US" w:eastAsia="zh-CN"/>
        </w:rPr>
        <w:t>i, 2004)</w:t>
      </w:r>
      <w:r>
        <w:rPr>
          <w:rFonts w:hint="default" w:ascii="Times New Roman" w:hAnsi="Times New Roman" w:cs="Times New Roman"/>
          <w:sz w:val="24"/>
          <w:szCs w:val="24"/>
        </w:rPr>
        <w:t>. Compared with domestic trade and international trade in goods, international trade in services requires a wider range of information to be searched and interpreted. It is not only necessary to search and understand international conventions and rules, but also to understand the target trading country’s national trade policies, laws and regulations, economic policies, and financial policies. , Import and export management policies and customs policies, etc., target market conditions, industrial policies, and the status of target consumer groups for trade, and then select and screen trading partners, and then negotiate and negotiate with trading partners. Cultural differences, especially language differences, will increase the difficulty of searching and obtaining such information, and increase the time, manpower, and capital costs of searching for translations. In addition, many policies are constantly changing. Factors such as different economic situations and different incumbents may lead to changes in policies. To engage in international trade, it is necessary to study these policies and information in order to ensure the smooth progress of trade. All these undoubtedly increase the cost of trade and hinder trade</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Winsted</w:t>
      </w:r>
      <w:r>
        <w:rPr>
          <w:rFonts w:hint="default" w:ascii="Times New Roman" w:hAnsi="Times New Roman" w:eastAsia="宋体" w:cs="Times New Roman"/>
          <w:i w:val="0"/>
          <w:iCs w:val="0"/>
          <w:caps w:val="0"/>
          <w:color w:val="222222"/>
          <w:spacing w:val="0"/>
          <w:sz w:val="24"/>
          <w:szCs w:val="24"/>
          <w:shd w:val="clear" w:fill="FFFFFF"/>
          <w:lang w:val="en-US" w:eastAsia="zh-CN"/>
        </w:rPr>
        <w:t>, 1998)</w:t>
      </w:r>
      <w:r>
        <w:rPr>
          <w:rFonts w:hint="default" w:ascii="Times New Roman" w:hAnsi="Times New Roman" w:cs="Times New Roman"/>
          <w:sz w:val="24"/>
          <w:szCs w:val="24"/>
        </w:rPr>
        <w:t>.</w:t>
      </w:r>
    </w:p>
    <w:p>
      <w:pPr>
        <w:spacing w:line="360" w:lineRule="auto"/>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Culture is a complex, multi-dimensional, and extensive concept, embodied in the language, literature, religion, history, customs, habits, and systems within a group. Trade is another complex communication process. The conclusion of a transaction depends to a large extent on the timely and effective communication between the two parties. International service trade has its own special complexity, communication is more detailed and complicated, and the cost is also higher. Service goods are extremely complex commodities that are not transportable. They are consumed while being produced. Service providers and consumers need to face-to-face transactions at the same time and place, making service trade more dependent on the buyer and seller. Face to face communication. There are many kinds of services, and some of them are intangible to a certain extent. The nature and content of commodities need to be more accurately defined and accurately expressed. Many of them are service products with high complexity. If technical patents, etc., contain more intensive product information, there is a higher requirement for the accuracy and comprehensiveness of the information. The difficulty is greater; the right to use and ownership of service products show a certain degree of complexity. The transaction of services does not necessarily transfer the right of use and ownership at the same time. The complex relationship between the two depends on comprehensive, timely and effective communication between the two parties; the quotation of service products is complicated</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Lennon</w:t>
      </w:r>
      <w:r>
        <w:rPr>
          <w:rFonts w:hint="default" w:ascii="Times New Roman" w:hAnsi="Times New Roman" w:eastAsia="宋体" w:cs="Times New Roman"/>
          <w:i w:val="0"/>
          <w:iCs w:val="0"/>
          <w:caps w:val="0"/>
          <w:color w:val="222222"/>
          <w:spacing w:val="0"/>
          <w:sz w:val="24"/>
          <w:szCs w:val="24"/>
          <w:shd w:val="clear" w:fill="FFFFFF"/>
          <w:lang w:val="en-US" w:eastAsia="zh-CN"/>
        </w:rPr>
        <w:t>, 2009)</w:t>
      </w:r>
      <w:r>
        <w:rPr>
          <w:rFonts w:hint="default" w:ascii="Times New Roman" w:hAnsi="Times New Roman" w:cs="Times New Roman"/>
          <w:sz w:val="24"/>
          <w:szCs w:val="24"/>
          <w:lang w:eastAsia="zh-CN"/>
        </w:rPr>
        <w:t>. Compared with ordinary goods, the quotation of services has its particularity and complexity. Both parties need to formulate prices and negotiate according to the actual comprehensive situation. The relationship between service providers and consumers is simple, some complicated, and some contracts The period will be very long, and there are more restrictions and fetters on both sides of the trade, and it requires careful scrutiny and multiple consultations between the two parties before signing the contract.</w:t>
      </w:r>
    </w:p>
    <w:p>
      <w:pPr>
        <w:spacing w:line="360" w:lineRule="auto"/>
        <w:rPr>
          <w:rFonts w:hint="default" w:ascii="Times New Roman" w:hAnsi="Times New Roman" w:cs="Times New Roman"/>
          <w:sz w:val="24"/>
          <w:szCs w:val="24"/>
          <w:lang w:eastAsia="zh-CN"/>
        </w:rPr>
      </w:pPr>
    </w:p>
    <w:p>
      <w:pPr>
        <w:numPr>
          <w:ilvl w:val="0"/>
          <w:numId w:val="1"/>
        </w:numPr>
        <w:spacing w:line="360" w:lineRule="auto"/>
        <w:ind w:left="0" w:leftChars="0" w:firstLine="0" w:firstLineChars="0"/>
        <w:rPr>
          <w:rFonts w:hint="default" w:ascii="Times New Roman" w:hAnsi="Times New Roman" w:cs="Times New Roman"/>
          <w:b/>
          <w:bCs/>
          <w:sz w:val="24"/>
          <w:szCs w:val="24"/>
          <w:lang w:eastAsia="zh-CN"/>
        </w:rPr>
      </w:pPr>
      <w:r>
        <w:rPr>
          <w:rFonts w:hint="eastAsia" w:ascii="Times New Roman" w:hAnsi="Times New Roman" w:cs="Times New Roman"/>
          <w:b/>
          <w:bCs/>
          <w:sz w:val="24"/>
          <w:szCs w:val="24"/>
          <w:lang w:val="en-US" w:eastAsia="zh-CN"/>
        </w:rPr>
        <w:t xml:space="preserve">0 </w:t>
      </w:r>
      <w:r>
        <w:rPr>
          <w:rFonts w:hint="default" w:ascii="Times New Roman" w:hAnsi="Times New Roman" w:cs="Times New Roman"/>
          <w:b/>
          <w:bCs/>
          <w:sz w:val="24"/>
          <w:szCs w:val="24"/>
          <w:lang w:eastAsia="zh-CN"/>
        </w:rPr>
        <w:t>Suggestion</w:t>
      </w:r>
    </w:p>
    <w:p>
      <w:pPr>
        <w:numPr>
          <w:ilvl w:val="0"/>
          <w:numId w:val="0"/>
        </w:numPr>
        <w:spacing w:line="360" w:lineRule="auto"/>
        <w:ind w:leftChars="0"/>
        <w:rPr>
          <w:rFonts w:hint="default" w:ascii="Times New Roman" w:hAnsi="Times New Roman" w:cs="Times New Roman"/>
          <w:b/>
          <w:bCs/>
          <w:sz w:val="24"/>
          <w:szCs w:val="24"/>
          <w:lang w:eastAsia="zh-CN"/>
        </w:rPr>
      </w:pPr>
    </w:p>
    <w:p>
      <w:pPr>
        <w:spacing w:line="360" w:lineRule="auto"/>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This article proposes the following suggestions on how to overcome cultural differences, improve the quality of service trade, and promote service trade exports. First, in order to overcome cultural differences, Zimbabwe and the United Kingdom need to strengthen and deepen cultural exchanges with countries along the route. The cultural backgrounds of the two countries are quite different. We must use cultural integration as a link to achieve cultural inclusiveness through exchanges, cooperation and coordinated development with different civilizations, and promote the cultural integration of countries along the route, so as to reduce cultural barriers that hinder trade. . Second, adhere to the strong cultural self-confidence of the United Kingdom, increase the intensity of the export of British culture, enhance the soft power, appeal and international influence of the culture, further promote cultural identity and cultural integration between countries, and enhance cultural competitiveness. Promote the growth of service trade and promote the vigorous development of the economy. Third, enterprises should pay attention to and strengthen the establishment and reserve of cross-country or cross-cultural talent teams, build bridges of communication with other countries, and reduce the negative impact of cultural differences on service trade in actual trade.</w:t>
      </w:r>
    </w:p>
    <w:p>
      <w:pPr>
        <w:spacing w:line="360" w:lineRule="auto"/>
        <w:rPr>
          <w:rFonts w:hint="default" w:ascii="Times New Roman" w:hAnsi="Times New Roman" w:cs="Times New Roman"/>
          <w:sz w:val="24"/>
          <w:szCs w:val="24"/>
          <w:lang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Reference</w:t>
      </w:r>
    </w:p>
    <w:p>
      <w:pPr>
        <w:spacing w:line="360" w:lineRule="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Burge, P. (2020). Attempting to operationalize a multi-dimensional definition of permanency in child welfare practice: results from a demonstration project. </w:t>
      </w:r>
      <w:r>
        <w:rPr>
          <w:rFonts w:hint="default" w:ascii="Times New Roman" w:hAnsi="Times New Roman" w:eastAsia="宋体" w:cs="Times New Roman"/>
          <w:i/>
          <w:iCs/>
          <w:caps w:val="0"/>
          <w:color w:val="222222"/>
          <w:spacing w:val="0"/>
          <w:sz w:val="24"/>
          <w:szCs w:val="24"/>
          <w:shd w:val="clear" w:fill="FFFFFF"/>
        </w:rPr>
        <w:t>Journal of Public Child Welfare </w:t>
      </w:r>
      <w:r>
        <w:rPr>
          <w:rFonts w:hint="default" w:ascii="Times New Roman" w:hAnsi="Times New Roman" w:eastAsia="宋体" w:cs="Times New Roman"/>
          <w:i w:val="0"/>
          <w:iCs w:val="0"/>
          <w:caps w:val="0"/>
          <w:color w:val="222222"/>
          <w:spacing w:val="0"/>
          <w:sz w:val="24"/>
          <w:szCs w:val="24"/>
          <w:shd w:val="clear" w:fill="FFFFFF"/>
        </w:rPr>
        <w:t>, 1-23.</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Curtin, P. D., &amp; Curtin, P. D. (1984). </w:t>
      </w:r>
      <w:r>
        <w:rPr>
          <w:rFonts w:hint="default" w:ascii="Times New Roman" w:hAnsi="Times New Roman" w:eastAsia="宋体" w:cs="Times New Roman"/>
          <w:i/>
          <w:iCs/>
          <w:caps w:val="0"/>
          <w:color w:val="222222"/>
          <w:spacing w:val="0"/>
          <w:sz w:val="24"/>
          <w:szCs w:val="24"/>
          <w:shd w:val="clear" w:fill="FFFFFF"/>
        </w:rPr>
        <w:t>Cross-cultural trade in world history</w:t>
      </w:r>
      <w:r>
        <w:rPr>
          <w:rFonts w:hint="default" w:ascii="Times New Roman" w:hAnsi="Times New Roman" w:eastAsia="宋体" w:cs="Times New Roman"/>
          <w:i w:val="0"/>
          <w:iCs w:val="0"/>
          <w:caps w:val="0"/>
          <w:color w:val="222222"/>
          <w:spacing w:val="0"/>
          <w:sz w:val="24"/>
          <w:szCs w:val="24"/>
          <w:shd w:val="clear" w:fill="FFFFFF"/>
        </w:rPr>
        <w:t>. Cambridge University Press.</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Furnham, A., &amp; Akande, A. (2004). African parents’ estimates of their own and their children’s multiple intelligences. </w:t>
      </w:r>
      <w:r>
        <w:rPr>
          <w:rFonts w:hint="default" w:ascii="Times New Roman" w:hAnsi="Times New Roman" w:eastAsia="宋体" w:cs="Times New Roman"/>
          <w:i/>
          <w:iCs/>
          <w:caps w:val="0"/>
          <w:color w:val="222222"/>
          <w:spacing w:val="0"/>
          <w:sz w:val="24"/>
          <w:szCs w:val="24"/>
          <w:shd w:val="clear" w:fill="FFFFFF"/>
        </w:rPr>
        <w:t>Current Psychology</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22</w:t>
      </w:r>
      <w:r>
        <w:rPr>
          <w:rFonts w:hint="default" w:ascii="Times New Roman" w:hAnsi="Times New Roman" w:eastAsia="宋体" w:cs="Times New Roman"/>
          <w:i w:val="0"/>
          <w:iCs w:val="0"/>
          <w:caps w:val="0"/>
          <w:color w:val="222222"/>
          <w:spacing w:val="0"/>
          <w:sz w:val="24"/>
          <w:szCs w:val="24"/>
          <w:shd w:val="clear" w:fill="FFFFFF"/>
        </w:rPr>
        <w:t>(4), 281-294.</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Hall, D. E., Meador, K. G., &amp; Koenig, H. G. (2008). Measuring religiousness in health research: Review and critique. </w:t>
      </w:r>
      <w:r>
        <w:rPr>
          <w:rFonts w:hint="default" w:ascii="Times New Roman" w:hAnsi="Times New Roman" w:eastAsia="宋体" w:cs="Times New Roman"/>
          <w:i/>
          <w:iCs/>
          <w:caps w:val="0"/>
          <w:color w:val="222222"/>
          <w:spacing w:val="0"/>
          <w:sz w:val="24"/>
          <w:szCs w:val="24"/>
          <w:shd w:val="clear" w:fill="FFFFFF"/>
        </w:rPr>
        <w:t>Journal of religion and health </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47 </w:t>
      </w:r>
      <w:r>
        <w:rPr>
          <w:rFonts w:hint="default" w:ascii="Times New Roman" w:hAnsi="Times New Roman" w:eastAsia="宋体" w:cs="Times New Roman"/>
          <w:i w:val="0"/>
          <w:iCs w:val="0"/>
          <w:caps w:val="0"/>
          <w:color w:val="222222"/>
          <w:spacing w:val="0"/>
          <w:sz w:val="24"/>
          <w:szCs w:val="24"/>
          <w:shd w:val="clear" w:fill="FFFFFF"/>
        </w:rPr>
        <w:t>(2), 134-163.</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Hoecklin, L. (1995). </w:t>
      </w:r>
      <w:r>
        <w:rPr>
          <w:rFonts w:hint="default" w:ascii="Times New Roman" w:hAnsi="Times New Roman" w:eastAsia="宋体" w:cs="Times New Roman"/>
          <w:i/>
          <w:iCs/>
          <w:caps w:val="0"/>
          <w:color w:val="222222"/>
          <w:spacing w:val="0"/>
          <w:sz w:val="24"/>
          <w:szCs w:val="24"/>
          <w:shd w:val="clear" w:fill="FFFFFF"/>
        </w:rPr>
        <w:t>Managing cultural differences</w:t>
      </w:r>
      <w:r>
        <w:rPr>
          <w:rFonts w:hint="default" w:ascii="Times New Roman" w:hAnsi="Times New Roman" w:eastAsia="宋体" w:cs="Times New Roman"/>
          <w:i w:val="0"/>
          <w:iCs w:val="0"/>
          <w:caps w:val="0"/>
          <w:color w:val="222222"/>
          <w:spacing w:val="0"/>
          <w:sz w:val="24"/>
          <w:szCs w:val="24"/>
          <w:shd w:val="clear" w:fill="FFFFFF"/>
        </w:rPr>
        <w:t>. Addison Wesley Longman.</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Hooker, J. (2012). 19 Cultural Differences in Business Communication. </w:t>
      </w:r>
      <w:r>
        <w:rPr>
          <w:rFonts w:hint="default" w:ascii="Times New Roman" w:hAnsi="Times New Roman" w:eastAsia="宋体" w:cs="Times New Roman"/>
          <w:i/>
          <w:iCs/>
          <w:caps w:val="0"/>
          <w:color w:val="222222"/>
          <w:spacing w:val="0"/>
          <w:sz w:val="24"/>
          <w:szCs w:val="24"/>
          <w:shd w:val="clear" w:fill="FFFFFF"/>
        </w:rPr>
        <w:t>The handbook of intercultural discourse and communication</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29</w:t>
      </w:r>
      <w:r>
        <w:rPr>
          <w:rFonts w:hint="default" w:ascii="Times New Roman" w:hAnsi="Times New Roman" w:eastAsia="宋体" w:cs="Times New Roman"/>
          <w:i w:val="0"/>
          <w:iCs w:val="0"/>
          <w:caps w:val="0"/>
          <w:color w:val="222222"/>
          <w:spacing w:val="0"/>
          <w:sz w:val="24"/>
          <w:szCs w:val="24"/>
          <w:shd w:val="clear" w:fill="FFFFFF"/>
        </w:rPr>
        <w:t>, 389.</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Javalgi, R. G., Martin, C. L., &amp; Todd, P. R. (2004). The export of e‐services in the age of technology transformation: challenges and implications for international service providers. </w:t>
      </w:r>
      <w:r>
        <w:rPr>
          <w:rFonts w:hint="default" w:ascii="Times New Roman" w:hAnsi="Times New Roman" w:eastAsia="宋体" w:cs="Times New Roman"/>
          <w:i/>
          <w:iCs/>
          <w:caps w:val="0"/>
          <w:color w:val="222222"/>
          <w:spacing w:val="0"/>
          <w:sz w:val="24"/>
          <w:szCs w:val="24"/>
          <w:shd w:val="clear" w:fill="FFFFFF"/>
        </w:rPr>
        <w:t>Journal of services marketing</w:t>
      </w:r>
      <w:r>
        <w:rPr>
          <w:rFonts w:hint="default" w:ascii="Times New Roman" w:hAnsi="Times New Roman" w:eastAsia="宋体" w:cs="Times New Roman"/>
          <w:i w:val="0"/>
          <w:iCs w:val="0"/>
          <w:caps w:val="0"/>
          <w:color w:val="222222"/>
          <w:spacing w:val="0"/>
          <w:sz w:val="24"/>
          <w:szCs w:val="24"/>
          <w:shd w:val="clear" w:fill="FFFFFF"/>
        </w:rPr>
        <w:t>.</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Kahari, G. P. (1984). Cultural identity and cross-cultural communication: Problems of translation. </w:t>
      </w:r>
      <w:r>
        <w:rPr>
          <w:rFonts w:hint="default" w:ascii="Times New Roman" w:hAnsi="Times New Roman" w:eastAsia="宋体" w:cs="Times New Roman"/>
          <w:i/>
          <w:iCs/>
          <w:caps w:val="0"/>
          <w:color w:val="222222"/>
          <w:spacing w:val="0"/>
          <w:sz w:val="24"/>
          <w:szCs w:val="24"/>
          <w:shd w:val="clear" w:fill="FFFFFF"/>
        </w:rPr>
        <w:t>Zambezia </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12 </w:t>
      </w:r>
      <w:r>
        <w:rPr>
          <w:rFonts w:hint="default" w:ascii="Times New Roman" w:hAnsi="Times New Roman" w:eastAsia="宋体" w:cs="Times New Roman"/>
          <w:i w:val="0"/>
          <w:iCs w:val="0"/>
          <w:caps w:val="0"/>
          <w:color w:val="222222"/>
          <w:spacing w:val="0"/>
          <w:sz w:val="24"/>
          <w:szCs w:val="24"/>
          <w:shd w:val="clear" w:fill="FFFFFF"/>
        </w:rPr>
        <w:t>(1), 55-73.</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Kanter, R. M., &amp; Corn, R. I. (1994). Do cultural differences make a business difference? Contextual factors affecting cross‐cultural relationship success. </w:t>
      </w:r>
      <w:r>
        <w:rPr>
          <w:rFonts w:hint="default" w:ascii="Times New Roman" w:hAnsi="Times New Roman" w:eastAsia="宋体" w:cs="Times New Roman"/>
          <w:i/>
          <w:iCs/>
          <w:caps w:val="0"/>
          <w:color w:val="222222"/>
          <w:spacing w:val="0"/>
          <w:sz w:val="24"/>
          <w:szCs w:val="24"/>
          <w:shd w:val="clear" w:fill="FFFFFF"/>
        </w:rPr>
        <w:t>Journal of Management Development</w:t>
      </w:r>
      <w:r>
        <w:rPr>
          <w:rFonts w:hint="default" w:ascii="Times New Roman" w:hAnsi="Times New Roman" w:eastAsia="宋体" w:cs="Times New Roman"/>
          <w:i w:val="0"/>
          <w:iCs w:val="0"/>
          <w:caps w:val="0"/>
          <w:color w:val="222222"/>
          <w:spacing w:val="0"/>
          <w:sz w:val="24"/>
          <w:szCs w:val="24"/>
          <w:shd w:val="clear" w:fill="FFFFFF"/>
        </w:rPr>
        <w:t>.</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Lennon, C. (2009). </w:t>
      </w:r>
      <w:r>
        <w:rPr>
          <w:rFonts w:hint="default" w:ascii="Times New Roman" w:hAnsi="Times New Roman" w:eastAsia="宋体" w:cs="Times New Roman"/>
          <w:i/>
          <w:iCs/>
          <w:caps w:val="0"/>
          <w:color w:val="222222"/>
          <w:spacing w:val="0"/>
          <w:sz w:val="24"/>
          <w:szCs w:val="24"/>
          <w:shd w:val="clear" w:fill="FFFFFF"/>
        </w:rPr>
        <w:t>Trade in services and trade in goods: Differences and complementarities</w:t>
      </w:r>
      <w:r>
        <w:rPr>
          <w:rFonts w:hint="default" w:ascii="Times New Roman" w:hAnsi="Times New Roman" w:eastAsia="宋体" w:cs="Times New Roman"/>
          <w:i w:val="0"/>
          <w:iCs w:val="0"/>
          <w:caps w:val="0"/>
          <w:color w:val="222222"/>
          <w:spacing w:val="0"/>
          <w:sz w:val="24"/>
          <w:szCs w:val="24"/>
          <w:shd w:val="clear" w:fill="FFFFFF"/>
        </w:rPr>
        <w:t> (No. 53). wiiw Working Paper.</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Mehta, R., Larsen, T., Rosenbloom, B., &amp; Ganitsky, J. (2006). The impact of cultural differences in US business-to-business export marketing channel strategic alliances. </w:t>
      </w:r>
      <w:r>
        <w:rPr>
          <w:rFonts w:hint="default" w:ascii="Times New Roman" w:hAnsi="Times New Roman" w:eastAsia="宋体" w:cs="Times New Roman"/>
          <w:i/>
          <w:iCs/>
          <w:caps w:val="0"/>
          <w:color w:val="222222"/>
          <w:spacing w:val="0"/>
          <w:sz w:val="24"/>
          <w:szCs w:val="24"/>
          <w:shd w:val="clear" w:fill="FFFFFF"/>
        </w:rPr>
        <w:t>Industrial Marketing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35</w:t>
      </w:r>
      <w:r>
        <w:rPr>
          <w:rFonts w:hint="default" w:ascii="Times New Roman" w:hAnsi="Times New Roman" w:eastAsia="宋体" w:cs="Times New Roman"/>
          <w:i w:val="0"/>
          <w:iCs w:val="0"/>
          <w:caps w:val="0"/>
          <w:color w:val="222222"/>
          <w:spacing w:val="0"/>
          <w:sz w:val="24"/>
          <w:szCs w:val="24"/>
          <w:shd w:val="clear" w:fill="FFFFFF"/>
        </w:rPr>
        <w:t>(2), 156-165.</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Mpofu, P., &amp; Salawu, A. (2018). Re-examining the indigenous language press in Zimbabwe: Towards developmental communication and language empowerment. </w:t>
      </w:r>
      <w:r>
        <w:rPr>
          <w:rFonts w:hint="default" w:ascii="Times New Roman" w:hAnsi="Times New Roman" w:eastAsia="宋体" w:cs="Times New Roman"/>
          <w:i/>
          <w:iCs/>
          <w:caps w:val="0"/>
          <w:color w:val="222222"/>
          <w:spacing w:val="0"/>
          <w:sz w:val="24"/>
          <w:szCs w:val="24"/>
          <w:shd w:val="clear" w:fill="FFFFFF"/>
        </w:rPr>
        <w:t>South African Journal of African Languages </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38 </w:t>
      </w:r>
      <w:r>
        <w:rPr>
          <w:rFonts w:hint="default" w:ascii="Times New Roman" w:hAnsi="Times New Roman" w:eastAsia="宋体" w:cs="Times New Roman"/>
          <w:i w:val="0"/>
          <w:iCs w:val="0"/>
          <w:caps w:val="0"/>
          <w:color w:val="222222"/>
          <w:spacing w:val="0"/>
          <w:sz w:val="24"/>
          <w:szCs w:val="24"/>
          <w:shd w:val="clear" w:fill="FFFFFF"/>
        </w:rPr>
        <w:t>(3), 293-302.</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Owusu-Ansah, S. (2000). Timeliness of corporate financial reporting in emerging capital markets: Empirical evidence from the Zimbabwe Stock Exchange. </w:t>
      </w:r>
      <w:r>
        <w:rPr>
          <w:rFonts w:hint="default" w:ascii="Times New Roman" w:hAnsi="Times New Roman" w:eastAsia="宋体" w:cs="Times New Roman"/>
          <w:i/>
          <w:iCs/>
          <w:caps w:val="0"/>
          <w:color w:val="222222"/>
          <w:spacing w:val="0"/>
          <w:sz w:val="24"/>
          <w:szCs w:val="24"/>
          <w:shd w:val="clear" w:fill="FFFFFF"/>
        </w:rPr>
        <w:t>Accounting and business research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30</w:t>
      </w:r>
      <w:r>
        <w:rPr>
          <w:rFonts w:hint="default" w:ascii="Times New Roman" w:hAnsi="Times New Roman" w:eastAsia="宋体" w:cs="Times New Roman"/>
          <w:i w:val="0"/>
          <w:iCs w:val="0"/>
          <w:caps w:val="0"/>
          <w:color w:val="222222"/>
          <w:spacing w:val="0"/>
          <w:sz w:val="24"/>
          <w:szCs w:val="24"/>
          <w:shd w:val="clear" w:fill="FFFFFF"/>
        </w:rPr>
        <w:t>(3), 241-254.</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Petros, J. (2012). The effect of the stock exchange on economic growth: a case of the Zimbabwe stock exchange. </w:t>
      </w:r>
      <w:r>
        <w:rPr>
          <w:rFonts w:hint="default" w:ascii="Times New Roman" w:hAnsi="Times New Roman" w:eastAsia="宋体" w:cs="Times New Roman"/>
          <w:i/>
          <w:iCs/>
          <w:caps w:val="0"/>
          <w:color w:val="222222"/>
          <w:spacing w:val="0"/>
          <w:sz w:val="24"/>
          <w:szCs w:val="24"/>
          <w:shd w:val="clear" w:fill="FFFFFF"/>
        </w:rPr>
        <w:t>Research in Business and Economics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6</w:t>
      </w:r>
      <w:r>
        <w:rPr>
          <w:rFonts w:hint="default" w:ascii="Times New Roman" w:hAnsi="Times New Roman" w:eastAsia="宋体" w:cs="Times New Roman"/>
          <w:i w:val="0"/>
          <w:iCs w:val="0"/>
          <w:caps w:val="0"/>
          <w:color w:val="222222"/>
          <w:spacing w:val="0"/>
          <w:sz w:val="24"/>
          <w:szCs w:val="24"/>
          <w:shd w:val="clear" w:fill="FFFFFF"/>
        </w:rPr>
        <w:t>, 1.</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Ranganathan, C. (2006). Evaluating the options for business-to-business e-exchanges. </w:t>
      </w:r>
      <w:r>
        <w:rPr>
          <w:rFonts w:hint="default" w:ascii="Times New Roman" w:hAnsi="Times New Roman" w:eastAsia="宋体" w:cs="Times New Roman"/>
          <w:i/>
          <w:iCs/>
          <w:caps w:val="0"/>
          <w:color w:val="222222"/>
          <w:spacing w:val="0"/>
          <w:sz w:val="24"/>
          <w:szCs w:val="24"/>
          <w:shd w:val="clear" w:fill="FFFFFF"/>
        </w:rPr>
        <w:t>Information Systems Management</w:t>
      </w:r>
      <w:r>
        <w:rPr>
          <w:rFonts w:hint="default" w:ascii="Times New Roman" w:hAnsi="Times New Roman" w:eastAsia="宋体" w:cs="Times New Roman"/>
          <w:i w:val="0"/>
          <w:iCs w:val="0"/>
          <w:caps w:val="0"/>
          <w:color w:val="222222"/>
          <w:spacing w:val="0"/>
          <w:sz w:val="24"/>
          <w:szCs w:val="24"/>
          <w:shd w:val="clear" w:fill="FFFFFF"/>
        </w:rPr>
        <w:t>.</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Saidi, U. (2013). The Past in them: Celebrating BaTonga artefacts and visual cultural communication in Zimbabwe. </w:t>
      </w:r>
      <w:r>
        <w:rPr>
          <w:rFonts w:hint="default" w:ascii="Times New Roman" w:hAnsi="Times New Roman" w:eastAsia="宋体" w:cs="Times New Roman"/>
          <w:i/>
          <w:iCs/>
          <w:caps w:val="0"/>
          <w:color w:val="222222"/>
          <w:spacing w:val="0"/>
          <w:sz w:val="24"/>
          <w:szCs w:val="24"/>
          <w:shd w:val="clear" w:fill="FFFFFF"/>
        </w:rPr>
        <w:t>Madirativhange: Journal of African Indigenous Languages and Literature </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1 </w:t>
      </w:r>
      <w:r>
        <w:rPr>
          <w:rFonts w:hint="default" w:ascii="Times New Roman" w:hAnsi="Times New Roman" w:eastAsia="宋体" w:cs="Times New Roman"/>
          <w:i w:val="0"/>
          <w:iCs w:val="0"/>
          <w:caps w:val="0"/>
          <w:color w:val="222222"/>
          <w:spacing w:val="0"/>
          <w:sz w:val="24"/>
          <w:szCs w:val="24"/>
          <w:shd w:val="clear" w:fill="FFFFFF"/>
        </w:rPr>
        <w:t>(2), 59-69.</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Scott, J. C., Babcock, W. E., &amp; Nichols, J. (1995). Enriching international business faculty exchanges with the library connection. </w:t>
      </w:r>
      <w:r>
        <w:rPr>
          <w:rFonts w:hint="default" w:ascii="Times New Roman" w:hAnsi="Times New Roman" w:eastAsia="宋体" w:cs="Times New Roman"/>
          <w:i/>
          <w:iCs/>
          <w:caps w:val="0"/>
          <w:color w:val="222222"/>
          <w:spacing w:val="0"/>
          <w:sz w:val="24"/>
          <w:szCs w:val="24"/>
          <w:shd w:val="clear" w:fill="FFFFFF"/>
        </w:rPr>
        <w:t>Journal of Education for Business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71</w:t>
      </w:r>
      <w:r>
        <w:rPr>
          <w:rFonts w:hint="default" w:ascii="Times New Roman" w:hAnsi="Times New Roman" w:eastAsia="宋体" w:cs="Times New Roman"/>
          <w:i w:val="0"/>
          <w:iCs w:val="0"/>
          <w:caps w:val="0"/>
          <w:color w:val="222222"/>
          <w:spacing w:val="0"/>
          <w:sz w:val="24"/>
          <w:szCs w:val="24"/>
          <w:shd w:val="clear" w:fill="FFFFFF"/>
        </w:rPr>
        <w:t>(2), 107-109.Mazviona, B. W., &amp; Nyangara, D. (2014). Does firm size affect stock returns? Evidence from the Zimbabwe Stock Exchange. </w:t>
      </w:r>
      <w:r>
        <w:rPr>
          <w:rFonts w:hint="default" w:ascii="Times New Roman" w:hAnsi="Times New Roman" w:eastAsia="宋体" w:cs="Times New Roman"/>
          <w:i/>
          <w:iCs/>
          <w:caps w:val="0"/>
          <w:color w:val="222222"/>
          <w:spacing w:val="0"/>
          <w:sz w:val="24"/>
          <w:szCs w:val="24"/>
          <w:shd w:val="clear" w:fill="FFFFFF"/>
        </w:rPr>
        <w:t>International Journal of Business and Economic Development (IJBED)</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w:t>
      </w:r>
      <w:r>
        <w:rPr>
          <w:rFonts w:hint="default" w:ascii="Times New Roman" w:hAnsi="Times New Roman" w:eastAsia="宋体" w:cs="Times New Roman"/>
          <w:i w:val="0"/>
          <w:iCs w:val="0"/>
          <w:caps w:val="0"/>
          <w:color w:val="222222"/>
          <w:spacing w:val="0"/>
          <w:sz w:val="24"/>
          <w:szCs w:val="24"/>
          <w:shd w:val="clear" w:fill="FFFFFF"/>
        </w:rPr>
        <w:t>(3).</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Smith, P. B. (2004). Acquiescent response bias as an aspect of cultural communication style. </w:t>
      </w:r>
      <w:r>
        <w:rPr>
          <w:rFonts w:hint="default" w:ascii="Times New Roman" w:hAnsi="Times New Roman" w:eastAsia="宋体" w:cs="Times New Roman"/>
          <w:i/>
          <w:iCs/>
          <w:caps w:val="0"/>
          <w:color w:val="222222"/>
          <w:spacing w:val="0"/>
          <w:sz w:val="24"/>
          <w:szCs w:val="24"/>
          <w:shd w:val="clear" w:fill="FFFFFF"/>
        </w:rPr>
        <w:t>Journal of cross-cultural psychology </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35 </w:t>
      </w:r>
      <w:r>
        <w:rPr>
          <w:rFonts w:hint="default" w:ascii="Times New Roman" w:hAnsi="Times New Roman" w:eastAsia="宋体" w:cs="Times New Roman"/>
          <w:i w:val="0"/>
          <w:iCs w:val="0"/>
          <w:caps w:val="0"/>
          <w:color w:val="222222"/>
          <w:spacing w:val="0"/>
          <w:sz w:val="24"/>
          <w:szCs w:val="24"/>
          <w:shd w:val="clear" w:fill="FFFFFF"/>
        </w:rPr>
        <w:t>(1), 50-61.</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Stewart, M., Anderson, J., Beiser, M., Mwakarimba, E., Neufeld, A., Simich, L., &amp; Spitzer, D. (2008). Multicultural meanings of social support among immigrants and refugees. </w:t>
      </w:r>
      <w:r>
        <w:rPr>
          <w:rFonts w:hint="default" w:ascii="Times New Roman" w:hAnsi="Times New Roman" w:eastAsia="宋体" w:cs="Times New Roman"/>
          <w:i/>
          <w:iCs/>
          <w:caps w:val="0"/>
          <w:color w:val="222222"/>
          <w:spacing w:val="0"/>
          <w:sz w:val="24"/>
          <w:szCs w:val="24"/>
          <w:shd w:val="clear" w:fill="FFFFFF"/>
        </w:rPr>
        <w:t>International Migration </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46 </w:t>
      </w:r>
      <w:r>
        <w:rPr>
          <w:rFonts w:hint="default" w:ascii="Times New Roman" w:hAnsi="Times New Roman" w:eastAsia="宋体" w:cs="Times New Roman"/>
          <w:i w:val="0"/>
          <w:iCs w:val="0"/>
          <w:caps w:val="0"/>
          <w:color w:val="222222"/>
          <w:spacing w:val="0"/>
          <w:sz w:val="24"/>
          <w:szCs w:val="24"/>
          <w:shd w:val="clear" w:fill="FFFFFF"/>
        </w:rPr>
        <w:t>(3), 123-159.</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Tadesse, B., &amp; White, R. (2010). Cultural distance as a determinant of bilateral trade flows: do immigrants counter the effect of cultural differences?. </w:t>
      </w:r>
      <w:r>
        <w:rPr>
          <w:rFonts w:hint="default" w:ascii="Times New Roman" w:hAnsi="Times New Roman" w:eastAsia="宋体" w:cs="Times New Roman"/>
          <w:i/>
          <w:iCs/>
          <w:caps w:val="0"/>
          <w:color w:val="222222"/>
          <w:spacing w:val="0"/>
          <w:sz w:val="24"/>
          <w:szCs w:val="24"/>
          <w:shd w:val="clear" w:fill="FFFFFF"/>
        </w:rPr>
        <w:t>Applied Economics Letters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17</w:t>
      </w:r>
      <w:r>
        <w:rPr>
          <w:rFonts w:hint="default" w:ascii="Times New Roman" w:hAnsi="Times New Roman" w:eastAsia="宋体" w:cs="Times New Roman"/>
          <w:i w:val="0"/>
          <w:iCs w:val="0"/>
          <w:caps w:val="0"/>
          <w:color w:val="222222"/>
          <w:spacing w:val="0"/>
          <w:sz w:val="24"/>
          <w:szCs w:val="24"/>
          <w:shd w:val="clear" w:fill="FFFFFF"/>
        </w:rPr>
        <w:t>(2), 147-152.</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Tannen, D. (1983). Cross-Cultural Communication.</w:t>
      </w:r>
    </w:p>
    <w:p>
      <w:pPr>
        <w:keepNext w:val="0"/>
        <w:keepLines w:val="0"/>
        <w:pageBreakBefore w:val="0"/>
        <w:widowControl w:val="0"/>
        <w:kinsoku/>
        <w:wordWrap/>
        <w:overflowPunct/>
        <w:topLinePunct w:val="0"/>
        <w:autoSpaceDE/>
        <w:autoSpaceDN/>
        <w:bidi w:val="0"/>
        <w:adjustRightInd/>
        <w:snapToGrid/>
        <w:ind w:left="480" w:hanging="480" w:hangingChars="200"/>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Winsted, K. F., &amp; Patterson, P. G. (1998). Internationalization of services: the service exporting decision. </w:t>
      </w:r>
      <w:r>
        <w:rPr>
          <w:rFonts w:hint="default" w:ascii="Times New Roman" w:hAnsi="Times New Roman" w:eastAsia="宋体" w:cs="Times New Roman"/>
          <w:i/>
          <w:iCs/>
          <w:caps w:val="0"/>
          <w:color w:val="222222"/>
          <w:spacing w:val="0"/>
          <w:sz w:val="24"/>
          <w:szCs w:val="24"/>
          <w:shd w:val="clear" w:fill="FFFFFF"/>
        </w:rPr>
        <w:t>Journal of Services marketing</w:t>
      </w:r>
      <w:r>
        <w:rPr>
          <w:rFonts w:hint="default" w:ascii="Times New Roman" w:hAnsi="Times New Roman" w:eastAsia="宋体" w:cs="Times New Roman"/>
          <w:i w:val="0"/>
          <w:iCs w:val="0"/>
          <w:caps w:val="0"/>
          <w:color w:val="222222"/>
          <w:spacing w:val="0"/>
          <w:sz w:val="24"/>
          <w:szCs w:val="24"/>
          <w:shd w:val="clear" w:fill="FFFFFF"/>
        </w:rPr>
        <w:t>.</w:t>
      </w:r>
    </w:p>
    <w:p>
      <w:pPr>
        <w:rPr>
          <w:rFonts w:hint="default" w:ascii="Times New Roman" w:hAnsi="Times New Roman" w:eastAsia="宋体" w:cs="Times New Roman"/>
          <w:i w:val="0"/>
          <w:iCs w:val="0"/>
          <w:caps w:val="0"/>
          <w:color w:val="222222"/>
          <w:spacing w:val="0"/>
          <w:sz w:val="24"/>
          <w:szCs w:val="24"/>
          <w:shd w:val="clear" w:fill="FFFFFF"/>
          <w:lang w:eastAsia="zh-CN"/>
        </w:rPr>
      </w:pPr>
    </w:p>
    <w:p>
      <w:pPr>
        <w:spacing w:line="360" w:lineRule="auto"/>
        <w:rPr>
          <w:rFonts w:hint="default" w:ascii="Times New Roman" w:hAnsi="Times New Roman"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434F3D6"/>
    <w:multiLevelType w:val="singleLevel"/>
    <w:tmpl w:val="A434F3D6"/>
    <w:lvl w:ilvl="0" w:tentative="0">
      <w:start w:val="2"/>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0876E49"/>
    <w:rsid w:val="105A0821"/>
    <w:rsid w:val="163D66DE"/>
    <w:rsid w:val="321F32C8"/>
    <w:rsid w:val="33D12AC1"/>
    <w:rsid w:val="638B6678"/>
    <w:rsid w:val="70876E49"/>
    <w:rsid w:val="773F777A"/>
    <w:rsid w:val="7A561A7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0"/>
    <w:rPr>
      <w:sz w:val="24"/>
    </w:rPr>
  </w:style>
  <w:style w:type="character" w:styleId="5">
    <w:name w:val="Hyperlink"/>
    <w:basedOn w:val="4"/>
    <w:unhideWhenUsed/>
    <w:qFormat/>
    <w:uiPriority w:val="99"/>
    <w:rPr>
      <w:color w:val="0563C1" w:themeColor="hyperlink"/>
      <w:u w:val="single"/>
      <w14:textFill>
        <w14:solidFill>
          <w14:schemeClr w14:val="hlink"/>
        </w14:solidFill>
      </w14:textFill>
    </w:rPr>
  </w:style>
  <w:style w:type="character" w:customStyle="1" w:styleId="6">
    <w:name w:val="Book Title"/>
    <w:basedOn w:val="4"/>
    <w:qFormat/>
    <w:uiPriority w:val="33"/>
    <w:rPr>
      <w:b/>
      <w:bCs/>
      <w:i/>
      <w:iCs/>
      <w:spacing w:val="5"/>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Office_11.1.0.9914_F1E327BC-269C-435d-A152-05C5408002CA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2021-12-26T14:48:00Z</dcterms:created>
  <dc:creator>你好明天</dc:creator>
  <cp:lastModifiedBy>姚大兄弟</cp:lastModifiedBy>
  <dcterms:modified xsi:type="dcterms:W3CDTF">2022-01-07T01:57:15Z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2052-11.1.0.9914</vt:lpwstr>
  </property>
  <property fmtid="{D5CDD505-2E9C-101B-9397-08002B2CF9AE}" pid="3" name="ICV">
    <vt:lpwstr>D0C448C51F824D7F8DD5B5B2AB7B36CA</vt:lpwstr>
  </property>
</Properties>
</file>