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heme="majorBidi" w:hAnsiTheme="majorBidi" w:cstheme="majorBidi"/>
        </w:rPr>
        <w:id w:val="1870026428"/>
        <w:docPartObj>
          <w:docPartGallery w:val="AutoText"/>
        </w:docPartObj>
      </w:sdtPr>
      <w:sdtEndPr>
        <w:rPr>
          <w:rFonts w:asciiTheme="majorBidi" w:hAnsiTheme="majorBidi" w:cstheme="majorBidi"/>
          <w:szCs w:val="24"/>
        </w:rPr>
      </w:sdtEndPr>
      <w:sdtContent>
        <w:p>
          <w:pPr>
            <w:spacing w:line="240" w:lineRule="auto"/>
            <w:jc w:val="center"/>
            <w:rPr>
              <w:rFonts w:asciiTheme="majorBidi" w:hAnsiTheme="majorBidi" w:cstheme="majorBidi"/>
            </w:rPr>
          </w:pPr>
          <w:r>
            <w:rPr>
              <w:rFonts w:asciiTheme="majorBidi" w:hAnsiTheme="majorBidi" w:cstheme="majorBidi"/>
            </w:rPr>
            <w:drawing>
              <wp:inline distT="0" distB="0" distL="0" distR="0">
                <wp:extent cx="2157095" cy="86296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pPr>
            <w:spacing w:line="240" w:lineRule="auto"/>
            <w:jc w:val="center"/>
            <w:rPr>
              <w:rFonts w:asciiTheme="majorBidi" w:hAnsiTheme="majorBidi" w:cstheme="majorBidi"/>
            </w:rPr>
          </w:pPr>
        </w:p>
        <w:p>
          <w:pPr>
            <w:spacing w:line="240" w:lineRule="auto"/>
            <w:jc w:val="center"/>
            <w:rPr>
              <w:rFonts w:asciiTheme="majorBidi" w:hAnsiTheme="majorBidi" w:cstheme="majorBidi"/>
              <w:szCs w:val="24"/>
            </w:rPr>
          </w:pPr>
        </w:p>
        <w:p>
          <w:pPr>
            <w:tabs>
              <w:tab w:val="left" w:pos="2768"/>
            </w:tabs>
            <w:spacing w:line="240" w:lineRule="auto"/>
            <w:jc w:val="center"/>
            <w:rPr>
              <w:rFonts w:asciiTheme="majorBidi" w:hAnsiTheme="majorBidi" w:cstheme="majorBidi"/>
              <w:sz w:val="32"/>
              <w:szCs w:val="32"/>
            </w:rPr>
          </w:pPr>
          <w:r>
            <w:rPr>
              <w:rFonts w:asciiTheme="majorBidi" w:hAnsiTheme="majorBidi" w:cstheme="majorBidi"/>
              <w:sz w:val="40"/>
              <w:szCs w:val="40"/>
            </w:rPr>
            <w:t>International Business LCMB7014</w:t>
          </w: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 w:val="40"/>
              <w:szCs w:val="40"/>
            </w:rPr>
          </w:pPr>
          <w:r>
            <w:rPr>
              <w:rFonts w:asciiTheme="majorBidi" w:hAnsiTheme="majorBidi" w:cstheme="majorBidi"/>
              <w:color w:val="FF0000"/>
              <w:sz w:val="40"/>
              <w:szCs w:val="40"/>
            </w:rPr>
            <w:t>Toyota</w:t>
          </w:r>
          <w:r>
            <w:rPr>
              <w:rFonts w:asciiTheme="majorBidi" w:hAnsiTheme="majorBidi" w:cstheme="majorBidi"/>
              <w:sz w:val="40"/>
              <w:szCs w:val="40"/>
            </w:rPr>
            <w:t xml:space="preserve"> International Business in </w:t>
          </w:r>
          <w:r>
            <w:rPr>
              <w:rFonts w:asciiTheme="majorBidi" w:hAnsiTheme="majorBidi" w:cstheme="majorBidi"/>
              <w:color w:val="FF0000"/>
              <w:sz w:val="40"/>
              <w:szCs w:val="40"/>
            </w:rPr>
            <w:t>China</w:t>
          </w:r>
        </w:p>
        <w:p>
          <w:pPr>
            <w:spacing w:line="240" w:lineRule="auto"/>
            <w:jc w:val="center"/>
            <w:rPr>
              <w:rFonts w:asciiTheme="majorBidi" w:hAnsiTheme="majorBidi" w:cstheme="majorBidi"/>
              <w:sz w:val="40"/>
              <w:szCs w:val="40"/>
            </w:rPr>
          </w:pPr>
          <w:r>
            <w:rPr>
              <w:rFonts w:asciiTheme="majorBidi" w:hAnsiTheme="majorBidi" w:cstheme="majorBidi"/>
              <w:color w:val="FF0000"/>
              <w:lang w:eastAsia="en-GB"/>
            </w:rPr>
            <w:t>Words- 5400</w:t>
          </w:r>
        </w:p>
        <w:p>
          <w:pPr>
            <w:spacing w:line="240" w:lineRule="auto"/>
            <w:jc w:val="center"/>
            <w:rPr>
              <w:rFonts w:asciiTheme="majorBidi" w:hAnsiTheme="majorBidi" w:cstheme="majorBidi"/>
              <w:sz w:val="40"/>
              <w:szCs w:val="40"/>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asciiTheme="majorBidi" w:hAnsiTheme="majorBidi" w:cstheme="majorBidi"/>
              <w:szCs w:val="24"/>
            </w:rPr>
          </w:pPr>
        </w:p>
        <w:p>
          <w:pPr>
            <w:spacing w:line="240" w:lineRule="auto"/>
            <w:jc w:val="center"/>
            <w:rPr>
              <w:rFonts w:hint="default" w:asciiTheme="majorBidi" w:hAnsiTheme="majorBidi" w:cstheme="majorBidi"/>
              <w:sz w:val="28"/>
              <w:szCs w:val="28"/>
              <w:lang w:val="en-IN"/>
            </w:rPr>
          </w:pPr>
          <w:r>
            <w:rPr>
              <w:rFonts w:asciiTheme="majorBidi" w:hAnsiTheme="majorBidi" w:cstheme="majorBidi"/>
              <w:sz w:val="28"/>
              <w:szCs w:val="28"/>
            </w:rPr>
            <w:t>Student name:</w:t>
          </w:r>
          <w:r>
            <w:rPr>
              <w:rFonts w:hint="default" w:asciiTheme="majorBidi" w:hAnsiTheme="majorBidi" w:cstheme="majorBidi"/>
              <w:sz w:val="28"/>
              <w:szCs w:val="28"/>
              <w:lang w:val="en-IN"/>
            </w:rPr>
            <w:t>zeel Surti</w:t>
          </w:r>
        </w:p>
        <w:p>
          <w:pPr>
            <w:spacing w:line="240" w:lineRule="auto"/>
            <w:jc w:val="center"/>
            <w:rPr>
              <w:rFonts w:hint="default" w:asciiTheme="majorBidi" w:hAnsiTheme="majorBidi" w:cstheme="majorBidi"/>
              <w:sz w:val="28"/>
              <w:szCs w:val="28"/>
              <w:lang w:val="en-IN"/>
            </w:rPr>
          </w:pPr>
          <w:r>
            <w:rPr>
              <w:rFonts w:asciiTheme="majorBidi" w:hAnsiTheme="majorBidi" w:cstheme="majorBidi"/>
              <w:sz w:val="28"/>
              <w:szCs w:val="28"/>
            </w:rPr>
            <w:t>Student Number:</w:t>
          </w:r>
          <w:r>
            <w:rPr>
              <w:rFonts w:hint="default" w:asciiTheme="majorBidi" w:hAnsiTheme="majorBidi" w:cstheme="majorBidi"/>
              <w:sz w:val="28"/>
              <w:szCs w:val="28"/>
              <w:lang w:val="en-IN"/>
            </w:rPr>
            <w:t>2212226</w:t>
          </w:r>
          <w:bookmarkStart w:id="100" w:name="_GoBack"/>
          <w:bookmarkEnd w:id="100"/>
        </w:p>
        <w:p>
          <w:pPr>
            <w:spacing w:line="240" w:lineRule="auto"/>
            <w:jc w:val="center"/>
            <w:rPr>
              <w:rFonts w:asciiTheme="majorBidi" w:hAnsiTheme="majorBidi" w:cstheme="majorBidi"/>
              <w:sz w:val="28"/>
              <w:szCs w:val="28"/>
            </w:rPr>
          </w:pPr>
          <w:r>
            <w:rPr>
              <w:rFonts w:asciiTheme="majorBidi" w:hAnsiTheme="majorBidi" w:cstheme="majorBidi"/>
              <w:sz w:val="28"/>
              <w:szCs w:val="28"/>
            </w:rPr>
            <w:t>Lecturer: Dr Hossein Shokri</w:t>
          </w:r>
        </w:p>
        <w:p>
          <w:pPr>
            <w:spacing w:line="240" w:lineRule="auto"/>
            <w:jc w:val="center"/>
            <w:rPr>
              <w:rFonts w:asciiTheme="majorBidi" w:hAnsiTheme="majorBidi" w:cstheme="majorBidi"/>
              <w:sz w:val="28"/>
              <w:szCs w:val="28"/>
            </w:rPr>
          </w:pPr>
          <w:r>
            <w:rPr>
              <w:rFonts w:asciiTheme="majorBidi" w:hAnsiTheme="majorBidi" w:cstheme="majorBidi"/>
              <w:sz w:val="28"/>
              <w:szCs w:val="28"/>
            </w:rPr>
            <w:t>Submission Date:</w:t>
          </w:r>
        </w:p>
        <w:p>
          <w:pPr>
            <w:spacing w:line="240" w:lineRule="auto"/>
            <w:jc w:val="center"/>
            <w:rPr>
              <w:rFonts w:asciiTheme="majorBidi" w:hAnsiTheme="majorBidi" w:cstheme="majorBidi"/>
              <w:sz w:val="28"/>
              <w:szCs w:val="28"/>
            </w:rPr>
          </w:pPr>
        </w:p>
        <w:p>
          <w:pPr>
            <w:spacing w:line="240" w:lineRule="auto"/>
            <w:jc w:val="center"/>
            <w:rPr>
              <w:rFonts w:asciiTheme="majorBidi" w:hAnsiTheme="majorBidi" w:cstheme="majorBidi"/>
              <w:sz w:val="28"/>
              <w:szCs w:val="28"/>
            </w:rPr>
          </w:pPr>
        </w:p>
        <w:sdt>
          <w:sdtPr>
            <w:rPr>
              <w:rFonts w:asciiTheme="majorBidi" w:hAnsiTheme="majorBidi" w:eastAsiaTheme="minorHAnsi" w:cstheme="majorBidi"/>
              <w:color w:val="auto"/>
              <w:sz w:val="22"/>
              <w:szCs w:val="22"/>
            </w:rPr>
            <w:id w:val="-1516920417"/>
            <w:docPartObj>
              <w:docPartGallery w:val="Table of Contents"/>
              <w:docPartUnique/>
            </w:docPartObj>
          </w:sdtPr>
          <w:sdtEndPr>
            <w:rPr>
              <w:rFonts w:asciiTheme="majorBidi" w:hAnsiTheme="majorBidi" w:eastAsiaTheme="minorHAnsi" w:cstheme="majorBidi"/>
              <w:b/>
              <w:bCs/>
              <w:color w:val="auto"/>
              <w:sz w:val="24"/>
              <w:szCs w:val="22"/>
            </w:rPr>
          </w:sdtEndPr>
          <w:sdtContent>
            <w:p>
              <w:pPr>
                <w:pStyle w:val="39"/>
                <w:spacing w:line="360" w:lineRule="auto"/>
                <w:rPr>
                  <w:rStyle w:val="33"/>
                  <w:rFonts w:asciiTheme="majorBidi" w:hAnsiTheme="majorBidi" w:cstheme="majorBidi"/>
                  <w:b/>
                  <w:bCs/>
                </w:rPr>
              </w:pPr>
              <w:r>
                <w:rPr>
                  <w:rStyle w:val="33"/>
                  <w:rFonts w:asciiTheme="majorBidi" w:hAnsiTheme="majorBidi" w:cstheme="majorBidi"/>
                  <w:b/>
                  <w:bCs/>
                </w:rPr>
                <w:t>Table of Contents</w:t>
              </w:r>
            </w:p>
            <w:p>
              <w:pPr>
                <w:pStyle w:val="19"/>
                <w:tabs>
                  <w:tab w:val="right" w:leader="dot" w:pos="9016"/>
                </w:tabs>
                <w:rPr>
                  <w:rFonts w:asciiTheme="minorHAnsi" w:hAnsiTheme="minorHAnsi" w:eastAsiaTheme="minorEastAsia"/>
                  <w:sz w:val="22"/>
                  <w:lang w:val="en-US"/>
                </w:rPr>
              </w:pPr>
              <w:r>
                <w:rPr>
                  <w:rFonts w:asciiTheme="majorBidi" w:hAnsiTheme="majorBidi" w:cstheme="majorBidi"/>
                </w:rPr>
                <w:fldChar w:fldCharType="begin"/>
              </w:r>
              <w:r>
                <w:rPr>
                  <w:rFonts w:asciiTheme="majorBidi" w:hAnsiTheme="majorBidi" w:cstheme="majorBidi"/>
                </w:rPr>
                <w:instrText xml:space="preserve"> TOC \o "1-4" \h \z \u </w:instrText>
              </w:r>
              <w:r>
                <w:rPr>
                  <w:rFonts w:asciiTheme="majorBidi" w:hAnsiTheme="majorBidi" w:cstheme="majorBidi"/>
                </w:rPr>
                <w:fldChar w:fldCharType="separate"/>
              </w:r>
              <w:r>
                <w:fldChar w:fldCharType="begin"/>
              </w:r>
              <w:r>
                <w:instrText xml:space="preserve"> HYPERLINK \l "_Toc132864172" </w:instrText>
              </w:r>
              <w:r>
                <w:fldChar w:fldCharType="separate"/>
              </w:r>
              <w:r>
                <w:rPr>
                  <w:rStyle w:val="16"/>
                </w:rPr>
                <w:t>Introduction</w:t>
              </w:r>
              <w:r>
                <w:tab/>
              </w:r>
              <w:r>
                <w:fldChar w:fldCharType="begin"/>
              </w:r>
              <w:r>
                <w:instrText xml:space="preserve"> PAGEREF _Toc132864172 \h </w:instrText>
              </w:r>
              <w:r>
                <w:fldChar w:fldCharType="separate"/>
              </w:r>
              <w:r>
                <w:t>4</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"_Toc132864173" </w:instrText>
              </w:r>
              <w:r>
                <w:fldChar w:fldCharType="separate"/>
              </w:r>
              <w:r>
                <w:rPr>
                  <w:rStyle w:val="16"/>
                </w:rPr>
                <w:t>Company Background</w:t>
              </w:r>
              <w:r>
                <w:tab/>
              </w:r>
              <w:r>
                <w:fldChar w:fldCharType="begin"/>
              </w:r>
              <w:r>
                <w:instrText xml:space="preserve"> PAGEREF _Toc132864173 \h </w:instrText>
              </w:r>
              <w:r>
                <w:fldChar w:fldCharType="separate"/>
              </w:r>
              <w:r>
                <w:t>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"_Toc132864174" </w:instrText>
              </w:r>
              <w:r>
                <w:fldChar w:fldCharType="separate"/>
              </w:r>
              <w:r>
                <w:rPr>
                  <w:rStyle w:val="16"/>
                </w:rPr>
                <w:t>Company’s Objectives and Strategies</w:t>
              </w:r>
              <w:r>
                <w:tab/>
              </w:r>
              <w:r>
                <w:fldChar w:fldCharType="begin"/>
              </w:r>
              <w:r>
                <w:instrText xml:space="preserve"> PAGEREF _Toc132864174 \h </w:instrText>
              </w:r>
              <w:r>
                <w:fldChar w:fldCharType="separate"/>
              </w:r>
              <w:r>
                <w:t>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"_Toc132864175" </w:instrText>
              </w:r>
              <w:r>
                <w:fldChar w:fldCharType="separate"/>
              </w:r>
              <w:r>
                <w:rPr>
                  <w:rStyle w:val="16"/>
                </w:rPr>
                <w:t>Objectives</w:t>
              </w:r>
              <w:r>
                <w:tab/>
              </w:r>
              <w:r>
                <w:fldChar w:fldCharType="begin"/>
              </w:r>
              <w:r>
                <w:instrText xml:space="preserve"> PAGEREF _Toc132864175 \h </w:instrText>
              </w:r>
              <w:r>
                <w:fldChar w:fldCharType="separate"/>
              </w:r>
              <w:r>
                <w:t>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"_Toc132864176" </w:instrText>
              </w:r>
              <w:r>
                <w:fldChar w:fldCharType="separate"/>
              </w:r>
              <w:r>
                <w:rPr>
                  <w:rStyle w:val="16"/>
                </w:rPr>
                <w:t>Expansion Strategies</w:t>
              </w:r>
              <w:r>
                <w:tab/>
              </w:r>
              <w:r>
                <w:fldChar w:fldCharType="begin"/>
              </w:r>
              <w:r>
                <w:instrText xml:space="preserve"> PAGEREF _Toc132864176 \h </w:instrText>
              </w:r>
              <w:r>
                <w:fldChar w:fldCharType="separate"/>
              </w:r>
              <w:r>
                <w:t>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"_Toc132864177" </w:instrText>
              </w:r>
              <w:r>
                <w:fldChar w:fldCharType="separate"/>
              </w:r>
              <w:r>
                <w:rPr>
                  <w:rStyle w:val="16"/>
                </w:rPr>
                <w:t>Product Development:</w:t>
              </w:r>
              <w:r>
                <w:tab/>
              </w:r>
              <w:r>
                <w:fldChar w:fldCharType="begin"/>
              </w:r>
              <w:r>
                <w:instrText xml:space="preserve"> PAGEREF _Toc132864177 \h </w:instrText>
              </w:r>
              <w:r>
                <w:fldChar w:fldCharType="separate"/>
              </w:r>
              <w:r>
                <w:t>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"_Toc132864178" </w:instrText>
              </w:r>
              <w:r>
                <w:fldChar w:fldCharType="separate"/>
              </w:r>
              <w:r>
                <w:rPr>
                  <w:rStyle w:val="16"/>
                </w:rPr>
                <w:t>Market Expansion:</w:t>
              </w:r>
              <w:r>
                <w:tab/>
              </w:r>
              <w:r>
                <w:fldChar w:fldCharType="begin"/>
              </w:r>
              <w:r>
                <w:instrText xml:space="preserve"> PAGEREF _Toc132864178 \h </w:instrText>
              </w:r>
              <w:r>
                <w:fldChar w:fldCharType="separate"/>
              </w:r>
              <w:r>
                <w:t>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"_Toc132864179" </w:instrText>
              </w:r>
              <w:r>
                <w:fldChar w:fldCharType="separate"/>
              </w:r>
              <w:r>
                <w:rPr>
                  <w:rStyle w:val="16"/>
                </w:rPr>
                <w:t>Strategic Partnerships:</w:t>
              </w:r>
              <w:r>
                <w:tab/>
              </w:r>
              <w:r>
                <w:fldChar w:fldCharType="begin"/>
              </w:r>
              <w:r>
                <w:instrText xml:space="preserve"> PAGEREF _Toc132864179 \h </w:instrText>
              </w:r>
              <w:r>
                <w:fldChar w:fldCharType="separate"/>
              </w:r>
              <w:r>
                <w:t>7</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"_Toc132864180" </w:instrText>
              </w:r>
              <w:r>
                <w:fldChar w:fldCharType="separate"/>
              </w:r>
              <w:r>
                <w:rPr>
                  <w:rStyle w:val="16"/>
                </w:rPr>
                <w:t>Countries’ Specifications</w:t>
              </w:r>
              <w:r>
                <w:tab/>
              </w:r>
              <w:r>
                <w:fldChar w:fldCharType="begin"/>
              </w:r>
              <w:r>
                <w:instrText xml:space="preserve"> PAGEREF _Toc132864180 \h </w:instrText>
              </w:r>
              <w:r>
                <w:fldChar w:fldCharType="separate"/>
              </w:r>
              <w:r>
                <w:t>7</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"_Toc132864181" </w:instrText>
              </w:r>
              <w:r>
                <w:fldChar w:fldCharType="separate"/>
              </w:r>
              <w:r>
                <w:rPr>
                  <w:rStyle w:val="16"/>
                </w:rPr>
                <w:t>Home Country</w:t>
              </w:r>
              <w:r>
                <w:tab/>
              </w:r>
              <w:r>
                <w:fldChar w:fldCharType="begin"/>
              </w:r>
              <w:r>
                <w:instrText xml:space="preserve"> PAGEREF _Toc132864181 \h </w:instrText>
              </w:r>
              <w:r>
                <w:fldChar w:fldCharType="separate"/>
              </w:r>
              <w:r>
                <w:t>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"_Toc132864182" </w:instrText>
              </w:r>
              <w:r>
                <w:fldChar w:fldCharType="separate"/>
              </w:r>
              <w:r>
                <w:rPr>
                  <w:rStyle w:val="16"/>
                </w:rPr>
                <w:t>Country-specific factors: Japan</w:t>
              </w:r>
              <w:r>
                <w:tab/>
              </w:r>
              <w:r>
                <w:fldChar w:fldCharType="begin"/>
              </w:r>
              <w:r>
                <w:instrText xml:space="preserve"> PAGEREF _Toc132864182 \h </w:instrText>
              </w:r>
              <w:r>
                <w:fldChar w:fldCharType="separate"/>
              </w:r>
              <w:r>
                <w:t>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"_Toc132864183" </w:instrText>
              </w:r>
              <w:r>
                <w:fldChar w:fldCharType="separate"/>
              </w:r>
              <w:r>
                <w:rPr>
                  <w:rStyle w:val="16"/>
                </w:rPr>
                <w:t>Industry-specific factors: Automotive Industry</w:t>
              </w:r>
              <w:r>
                <w:tab/>
              </w:r>
              <w:r>
                <w:fldChar w:fldCharType="begin"/>
              </w:r>
              <w:r>
                <w:instrText xml:space="preserve"> PAGEREF _Toc132864183 \h </w:instrText>
              </w:r>
              <w:r>
                <w:fldChar w:fldCharType="separate"/>
              </w:r>
              <w:r>
                <w:t>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"_Toc132864184" </w:instrText>
              </w:r>
              <w:r>
                <w:fldChar w:fldCharType="separate"/>
              </w:r>
              <w:r>
                <w:rPr>
                  <w:rStyle w:val="16"/>
                </w:rPr>
                <w:t>Management-specific factors: Toyota Production System</w:t>
              </w:r>
              <w:r>
                <w:tab/>
              </w:r>
              <w:r>
                <w:fldChar w:fldCharType="begin"/>
              </w:r>
              <w:r>
                <w:instrText xml:space="preserve"> PAGEREF _Toc132864184 \h </w:instrText>
              </w:r>
              <w:r>
                <w:fldChar w:fldCharType="separate"/>
              </w:r>
              <w:r>
                <w:t>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"_Toc132864185" </w:instrText>
              </w:r>
              <w:r>
                <w:fldChar w:fldCharType="separate"/>
              </w:r>
              <w:r>
                <w:rPr>
                  <w:rStyle w:val="16"/>
                </w:rPr>
                <w:t>Marketing</w:t>
              </w:r>
              <w:r>
                <w:tab/>
              </w:r>
              <w:r>
                <w:fldChar w:fldCharType="begin"/>
              </w:r>
              <w:r>
                <w:instrText xml:space="preserve"> PAGEREF _Toc132864185 \h </w:instrText>
              </w:r>
              <w:r>
                <w:fldChar w:fldCharType="separate"/>
              </w:r>
              <w:r>
                <w:t>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"_Toc132864186" </w:instrText>
              </w:r>
              <w:r>
                <w:fldChar w:fldCharType="separate"/>
              </w:r>
              <w:r>
                <w:rPr>
                  <w:rStyle w:val="16"/>
                </w:rPr>
                <w:t>Operations</w:t>
              </w:r>
              <w:r>
                <w:tab/>
              </w:r>
              <w:r>
                <w:fldChar w:fldCharType="begin"/>
              </w:r>
              <w:r>
                <w:instrText xml:space="preserve"> PAGEREF _Toc132864186 \h </w:instrText>
              </w:r>
              <w:r>
                <w:fldChar w:fldCharType="separate"/>
              </w:r>
              <w:r>
                <w:t>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"_Toc132864187" </w:instrText>
              </w:r>
              <w:r>
                <w:fldChar w:fldCharType="separate"/>
              </w:r>
              <w:r>
                <w:rPr>
                  <w:rStyle w:val="16"/>
                </w:rPr>
                <w:t>Human Resource Management</w:t>
              </w:r>
              <w:r>
                <w:tab/>
              </w:r>
              <w:r>
                <w:fldChar w:fldCharType="begin"/>
              </w:r>
              <w:r>
                <w:instrText xml:space="preserve"> PAGEREF _Toc132864187 \h </w:instrText>
              </w:r>
              <w:r>
                <w:fldChar w:fldCharType="separate"/>
              </w:r>
              <w:r>
                <w:t>8</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"_Toc132864188" </w:instrText>
              </w:r>
              <w:r>
                <w:fldChar w:fldCharType="separate"/>
              </w:r>
              <w:r>
                <w:rPr>
                  <w:rStyle w:val="16"/>
                </w:rPr>
                <w:t>Host Country</w:t>
              </w:r>
              <w:r>
                <w:tab/>
              </w:r>
              <w:r>
                <w:fldChar w:fldCharType="begin"/>
              </w:r>
              <w:r>
                <w:instrText xml:space="preserve"> PAGEREF _Toc132864188 \h </w:instrText>
              </w:r>
              <w:r>
                <w:fldChar w:fldCharType="separate"/>
              </w:r>
              <w:r>
                <w:t>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"_Toc132864189" </w:instrText>
              </w:r>
              <w:r>
                <w:fldChar w:fldCharType="separate"/>
              </w:r>
              <w:r>
                <w:rPr>
                  <w:rStyle w:val="16"/>
                </w:rPr>
                <w:t>Country-specific factors: China</w:t>
              </w:r>
              <w:r>
                <w:tab/>
              </w:r>
              <w:r>
                <w:fldChar w:fldCharType="begin"/>
              </w:r>
              <w:r>
                <w:instrText xml:space="preserve"> PAGEREF _Toc132864189 \h </w:instrText>
              </w:r>
              <w:r>
                <w:fldChar w:fldCharType="separate"/>
              </w:r>
              <w:r>
                <w:t>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"_Toc132864190" </w:instrText>
              </w:r>
              <w:r>
                <w:fldChar w:fldCharType="separate"/>
              </w:r>
              <w:r>
                <w:rPr>
                  <w:rStyle w:val="16"/>
                </w:rPr>
                <w:t>Industry-specific factors: Automotive Industry in China</w:t>
              </w:r>
              <w:r>
                <w:tab/>
              </w:r>
              <w:r>
                <w:fldChar w:fldCharType="begin"/>
              </w:r>
              <w:r>
                <w:instrText xml:space="preserve"> PAGEREF _Toc132864190 \h </w:instrText>
              </w:r>
              <w:r>
                <w:fldChar w:fldCharType="separate"/>
              </w:r>
              <w:r>
                <w:t>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"_Toc132864191" </w:instrText>
              </w:r>
              <w:r>
                <w:fldChar w:fldCharType="separate"/>
              </w:r>
              <w:r>
                <w:rPr>
                  <w:rStyle w:val="16"/>
                </w:rPr>
                <w:t>Marketing in China</w:t>
              </w:r>
              <w:r>
                <w:tab/>
              </w:r>
              <w:r>
                <w:fldChar w:fldCharType="begin"/>
              </w:r>
              <w:r>
                <w:instrText xml:space="preserve"> PAGEREF _Toc132864191 \h </w:instrText>
              </w:r>
              <w:r>
                <w:fldChar w:fldCharType="separate"/>
              </w:r>
              <w:r>
                <w:t>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"_Toc132864192" </w:instrText>
              </w:r>
              <w:r>
                <w:fldChar w:fldCharType="separate"/>
              </w:r>
              <w:r>
                <w:rPr>
                  <w:rStyle w:val="16"/>
                </w:rPr>
                <w:t>Operations in China</w:t>
              </w:r>
              <w:r>
                <w:tab/>
              </w:r>
              <w:r>
                <w:fldChar w:fldCharType="begin"/>
              </w:r>
              <w:r>
                <w:instrText xml:space="preserve"> PAGEREF _Toc132864192 \h </w:instrText>
              </w:r>
              <w:r>
                <w:fldChar w:fldCharType="separate"/>
              </w:r>
              <w:r>
                <w:t>10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"_Toc132864193" </w:instrText>
              </w:r>
              <w:r>
                <w:fldChar w:fldCharType="separate"/>
              </w:r>
              <w:r>
                <w:rPr>
                  <w:rStyle w:val="16"/>
                </w:rPr>
                <w:t>Human Resource Management in China</w:t>
              </w:r>
              <w:r>
                <w:tab/>
              </w:r>
              <w:r>
                <w:fldChar w:fldCharType="begin"/>
              </w:r>
              <w:r>
                <w:instrText xml:space="preserve"> PAGEREF _Toc132864193 \h </w:instrText>
              </w:r>
              <w:r>
                <w:fldChar w:fldCharType="separate"/>
              </w:r>
              <w:r>
                <w:t>10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"_Toc132864194" </w:instrText>
              </w:r>
              <w:r>
                <w:fldChar w:fldCharType="separate"/>
              </w:r>
              <w:r>
                <w:rPr>
                  <w:rStyle w:val="16"/>
                </w:rPr>
                <w:t>International Context: Adapting and Integrating Resources and Capabilities</w:t>
              </w:r>
              <w:r>
                <w:tab/>
              </w:r>
              <w:r>
                <w:fldChar w:fldCharType="begin"/>
              </w:r>
              <w:r>
                <w:instrText xml:space="preserve"> PAGEREF _Toc132864194 \h </w:instrText>
              </w:r>
              <w:r>
                <w:fldChar w:fldCharType="separate"/>
              </w:r>
              <w:r>
                <w:t>10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"_Toc132864195" </w:instrText>
              </w:r>
              <w:r>
                <w:fldChar w:fldCharType="separate"/>
              </w:r>
              <w:r>
                <w:rPr>
                  <w:rStyle w:val="16"/>
                </w:rPr>
                <w:t>Global Marketing Strategy</w:t>
              </w:r>
              <w:r>
                <w:tab/>
              </w:r>
              <w:r>
                <w:fldChar w:fldCharType="begin"/>
              </w:r>
              <w:r>
                <w:instrText xml:space="preserve"> PAGEREF _Toc132864195 \h </w:instrText>
              </w:r>
              <w:r>
                <w:fldChar w:fldCharType="separate"/>
              </w:r>
              <w:r>
                <w:t>10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"_Toc132864196" </w:instrText>
              </w:r>
              <w:r>
                <w:fldChar w:fldCharType="separate"/>
              </w:r>
              <w:r>
                <w:rPr>
                  <w:rStyle w:val="16"/>
                </w:rPr>
                <w:t>Global Operations Strategy</w:t>
              </w:r>
              <w:r>
                <w:tab/>
              </w:r>
              <w:r>
                <w:fldChar w:fldCharType="begin"/>
              </w:r>
              <w:r>
                <w:instrText xml:space="preserve"> PAGEREF _Toc132864196 \h </w:instrText>
              </w:r>
              <w:r>
                <w:fldChar w:fldCharType="separate"/>
              </w:r>
              <w:r>
                <w:t>10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"_Toc132864197" </w:instrText>
              </w:r>
              <w:r>
                <w:fldChar w:fldCharType="separate"/>
              </w:r>
              <w:r>
                <w:rPr>
                  <w:rStyle w:val="16"/>
                </w:rPr>
                <w:t>Global HRM Strategy</w:t>
              </w:r>
              <w:r>
                <w:tab/>
              </w:r>
              <w:r>
                <w:fldChar w:fldCharType="begin"/>
              </w:r>
              <w:r>
                <w:instrText xml:space="preserve"> PAGEREF _Toc132864197 \h </w:instrText>
              </w:r>
              <w:r>
                <w:fldChar w:fldCharType="separate"/>
              </w:r>
              <w:r>
                <w:t>11</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"_Toc132864198" </w:instrText>
              </w:r>
              <w:r>
                <w:fldChar w:fldCharType="separate"/>
              </w:r>
              <w:r>
                <w:rPr>
                  <w:rStyle w:val="16"/>
                </w:rPr>
                <w:t>External Analysis</w:t>
              </w:r>
              <w:r>
                <w:tab/>
              </w:r>
              <w:r>
                <w:fldChar w:fldCharType="begin"/>
              </w:r>
              <w:r>
                <w:instrText xml:space="preserve"> PAGEREF _Toc132864198 \h </w:instrText>
              </w:r>
              <w:r>
                <w:fldChar w:fldCharType="separate"/>
              </w:r>
              <w:r>
                <w:t>12</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"_Toc132864199" </w:instrText>
              </w:r>
              <w:r>
                <w:fldChar w:fldCharType="separate"/>
              </w:r>
              <w:r>
                <w:rPr>
                  <w:rStyle w:val="16"/>
                </w:rPr>
                <w:t>A Comparative PESTEL Analysis</w:t>
              </w:r>
              <w:r>
                <w:tab/>
              </w:r>
              <w:r>
                <w:fldChar w:fldCharType="begin"/>
              </w:r>
              <w:r>
                <w:instrText xml:space="preserve"> PAGEREF _Toc132864199 \h </w:instrText>
              </w:r>
              <w:r>
                <w:fldChar w:fldCharType="separate"/>
              </w:r>
              <w:r>
                <w:t>12</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"_Toc132864200" </w:instrText>
              </w:r>
              <w:r>
                <w:fldChar w:fldCharType="separate"/>
              </w:r>
              <w:r>
                <w:rPr>
                  <w:rStyle w:val="16"/>
                </w:rPr>
                <w:t>Industry Five Forces</w:t>
              </w:r>
              <w:r>
                <w:tab/>
              </w:r>
              <w:r>
                <w:fldChar w:fldCharType="begin"/>
              </w:r>
              <w:r>
                <w:instrText xml:space="preserve"> PAGEREF _Toc132864200 \h </w:instrText>
              </w:r>
              <w:r>
                <w:fldChar w:fldCharType="separate"/>
              </w:r>
              <w:r>
                <w:t>14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"_Toc132864201" </w:instrText>
              </w:r>
              <w:r>
                <w:fldChar w:fldCharType="separate"/>
              </w:r>
              <w:r>
                <w:rPr>
                  <w:rStyle w:val="16"/>
                  <w:rFonts w:ascii="Söhne" w:hAnsi="Söhne" w:eastAsia="Times New Roman" w:cs="Times New Roman"/>
                  <w:lang w:val="en-US"/>
                </w:rPr>
                <w:t>.</w:t>
              </w:r>
              <w:r>
                <w:tab/>
              </w:r>
              <w:r>
                <w:fldChar w:fldCharType="begin"/>
              </w:r>
              <w:r>
                <w:instrText xml:space="preserve"> PAGEREF _Toc132864201 \h </w:instrText>
              </w:r>
              <w:r>
                <w:fldChar w:fldCharType="separate"/>
              </w:r>
              <w:r>
                <w:t>14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"_Toc132864202" </w:instrText>
              </w:r>
              <w:r>
                <w:fldChar w:fldCharType="separate"/>
              </w:r>
              <w:r>
                <w:rPr>
                  <w:rStyle w:val="16"/>
                </w:rPr>
                <w:t>Market Analysis</w:t>
              </w:r>
              <w:r>
                <w:tab/>
              </w:r>
              <w:r>
                <w:fldChar w:fldCharType="begin"/>
              </w:r>
              <w:r>
                <w:instrText xml:space="preserve"> PAGEREF _Toc132864202 \h </w:instrText>
              </w:r>
              <w:r>
                <w:fldChar w:fldCharType="separate"/>
              </w:r>
              <w:r>
                <w:t>15</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"_Toc132864203" </w:instrText>
              </w:r>
              <w:r>
                <w:fldChar w:fldCharType="separate"/>
              </w:r>
              <w:r>
                <w:rPr>
                  <w:rStyle w:val="16"/>
                </w:rPr>
                <w:t>Host Country Analysis</w:t>
              </w:r>
              <w:r>
                <w:tab/>
              </w:r>
              <w:r>
                <w:fldChar w:fldCharType="begin"/>
              </w:r>
              <w:r>
                <w:instrText xml:space="preserve"> PAGEREF _Toc132864203 \h </w:instrText>
              </w:r>
              <w:r>
                <w:fldChar w:fldCharType="separate"/>
              </w:r>
              <w:r>
                <w:t>16</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"_Toc132864204" </w:instrText>
              </w:r>
              <w:r>
                <w:fldChar w:fldCharType="separate"/>
              </w:r>
              <w:r>
                <w:rPr>
                  <w:rStyle w:val="16"/>
                </w:rPr>
                <w:t>Country’s National Diamond</w:t>
              </w:r>
              <w:r>
                <w:tab/>
              </w:r>
              <w:r>
                <w:fldChar w:fldCharType="begin"/>
              </w:r>
              <w:r>
                <w:instrText xml:space="preserve"> PAGEREF _Toc132864204 \h </w:instrText>
              </w:r>
              <w:r>
                <w:fldChar w:fldCharType="separate"/>
              </w:r>
              <w:r>
                <w:t>16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"_Toc132864205" </w:instrText>
              </w:r>
              <w:r>
                <w:fldChar w:fldCharType="separate"/>
              </w:r>
              <w:r>
                <w:rPr>
                  <w:rStyle w:val="16"/>
                </w:rPr>
                <w:t>Factor Conditions:</w:t>
              </w:r>
              <w:r>
                <w:tab/>
              </w:r>
              <w:r>
                <w:fldChar w:fldCharType="begin"/>
              </w:r>
              <w:r>
                <w:instrText xml:space="preserve"> PAGEREF _Toc132864205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"_Toc132864206" </w:instrText>
              </w:r>
              <w:r>
                <w:fldChar w:fldCharType="separate"/>
              </w:r>
              <w:r>
                <w:rPr>
                  <w:rStyle w:val="16"/>
                </w:rPr>
                <w:t>Labour:</w:t>
              </w:r>
              <w:r>
                <w:tab/>
              </w:r>
              <w:r>
                <w:fldChar w:fldCharType="begin"/>
              </w:r>
              <w:r>
                <w:instrText xml:space="preserve"> PAGEREF _Toc132864206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"_Toc132864207" </w:instrText>
              </w:r>
              <w:r>
                <w:fldChar w:fldCharType="separate"/>
              </w:r>
              <w:r>
                <w:rPr>
                  <w:rStyle w:val="16"/>
                </w:rPr>
                <w:t>Technology:</w:t>
              </w:r>
              <w:r>
                <w:tab/>
              </w:r>
              <w:r>
                <w:fldChar w:fldCharType="begin"/>
              </w:r>
              <w:r>
                <w:instrText xml:space="preserve"> PAGEREF _Toc132864207 \h </w:instrText>
              </w:r>
              <w:r>
                <w:fldChar w:fldCharType="separate"/>
              </w:r>
              <w:r>
                <w:t>16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"_Toc132864208" </w:instrText>
              </w:r>
              <w:r>
                <w:fldChar w:fldCharType="separate"/>
              </w:r>
              <w:r>
                <w:rPr>
                  <w:rStyle w:val="16"/>
                </w:rPr>
                <w:t>Demand Conditions:</w:t>
              </w:r>
              <w:r>
                <w:tab/>
              </w:r>
              <w:r>
                <w:fldChar w:fldCharType="begin"/>
              </w:r>
              <w:r>
                <w:instrText xml:space="preserve"> PAGEREF _Toc132864208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"_Toc132864209" </w:instrText>
              </w:r>
              <w:r>
                <w:fldChar w:fldCharType="separate"/>
              </w:r>
              <w:r>
                <w:rPr>
                  <w:rStyle w:val="16"/>
                </w:rPr>
                <w:t>Market Size:</w:t>
              </w:r>
              <w:r>
                <w:tab/>
              </w:r>
              <w:r>
                <w:fldChar w:fldCharType="begin"/>
              </w:r>
              <w:r>
                <w:instrText xml:space="preserve"> PAGEREF _Toc132864209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"_Toc132864210" </w:instrText>
              </w:r>
              <w:r>
                <w:fldChar w:fldCharType="separate"/>
              </w:r>
              <w:r>
                <w:rPr>
                  <w:rStyle w:val="16"/>
                </w:rPr>
                <w:t>Consumer Preferences:</w:t>
              </w:r>
              <w:r>
                <w:tab/>
              </w:r>
              <w:r>
                <w:fldChar w:fldCharType="begin"/>
              </w:r>
              <w:r>
                <w:instrText xml:space="preserve"> PAGEREF _Toc132864210 \h </w:instrText>
              </w:r>
              <w:r>
                <w:fldChar w:fldCharType="separate"/>
              </w:r>
              <w:r>
                <w:t>16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"_Toc132864211" </w:instrText>
              </w:r>
              <w:r>
                <w:fldChar w:fldCharType="separate"/>
              </w:r>
              <w:r>
                <w:rPr>
                  <w:rStyle w:val="16"/>
                </w:rPr>
                <w:t>Related and Supporting Industries:</w:t>
              </w:r>
              <w:r>
                <w:tab/>
              </w:r>
              <w:r>
                <w:fldChar w:fldCharType="begin"/>
              </w:r>
              <w:r>
                <w:instrText xml:space="preserve"> PAGEREF _Toc132864211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"_Toc132864212" </w:instrText>
              </w:r>
              <w:r>
                <w:fldChar w:fldCharType="separate"/>
              </w:r>
              <w:r>
                <w:rPr>
                  <w:rStyle w:val="16"/>
                </w:rPr>
                <w:t>Auto Components:</w:t>
              </w:r>
              <w:r>
                <w:tab/>
              </w:r>
              <w:r>
                <w:fldChar w:fldCharType="begin"/>
              </w:r>
              <w:r>
                <w:instrText xml:space="preserve"> PAGEREF _Toc132864212 \h </w:instrText>
              </w:r>
              <w:r>
                <w:fldChar w:fldCharType="separate"/>
              </w:r>
              <w:r>
                <w:t>16</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"_Toc132864213" </w:instrText>
              </w:r>
              <w:r>
                <w:fldChar w:fldCharType="separate"/>
              </w:r>
              <w:r>
                <w:rPr>
                  <w:rStyle w:val="16"/>
                </w:rPr>
                <w:t>Firm Strategy, Structure, and Rivalry:</w:t>
              </w:r>
              <w:r>
                <w:tab/>
              </w:r>
              <w:r>
                <w:fldChar w:fldCharType="begin"/>
              </w:r>
              <w:r>
                <w:instrText xml:space="preserve"> PAGEREF _Toc132864213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"_Toc132864214" </w:instrText>
              </w:r>
              <w:r>
                <w:fldChar w:fldCharType="separate"/>
              </w:r>
              <w:r>
                <w:rPr>
                  <w:rStyle w:val="16"/>
                </w:rPr>
                <w:t>Competition:</w:t>
              </w:r>
              <w:r>
                <w:tab/>
              </w:r>
              <w:r>
                <w:fldChar w:fldCharType="begin"/>
              </w:r>
              <w:r>
                <w:instrText xml:space="preserve"> PAGEREF _Toc132864214 \h </w:instrText>
              </w:r>
              <w:r>
                <w:fldChar w:fldCharType="separate"/>
              </w:r>
              <w:r>
                <w:t>16</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"_Toc132864215" </w:instrText>
              </w:r>
              <w:r>
                <w:fldChar w:fldCharType="separate"/>
              </w:r>
              <w:r>
                <w:rPr>
                  <w:rStyle w:val="16"/>
                </w:rPr>
                <w:t>Government Policies:</w:t>
              </w:r>
              <w:r>
                <w:tab/>
              </w:r>
              <w:r>
                <w:fldChar w:fldCharType="begin"/>
              </w:r>
              <w:r>
                <w:instrText xml:space="preserve"> PAGEREF _Toc132864215 \h </w:instrText>
              </w:r>
              <w:r>
                <w:fldChar w:fldCharType="separate"/>
              </w:r>
              <w:r>
                <w:t>17</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"_Toc132864216" </w:instrText>
              </w:r>
              <w:r>
                <w:fldChar w:fldCharType="separate"/>
              </w:r>
              <w:r>
                <w:rPr>
                  <w:rStyle w:val="16"/>
                </w:rPr>
                <w:t>Country Business Risks</w:t>
              </w:r>
              <w:r>
                <w:tab/>
              </w:r>
              <w:r>
                <w:fldChar w:fldCharType="begin"/>
              </w:r>
              <w:r>
                <w:instrText xml:space="preserve"> PAGEREF _Toc132864216 \h </w:instrText>
              </w:r>
              <w:r>
                <w:fldChar w:fldCharType="separate"/>
              </w:r>
              <w:r>
                <w:t>17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"_Toc132864217" </w:instrText>
              </w:r>
              <w:r>
                <w:fldChar w:fldCharType="separate"/>
              </w:r>
              <w:r>
                <w:rPr>
                  <w:rStyle w:val="16"/>
                </w:rPr>
                <w:t>Economic Risks:</w:t>
              </w:r>
              <w:r>
                <w:tab/>
              </w:r>
              <w:r>
                <w:fldChar w:fldCharType="begin"/>
              </w:r>
              <w:r>
                <w:instrText xml:space="preserve"> PAGEREF _Toc132864217 \h </w:instrText>
              </w:r>
              <w:r>
                <w:fldChar w:fldCharType="separate"/>
              </w:r>
              <w:r>
                <w:t>17</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"_Toc132864218" </w:instrText>
              </w:r>
              <w:r>
                <w:fldChar w:fldCharType="separate"/>
              </w:r>
              <w:r>
                <w:rPr>
                  <w:rStyle w:val="16"/>
                </w:rPr>
                <w:t>Economic Growth:</w:t>
              </w:r>
              <w:r>
                <w:tab/>
              </w:r>
              <w:r>
                <w:fldChar w:fldCharType="begin"/>
              </w:r>
              <w:r>
                <w:instrText xml:space="preserve"> PAGEREF _Toc132864218 \h </w:instrText>
              </w:r>
              <w:r>
                <w:fldChar w:fldCharType="separate"/>
              </w:r>
              <w:r>
                <w:t>17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"_Toc132864219" </w:instrText>
              </w:r>
              <w:r>
                <w:fldChar w:fldCharType="separate"/>
              </w:r>
              <w:r>
                <w:rPr>
                  <w:rStyle w:val="16"/>
                </w:rPr>
                <w:t>Political Risks:</w:t>
              </w:r>
              <w:r>
                <w:tab/>
              </w:r>
              <w:r>
                <w:fldChar w:fldCharType="begin"/>
              </w:r>
              <w:r>
                <w:instrText xml:space="preserve"> PAGEREF _Toc132864219 \h </w:instrText>
              </w:r>
              <w:r>
                <w:fldChar w:fldCharType="separate"/>
              </w:r>
              <w:r>
                <w:t>17</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"_Toc132864220" </w:instrText>
              </w:r>
              <w:r>
                <w:fldChar w:fldCharType="separate"/>
              </w:r>
              <w:r>
                <w:rPr>
                  <w:rStyle w:val="16"/>
                </w:rPr>
                <w:t>Regulatory Changes:</w:t>
              </w:r>
              <w:r>
                <w:tab/>
              </w:r>
              <w:r>
                <w:fldChar w:fldCharType="begin"/>
              </w:r>
              <w:r>
                <w:instrText xml:space="preserve"> PAGEREF _Toc132864220 \h </w:instrText>
              </w:r>
              <w:r>
                <w:fldChar w:fldCharType="separate"/>
              </w:r>
              <w:r>
                <w:t>17</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"_Toc132864221" </w:instrText>
              </w:r>
              <w:r>
                <w:fldChar w:fldCharType="separate"/>
              </w:r>
              <w:r>
                <w:rPr>
                  <w:rStyle w:val="16"/>
                </w:rPr>
                <w:t>Intellectual Property Rights</w:t>
              </w:r>
              <w:r>
                <w:tab/>
              </w:r>
              <w:r>
                <w:fldChar w:fldCharType="begin"/>
              </w:r>
              <w:r>
                <w:instrText xml:space="preserve"> PAGEREF _Toc132864221 \h </w:instrText>
              </w:r>
              <w:r>
                <w:fldChar w:fldCharType="separate"/>
              </w:r>
              <w:r>
                <w:t>17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"_Toc132864222" </w:instrText>
              </w:r>
              <w:r>
                <w:fldChar w:fldCharType="separate"/>
              </w:r>
              <w:r>
                <w:rPr>
                  <w:rStyle w:val="16"/>
                </w:rPr>
                <w:t>Legal Risks:</w:t>
              </w:r>
              <w:r>
                <w:tab/>
              </w:r>
              <w:r>
                <w:fldChar w:fldCharType="begin"/>
              </w:r>
              <w:r>
                <w:instrText xml:space="preserve"> PAGEREF _Toc132864222 \h </w:instrText>
              </w:r>
              <w:r>
                <w:fldChar w:fldCharType="separate"/>
              </w:r>
              <w:r>
                <w:t>17</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"_Toc132864223" </w:instrText>
              </w:r>
              <w:r>
                <w:fldChar w:fldCharType="separate"/>
              </w:r>
              <w:r>
                <w:rPr>
                  <w:rStyle w:val="16"/>
                </w:rPr>
                <w:t>Joint Venture Requirements:</w:t>
              </w:r>
              <w:r>
                <w:tab/>
              </w:r>
              <w:r>
                <w:fldChar w:fldCharType="begin"/>
              </w:r>
              <w:r>
                <w:instrText xml:space="preserve"> PAGEREF _Toc132864223 \h </w:instrText>
              </w:r>
              <w:r>
                <w:fldChar w:fldCharType="separate"/>
              </w:r>
              <w:r>
                <w:t>17</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"_Toc132864224" </w:instrText>
              </w:r>
              <w:r>
                <w:fldChar w:fldCharType="separate"/>
              </w:r>
              <w:r>
                <w:rPr>
                  <w:rStyle w:val="16"/>
                </w:rPr>
                <w:t>Compliance with Local Laws and Regulations:</w:t>
              </w:r>
              <w:r>
                <w:tab/>
              </w:r>
              <w:r>
                <w:fldChar w:fldCharType="begin"/>
              </w:r>
              <w:r>
                <w:instrText xml:space="preserve"> PAGEREF _Toc132864224 \h </w:instrText>
              </w:r>
              <w:r>
                <w:fldChar w:fldCharType="separate"/>
              </w:r>
              <w:r>
                <w:t>17</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"_Toc132864225" </w:instrText>
              </w:r>
              <w:r>
                <w:fldChar w:fldCharType="separate"/>
              </w:r>
              <w:r>
                <w:rPr>
                  <w:rStyle w:val="16"/>
                </w:rPr>
                <w:t>Cultural Risks:</w:t>
              </w:r>
              <w:r>
                <w:tab/>
              </w:r>
              <w:r>
                <w:fldChar w:fldCharType="begin"/>
              </w:r>
              <w:r>
                <w:instrText xml:space="preserve"> PAGEREF _Toc132864225 \h </w:instrText>
              </w:r>
              <w:r>
                <w:fldChar w:fldCharType="separate"/>
              </w:r>
              <w:r>
                <w:t>18</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"_Toc132864226" </w:instrText>
              </w:r>
              <w:r>
                <w:fldChar w:fldCharType="separate"/>
              </w:r>
              <w:r>
                <w:rPr>
                  <w:rStyle w:val="16"/>
                </w:rPr>
                <w:t>Cross-Cultural Management:</w:t>
              </w:r>
              <w:r>
                <w:tab/>
              </w:r>
              <w:r>
                <w:fldChar w:fldCharType="begin"/>
              </w:r>
              <w:r>
                <w:instrText xml:space="preserve"> PAGEREF _Toc132864226 \h </w:instrText>
              </w:r>
              <w:r>
                <w:fldChar w:fldCharType="separate"/>
              </w:r>
              <w:r>
                <w:t>18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"_Toc132864227" </w:instrText>
              </w:r>
              <w:r>
                <w:fldChar w:fldCharType="separate"/>
              </w:r>
              <w:r>
                <w:rPr>
                  <w:rStyle w:val="16"/>
                </w:rPr>
                <w:t>Competitive Risks:</w:t>
              </w:r>
              <w:r>
                <w:tab/>
              </w:r>
              <w:r>
                <w:fldChar w:fldCharType="begin"/>
              </w:r>
              <w:r>
                <w:instrText xml:space="preserve"> PAGEREF _Toc132864227 \h </w:instrText>
              </w:r>
              <w:r>
                <w:fldChar w:fldCharType="separate"/>
              </w:r>
              <w:r>
                <w:t>18</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"_Toc132864228" </w:instrText>
              </w:r>
              <w:r>
                <w:fldChar w:fldCharType="separate"/>
              </w:r>
              <w:r>
                <w:rPr>
                  <w:rStyle w:val="16"/>
                </w:rPr>
                <w:t>Intense Competition:</w:t>
              </w:r>
              <w:r>
                <w:tab/>
              </w:r>
              <w:r>
                <w:fldChar w:fldCharType="begin"/>
              </w:r>
              <w:r>
                <w:instrText xml:space="preserve"> PAGEREF _Toc132864228 \h </w:instrText>
              </w:r>
              <w:r>
                <w:fldChar w:fldCharType="separate"/>
              </w:r>
              <w:r>
                <w:t>18</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"_Toc132864229" </w:instrText>
              </w:r>
              <w:r>
                <w:fldChar w:fldCharType="separate"/>
              </w:r>
              <w:r>
                <w:rPr>
                  <w:rStyle w:val="16"/>
                </w:rPr>
                <w:t>Rapid Technological Advancements:</w:t>
              </w:r>
              <w:r>
                <w:tab/>
              </w:r>
              <w:r>
                <w:fldChar w:fldCharType="begin"/>
              </w:r>
              <w:r>
                <w:instrText xml:space="preserve"> PAGEREF _Toc132864229 \h </w:instrText>
              </w:r>
              <w:r>
                <w:fldChar w:fldCharType="separate"/>
              </w:r>
              <w:r>
                <w:t>18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"_Toc132864230" </w:instrText>
              </w:r>
              <w:r>
                <w:fldChar w:fldCharType="separate"/>
              </w:r>
              <w:r>
                <w:rPr>
                  <w:rStyle w:val="16"/>
                </w:rPr>
                <w:t>Supply Chain Risks:</w:t>
              </w:r>
              <w:r>
                <w:tab/>
              </w:r>
              <w:r>
                <w:fldChar w:fldCharType="begin"/>
              </w:r>
              <w:r>
                <w:instrText xml:space="preserve"> PAGEREF _Toc132864230 \h </w:instrText>
              </w:r>
              <w:r>
                <w:fldChar w:fldCharType="separate"/>
              </w:r>
              <w:r>
                <w:t>18</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"_Toc132864231" </w:instrText>
              </w:r>
              <w:r>
                <w:fldChar w:fldCharType="separate"/>
              </w:r>
              <w:r>
                <w:rPr>
                  <w:rStyle w:val="16"/>
                </w:rPr>
                <w:t>Geopolitical Tensions:</w:t>
              </w:r>
              <w:r>
                <w:tab/>
              </w:r>
              <w:r>
                <w:fldChar w:fldCharType="begin"/>
              </w:r>
              <w:r>
                <w:instrText xml:space="preserve"> PAGEREF _Toc132864231 \h </w:instrText>
              </w:r>
              <w:r>
                <w:fldChar w:fldCharType="separate"/>
              </w:r>
              <w:r>
                <w:t>18</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"_Toc132864232" </w:instrText>
              </w:r>
              <w:r>
                <w:fldChar w:fldCharType="separate"/>
              </w:r>
              <w:r>
                <w:rPr>
                  <w:rStyle w:val="16"/>
                </w:rPr>
                <w:t>Internal Analysis</w:t>
              </w:r>
              <w:r>
                <w:tab/>
              </w:r>
              <w:r>
                <w:fldChar w:fldCharType="begin"/>
              </w:r>
              <w:r>
                <w:instrText xml:space="preserve"> PAGEREF _Toc132864232 \h </w:instrText>
              </w:r>
              <w:r>
                <w:fldChar w:fldCharType="separate"/>
              </w:r>
              <w:r>
                <w:t>18</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"_Toc132864233" </w:instrText>
              </w:r>
              <w:r>
                <w:fldChar w:fldCharType="separate"/>
              </w:r>
              <w:r>
                <w:rPr>
                  <w:rStyle w:val="16"/>
                </w:rPr>
                <w:t>Global value chain</w:t>
              </w:r>
              <w:r>
                <w:tab/>
              </w:r>
              <w:r>
                <w:fldChar w:fldCharType="begin"/>
              </w:r>
              <w:r>
                <w:instrText xml:space="preserve"> PAGEREF _Toc132864233 \h </w:instrText>
              </w:r>
              <w:r>
                <w:fldChar w:fldCharType="separate"/>
              </w:r>
              <w:r>
                <w:t>18</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"_Toc132864234" </w:instrText>
              </w:r>
              <w:r>
                <w:fldChar w:fldCharType="separate"/>
              </w:r>
              <w:r>
                <w:rPr>
                  <w:rStyle w:val="16"/>
                </w:rPr>
                <w:t>Global Production</w:t>
              </w:r>
              <w:r>
                <w:tab/>
              </w:r>
              <w:r>
                <w:fldChar w:fldCharType="begin"/>
              </w:r>
              <w:r>
                <w:instrText xml:space="preserve"> PAGEREF _Toc132864234 \h </w:instrText>
              </w:r>
              <w:r>
                <w:fldChar w:fldCharType="separate"/>
              </w:r>
              <w:r>
                <w:t>19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"_Toc132864235" </w:instrText>
              </w:r>
              <w:r>
                <w:fldChar w:fldCharType="separate"/>
              </w:r>
              <w:r>
                <w:rPr>
                  <w:rStyle w:val="16"/>
                </w:rPr>
                <w:t>Global Marketing</w:t>
              </w:r>
              <w:r>
                <w:tab/>
              </w:r>
              <w:r>
                <w:fldChar w:fldCharType="begin"/>
              </w:r>
              <w:r>
                <w:instrText xml:space="preserve"> PAGEREF _Toc132864235 \h </w:instrText>
              </w:r>
              <w:r>
                <w:fldChar w:fldCharType="separate"/>
              </w:r>
              <w:r>
                <w:t>19</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"_Toc132864236" </w:instrText>
              </w:r>
              <w:r>
                <w:fldChar w:fldCharType="separate"/>
              </w:r>
              <w:r>
                <w:rPr>
                  <w:rStyle w:val="16"/>
                </w:rPr>
                <w:t>Global Human Resource Management</w:t>
              </w:r>
              <w:r>
                <w:tab/>
              </w:r>
              <w:r>
                <w:fldChar w:fldCharType="begin"/>
              </w:r>
              <w:r>
                <w:instrText xml:space="preserve"> PAGEREF _Toc132864236 \h </w:instrText>
              </w:r>
              <w:r>
                <w:fldChar w:fldCharType="separate"/>
              </w:r>
              <w:r>
                <w:t>19</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"_Toc132864237" </w:instrText>
              </w:r>
              <w:r>
                <w:fldChar w:fldCharType="separate"/>
              </w:r>
              <w:r>
                <w:rPr>
                  <w:rStyle w:val="16"/>
                </w:rPr>
                <w:t>SWOT analysis</w:t>
              </w:r>
              <w:r>
                <w:tab/>
              </w:r>
              <w:r>
                <w:fldChar w:fldCharType="begin"/>
              </w:r>
              <w:r>
                <w:instrText xml:space="preserve"> PAGEREF _Toc132864237 \h </w:instrText>
              </w:r>
              <w:r>
                <w:fldChar w:fldCharType="separate"/>
              </w:r>
              <w:r>
                <w:t>20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"_Toc132864238" </w:instrText>
              </w:r>
              <w:r>
                <w:fldChar w:fldCharType="separate"/>
              </w:r>
              <w:r>
                <w:rPr>
                  <w:rStyle w:val="16"/>
                </w:rPr>
                <w:t>Strengths:</w:t>
              </w:r>
              <w:r>
                <w:tab/>
              </w:r>
              <w:r>
                <w:fldChar w:fldCharType="begin"/>
              </w:r>
              <w:r>
                <w:instrText xml:space="preserve"> PAGEREF _Toc132864238 \h </w:instrText>
              </w:r>
              <w:r>
                <w:fldChar w:fldCharType="separate"/>
              </w:r>
              <w:r>
                <w:t>20</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"_Toc132864239" </w:instrText>
              </w:r>
              <w:r>
                <w:fldChar w:fldCharType="separate"/>
              </w:r>
              <w:r>
                <w:rPr>
                  <w:rStyle w:val="16"/>
                </w:rPr>
                <w:t>Strong Global Presence:</w:t>
              </w:r>
              <w:r>
                <w:tab/>
              </w:r>
              <w:r>
                <w:fldChar w:fldCharType="begin"/>
              </w:r>
              <w:r>
                <w:instrText xml:space="preserve"> PAGEREF _Toc132864239 \h </w:instrText>
              </w:r>
              <w:r>
                <w:fldChar w:fldCharType="separate"/>
              </w:r>
              <w:r>
                <w:t>20</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"_Toc132864240" </w:instrText>
              </w:r>
              <w:r>
                <w:fldChar w:fldCharType="separate"/>
              </w:r>
              <w:r>
                <w:rPr>
                  <w:rStyle w:val="16"/>
                </w:rPr>
                <w:t>Strong R&amp;D Capabilities:</w:t>
              </w:r>
              <w:r>
                <w:tab/>
              </w:r>
              <w:r>
                <w:fldChar w:fldCharType="begin"/>
              </w:r>
              <w:r>
                <w:instrText xml:space="preserve"> PAGEREF _Toc132864240 \h </w:instrText>
              </w:r>
              <w:r>
                <w:fldChar w:fldCharType="separate"/>
              </w:r>
              <w:r>
                <w:t>20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"_Toc132864241" </w:instrText>
              </w:r>
              <w:r>
                <w:fldChar w:fldCharType="separate"/>
              </w:r>
              <w:r>
                <w:rPr>
                  <w:rStyle w:val="16"/>
                </w:rPr>
                <w:t>Weaknesses:</w:t>
              </w:r>
              <w:r>
                <w:tab/>
              </w:r>
              <w:r>
                <w:fldChar w:fldCharType="begin"/>
              </w:r>
              <w:r>
                <w:instrText xml:space="preserve"> PAGEREF _Toc132864241 \h </w:instrText>
              </w:r>
              <w:r>
                <w:fldChar w:fldCharType="separate"/>
              </w:r>
              <w:r>
                <w:t>20</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"_Toc132864242" </w:instrText>
              </w:r>
              <w:r>
                <w:fldChar w:fldCharType="separate"/>
              </w:r>
              <w:r>
                <w:rPr>
                  <w:rStyle w:val="16"/>
                </w:rPr>
                <w:t>Dependence on Japanese Market:</w:t>
              </w:r>
              <w:r>
                <w:tab/>
              </w:r>
              <w:r>
                <w:fldChar w:fldCharType="begin"/>
              </w:r>
              <w:r>
                <w:instrText xml:space="preserve"> PAGEREF _Toc132864242 \h </w:instrText>
              </w:r>
              <w:r>
                <w:fldChar w:fldCharType="separate"/>
              </w:r>
              <w:r>
                <w:t>20</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"_Toc132864243" </w:instrText>
              </w:r>
              <w:r>
                <w:fldChar w:fldCharType="separate"/>
              </w:r>
              <w:r>
                <w:rPr>
                  <w:rStyle w:val="16"/>
                </w:rPr>
                <w:t>Product Recalls:</w:t>
              </w:r>
              <w:r>
                <w:tab/>
              </w:r>
              <w:r>
                <w:fldChar w:fldCharType="begin"/>
              </w:r>
              <w:r>
                <w:instrText xml:space="preserve"> PAGEREF _Toc132864243 \h </w:instrText>
              </w:r>
              <w:r>
                <w:fldChar w:fldCharType="separate"/>
              </w:r>
              <w:r>
                <w:t>20</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"_Toc132864244" </w:instrText>
              </w:r>
              <w:r>
                <w:fldChar w:fldCharType="separate"/>
              </w:r>
              <w:r>
                <w:rPr>
                  <w:rStyle w:val="16"/>
                </w:rPr>
                <w:t>Opportunities:</w:t>
              </w:r>
              <w:r>
                <w:tab/>
              </w:r>
              <w:r>
                <w:fldChar w:fldCharType="begin"/>
              </w:r>
              <w:r>
                <w:instrText xml:space="preserve"> PAGEREF _Toc132864244 \h </w:instrText>
              </w:r>
              <w:r>
                <w:fldChar w:fldCharType="separate"/>
              </w:r>
              <w:r>
                <w:t>21</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"_Toc132864245" </w:instrText>
              </w:r>
              <w:r>
                <w:fldChar w:fldCharType="separate"/>
              </w:r>
              <w:r>
                <w:rPr>
                  <w:rStyle w:val="16"/>
                </w:rPr>
                <w:t>Growth in Emerging Markets:</w:t>
              </w:r>
              <w:r>
                <w:tab/>
              </w:r>
              <w:r>
                <w:fldChar w:fldCharType="begin"/>
              </w:r>
              <w:r>
                <w:instrText xml:space="preserve"> PAGEREF _Toc132864245 \h </w:instrText>
              </w:r>
              <w:r>
                <w:fldChar w:fldCharType="separate"/>
              </w:r>
              <w:r>
                <w:t>21</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"_Toc132864246" </w:instrText>
              </w:r>
              <w:r>
                <w:fldChar w:fldCharType="separate"/>
              </w:r>
              <w:r>
                <w:rPr>
                  <w:rStyle w:val="16"/>
                </w:rPr>
                <w:t>Electric and Autonomous Vehicles:</w:t>
              </w:r>
              <w:r>
                <w:tab/>
              </w:r>
              <w:r>
                <w:fldChar w:fldCharType="begin"/>
              </w:r>
              <w:r>
                <w:instrText xml:space="preserve"> PAGEREF _Toc132864246 \h </w:instrText>
              </w:r>
              <w:r>
                <w:fldChar w:fldCharType="separate"/>
              </w:r>
              <w:r>
                <w:t>21</w:t>
              </w:r>
              <w:r>
                <w:fldChar w:fldCharType="end"/>
              </w:r>
              <w:r>
                <w:fldChar w:fldCharType="end"/>
              </w:r>
            </w:p>
            <w:p>
              <w:pPr>
                <w:pStyle w:val="21"/>
                <w:tabs>
                  <w:tab w:val="right" w:leader="dot" w:pos="9016"/>
                </w:tabs>
                <w:rPr>
                  <w:rFonts w:asciiTheme="minorHAnsi" w:hAnsiTheme="minorHAnsi" w:eastAsiaTheme="minorEastAsia"/>
                  <w:sz w:val="22"/>
                  <w:lang w:val="en-US"/>
                </w:rPr>
              </w:pPr>
              <w:r>
                <w:fldChar w:fldCharType="begin"/>
              </w:r>
              <w:r>
                <w:instrText xml:space="preserve"> HYPERLINK \l "_Toc132864247" </w:instrText>
              </w:r>
              <w:r>
                <w:fldChar w:fldCharType="separate"/>
              </w:r>
              <w:r>
                <w:rPr>
                  <w:rStyle w:val="16"/>
                </w:rPr>
                <w:t>Threats:</w:t>
              </w:r>
              <w:r>
                <w:tab/>
              </w:r>
              <w:r>
                <w:fldChar w:fldCharType="begin"/>
              </w:r>
              <w:r>
                <w:instrText xml:space="preserve"> PAGEREF _Toc132864247 \h </w:instrText>
              </w:r>
              <w:r>
                <w:fldChar w:fldCharType="separate"/>
              </w:r>
              <w:r>
                <w:t>21</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"_Toc132864248" </w:instrText>
              </w:r>
              <w:r>
                <w:fldChar w:fldCharType="separate"/>
              </w:r>
              <w:r>
                <w:rPr>
                  <w:rStyle w:val="16"/>
                </w:rPr>
                <w:t>Intense Competition:</w:t>
              </w:r>
              <w:r>
                <w:tab/>
              </w:r>
              <w:r>
                <w:fldChar w:fldCharType="begin"/>
              </w:r>
              <w:r>
                <w:instrText xml:space="preserve"> PAGEREF _Toc132864248 \h </w:instrText>
              </w:r>
              <w:r>
                <w:fldChar w:fldCharType="separate"/>
              </w:r>
              <w:r>
                <w:t>21</w:t>
              </w:r>
              <w:r>
                <w:fldChar w:fldCharType="end"/>
              </w:r>
              <w:r>
                <w:fldChar w:fldCharType="end"/>
              </w:r>
            </w:p>
            <w:p>
              <w:pPr>
                <w:pStyle w:val="22"/>
                <w:tabs>
                  <w:tab w:val="right" w:leader="dot" w:pos="9016"/>
                </w:tabs>
                <w:rPr>
                  <w:rFonts w:asciiTheme="minorHAnsi" w:hAnsiTheme="minorHAnsi" w:eastAsiaTheme="minorEastAsia"/>
                  <w:sz w:val="22"/>
                  <w:lang w:val="en-US"/>
                </w:rPr>
              </w:pPr>
              <w:r>
                <w:fldChar w:fldCharType="begin"/>
              </w:r>
              <w:r>
                <w:instrText xml:space="preserve"> HYPERLINK \l "_Toc132864249" </w:instrText>
              </w:r>
              <w:r>
                <w:fldChar w:fldCharType="separate"/>
              </w:r>
              <w:r>
                <w:rPr>
                  <w:rStyle w:val="16"/>
                </w:rPr>
                <w:t>Economic and Political Risks:</w:t>
              </w:r>
              <w:r>
                <w:tab/>
              </w:r>
              <w:r>
                <w:fldChar w:fldCharType="begin"/>
              </w:r>
              <w:r>
                <w:instrText xml:space="preserve"> PAGEREF _Toc132864249 \h </w:instrText>
              </w:r>
              <w:r>
                <w:fldChar w:fldCharType="separate"/>
              </w:r>
              <w:r>
                <w:t>21</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"_Toc132864250" </w:instrText>
              </w:r>
              <w:r>
                <w:fldChar w:fldCharType="separate"/>
              </w:r>
              <w:r>
                <w:rPr>
                  <w:rStyle w:val="16"/>
                </w:rPr>
                <w:t>International Strategies</w:t>
              </w:r>
              <w:r>
                <w:tab/>
              </w:r>
              <w:r>
                <w:fldChar w:fldCharType="begin"/>
              </w:r>
              <w:r>
                <w:instrText xml:space="preserve"> PAGEREF _Toc132864250 \h </w:instrText>
              </w:r>
              <w:r>
                <w:fldChar w:fldCharType="separate"/>
              </w:r>
              <w:r>
                <w:t>21</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"_Toc132864251" </w:instrText>
              </w:r>
              <w:r>
                <w:fldChar w:fldCharType="separate"/>
              </w:r>
              <w:r>
                <w:rPr>
                  <w:rStyle w:val="16"/>
                </w:rPr>
                <w:t>Global Value Chain:</w:t>
              </w:r>
              <w:r>
                <w:tab/>
              </w:r>
              <w:r>
                <w:fldChar w:fldCharType="begin"/>
              </w:r>
              <w:r>
                <w:instrText xml:space="preserve"> PAGEREF _Toc132864251 \h </w:instrText>
              </w:r>
              <w:r>
                <w:fldChar w:fldCharType="separate"/>
              </w:r>
              <w:r>
                <w:t>21</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"_Toc132864252" </w:instrText>
              </w:r>
              <w:r>
                <w:fldChar w:fldCharType="separate"/>
              </w:r>
              <w:r>
                <w:rPr>
                  <w:rStyle w:val="16"/>
                </w:rPr>
                <w:t>Global Production:</w:t>
              </w:r>
              <w:r>
                <w:tab/>
              </w:r>
              <w:r>
                <w:fldChar w:fldCharType="begin"/>
              </w:r>
              <w:r>
                <w:instrText xml:space="preserve"> PAGEREF _Toc132864252 \h </w:instrText>
              </w:r>
              <w:r>
                <w:fldChar w:fldCharType="separate"/>
              </w:r>
              <w:r>
                <w:t>22</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"_Toc132864253" </w:instrText>
              </w:r>
              <w:r>
                <w:fldChar w:fldCharType="separate"/>
              </w:r>
              <w:r>
                <w:rPr>
                  <w:rStyle w:val="16"/>
                </w:rPr>
                <w:t>Global Marketing:</w:t>
              </w:r>
              <w:r>
                <w:tab/>
              </w:r>
              <w:r>
                <w:fldChar w:fldCharType="begin"/>
              </w:r>
              <w:r>
                <w:instrText xml:space="preserve"> PAGEREF _Toc132864253 \h </w:instrText>
              </w:r>
              <w:r>
                <w:fldChar w:fldCharType="separate"/>
              </w:r>
              <w:r>
                <w:t>22</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"_Toc132864254" </w:instrText>
              </w:r>
              <w:r>
                <w:fldChar w:fldCharType="separate"/>
              </w:r>
              <w:r>
                <w:rPr>
                  <w:rStyle w:val="16"/>
                </w:rPr>
                <w:t>Global HRM:</w:t>
              </w:r>
              <w:r>
                <w:tab/>
              </w:r>
              <w:r>
                <w:fldChar w:fldCharType="begin"/>
              </w:r>
              <w:r>
                <w:instrText xml:space="preserve"> PAGEREF _Toc132864254 \h </w:instrText>
              </w:r>
              <w:r>
                <w:fldChar w:fldCharType="separate"/>
              </w:r>
              <w:r>
                <w:t>22</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"_Toc132864255" </w:instrText>
              </w:r>
              <w:r>
                <w:fldChar w:fldCharType="separate"/>
              </w:r>
              <w:r>
                <w:rPr>
                  <w:rStyle w:val="16"/>
                </w:rPr>
                <w:t>Entry Modes</w:t>
              </w:r>
              <w:r>
                <w:tab/>
              </w:r>
              <w:r>
                <w:fldChar w:fldCharType="begin"/>
              </w:r>
              <w:r>
                <w:instrText xml:space="preserve"> PAGEREF _Toc132864255 \h </w:instrText>
              </w:r>
              <w:r>
                <w:fldChar w:fldCharType="separate"/>
              </w:r>
              <w:r>
                <w:t>23</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"_Toc132864256" </w:instrText>
              </w:r>
              <w:r>
                <w:fldChar w:fldCharType="separate"/>
              </w:r>
              <w:r>
                <w:rPr>
                  <w:rStyle w:val="16"/>
                </w:rPr>
                <w:t>Joint Ventures:</w:t>
              </w:r>
              <w:r>
                <w:tab/>
              </w:r>
              <w:r>
                <w:fldChar w:fldCharType="begin"/>
              </w:r>
              <w:r>
                <w:instrText xml:space="preserve"> PAGEREF _Toc132864256 \h </w:instrText>
              </w:r>
              <w:r>
                <w:fldChar w:fldCharType="separate"/>
              </w:r>
              <w:r>
                <w:t>23</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"_Toc132864257" </w:instrText>
              </w:r>
              <w:r>
                <w:fldChar w:fldCharType="separate"/>
              </w:r>
              <w:r>
                <w:rPr>
                  <w:rStyle w:val="16"/>
                </w:rPr>
                <w:t>Wholly-Owned Subsidiaries:</w:t>
              </w:r>
              <w:r>
                <w:tab/>
              </w:r>
              <w:r>
                <w:fldChar w:fldCharType="begin"/>
              </w:r>
              <w:r>
                <w:instrText xml:space="preserve"> PAGEREF _Toc132864257 \h </w:instrText>
              </w:r>
              <w:r>
                <w:fldChar w:fldCharType="separate"/>
              </w:r>
              <w:r>
                <w:t>23</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"_Toc132864258" </w:instrText>
              </w:r>
              <w:r>
                <w:fldChar w:fldCharType="separate"/>
              </w:r>
              <w:r>
                <w:rPr>
                  <w:rStyle w:val="16"/>
                </w:rPr>
                <w:t>Licensing Agreements:</w:t>
              </w:r>
              <w:r>
                <w:tab/>
              </w:r>
              <w:r>
                <w:fldChar w:fldCharType="begin"/>
              </w:r>
              <w:r>
                <w:instrText xml:space="preserve"> PAGEREF _Toc132864258 \h </w:instrText>
              </w:r>
              <w:r>
                <w:fldChar w:fldCharType="separate"/>
              </w:r>
              <w:r>
                <w:t>23</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"_Toc132864259" </w:instrText>
              </w:r>
              <w:r>
                <w:fldChar w:fldCharType="separate"/>
              </w:r>
              <w:r>
                <w:rPr>
                  <w:rStyle w:val="16"/>
                </w:rPr>
                <w:t>Corporate Social Responsibility</w:t>
              </w:r>
              <w:r>
                <w:tab/>
              </w:r>
              <w:r>
                <w:fldChar w:fldCharType="begin"/>
              </w:r>
              <w:r>
                <w:instrText xml:space="preserve"> PAGEREF _Toc132864259 \h </w:instrText>
              </w:r>
              <w:r>
                <w:fldChar w:fldCharType="separate"/>
              </w:r>
              <w:r>
                <w:t>24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"_Toc132864260" </w:instrText>
              </w:r>
              <w:r>
                <w:fldChar w:fldCharType="separate"/>
              </w:r>
              <w:r>
                <w:rPr>
                  <w:rStyle w:val="16"/>
                </w:rPr>
                <w:t>Environmental Initiatives:</w:t>
              </w:r>
              <w:r>
                <w:tab/>
              </w:r>
              <w:r>
                <w:fldChar w:fldCharType="begin"/>
              </w:r>
              <w:r>
                <w:instrText xml:space="preserve"> PAGEREF _Toc132864260 \h </w:instrText>
              </w:r>
              <w:r>
                <w:fldChar w:fldCharType="separate"/>
              </w:r>
              <w:r>
                <w:t>24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"_Toc132864261" </w:instrText>
              </w:r>
              <w:r>
                <w:fldChar w:fldCharType="separate"/>
              </w:r>
              <w:r>
                <w:rPr>
                  <w:rStyle w:val="16"/>
                </w:rPr>
                <w:t>Community Involvement:</w:t>
              </w:r>
              <w:r>
                <w:tab/>
              </w:r>
              <w:r>
                <w:fldChar w:fldCharType="begin"/>
              </w:r>
              <w:r>
                <w:instrText xml:space="preserve"> PAGEREF _Toc132864261 \h </w:instrText>
              </w:r>
              <w:r>
                <w:fldChar w:fldCharType="separate"/>
              </w:r>
              <w:r>
                <w:t>24</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"_Toc132864262" </w:instrText>
              </w:r>
              <w:r>
                <w:fldChar w:fldCharType="separate"/>
              </w:r>
              <w:r>
                <w:rPr>
                  <w:rStyle w:val="16"/>
                </w:rPr>
                <w:t>Ethical Business Practices:</w:t>
              </w:r>
              <w:r>
                <w:tab/>
              </w:r>
              <w:r>
                <w:fldChar w:fldCharType="begin"/>
              </w:r>
              <w:r>
                <w:instrText xml:space="preserve"> PAGEREF _Toc132864262 \h </w:instrText>
              </w:r>
              <w:r>
                <w:fldChar w:fldCharType="separate"/>
              </w:r>
              <w:r>
                <w:t>24</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"_Toc132864263" </w:instrText>
              </w:r>
              <w:r>
                <w:fldChar w:fldCharType="separate"/>
              </w:r>
              <w:r>
                <w:rPr>
                  <w:rStyle w:val="16"/>
                </w:rPr>
                <w:t>Conclusion</w:t>
              </w:r>
              <w:r>
                <w:tab/>
              </w:r>
              <w:r>
                <w:fldChar w:fldCharType="begin"/>
              </w:r>
              <w:r>
                <w:instrText xml:space="preserve"> PAGEREF _Toc132864263 \h </w:instrText>
              </w:r>
              <w:r>
                <w:fldChar w:fldCharType="separate"/>
              </w:r>
              <w:r>
                <w:t>25</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"_Toc132864264" </w:instrText>
              </w:r>
              <w:r>
                <w:fldChar w:fldCharType="separate"/>
              </w:r>
              <w:r>
                <w:rPr>
                  <w:rStyle w:val="16"/>
                  <w:rFonts w:asciiTheme="majorBidi" w:hAnsiTheme="majorBidi" w:cstheme="majorBidi"/>
                </w:rPr>
                <w:t>References</w:t>
              </w:r>
              <w:r>
                <w:tab/>
              </w:r>
              <w:r>
                <w:fldChar w:fldCharType="begin"/>
              </w:r>
              <w:r>
                <w:instrText xml:space="preserve"> PAGEREF _Toc132864264 \h </w:instrText>
              </w:r>
              <w:r>
                <w:fldChar w:fldCharType="separate"/>
              </w:r>
              <w:r>
                <w:t>26</w:t>
              </w:r>
              <w:r>
                <w:fldChar w:fldCharType="end"/>
              </w:r>
              <w:r>
                <w:fldChar w:fldCharType="end"/>
              </w:r>
            </w:p>
            <w:p>
              <w:pPr>
                <w:pStyle w:val="19"/>
                <w:tabs>
                  <w:tab w:val="right" w:leader="dot" w:pos="9016"/>
                </w:tabs>
                <w:rPr>
                  <w:rFonts w:asciiTheme="minorHAnsi" w:hAnsiTheme="minorHAnsi" w:eastAsiaTheme="minorEastAsia"/>
                  <w:sz w:val="22"/>
                  <w:lang w:val="en-US"/>
                </w:rPr>
              </w:pPr>
              <w:r>
                <w:fldChar w:fldCharType="begin"/>
              </w:r>
              <w:r>
                <w:instrText xml:space="preserve"> HYPERLINK \l "_Toc132864265" </w:instrText>
              </w:r>
              <w:r>
                <w:fldChar w:fldCharType="separate"/>
              </w:r>
              <w:r>
                <w:rPr>
                  <w:rStyle w:val="16"/>
                  <w:rFonts w:asciiTheme="majorBidi" w:hAnsiTheme="majorBidi" w:cstheme="majorBidi"/>
                </w:rPr>
                <w:t>Appendix</w:t>
              </w:r>
              <w:r>
                <w:tab/>
              </w:r>
              <w:r>
                <w:fldChar w:fldCharType="begin"/>
              </w:r>
              <w:r>
                <w:instrText xml:space="preserve"> PAGEREF _Toc132864265 \h </w:instrText>
              </w:r>
              <w:r>
                <w:fldChar w:fldCharType="separate"/>
              </w:r>
              <w:r>
                <w:t>33</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"_Toc132864266" </w:instrText>
              </w:r>
              <w:r>
                <w:fldChar w:fldCharType="separate"/>
              </w:r>
              <w:r>
                <w:rPr>
                  <w:rStyle w:val="16"/>
                  <w:rFonts w:asciiTheme="majorBidi" w:hAnsiTheme="majorBidi"/>
                </w:rPr>
                <w:t>Appendix 1: industry five forces</w:t>
              </w:r>
              <w:r>
                <w:tab/>
              </w:r>
              <w:r>
                <w:fldChar w:fldCharType="begin"/>
              </w:r>
              <w:r>
                <w:instrText xml:space="preserve"> PAGEREF _Toc132864266 \h </w:instrText>
              </w:r>
              <w:r>
                <w:fldChar w:fldCharType="separate"/>
              </w:r>
              <w:r>
                <w:t>33</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"_Toc132864267" </w:instrText>
              </w:r>
              <w:r>
                <w:fldChar w:fldCharType="separate"/>
              </w:r>
              <w:r>
                <w:rPr>
                  <w:rStyle w:val="16"/>
                  <w:rFonts w:asciiTheme="majorBidi" w:hAnsiTheme="majorBidi"/>
                </w:rPr>
                <w:t>Appendix 2: Market analysis</w:t>
              </w:r>
              <w:r>
                <w:tab/>
              </w:r>
              <w:r>
                <w:fldChar w:fldCharType="begin"/>
              </w:r>
              <w:r>
                <w:instrText xml:space="preserve"> PAGEREF _Toc132864267 \h </w:instrText>
              </w:r>
              <w:r>
                <w:fldChar w:fldCharType="separate"/>
              </w:r>
              <w:r>
                <w:t>35</w:t>
              </w:r>
              <w:r>
                <w:fldChar w:fldCharType="end"/>
              </w:r>
              <w:r>
                <w:fldChar w:fldCharType="end"/>
              </w:r>
            </w:p>
            <w:p>
              <w:pPr>
                <w:pStyle w:val="20"/>
                <w:tabs>
                  <w:tab w:val="right" w:leader="dot" w:pos="9016"/>
                </w:tabs>
                <w:rPr>
                  <w:rFonts w:asciiTheme="minorHAnsi" w:hAnsiTheme="minorHAnsi" w:eastAsiaTheme="minorEastAsia"/>
                  <w:sz w:val="22"/>
                  <w:lang w:val="en-US"/>
                </w:rPr>
              </w:pPr>
              <w:r>
                <w:fldChar w:fldCharType="begin"/>
              </w:r>
              <w:r>
                <w:instrText xml:space="preserve"> HYPERLINK \l "_Toc132864268" </w:instrText>
              </w:r>
              <w:r>
                <w:fldChar w:fldCharType="separate"/>
              </w:r>
              <w:r>
                <w:rPr>
                  <w:rStyle w:val="16"/>
                  <w:rFonts w:asciiTheme="majorBidi" w:hAnsiTheme="majorBidi"/>
                </w:rPr>
                <w:t>Appendix 3: Units sold by Toyota</w:t>
              </w:r>
              <w:r>
                <w:tab/>
              </w:r>
              <w:r>
                <w:fldChar w:fldCharType="begin"/>
              </w:r>
              <w:r>
                <w:instrText xml:space="preserve"> PAGEREF _Toc132864268 \h </w:instrText>
              </w:r>
              <w:r>
                <w:fldChar w:fldCharType="separate"/>
              </w:r>
              <w:r>
                <w:t>36</w:t>
              </w:r>
              <w:r>
                <w:fldChar w:fldCharType="end"/>
              </w:r>
              <w:r>
                <w:fldChar w:fldCharType="end"/>
              </w:r>
            </w:p>
            <w:p>
              <w:pPr>
                <w:spacing w:line="360" w:lineRule="auto"/>
                <w:jc w:val="both"/>
                <w:rPr>
                  <w:rFonts w:asciiTheme="majorBidi" w:hAnsiTheme="majorBidi" w:cstheme="majorBidi"/>
                </w:rPr>
              </w:pPr>
              <w:r>
                <w:rPr>
                  <w:rFonts w:asciiTheme="majorBidi" w:hAnsiTheme="majorBidi" w:cstheme="majorBidi"/>
                </w:rPr>
                <w:fldChar w:fldCharType="end"/>
              </w:r>
            </w:p>
            <w:p>
              <w:pPr>
                <w:spacing w:line="360" w:lineRule="auto"/>
                <w:jc w:val="both"/>
                <w:rPr>
                  <w:rFonts w:asciiTheme="majorBidi" w:hAnsiTheme="majorBidi" w:cstheme="majorBidi"/>
                </w:rPr>
              </w:pPr>
              <w:r>
                <w:rPr>
                  <w:rFonts w:asciiTheme="majorBidi" w:hAnsiTheme="majorBidi" w:cstheme="majorBidi"/>
                </w:rPr>
                <w:t xml:space="preserve"> </w:t>
              </w:r>
            </w:p>
          </w:sdtContent>
        </w:sdt>
        <w:p>
          <w:pPr>
            <w:pStyle w:val="2"/>
            <w:spacing w:line="360" w:lineRule="auto"/>
          </w:pPr>
        </w:p>
        <w:p>
          <w:pPr>
            <w:pStyle w:val="2"/>
            <w:spacing w:line="360" w:lineRule="auto"/>
          </w:pPr>
        </w:p>
        <w:p>
          <w:pPr>
            <w:pStyle w:val="2"/>
            <w:spacing w:line="360" w:lineRule="auto"/>
          </w:pPr>
          <w:bookmarkStart w:id="0" w:name="_Toc132864172"/>
          <w:r>
            <w:t>Introduction</w:t>
          </w:r>
          <w:bookmarkEnd w:id="0"/>
        </w:p>
        <w:p>
          <w:pPr>
            <w:spacing w:line="360" w:lineRule="auto"/>
            <w:jc w:val="both"/>
            <w:rPr>
              <w:szCs w:val="24"/>
            </w:rPr>
          </w:pPr>
          <w:r>
            <w:rPr>
              <w:szCs w:val="24"/>
            </w:rPr>
            <w:t>This report provides a detailed analysis of Toyota Company in both its home country Japan and host country China. The report starts with an overview of Toyota's history and its position in the global automotive industry. It then goes on to conduct external and internal analyses of the company using analytical frameworks such as PESTEL analysis, Five Forces analysis, Market analysis, Country analysis, and SWOT analysis. The report also analyzes Toyota's entry modes, international strategies, and corporate social responsibility practices in the international context.</w:t>
          </w:r>
        </w:p>
        <w:p>
          <w:pPr>
            <w:pStyle w:val="2"/>
            <w:spacing w:line="360" w:lineRule="auto"/>
          </w:pPr>
          <w:bookmarkStart w:id="1" w:name="_Toc132864173"/>
          <w:bookmarkStart w:id="2" w:name="_Hlk129629362"/>
          <w:r>
            <w:t>Company Background</w:t>
          </w:r>
          <w:bookmarkEnd w:id="1"/>
        </w:p>
        <w:bookmarkEnd w:id="2"/>
        <w:p>
          <w:pPr>
            <w:spacing w:line="360" w:lineRule="auto"/>
            <w:jc w:val="both"/>
            <w:rPr>
              <w:rFonts w:asciiTheme="majorBidi" w:hAnsiTheme="majorBidi" w:cstheme="majorBidi"/>
              <w:szCs w:val="24"/>
            </w:rPr>
          </w:pPr>
          <w:r>
            <w:rPr>
              <w:rFonts w:asciiTheme="majorBidi" w:hAnsiTheme="majorBidi" w:cstheme="majorBidi"/>
              <w:szCs w:val="24"/>
            </w:rPr>
            <w:t>Kiichiro Toyoda, a Japanese businessman, established the Toyota Motor Corporation in 1937 as a transnational automobile manufacturing company in Japan. It manufactures a diverse lineup of automobiles, including cars, trucks, buses, and sport utility vehicles (SUVs) (Kaneko et al., 2021). It is possible to attribute Toyota's success to several factors, including its concentration on quality and dependability, innovative manufacturing methods, and dedication to environmental responsibility (Statista, 2022).</w:t>
          </w:r>
        </w:p>
        <w:p>
          <w:pPr>
            <w:spacing w:line="360" w:lineRule="auto"/>
            <w:jc w:val="both"/>
            <w:rPr>
              <w:rFonts w:asciiTheme="majorBidi" w:hAnsiTheme="majorBidi" w:cstheme="majorBidi"/>
              <w:szCs w:val="24"/>
            </w:rPr>
          </w:pPr>
          <w:r>
            <w:rPr>
              <w:rFonts w:asciiTheme="majorBidi" w:hAnsiTheme="majorBidi" w:cstheme="majorBidi"/>
              <w:szCs w:val="24"/>
            </w:rPr>
            <w:t>The "Toyota Production System," which emphasizes continuous development and waste reduction, is one of the elements of Toyota's business strategy that has garnered the most attention over the years. Toyota has continuously placed among the top three or four automakers in the globe in terms of manufacturing volume (</w:t>
          </w:r>
          <w:r>
            <w:rPr>
              <w:rFonts w:asciiTheme="majorBidi" w:hAnsiTheme="majorBidi" w:cstheme="majorBidi"/>
              <w:color w:val="222222"/>
              <w:szCs w:val="24"/>
              <w:shd w:val="clear" w:color="auto" w:fill="FFFFFF"/>
            </w:rPr>
            <w:t>Cusumano et al., 2021)</w:t>
          </w:r>
          <w:r>
            <w:rPr>
              <w:rFonts w:asciiTheme="majorBidi" w:hAnsiTheme="majorBidi" w:cstheme="majorBidi"/>
              <w:szCs w:val="24"/>
            </w:rPr>
            <w:t xml:space="preserve">. </w:t>
          </w:r>
        </w:p>
        <w:p>
          <w:pPr>
            <w:spacing w:line="360" w:lineRule="auto"/>
            <w:jc w:val="both"/>
            <w:rPr>
              <w:rFonts w:asciiTheme="majorBidi" w:hAnsiTheme="majorBidi" w:cstheme="majorBidi"/>
              <w:szCs w:val="24"/>
            </w:rPr>
          </w:pPr>
          <w:r>
            <w:rPr>
              <w:rFonts w:asciiTheme="majorBidi" w:hAnsiTheme="majorBidi" w:cstheme="majorBidi"/>
              <w:szCs w:val="24"/>
            </w:rPr>
            <w:drawing>
              <wp:inline distT="0" distB="0" distL="0" distR="0">
                <wp:extent cx="5421630" cy="33356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428889" cy="3339976"/>
                        </a:xfrm>
                        <a:prstGeom prst="rect">
                          <a:avLst/>
                        </a:prstGeom>
                      </pic:spPr>
                    </pic:pic>
                  </a:graphicData>
                </a:graphic>
              </wp:inline>
            </w:drawing>
          </w:r>
        </w:p>
        <w:p>
          <w:pPr>
            <w:pStyle w:val="9"/>
            <w:spacing w:line="360" w:lineRule="auto"/>
            <w:jc w:val="both"/>
            <w:rPr>
              <w:rFonts w:asciiTheme="majorBidi" w:hAnsiTheme="majorBidi" w:cstheme="majorBidi"/>
              <w:sz w:val="24"/>
              <w:szCs w:val="24"/>
            </w:rPr>
          </w:pPr>
          <w:r>
            <w:rPr>
              <w:rFonts w:asciiTheme="majorBidi" w:hAnsiTheme="majorBidi" w:cstheme="majorBidi"/>
              <w:sz w:val="24"/>
              <w:szCs w:val="24"/>
            </w:rPr>
            <w:t>Figure 1</w:t>
          </w:r>
          <w:r>
            <w:rPr>
              <w:rFonts w:asciiTheme="majorBidi" w:hAnsiTheme="majorBidi" w:cstheme="majorBidi"/>
              <w:sz w:val="24"/>
              <w:szCs w:val="24"/>
              <w:lang w:val="en-US"/>
            </w:rPr>
            <w:t>: Toyota's net revenue, Source: (Toyota, 2022).</w:t>
          </w:r>
        </w:p>
        <w:p>
          <w:pPr>
            <w:spacing w:line="360" w:lineRule="auto"/>
            <w:jc w:val="both"/>
            <w:rPr>
              <w:rFonts w:asciiTheme="majorBidi" w:hAnsiTheme="majorBidi" w:cstheme="majorBidi"/>
              <w:szCs w:val="24"/>
            </w:rPr>
          </w:pPr>
          <w:r>
            <w:rPr>
              <w:rFonts w:asciiTheme="majorBidi" w:hAnsiTheme="majorBidi" w:cstheme="majorBidi"/>
              <w:szCs w:val="24"/>
            </w:rPr>
            <w:t>According to data from Statista, Toyota's revenue has steadily increased over the past decade, from approximately 18.58 trillion Japanese yen in 2012 to nearly 31 trillion Japanese yen in 2022 (Toyota, 2022). The company's net income has also been strong, with an average of around 2 trillion Japanese yen per year over the past decade. In terms of market capitalization (Reuters, 2018), Toyota is one of the most valuable automakers in the world, with a market cap of over $189.22 Billion as of March 2023 (CompaniesMarketCap.com, 2023). In the 2023 J.D. Power Vehicle Dependability Study, Toyota ranked second overall, behind only Lexus, another brand owned by Toyota. Another important factor in Toyota's success is its commitment to sustainability (Toyota, 2023).</w:t>
          </w:r>
        </w:p>
        <w:p>
          <w:pPr>
            <w:spacing w:line="360" w:lineRule="auto"/>
            <w:jc w:val="both"/>
            <w:rPr>
              <w:rFonts w:asciiTheme="majorBidi" w:hAnsiTheme="majorBidi" w:cstheme="majorBidi"/>
              <w:szCs w:val="24"/>
            </w:rPr>
          </w:pPr>
          <w:r>
            <w:rPr>
              <w:rFonts w:asciiTheme="majorBidi" w:hAnsiTheme="majorBidi" w:cstheme="majorBidi"/>
              <w:szCs w:val="24"/>
            </w:rPr>
            <w:t>Toyota has been a leader in developing hybrid and electric vehicle technology, with the popular Toyota Prius hybrid being one of the best-selling hybrid vehicles of all time (Toyota, 2013). The Toyota Mirai fuel cell vehicle was one of the first fuel cell vehicles that was made accessible for purchase on the market (</w:t>
          </w:r>
          <w:r>
            <w:rPr>
              <w:rFonts w:asciiTheme="majorBidi" w:hAnsiTheme="majorBidi" w:cstheme="majorBidi"/>
              <w:color w:val="222222"/>
              <w:szCs w:val="24"/>
              <w:shd w:val="clear" w:color="auto" w:fill="FFFFFF"/>
            </w:rPr>
            <w:t>Luo et al., 2021).</w:t>
          </w:r>
          <w:r>
            <w:rPr>
              <w:rFonts w:asciiTheme="majorBidi" w:hAnsiTheme="majorBidi" w:cstheme="majorBidi"/>
              <w:szCs w:val="24"/>
            </w:rPr>
            <w:t xml:space="preserve"> </w:t>
          </w:r>
        </w:p>
        <w:p>
          <w:pPr>
            <w:spacing w:line="360" w:lineRule="auto"/>
            <w:jc w:val="both"/>
            <w:rPr>
              <w:rFonts w:asciiTheme="majorBidi" w:hAnsiTheme="majorBidi" w:cstheme="majorBidi"/>
              <w:szCs w:val="24"/>
            </w:rPr>
          </w:pPr>
          <w:r>
            <w:rPr>
              <w:rFonts w:asciiTheme="majorBidi" w:hAnsiTheme="majorBidi" w:cstheme="majorBidi"/>
              <w:szCs w:val="24"/>
            </w:rPr>
            <w:t>Toyota has also implemented measures to lessen the damage its activities cause to the atmosphere. Toyota plans to have 0% net carbon pollution by the year 2050, as stated in the company's 2020 Sustainability Report (Toyota, 2018). Both the Toyota Environmental Challenge 2050 and Toyota Global Vision 2030 strive to improve society through transportation solutions while minimising their respective impacts on the environment. (United Nations, 2022).</w:t>
          </w:r>
        </w:p>
        <w:p>
          <w:pPr>
            <w:pStyle w:val="3"/>
          </w:pPr>
          <w:bookmarkStart w:id="3" w:name="_Toc132864174"/>
          <w:r>
            <w:t>Company’s Objectives and Strategies</w:t>
          </w:r>
          <w:bookmarkEnd w:id="3"/>
        </w:p>
        <w:p>
          <w:pPr>
            <w:pStyle w:val="4"/>
            <w:spacing w:line="360" w:lineRule="auto"/>
          </w:pPr>
          <w:bookmarkStart w:id="4" w:name="_Toc132864175"/>
          <w:bookmarkStart w:id="5" w:name="_Hlk130287293"/>
          <w:r>
            <w:t>Objectives</w:t>
          </w:r>
          <w:bookmarkEnd w:id="4"/>
        </w:p>
        <w:p>
          <w:pPr>
            <w:spacing w:line="360" w:lineRule="auto"/>
            <w:jc w:val="both"/>
          </w:pPr>
          <w:r>
            <w:t>Toyota's primary objective is to create long-term value for its customers, shareholders, and other stakeholders. This objective is achieved by providing high-quality, innovative, and sustainable products and services (</w:t>
          </w:r>
          <w:r>
            <w:rPr>
              <w:rFonts w:ascii="Arial" w:hAnsi="Arial" w:cs="Arial"/>
              <w:color w:val="222222"/>
              <w:sz w:val="20"/>
              <w:szCs w:val="20"/>
              <w:shd w:val="clear" w:color="auto" w:fill="FFFFFF"/>
            </w:rPr>
            <w:t>Mpehle et al., 2021)</w:t>
          </w:r>
          <w:r>
            <w:t>. The business has committed to reducing the carbon dioxide emissions from its new cars by 90% from 2010 levels by 2050. (Clifford, 2021; BBC, 2015). To this end, Toyota is investing in renewable energy, enhancing the energy efficiency of its facilities, and promoting the use of hybrid and electric vehicles. (Frangoul, 2022)</w:t>
          </w:r>
          <w:r>
            <w:rPr>
              <w:rFonts w:asciiTheme="majorBidi" w:hAnsiTheme="majorBidi" w:cstheme="majorBidi"/>
              <w:szCs w:val="24"/>
            </w:rPr>
            <w:t>.</w:t>
          </w:r>
        </w:p>
        <w:p>
          <w:pPr>
            <w:pStyle w:val="4"/>
            <w:spacing w:line="360" w:lineRule="auto"/>
          </w:pPr>
          <w:bookmarkStart w:id="6" w:name="_Toc132864176"/>
          <w:r>
            <w:t>Expansion Strategies</w:t>
          </w:r>
          <w:bookmarkEnd w:id="6"/>
        </w:p>
        <w:p>
          <w:pPr>
            <w:pStyle w:val="5"/>
            <w:spacing w:line="360" w:lineRule="auto"/>
            <w:jc w:val="both"/>
          </w:pPr>
          <w:bookmarkStart w:id="7" w:name="_Toc132864177"/>
          <w:r>
            <w:t>Product Development:</w:t>
          </w:r>
          <w:bookmarkEnd w:id="7"/>
          <w:r>
            <w:t xml:space="preserve"> </w:t>
          </w:r>
        </w:p>
        <w:p>
          <w:pPr>
            <w:spacing w:line="360" w:lineRule="auto"/>
            <w:jc w:val="both"/>
          </w:pPr>
          <w:r>
            <w:t xml:space="preserve">Toyota has a strong focus on product development and innovation. The company invests heavily in research and development to create new products and improve existing ones (Toyota, 2022). </w:t>
          </w:r>
          <w:r>
            <w:rPr>
              <w:rFonts w:asciiTheme="majorBidi" w:hAnsiTheme="majorBidi" w:cstheme="majorBidi"/>
              <w:szCs w:val="24"/>
            </w:rPr>
            <w:t xml:space="preserve">One of the key reasons for Toyota's financial success is its focus on quality and reliability. As a result of Toyota's reputation for manufacturing high-quality automobiles that are both resilient and long-lasting, the company has been able to cultivate a customer base that is extremely devoted to it (Shih, 2022). </w:t>
          </w:r>
          <w:r>
            <w:t>For example, Toyota introduced the Prius, the world's first mass-produced hybrid car, in 1997. Since then, Toyota has expanded its hybrid lineup to include several models, such as the Camry Hybrid, RAV4 Hybrid, and Highlander Hybrid (Clifford, 2015). In addition, Toyota has invested in the development of hydrogen fuel cell vehicles, such as the Mirai, to promote sustainable mobility (Toyota Europe, 2021).</w:t>
          </w:r>
        </w:p>
        <w:p>
          <w:pPr>
            <w:pStyle w:val="5"/>
            <w:spacing w:line="360" w:lineRule="auto"/>
            <w:jc w:val="both"/>
          </w:pPr>
          <w:bookmarkStart w:id="8" w:name="_Toc132864178"/>
          <w:r>
            <w:t>Market Expansion:</w:t>
          </w:r>
          <w:bookmarkEnd w:id="8"/>
          <w:r>
            <w:t xml:space="preserve"> </w:t>
          </w:r>
        </w:p>
        <w:p>
          <w:pPr>
            <w:spacing w:line="360" w:lineRule="auto"/>
            <w:jc w:val="both"/>
          </w:pPr>
          <w:r>
            <w:t>Toyota has a global presence and operates in over 170 countries and regions worldwide. The company has expanded its operations to emerging markets, such as India, Brazil, and China, to tap into the growing demand for automobiles in these regions (Toyota, 2022). In addition, Toyota has diversified its product portfolio to include a wide range of vehicles to meet the needs of customers in different regions and markets. For example, Toyota has introduced the Innova and Fortuner in India, which are specifically designed to meet the needs of Indian consumers (Shah, 2015).</w:t>
          </w:r>
        </w:p>
        <w:p>
          <w:pPr>
            <w:pStyle w:val="5"/>
            <w:spacing w:line="360" w:lineRule="auto"/>
            <w:jc w:val="both"/>
          </w:pPr>
          <w:bookmarkStart w:id="9" w:name="_Toc132864179"/>
          <w:r>
            <w:t>Strategic Partnerships:</w:t>
          </w:r>
          <w:bookmarkEnd w:id="9"/>
          <w:r>
            <w:t xml:space="preserve"> </w:t>
          </w:r>
        </w:p>
        <w:p>
          <w:pPr>
            <w:spacing w:line="360" w:lineRule="auto"/>
            <w:jc w:val="both"/>
            <w:rPr>
              <w:rFonts w:asciiTheme="majorBidi" w:hAnsiTheme="majorBidi" w:cstheme="majorBidi"/>
              <w:szCs w:val="24"/>
            </w:rPr>
          </w:pPr>
          <w:r>
            <w:rPr>
              <w:rFonts w:asciiTheme="majorBidi" w:hAnsiTheme="majorBidi" w:cstheme="majorBidi"/>
              <w:szCs w:val="24"/>
            </w:rPr>
            <w:t>To broaden its influence and skills, Toyota has established strategic alliances with other organizations. For the purpose of creating electric cars and automated driving technology, Toyota, has teamed up with Subaru (Reuters, 2019). Toyota has also partnered with Mazda and Denso to establish a joint venture to develop electric vehicle technology (CNBC, 2017). In addition, Toyota has formed a partnership with Uber to develop self-driving cars (Marshall, 2018). Toyota's focus on product development, market expansion, and strategic partnerships has allowed the company to achieve its objectives of increasing global sales and market share, reducing its environmental impact, and promoting sustainability (</w:t>
          </w:r>
          <w:r>
            <w:rPr>
              <w:rFonts w:asciiTheme="majorBidi" w:hAnsiTheme="majorBidi" w:cstheme="majorBidi"/>
              <w:color w:val="222222"/>
              <w:szCs w:val="24"/>
              <w:shd w:val="clear" w:color="auto" w:fill="FFFFFF"/>
            </w:rPr>
            <w:t>Liker, 2021)</w:t>
          </w:r>
          <w:r>
            <w:rPr>
              <w:rFonts w:asciiTheme="majorBidi" w:hAnsiTheme="majorBidi" w:cstheme="majorBidi"/>
              <w:szCs w:val="24"/>
            </w:rPr>
            <w:t>. With its strong reputation for quality, reliability, and innovation, Toyota is well-positioned to continue to lead the way in the automotive industry (</w:t>
          </w:r>
          <w:r>
            <w:rPr>
              <w:rFonts w:asciiTheme="majorBidi" w:hAnsiTheme="majorBidi" w:cstheme="majorBidi"/>
              <w:color w:val="222222"/>
              <w:szCs w:val="24"/>
              <w:shd w:val="clear" w:color="auto" w:fill="FFFFFF"/>
            </w:rPr>
            <w:t>Jotov, 2021).</w:t>
          </w:r>
          <w:bookmarkEnd w:id="5"/>
        </w:p>
        <w:p>
          <w:pPr>
            <w:pStyle w:val="2"/>
            <w:spacing w:line="360" w:lineRule="auto"/>
          </w:pPr>
          <w:bookmarkStart w:id="10" w:name="_Toc132864180"/>
          <w:r>
            <w:t>Countries’ Specifications</w:t>
          </w:r>
          <w:bookmarkEnd w:id="10"/>
          <w:r>
            <w:t xml:space="preserve"> </w:t>
          </w:r>
        </w:p>
        <w:p>
          <w:pPr>
            <w:spacing w:line="360" w:lineRule="auto"/>
            <w:jc w:val="both"/>
            <w:rPr>
              <w:rFonts w:cs="Times New Roman"/>
              <w:szCs w:val="24"/>
            </w:rPr>
          </w:pPr>
          <w:bookmarkStart w:id="11" w:name="_Toc132864181"/>
          <w:r>
            <w:rPr>
              <w:rStyle w:val="38"/>
            </w:rPr>
            <w:t>Home Country</w:t>
          </w:r>
          <w:bookmarkEnd w:id="11"/>
          <w:r>
            <w:rPr>
              <w:rFonts w:cs="Times New Roman"/>
              <w:szCs w:val="24"/>
            </w:rPr>
            <w:t xml:space="preserve"> </w:t>
          </w:r>
          <w:r>
            <w:rPr>
              <w:rFonts w:cs="Times New Roman"/>
              <w:color w:val="FF0000"/>
              <w:szCs w:val="24"/>
            </w:rPr>
            <w:t>(Japan)</w:t>
          </w:r>
        </w:p>
        <w:p>
          <w:pPr>
            <w:pStyle w:val="4"/>
            <w:spacing w:line="360" w:lineRule="auto"/>
          </w:pPr>
          <w:bookmarkStart w:id="12" w:name="_Toc132864182"/>
          <w:r>
            <w:t>Country-specific factors: Japan</w:t>
          </w:r>
          <w:bookmarkEnd w:id="12"/>
        </w:p>
        <w:p>
          <w:pPr>
            <w:spacing w:line="360" w:lineRule="auto"/>
            <w:jc w:val="both"/>
            <w:rPr>
              <w:rFonts w:cs="Times New Roman"/>
              <w:szCs w:val="24"/>
            </w:rPr>
          </w:pPr>
          <w:r>
            <w:rPr>
              <w:rFonts w:cs="Times New Roman"/>
              <w:szCs w:val="24"/>
            </w:rPr>
            <w:t>Japan is the third-largest economy in the world, with a nominal GDP of approximately $5.4 trillion in 2020 (World Bank, 2021). Its highly skilled workforce, well-developed infrastructure, and strategic location in East Asia have been crucial to Toyota's success. Japan has a long-standing tradition of kaizen, a management philosophy centered on continuous improvement, which has been a key component of Toyota's approach to production and quality management (Imai, 1986). Additionally, the keiretsu system, a network of interlocking business relationships among Japanese companies, has played a significant role in Toyota's supply chain management (Lincoln &amp; Gerlach, 2004).</w:t>
          </w:r>
        </w:p>
        <w:p>
          <w:pPr>
            <w:pStyle w:val="4"/>
            <w:spacing w:line="360" w:lineRule="auto"/>
          </w:pPr>
          <w:bookmarkStart w:id="13" w:name="_Toc132864183"/>
          <w:r>
            <w:t>Industry-specific factors: Automotive Industry</w:t>
          </w:r>
          <w:bookmarkEnd w:id="13"/>
        </w:p>
        <w:p>
          <w:pPr>
            <w:spacing w:line="360" w:lineRule="auto"/>
            <w:jc w:val="both"/>
            <w:rPr>
              <w:rFonts w:cs="Times New Roman"/>
              <w:szCs w:val="24"/>
            </w:rPr>
          </w:pPr>
          <w:r>
            <w:rPr>
              <w:rFonts w:cs="Times New Roman"/>
              <w:szCs w:val="24"/>
            </w:rPr>
            <w:t>The global automotive industry is highly competitive, with several major players vying for market share. In 2020, Toyota was the world's largest automaker by sales, with a global market share of approximately 10.2% (Statista, 2021). Its main competitors include Volkswagen, General Motors, and Hyundai-Kia. Toyota has been at the forefront of these changes, investing $4.1 billion in research and development (R&amp;D) in 2020 (Toyota, 2021).</w:t>
          </w:r>
        </w:p>
        <w:p>
          <w:pPr>
            <w:pStyle w:val="4"/>
            <w:spacing w:line="360" w:lineRule="auto"/>
          </w:pPr>
          <w:bookmarkStart w:id="14" w:name="_Toc132864184"/>
          <w:r>
            <w:t>Management-specific factors: Toyota Production System</w:t>
          </w:r>
          <w:bookmarkEnd w:id="14"/>
        </w:p>
        <w:p>
          <w:pPr>
            <w:spacing w:line="360" w:lineRule="auto"/>
            <w:jc w:val="both"/>
            <w:rPr>
              <w:rFonts w:cs="Times New Roman"/>
              <w:szCs w:val="24"/>
            </w:rPr>
          </w:pPr>
          <w:r>
            <w:rPr>
              <w:rFonts w:cs="Times New Roman"/>
              <w:szCs w:val="24"/>
            </w:rPr>
            <w:t>Toyota's management philosophy is rooted in the Toyota Production System (TPS), a lean manufacturing approach that focuses on eliminating waste, reducing costs, and improving quality (Jeffery, 2008). TPS comprises two main pillars: Just-in-Time (JIT) production and Jidoka, or built-in quality control. JIT production involves producing only what is needed when it is needed, while Jidoka emphasizes identifying and solving problems as they arise (Monden, 2012).</w:t>
          </w:r>
        </w:p>
        <w:p>
          <w:pPr>
            <w:pStyle w:val="4"/>
            <w:spacing w:line="360" w:lineRule="auto"/>
          </w:pPr>
          <w:bookmarkStart w:id="15" w:name="_Toc132864185"/>
          <w:r>
            <w:t>Marketing</w:t>
          </w:r>
          <w:bookmarkEnd w:id="15"/>
        </w:p>
        <w:p>
          <w:pPr>
            <w:spacing w:line="360" w:lineRule="auto"/>
            <w:jc w:val="both"/>
            <w:rPr>
              <w:rFonts w:cs="Times New Roman"/>
              <w:szCs w:val="24"/>
            </w:rPr>
          </w:pPr>
          <w:r>
            <w:rPr>
              <w:rFonts w:cs="Times New Roman"/>
              <w:szCs w:val="24"/>
            </w:rPr>
            <w:t>The company has used a combination of segmentation, targeting, and positioning strategies to appeal to different customer segments. For instance, Toyota targets environmentally conscious consumers with its Prius hybrid vehicle line, which had cumulative global sales of over 15 million units as of January 2020 (Toyota, 2020). In Japan, Toyota has relied on a strong dealer network to distribute and service its vehicles. Toyota holds a 50.7 % share of the Japanese auto market recently (Marklines, 2021).</w:t>
          </w:r>
        </w:p>
        <w:p>
          <w:pPr>
            <w:pStyle w:val="4"/>
            <w:spacing w:line="360" w:lineRule="auto"/>
          </w:pPr>
          <w:bookmarkStart w:id="16" w:name="_Toc132864186"/>
          <w:r>
            <w:t>Operations</w:t>
          </w:r>
          <w:bookmarkEnd w:id="16"/>
        </w:p>
        <w:p>
          <w:pPr>
            <w:spacing w:line="360" w:lineRule="auto"/>
            <w:jc w:val="both"/>
            <w:rPr>
              <w:rFonts w:cs="Times New Roman"/>
              <w:szCs w:val="24"/>
            </w:rPr>
          </w:pPr>
          <w:r>
            <w:rPr>
              <w:rFonts w:cs="Times New Roman"/>
              <w:szCs w:val="24"/>
            </w:rPr>
            <w:t>Toyota's operations are characterized by its commitment to efficiency, quality, and continuous improvement. In 2020, Toyota produced approximately 6.5 million vehicles globally, with 2.9 million of those produced in Japan (Toyota, 2021).</w:t>
          </w:r>
        </w:p>
        <w:p>
          <w:pPr>
            <w:spacing w:line="360" w:lineRule="auto"/>
            <w:jc w:val="both"/>
            <w:rPr>
              <w:rFonts w:cs="Times New Roman"/>
              <w:szCs w:val="24"/>
            </w:rPr>
          </w:pPr>
          <w:r>
            <w:rPr>
              <w:rFonts w:cs="Times New Roman"/>
              <w:szCs w:val="24"/>
            </w:rPr>
            <w:t>Additionally, Toyota has adopted a global manufacturing strategy, allowing it to achieve economies of scale and optimize its supply chain (Fujimoto, 2007). In Japan, Toyota operates 12 manufacturing plants, which are strategically located to minimize transportation costs and maximize efficiency (Toyota, 2021).</w:t>
          </w:r>
        </w:p>
        <w:p>
          <w:pPr>
            <w:pStyle w:val="4"/>
            <w:spacing w:line="360" w:lineRule="auto"/>
          </w:pPr>
          <w:bookmarkStart w:id="17" w:name="_Toc132864187"/>
          <w:r>
            <w:t>Human Resource Management</w:t>
          </w:r>
          <w:bookmarkEnd w:id="17"/>
        </w:p>
        <w:p>
          <w:pPr>
            <w:spacing w:line="360" w:lineRule="auto"/>
            <w:jc w:val="both"/>
            <w:rPr>
              <w:rFonts w:cs="Times New Roman"/>
              <w:szCs w:val="24"/>
            </w:rPr>
          </w:pPr>
          <w:r>
            <w:rPr>
              <w:rFonts w:cs="Times New Roman"/>
              <w:szCs w:val="24"/>
            </w:rPr>
            <w:t>Toyota's HRM practices emphasize employee empowerment, training, and development. Toyota's approach to HRM has been credited with fostering a strong sense of teamwork and commitment among its workforce, contributing to its competitive advantage (Liker &amp; Hoseus, 2008).</w:t>
          </w:r>
        </w:p>
        <w:p>
          <w:pPr>
            <w:spacing w:line="360" w:lineRule="auto"/>
            <w:jc w:val="both"/>
            <w:rPr>
              <w:rFonts w:cs="Times New Roman"/>
              <w:szCs w:val="24"/>
            </w:rPr>
          </w:pPr>
          <w:r>
            <w:rPr>
              <w:rFonts w:cs="Times New Roman"/>
              <w:szCs w:val="24"/>
            </w:rPr>
            <w:t>The company places a strong emphasis on long-term employment, providing job security and opportunities for growth. As of March 2020, Toyota employed approximately 360,000 people worldwide, with around 220,000 of those employees based in Japan (Toyota, 2021).</w:t>
          </w:r>
        </w:p>
        <w:p>
          <w:pPr>
            <w:spacing w:line="360" w:lineRule="auto"/>
            <w:jc w:val="both"/>
            <w:rPr>
              <w:rFonts w:cs="Times New Roman"/>
              <w:szCs w:val="24"/>
            </w:rPr>
          </w:pPr>
          <w:r>
            <w:rPr>
              <w:rFonts w:cs="Times New Roman"/>
              <w:szCs w:val="24"/>
            </w:rPr>
            <w:t>Numerous academic studies have been conducted on Toyota's management practices, operations, and strategies, contributing to a rich body of literature on the company. For instance, (Jeffery, 2008) has extensively studied the Toyota Production System and its impact on the company's performance, while Fujimoto (1999) has examined Toyota's global manufacturing strategy. Moreover, research by Kitazawa (2020) has explored Toyota's investment in electric vehicle technology and its implications for the company's future competitiveness.</w:t>
          </w:r>
        </w:p>
        <w:p>
          <w:pPr>
            <w:spacing w:line="360" w:lineRule="auto"/>
            <w:jc w:val="both"/>
            <w:rPr>
              <w:rFonts w:cs="Times New Roman"/>
              <w:szCs w:val="24"/>
            </w:rPr>
          </w:pPr>
          <w:bookmarkStart w:id="18" w:name="_Toc132864188"/>
          <w:r>
            <w:rPr>
              <w:rStyle w:val="38"/>
            </w:rPr>
            <w:t>Host Country</w:t>
          </w:r>
          <w:bookmarkEnd w:id="18"/>
          <w:r>
            <w:rPr>
              <w:rFonts w:cs="Times New Roman"/>
              <w:szCs w:val="24"/>
            </w:rPr>
            <w:t xml:space="preserve"> </w:t>
          </w:r>
          <w:r>
            <w:rPr>
              <w:rFonts w:cs="Times New Roman"/>
              <w:color w:val="FF0000"/>
              <w:szCs w:val="24"/>
            </w:rPr>
            <w:t>(China)</w:t>
          </w:r>
        </w:p>
        <w:p>
          <w:pPr>
            <w:pStyle w:val="4"/>
            <w:spacing w:line="360" w:lineRule="auto"/>
          </w:pPr>
          <w:bookmarkStart w:id="19" w:name="_Toc132864189"/>
          <w:r>
            <w:t>Country-specific factors: China</w:t>
          </w:r>
          <w:bookmarkEnd w:id="19"/>
        </w:p>
        <w:p>
          <w:pPr>
            <w:spacing w:line="360" w:lineRule="auto"/>
            <w:jc w:val="both"/>
            <w:rPr>
              <w:rFonts w:cs="Times New Roman"/>
              <w:szCs w:val="24"/>
            </w:rPr>
          </w:pPr>
          <w:r>
            <w:rPr>
              <w:rFonts w:cs="Times New Roman"/>
              <w:szCs w:val="24"/>
            </w:rPr>
            <w:t>China is the world's second-largest economy, with a nominal GDP of approximately $14.7 trillion in 2020 (World Bank, 2021). Its rapid economic growth, large population, and expanding middle class have made it an attractive market for foreign automakers like Toyota.</w:t>
          </w:r>
        </w:p>
        <w:p>
          <w:pPr>
            <w:pStyle w:val="4"/>
            <w:spacing w:line="360" w:lineRule="auto"/>
          </w:pPr>
          <w:bookmarkStart w:id="20" w:name="_Toc132864190"/>
          <w:r>
            <w:t>Industry-specific factors: Automotive Industry in China</w:t>
          </w:r>
          <w:bookmarkEnd w:id="20"/>
        </w:p>
        <w:p>
          <w:pPr>
            <w:spacing w:line="360" w:lineRule="auto"/>
            <w:jc w:val="both"/>
            <w:rPr>
              <w:rFonts w:cs="Times New Roman"/>
              <w:szCs w:val="24"/>
            </w:rPr>
          </w:pPr>
          <w:r>
            <w:rPr>
              <w:rFonts w:cs="Times New Roman"/>
              <w:szCs w:val="24"/>
            </w:rPr>
            <w:t>The automotive industry in China is the largest in the world, with total vehicle sales reaching 25.3 million units in 2020 (Reuters, 2021). The Chinese government has implemented policies to promote the development of electric vehicles (EVs) and alternative energy vehicles, creating new opportunities for automakers like Toyota.</w:t>
          </w:r>
        </w:p>
        <w:p>
          <w:pPr>
            <w:pStyle w:val="4"/>
            <w:spacing w:line="360" w:lineRule="auto"/>
          </w:pPr>
          <w:bookmarkStart w:id="21" w:name="_Toc132864191"/>
          <w:r>
            <w:t>Marketing in China</w:t>
          </w:r>
          <w:bookmarkEnd w:id="21"/>
        </w:p>
        <w:p>
          <w:pPr>
            <w:spacing w:line="360" w:lineRule="auto"/>
            <w:jc w:val="both"/>
            <w:rPr>
              <w:rFonts w:cs="Times New Roman"/>
              <w:szCs w:val="24"/>
            </w:rPr>
          </w:pPr>
          <w:r>
            <w:rPr>
              <w:rFonts w:cs="Times New Roman"/>
              <w:szCs w:val="24"/>
            </w:rPr>
            <w:t>Toyota has employed various marketing strategies to appeal to Chinese consumers, including segmentation, targeting, and positioning. In 2020, Toyota held a 6.1% share of the Chinese auto market, with sales of approximately 1.5 million units (Marklines, 2021).</w:t>
          </w:r>
        </w:p>
        <w:p>
          <w:pPr>
            <w:pStyle w:val="4"/>
            <w:spacing w:line="360" w:lineRule="auto"/>
          </w:pPr>
          <w:bookmarkStart w:id="22" w:name="_Toc132864192"/>
          <w:r>
            <w:t>Operations in China</w:t>
          </w:r>
          <w:bookmarkEnd w:id="22"/>
        </w:p>
        <w:p>
          <w:pPr>
            <w:spacing w:line="360" w:lineRule="auto"/>
            <w:jc w:val="both"/>
            <w:rPr>
              <w:rFonts w:cs="Times New Roman"/>
              <w:szCs w:val="24"/>
            </w:rPr>
          </w:pPr>
          <w:r>
            <w:rPr>
              <w:rFonts w:cs="Times New Roman"/>
              <w:szCs w:val="24"/>
            </w:rPr>
            <w:t>The company operates through joint ventures with Chinese partners, such as Guangzhou Automobile Group (GAC) and FAW Group, to comply with Chinese regulations and gain access to local resources and expertise. In 2020, Toyota produced over 1 million vehicles in China (Reuters, 2021).</w:t>
          </w:r>
        </w:p>
        <w:p>
          <w:pPr>
            <w:pStyle w:val="4"/>
            <w:spacing w:line="360" w:lineRule="auto"/>
          </w:pPr>
          <w:bookmarkStart w:id="23" w:name="_Toc132864193"/>
          <w:r>
            <w:t>Human Resource Management in China</w:t>
          </w:r>
          <w:bookmarkEnd w:id="23"/>
        </w:p>
        <w:p>
          <w:pPr>
            <w:spacing w:line="360" w:lineRule="auto"/>
            <w:jc w:val="both"/>
            <w:rPr>
              <w:rFonts w:cs="Times New Roman"/>
              <w:szCs w:val="24"/>
            </w:rPr>
          </w:pPr>
          <w:r>
            <w:rPr>
              <w:rFonts w:cs="Times New Roman"/>
              <w:szCs w:val="24"/>
            </w:rPr>
            <w:t>Toyota has implemented HRM practices in China that reflect its global values while also taking into account local cultural nuances (</w:t>
          </w:r>
          <w:r>
            <w:rPr>
              <w:rFonts w:ascii="Arial" w:hAnsi="Arial" w:cs="Arial"/>
              <w:color w:val="222222"/>
              <w:sz w:val="20"/>
              <w:szCs w:val="20"/>
              <w:shd w:val="clear" w:color="auto" w:fill="FFFFFF"/>
            </w:rPr>
            <w:t>Horwitz &amp; Mellahi, 2018)</w:t>
          </w:r>
          <w:r>
            <w:rPr>
              <w:rFonts w:cs="Times New Roman"/>
              <w:szCs w:val="24"/>
            </w:rPr>
            <w:t>. The company has focused on recruiting and developing local talent, offering competitive compensation packages, and providing extensive training and development opportunities.</w:t>
          </w:r>
        </w:p>
        <w:p>
          <w:pPr>
            <w:pStyle w:val="4"/>
            <w:spacing w:line="360" w:lineRule="auto"/>
          </w:pPr>
          <w:bookmarkStart w:id="24" w:name="_Toc132864194"/>
          <w:r>
            <w:t>International Context: Adapting and Integrating Resources and Capabilities</w:t>
          </w:r>
          <w:bookmarkEnd w:id="24"/>
        </w:p>
        <w:p>
          <w:pPr>
            <w:spacing w:line="360" w:lineRule="auto"/>
            <w:jc w:val="both"/>
            <w:rPr>
              <w:rFonts w:cs="Times New Roman"/>
              <w:szCs w:val="24"/>
            </w:rPr>
          </w:pPr>
          <w:r>
            <w:rPr>
              <w:rFonts w:cs="Times New Roman"/>
              <w:szCs w:val="24"/>
            </w:rPr>
            <w:t>Toyota's success in the global market, including China, can be attributed to its ability to adapt and integrate its resources and capabilities across different countries (</w:t>
          </w:r>
          <w:r>
            <w:rPr>
              <w:rFonts w:ascii="Arial" w:hAnsi="Arial" w:cs="Arial"/>
              <w:color w:val="222222"/>
              <w:sz w:val="20"/>
              <w:szCs w:val="20"/>
              <w:shd w:val="clear" w:color="auto" w:fill="FFFFFF"/>
            </w:rPr>
            <w:t xml:space="preserve">Liao et al., 2011). </w:t>
          </w:r>
          <w:r>
            <w:rPr>
              <w:rFonts w:cs="Times New Roman"/>
              <w:szCs w:val="24"/>
            </w:rPr>
            <w:t>The company has effectively balanced standardization and localization, ensuring that its core values and management practices are maintained while also being responsive to local market conditions and preferences.</w:t>
          </w:r>
        </w:p>
        <w:p>
          <w:pPr>
            <w:pStyle w:val="4"/>
            <w:spacing w:line="360" w:lineRule="auto"/>
          </w:pPr>
          <w:bookmarkStart w:id="25" w:name="_Toc132864195"/>
          <w:r>
            <w:t>Global Marketing Strategy</w:t>
          </w:r>
          <w:bookmarkEnd w:id="25"/>
        </w:p>
        <w:p>
          <w:pPr>
            <w:spacing w:line="360" w:lineRule="auto"/>
            <w:jc w:val="both"/>
            <w:rPr>
              <w:rFonts w:cs="Times New Roman"/>
              <w:szCs w:val="24"/>
            </w:rPr>
          </w:pPr>
          <w:r>
            <w:rPr>
              <w:rFonts w:cs="Times New Roman"/>
              <w:szCs w:val="24"/>
            </w:rPr>
            <w:t>Toyota's global marketing strategy has involved creating a unified brand image while also allowing for regional variations in product offerings and marketing messages (</w:t>
          </w:r>
          <w:r>
            <w:rPr>
              <w:rFonts w:ascii="Arial" w:hAnsi="Arial" w:cs="Arial"/>
              <w:color w:val="222222"/>
              <w:szCs w:val="24"/>
              <w:shd w:val="clear" w:color="auto" w:fill="FFFFFF"/>
            </w:rPr>
            <w:t>Paul, 2018)</w:t>
          </w:r>
          <w:r>
            <w:rPr>
              <w:rFonts w:cs="Times New Roman"/>
              <w:szCs w:val="24"/>
            </w:rPr>
            <w:t>. The company has developed a portfolio of brands, such as Lexus for luxury vehicles and Daihatsu for compact cars, to cater to different customer segments worldwide (</w:t>
          </w:r>
          <w:r>
            <w:rPr>
              <w:rFonts w:ascii="Arial" w:hAnsi="Arial" w:cs="Arial"/>
              <w:color w:val="222222"/>
              <w:szCs w:val="24"/>
              <w:shd w:val="clear" w:color="auto" w:fill="FFFFFF"/>
            </w:rPr>
            <w:t>HARIKRISHNAN, 2021)</w:t>
          </w:r>
          <w:r>
            <w:rPr>
              <w:rFonts w:cs="Times New Roman"/>
              <w:szCs w:val="24"/>
            </w:rPr>
            <w:t>.</w:t>
          </w:r>
        </w:p>
        <w:p>
          <w:pPr>
            <w:pStyle w:val="4"/>
            <w:spacing w:line="360" w:lineRule="auto"/>
          </w:pPr>
          <w:bookmarkStart w:id="26" w:name="_Toc132864196"/>
          <w:r>
            <w:t>Global Operations Strategy</w:t>
          </w:r>
          <w:bookmarkEnd w:id="26"/>
        </w:p>
        <w:p>
          <w:pPr>
            <w:spacing w:line="360" w:lineRule="auto"/>
            <w:jc w:val="both"/>
            <w:rPr>
              <w:rFonts w:cs="Times New Roman"/>
              <w:szCs w:val="24"/>
            </w:rPr>
          </w:pPr>
          <w:r>
            <w:rPr>
              <w:rFonts w:cs="Times New Roman"/>
              <w:szCs w:val="24"/>
              <w:highlight w:val="yellow"/>
            </w:rPr>
            <w:t>Toyota's global operations strategy has been characterized by its commitment to efficiency, quality, and continuous improvement. The company has pursued a global manufacturing strategy, establishing production facilities in strategic locations around the world to optimize its supply chain and achieve economies of scale (Fujimoto, 2007). Toyota's global operations strategy, exemplified by its unwavering dedication to efficiency, quality, and continuous improvement, has facilitated the company's successful expansion from Japan to China. This approach aligns with principles outlined in study of (Daniels, 2021). By leveraging its strategic expertise, Toyota continues to enhance its international presence, meeting consumer demands and maintaining a strong foothold in the global automotive industry (Daniels, (2021).</w:t>
          </w:r>
          <w:r>
            <w:rPr>
              <w:rFonts w:cs="Times New Roman"/>
              <w:szCs w:val="24"/>
            </w:rPr>
            <w:t xml:space="preserve"> </w:t>
          </w:r>
        </w:p>
        <w:p>
          <w:pPr>
            <w:pStyle w:val="4"/>
            <w:spacing w:line="360" w:lineRule="auto"/>
          </w:pPr>
          <w:bookmarkStart w:id="27" w:name="_Toc132864197"/>
          <w:r>
            <w:t>Global HRM Strategy</w:t>
          </w:r>
          <w:bookmarkEnd w:id="27"/>
        </w:p>
        <w:p>
          <w:pPr>
            <w:spacing w:line="360" w:lineRule="auto"/>
            <w:jc w:val="both"/>
            <w:rPr>
              <w:rFonts w:cs="Times New Roman"/>
              <w:szCs w:val="24"/>
            </w:rPr>
          </w:pPr>
          <w:r>
            <w:rPr>
              <w:rFonts w:cs="Times New Roman"/>
              <w:szCs w:val="24"/>
            </w:rPr>
            <w:t>Toyota's global HRM strategy has involved the development of a strong corporate culture, centred on teamwork, continuous learning, and employee empowerment. Research by (</w:t>
          </w:r>
          <w:r>
            <w:rPr>
              <w:rFonts w:ascii="Arial" w:hAnsi="Arial" w:cs="Arial"/>
              <w:color w:val="222222"/>
              <w:sz w:val="20"/>
              <w:szCs w:val="20"/>
              <w:shd w:val="clear" w:color="auto" w:fill="FFFFFF"/>
            </w:rPr>
            <w:t>Shih, 2014</w:t>
          </w:r>
          <w:r>
            <w:rPr>
              <w:rFonts w:cs="Times New Roman"/>
              <w:szCs w:val="24"/>
            </w:rPr>
            <w:t>) has explored Toyota's localization strategy in the Chinese market and its influence on consumer perceptions and preferences, the company has focused on recruiting, training, and retaining a highly skilled and dedicated workforce to support its global expansion,</w:t>
          </w:r>
        </w:p>
        <w:p>
          <w:pPr>
            <w:spacing w:line="360" w:lineRule="auto"/>
            <w:jc w:val="both"/>
            <w:rPr>
              <w:rFonts w:cs="Times New Roman"/>
              <w:szCs w:val="24"/>
            </w:rPr>
          </w:pPr>
          <w:r>
            <w:rPr>
              <w:rFonts w:cs="Times New Roman"/>
              <w:szCs w:val="24"/>
              <w:highlight w:val="yellow"/>
            </w:rPr>
            <w:t>Toyota's expansion from Japan to China demonstrates the importance of adapting and integrating resources and capabilities in international business, (Wild &amp; Wild, 2021). Toyota's global operations strategy, including its focus on efficiency and quality, has been crucial in navigating the Chinese market. By leveraging its resources and capabilities, Toyota has effectively overcome the challenges of globalization.</w:t>
          </w:r>
          <w:r>
            <w:rPr>
              <w:rFonts w:cs="Times New Roman"/>
              <w:szCs w:val="24"/>
            </w:rPr>
            <w:t xml:space="preserve"> </w:t>
          </w: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pStyle w:val="3"/>
          </w:pPr>
          <w:bookmarkStart w:id="28" w:name="_Toc132864198"/>
          <w:r>
            <w:t>External Analysis</w:t>
          </w:r>
          <w:bookmarkEnd w:id="28"/>
        </w:p>
        <w:p>
          <w:pPr>
            <w:pStyle w:val="3"/>
          </w:pPr>
          <w:bookmarkStart w:id="29" w:name="_Toc132864199"/>
          <w:r>
            <w:t>A Comparative PESTEL Analysis</w:t>
          </w:r>
          <w:bookmarkEnd w:id="29"/>
        </w:p>
        <w:tbl>
          <w:tblPr>
            <w:tblStyle w:val="47"/>
            <w:tblW w:w="10890" w:type="dxa"/>
            <w:tblInd w:w="-995"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1890"/>
            <w:gridCol w:w="3291"/>
            <w:gridCol w:w="570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bottom w:val="nil"/>
                  <w:right w:val="nil"/>
                </w:tcBorders>
                <w:shd w:val="clear" w:color="auto" w:fill="000000" w:themeFill="text1"/>
              </w:tcPr>
              <w:p>
                <w:pPr>
                  <w:spacing w:before="480" w:after="480" w:line="24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Factors</w:t>
                </w:r>
              </w:p>
            </w:tc>
            <w:tc>
              <w:tcPr>
                <w:tcW w:w="3291" w:type="dxa"/>
                <w:shd w:val="clear" w:color="auto" w:fill="000000" w:themeFill="text1"/>
              </w:tcPr>
              <w:p>
                <w:pPr>
                  <w:spacing w:before="480" w:after="480" w:line="24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China</w:t>
                </w:r>
              </w:p>
            </w:tc>
            <w:tc>
              <w:tcPr>
                <w:tcW w:w="5709" w:type="dxa"/>
                <w:shd w:val="clear" w:color="auto" w:fill="000000" w:themeFill="text1"/>
              </w:tcPr>
              <w:p>
                <w:pPr>
                  <w:spacing w:before="480" w:after="480" w:line="24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Japan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P</w:t>
                </w:r>
                <w:r>
                  <w:rPr>
                    <w:rFonts w:ascii="Söhne" w:hAnsi="Söhne" w:eastAsia="Times New Roman" w:cs="Times New Roman"/>
                    <w:b/>
                    <w:bCs/>
                    <w:sz w:val="21"/>
                    <w:szCs w:val="21"/>
                    <w:lang w:val="en-US"/>
                  </w:rPr>
                  <w:t>olitical</w:t>
                </w:r>
              </w:p>
            </w:tc>
            <w:tc>
              <w:tcPr>
                <w:tcW w:w="3291"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Chinese government requires foreign automakers to form joint ventures with local partners (Yuan et al., 2013) </w:t>
                </w:r>
              </w:p>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Policies promoting the development of electric vehicles and alternative energy vehicles (Mengnan, 2023   )</w:t>
                </w:r>
              </w:p>
            </w:tc>
            <w:tc>
              <w:tcPr>
                <w:tcW w:w="5709"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Stable political environment with strong government support for the automotive industry (</w:t>
                </w:r>
                <w:r>
                  <w:rPr>
                    <w:rFonts w:ascii="Arial" w:hAnsi="Arial" w:cs="Arial"/>
                    <w:color w:val="222222"/>
                    <w:sz w:val="20"/>
                    <w:szCs w:val="20"/>
                    <w:shd w:val="clear" w:color="auto" w:fill="FFFFFF"/>
                  </w:rPr>
                  <w:t>Somlev and Hoshino, 2005</w:t>
                </w:r>
                <w:r>
                  <w:rPr>
                    <w:rFonts w:ascii="Söhne" w:hAnsi="Söhne" w:eastAsia="Times New Roman" w:cs="Times New Roman"/>
                    <w:sz w:val="21"/>
                    <w:szCs w:val="21"/>
                    <w:lang w:val="en-US"/>
                  </w:rPr>
                  <w:t xml:space="preserve">) </w:t>
                </w:r>
              </w:p>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Japan's commitment to the Paris Agreement encourages the development of environmentally friendly vehicles (KAJIMOTO, 2020)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right w:val="nil"/>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E</w:t>
                </w:r>
                <w:r>
                  <w:rPr>
                    <w:rFonts w:ascii="Söhne" w:hAnsi="Söhne" w:eastAsia="Times New Roman" w:cs="Times New Roman"/>
                    <w:b/>
                    <w:bCs/>
                    <w:sz w:val="21"/>
                    <w:szCs w:val="21"/>
                    <w:lang w:val="en-US"/>
                  </w:rPr>
                  <w:t>conomic</w:t>
                </w:r>
              </w:p>
            </w:tc>
            <w:tc>
              <w:tcPr>
                <w:tcW w:w="3291"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Rapid economic growth, large population, and expanding middle class (World Bank, 2021)     - Fluctuations in the Chinese economy and exchange rate risks between the Japanese yen and the Chinese yuan</w:t>
                </w:r>
              </w:p>
            </w:tc>
            <w:tc>
              <w:tcPr>
                <w:tcW w:w="5709"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Mature automotive market with slow growth (Statista, 2021)     - Strong domestic market, with high demand for fuel-efficient and eco-friendly vehicles (Deloitte, 2017)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S</w:t>
                </w:r>
                <w:r>
                  <w:rPr>
                    <w:rFonts w:ascii="Söhne" w:hAnsi="Söhne" w:eastAsia="Times New Roman" w:cs="Times New Roman"/>
                    <w:b/>
                    <w:bCs/>
                    <w:sz w:val="21"/>
                    <w:szCs w:val="21"/>
                    <w:lang w:val="en-US"/>
                  </w:rPr>
                  <w:t>ocio-cultural</w:t>
                </w:r>
              </w:p>
            </w:tc>
            <w:tc>
              <w:tcPr>
                <w:tcW w:w="3291"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Preference for fuel efficiency, affordability, and quality in vehicles (Deloitte, 2017)     - Growing environmental awareness, increasing demand for eco-friendly vehicles (Toyota, 2020)</w:t>
                </w:r>
              </w:p>
            </w:tc>
            <w:tc>
              <w:tcPr>
                <w:tcW w:w="5709"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Preference for compact cars, with a focus on fuel efficiency, safety, and reliability - Aging population and urbanization trends influencing vehicle preferences (CIA, 2021)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right w:val="nil"/>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T</w:t>
                </w:r>
                <w:r>
                  <w:rPr>
                    <w:rFonts w:ascii="Söhne" w:hAnsi="Söhne" w:eastAsia="Times New Roman" w:cs="Times New Roman"/>
                    <w:b/>
                    <w:bCs/>
                    <w:sz w:val="21"/>
                    <w:szCs w:val="21"/>
                    <w:lang w:val="en-US"/>
                  </w:rPr>
                  <w:t>echnological</w:t>
                </w:r>
              </w:p>
            </w:tc>
            <w:tc>
              <w:tcPr>
                <w:tcW w:w="3291"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Growing electric vehicle (EV) market, driven by government policies and incentives (Mengnan, 2023)     - Popularity of connected and autonomous vehicles, requiring investment in advanced technologies (</w:t>
                </w:r>
                <w:r>
                  <w:t>Shirouzu, 2018</w:t>
                </w:r>
                <w:r>
                  <w:rPr>
                    <w:rFonts w:ascii="Söhne" w:hAnsi="Söhne" w:eastAsia="Times New Roman" w:cs="Times New Roman"/>
                    <w:sz w:val="21"/>
                    <w:szCs w:val="21"/>
                    <w:lang w:val="en-US"/>
                  </w:rPr>
                  <w:t>)</w:t>
                </w:r>
              </w:p>
            </w:tc>
            <w:tc>
              <w:tcPr>
                <w:tcW w:w="5709"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World-renowned automotive R&amp;D and innovation, particularly in EV and fuel cell technology (Fujimoto, 2007)     - Strong emphasis on robotics, AI, and IoT in the automotive industry (KAJIMOTO, 2020)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E</w:t>
                </w:r>
                <w:r>
                  <w:rPr>
                    <w:rFonts w:ascii="Söhne" w:hAnsi="Söhne" w:eastAsia="Times New Roman" w:cs="Times New Roman"/>
                    <w:b/>
                    <w:bCs/>
                    <w:sz w:val="21"/>
                    <w:szCs w:val="21"/>
                    <w:lang w:val="en-US"/>
                  </w:rPr>
                  <w:t>nvironmental</w:t>
                </w:r>
              </w:p>
            </w:tc>
            <w:tc>
              <w:tcPr>
                <w:tcW w:w="3291"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Stringent vehicle emissions and fuel efficiency regulations - Increased demand for EVs and alternative energy vehicles due to growing pollution concerns (Mengnan, 2023   )</w:t>
                </w:r>
              </w:p>
            </w:tc>
            <w:tc>
              <w:tcPr>
                <w:tcW w:w="5709"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Strict environmental regulations and targets, encouraging the development of eco-friendly vehicles (KAJIMOTO, 2020)     - Natural disasters, such as earthquakes and tsunamis, impacting the automotive supply chain (</w:t>
                </w:r>
                <w:r>
                  <w:rPr>
                    <w:rFonts w:ascii="Arial" w:hAnsi="Arial" w:cs="Arial"/>
                    <w:color w:val="222222"/>
                    <w:sz w:val="20"/>
                    <w:szCs w:val="20"/>
                    <w:shd w:val="clear" w:color="auto" w:fill="FFFFFF"/>
                  </w:rPr>
                  <w:t>Somlev, 2005</w:t>
                </w:r>
                <w:r>
                  <w:rPr>
                    <w:rFonts w:ascii="Söhne" w:hAnsi="Söhne" w:eastAsia="Times New Roman" w:cs="Times New Roman"/>
                    <w:sz w:val="21"/>
                    <w:szCs w:val="21"/>
                    <w:lang w:val="en-US"/>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890" w:type="dxa"/>
                <w:tcBorders>
                  <w:right w:val="nil"/>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val="0"/>
                    <w:bCs w:val="0"/>
                    <w:sz w:val="21"/>
                    <w:szCs w:val="21"/>
                    <w:bdr w:val="single" w:color="D9D9E3" w:sz="2" w:space="0"/>
                    <w:lang w:val="en-US"/>
                  </w:rPr>
                  <w:t>L</w:t>
                </w:r>
                <w:r>
                  <w:rPr>
                    <w:rFonts w:ascii="Söhne" w:hAnsi="Söhne" w:eastAsia="Times New Roman" w:cs="Times New Roman"/>
                    <w:b/>
                    <w:bCs/>
                    <w:sz w:val="21"/>
                    <w:szCs w:val="21"/>
                    <w:lang w:val="en-US"/>
                  </w:rPr>
                  <w:t>egal</w:t>
                </w:r>
              </w:p>
            </w:tc>
            <w:tc>
              <w:tcPr>
                <w:tcW w:w="3291"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Intellectual property rights and technology transfer concerns in joint ventures (US-China Business Council, 2018)     - Regulations promoting fair competition in the automotive industry</w:t>
                </w:r>
              </w:p>
            </w:tc>
            <w:tc>
              <w:tcPr>
                <w:tcW w:w="5709"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Strong legal framework protecting intellectual property rights (WIPO, 2021)     - Laws and regulations supporting the development of environmentally friendly vehicles (KAJIMOTO, 2020)</w:t>
                </w:r>
              </w:p>
            </w:tc>
          </w:tr>
        </w:tbl>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3"/>
          </w:pPr>
          <w:bookmarkStart w:id="30" w:name="_Toc132864200"/>
          <w:r>
            <w:t>Industry Five Forces</w:t>
          </w:r>
          <w:bookmarkEnd w:id="30"/>
          <w:r>
            <w:t xml:space="preserve"> </w:t>
          </w:r>
        </w:p>
        <w:p>
          <w:pPr>
            <w:pStyle w:val="3"/>
          </w:pPr>
          <w:bookmarkStart w:id="31" w:name="_Toc132864201"/>
          <w:r>
            <w:rPr>
              <w:rFonts w:ascii="Söhne" w:hAnsi="Söhne" w:eastAsia="Times New Roman" w:cs="Times New Roman"/>
              <w:color w:val="D1D5DB"/>
              <w:szCs w:val="24"/>
              <w:lang w:val="en-US"/>
            </w:rPr>
            <w:t>.</w:t>
          </w:r>
          <w:bookmarkEnd w:id="31"/>
        </w:p>
        <w:tbl>
          <w:tblPr>
            <w:tblStyle w:val="47"/>
            <w:tblW w:w="10913" w:type="dxa"/>
            <w:tblInd w:w="-995"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1980"/>
            <w:gridCol w:w="893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bottom w:val="nil"/>
                  <w:right w:val="nil"/>
                </w:tcBorders>
                <w:shd w:val="clear" w:color="auto" w:fill="000000" w:themeFill="text1"/>
              </w:tcPr>
              <w:p>
                <w:pPr>
                  <w:spacing w:before="480" w:after="480" w:line="24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Forces</w:t>
                </w:r>
              </w:p>
            </w:tc>
            <w:tc>
              <w:tcPr>
                <w:tcW w:w="8933" w:type="dxa"/>
                <w:shd w:val="clear" w:color="auto" w:fill="000000" w:themeFill="text1"/>
              </w:tcPr>
              <w:p>
                <w:pPr>
                  <w:spacing w:before="480" w:after="480" w:line="24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China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Competitive Rivalry</w:t>
                </w:r>
              </w:p>
            </w:tc>
            <w:tc>
              <w:tcPr>
                <w:tcW w:w="8933"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Highly competitive market with both international and domestic automakers, including Volkswagen, General Motors, Honda, Nissan, Geely, Great Wall Motors, and BYD (Statista, 2021)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right w:val="nil"/>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Bargaining Power of Suppliers</w:t>
                </w:r>
              </w:p>
            </w:tc>
            <w:tc>
              <w:tcPr>
                <w:tcW w:w="8933"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Localization of supply chain by sourcing parts and components from Chinese suppliers (Yuan et al., 2013)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Bargaining Power of Buyers</w:t>
                </w:r>
              </w:p>
            </w:tc>
            <w:tc>
              <w:tcPr>
                <w:tcW w:w="8933"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Wide range of choices for consumers, increasing their bargaining power (Deloitte, 2017)     - Toyota must offer high-quality, fuel-efficient, and affordable vehicles to attract and retain customers in the price-sensitive market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right w:val="nil"/>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Threat of Substitutes</w:t>
                </w:r>
              </w:p>
            </w:tc>
            <w:tc>
              <w:tcPr>
                <w:tcW w:w="8933" w:type="dxa"/>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Alternative modes of transportation, such as public transit, ride-hailing services, and car-sharing platforms, pose a potential threat to Toyota's sales (China Daily, 2018)     -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24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Threat of New Entrants</w:t>
                </w:r>
              </w:p>
            </w:tc>
            <w:tc>
              <w:tcPr>
                <w:tcW w:w="8933" w:type="dxa"/>
                <w:tcBorders>
                  <w:top w:val="single" w:color="000000" w:themeColor="text1" w:sz="4" w:space="0"/>
                  <w:bottom w:val="single" w:color="000000" w:themeColor="text1" w:sz="4" w:space="0"/>
                  <w:insideH w:val="single" w:sz="4" w:space="0"/>
                </w:tcBorders>
              </w:tcPr>
              <w:p>
                <w:pPr>
                  <w:spacing w:before="480" w:after="480" w:line="24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High barriers to entry due to capital-intensive nature of the industry and strict government regulations (Yuan et al., 2013)     - </w:t>
                </w:r>
              </w:p>
            </w:tc>
          </w:tr>
        </w:tbl>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bookmarkStart w:id="32" w:name="_Toc132864202"/>
          <w:r>
            <w:rPr>
              <w:rStyle w:val="38"/>
            </w:rPr>
            <w:t>Market Analysis</w:t>
          </w:r>
          <w:bookmarkEnd w:id="32"/>
        </w:p>
        <w:tbl>
          <w:tblPr>
            <w:tblStyle w:val="47"/>
            <w:tblW w:w="11003" w:type="dxa"/>
            <w:tblInd w:w="-995"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2556"/>
            <w:gridCol w:w="844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bottom w:val="nil"/>
                  <w:right w:val="nil"/>
                </w:tcBorders>
                <w:shd w:val="clear" w:color="auto" w:fill="000000" w:themeFill="text1"/>
              </w:tcPr>
              <w:p>
                <w:pPr>
                  <w:spacing w:before="480" w:after="480" w:line="36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Market Factors</w:t>
                </w:r>
              </w:p>
            </w:tc>
            <w:tc>
              <w:tcPr>
                <w:tcW w:w="8447" w:type="dxa"/>
                <w:shd w:val="clear" w:color="auto" w:fill="000000" w:themeFill="text1"/>
              </w:tcPr>
              <w:p>
                <w:pPr>
                  <w:spacing w:before="480" w:after="480" w:line="360" w:lineRule="auto"/>
                  <w:jc w:val="both"/>
                  <w:rPr>
                    <w:rFonts w:ascii="Söhne" w:hAnsi="Söhne" w:eastAsia="Times New Roman" w:cs="Times New Roman"/>
                    <w:b w:val="0"/>
                    <w:bCs w:val="0"/>
                    <w:color w:val="FFFFFF" w:themeColor="background1"/>
                    <w:sz w:val="21"/>
                    <w:szCs w:val="21"/>
                    <w:lang w:val="en-US"/>
                    <w14:textFill>
                      <w14:solidFill>
                        <w14:schemeClr w14:val="bg1"/>
                      </w14:solidFill>
                    </w14:textFill>
                  </w:rPr>
                </w:pPr>
                <w:r>
                  <w:rPr>
                    <w:rFonts w:ascii="Söhne" w:hAnsi="Söhne" w:eastAsia="Times New Roman" w:cs="Times New Roman"/>
                    <w:b w:val="0"/>
                    <w:bCs w:val="0"/>
                    <w:color w:val="FFFFFF" w:themeColor="background1"/>
                    <w:sz w:val="21"/>
                    <w:szCs w:val="21"/>
                    <w:lang w:val="en-US"/>
                    <w14:textFill>
                      <w14:solidFill>
                        <w14:schemeClr w14:val="bg1"/>
                      </w14:solidFill>
                    </w14:textFill>
                  </w:rPr>
                  <w:t>China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Market Size</w:t>
                </w:r>
              </w:p>
            </w:tc>
            <w:tc>
              <w:tcPr>
                <w:tcW w:w="8447"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World's largest automotive market, with 25.3 million vehicles sold in 2020 (Statista, 2021)     - Huge potential for growth due to the large population and urbanization trends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right w:val="nil"/>
                  <w:insideV w:val="nil"/>
                </w:tcBorders>
                <w:shd w:val="clear" w:color="auto" w:fill="FFFFFF" w:themeFill="background1"/>
              </w:tcPr>
              <w:p>
                <w:pPr>
                  <w:spacing w:before="480" w:after="480" w:line="36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Market Share</w:t>
                </w:r>
              </w:p>
            </w:tc>
            <w:tc>
              <w:tcPr>
                <w:tcW w:w="8447" w:type="dxa"/>
              </w:tcPr>
              <w:p>
                <w:pPr>
                  <w:spacing w:before="480" w:after="480" w:line="36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Toyota's market share in China was 6.1% in 2020, ranking 5th among automakers (Statista, 2021)     - Joint ventures with local partners, such as FAW and GAC, help increase market penetration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Market Segments</w:t>
                </w:r>
              </w:p>
            </w:tc>
            <w:tc>
              <w:tcPr>
                <w:tcW w:w="8447"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Rapidly growing demand for electric vehicles (EVs), hybrids, and fuel cell vehicles (FCVs) due to government policies and incentives (Mengnan, 2023   )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right w:val="nil"/>
                  <w:insideV w:val="nil"/>
                </w:tcBorders>
                <w:shd w:val="clear" w:color="auto" w:fill="FFFFFF" w:themeFill="background1"/>
              </w:tcPr>
              <w:p>
                <w:pPr>
                  <w:spacing w:before="480" w:after="480" w:line="36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Consumer Preferences</w:t>
                </w:r>
              </w:p>
            </w:tc>
            <w:tc>
              <w:tcPr>
                <w:tcW w:w="8447" w:type="dxa"/>
              </w:tcPr>
              <w:p>
                <w:pPr>
                  <w:spacing w:before="480" w:after="480" w:line="36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xml:space="preserve">- Price-sensitive consumers looking for affordable, fuel-efficient, and technologically advanced vehicles (Deloitte, 2017)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ascii="Söhne" w:hAnsi="Söhne" w:eastAsia="Times New Roman" w:cs="Times New Roman"/>
                    <w:b/>
                    <w:bCs/>
                    <w:sz w:val="21"/>
                    <w:szCs w:val="21"/>
                    <w:lang w:val="en-US"/>
                  </w:rPr>
                </w:pPr>
                <w:r>
                  <w:rPr>
                    <w:rFonts w:ascii="Söhne" w:hAnsi="Söhne" w:eastAsia="Times New Roman" w:cs="Times New Roman"/>
                    <w:b/>
                    <w:bCs/>
                    <w:sz w:val="21"/>
                    <w:szCs w:val="21"/>
                    <w:lang w:val="en-US"/>
                  </w:rPr>
                  <w:t>Regulatory Environment</w:t>
                </w:r>
              </w:p>
            </w:tc>
            <w:tc>
              <w:tcPr>
                <w:tcW w:w="8447"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ascii="Söhne" w:hAnsi="Söhne" w:eastAsia="Times New Roman" w:cs="Times New Roman"/>
                    <w:sz w:val="21"/>
                    <w:szCs w:val="21"/>
                    <w:lang w:val="en-US"/>
                  </w:rPr>
                </w:pPr>
                <w:r>
                  <w:rPr>
                    <w:rFonts w:ascii="Söhne" w:hAnsi="Söhne" w:eastAsia="Times New Roman" w:cs="Times New Roman"/>
                    <w:sz w:val="21"/>
                    <w:szCs w:val="21"/>
                    <w:lang w:val="en-US"/>
                  </w:rPr>
                  <w:t>- Strict regulations on emissions and fuel efficiency standards (Mengnan, 2023   )     - Government support for EVs and alternative energy vehicles, such as tax incentives and subsidies</w:t>
                </w:r>
              </w:p>
            </w:tc>
          </w:tr>
        </w:tbl>
        <w:p>
          <w:pPr>
            <w:spacing w:line="360" w:lineRule="auto"/>
            <w:jc w:val="both"/>
          </w:pPr>
        </w:p>
        <w:p>
          <w:pPr>
            <w:spacing w:line="360" w:lineRule="auto"/>
            <w:jc w:val="both"/>
          </w:pPr>
        </w:p>
        <w:p>
          <w:pPr>
            <w:spacing w:line="360" w:lineRule="auto"/>
            <w:jc w:val="both"/>
          </w:pPr>
        </w:p>
        <w:p>
          <w:pPr>
            <w:pStyle w:val="2"/>
            <w:spacing w:line="360" w:lineRule="auto"/>
          </w:pPr>
          <w:bookmarkStart w:id="33" w:name="_Toc132864203"/>
          <w:r>
            <w:t>Host Country Analysis</w:t>
          </w:r>
          <w:bookmarkEnd w:id="33"/>
        </w:p>
        <w:p>
          <w:pPr>
            <w:spacing w:after="160" w:line="360" w:lineRule="auto"/>
            <w:jc w:val="both"/>
          </w:pPr>
          <w:bookmarkStart w:id="34" w:name="_Toc132864204"/>
          <w:r>
            <w:rPr>
              <w:rStyle w:val="38"/>
            </w:rPr>
            <w:t>Country’s National Diamond</w:t>
          </w:r>
          <w:bookmarkEnd w:id="34"/>
          <w:r>
            <w:t xml:space="preserve"> (host country)</w:t>
          </w:r>
        </w:p>
        <w:p>
          <w:pPr>
            <w:pStyle w:val="4"/>
            <w:spacing w:line="360" w:lineRule="auto"/>
          </w:pPr>
          <w:bookmarkStart w:id="35" w:name="_Toc132864205"/>
          <w:r>
            <w:t>Factor Conditions:</w:t>
          </w:r>
          <w:bookmarkEnd w:id="35"/>
        </w:p>
        <w:p>
          <w:pPr>
            <w:spacing w:line="360" w:lineRule="auto"/>
            <w:jc w:val="both"/>
          </w:pPr>
          <w:bookmarkStart w:id="36" w:name="_Toc132864206"/>
          <w:r>
            <w:rPr>
              <w:rStyle w:val="44"/>
            </w:rPr>
            <w:t>Labour:</w:t>
          </w:r>
          <w:bookmarkEnd w:id="36"/>
          <w:r>
            <w:t xml:space="preserve"> China is known for its abundant and cost-effective labor force. However, in recent years, wages have been increasing steadily (Zhang, 2018), prompting companies to focus on automation and higher value-added activities.</w:t>
          </w:r>
        </w:p>
        <w:p>
          <w:pPr>
            <w:spacing w:line="360" w:lineRule="auto"/>
            <w:jc w:val="both"/>
          </w:pPr>
          <w:bookmarkStart w:id="37" w:name="_Toc132864207"/>
          <w:r>
            <w:rPr>
              <w:rStyle w:val="44"/>
            </w:rPr>
            <w:t>Technology:</w:t>
          </w:r>
          <w:bookmarkEnd w:id="37"/>
          <w:r>
            <w:t xml:space="preserve"> China has rapidly emerged as a global leader in technology, particularly in areas like electric vehicles (EVs) and artificial intelligence (</w:t>
          </w:r>
          <w:r>
            <w:rPr>
              <w:rFonts w:ascii="Arial" w:hAnsi="Arial" w:cs="Arial"/>
              <w:color w:val="222222"/>
              <w:sz w:val="20"/>
              <w:szCs w:val="20"/>
              <w:shd w:val="clear" w:color="auto" w:fill="FFFFFF"/>
            </w:rPr>
            <w:t>Defraigne, 2014</w:t>
          </w:r>
          <w:r>
            <w:t>). This presents opportunities for Toyota to tap into the local technological advancements and collaborate with Chinese tech companies to enhance its product offerings.</w:t>
          </w:r>
        </w:p>
        <w:p>
          <w:pPr>
            <w:pStyle w:val="4"/>
            <w:spacing w:line="360" w:lineRule="auto"/>
          </w:pPr>
          <w:bookmarkStart w:id="38" w:name="_Toc132864208"/>
          <w:r>
            <w:t>Demand Conditions:</w:t>
          </w:r>
          <w:bookmarkEnd w:id="38"/>
        </w:p>
        <w:p>
          <w:pPr>
            <w:spacing w:line="360" w:lineRule="auto"/>
            <w:jc w:val="both"/>
          </w:pPr>
          <w:bookmarkStart w:id="39" w:name="_Toc132864209"/>
          <w:r>
            <w:rPr>
              <w:rStyle w:val="44"/>
            </w:rPr>
            <w:t>Market Size:</w:t>
          </w:r>
          <w:bookmarkEnd w:id="39"/>
          <w:r>
            <w:t xml:space="preserve"> China is the world's largest automotive market, with 25.3 million vehicles sold in 2020 (Statista, 2021). The large population and rapid urbanization create a significant market opportunity for Toyota.</w:t>
          </w:r>
        </w:p>
        <w:p>
          <w:pPr>
            <w:spacing w:line="360" w:lineRule="auto"/>
            <w:jc w:val="both"/>
          </w:pPr>
          <w:bookmarkStart w:id="40" w:name="_Toc132864210"/>
          <w:r>
            <w:rPr>
              <w:rStyle w:val="44"/>
            </w:rPr>
            <w:t>Consumer Preferences:</w:t>
          </w:r>
          <w:bookmarkEnd w:id="40"/>
          <w:r>
            <w:t xml:space="preserve"> Chinese consumers are increasingly demanding affordable, fuel-efficient, and technologically advanced vehicles (Deloitte, 2017). </w:t>
          </w:r>
        </w:p>
        <w:p>
          <w:pPr>
            <w:pStyle w:val="4"/>
            <w:spacing w:line="360" w:lineRule="auto"/>
          </w:pPr>
          <w:bookmarkStart w:id="41" w:name="_Toc132864211"/>
          <w:r>
            <w:t>Related and Supporting Industries:</w:t>
          </w:r>
          <w:bookmarkEnd w:id="41"/>
        </w:p>
        <w:p>
          <w:pPr>
            <w:spacing w:line="360" w:lineRule="auto"/>
            <w:jc w:val="both"/>
          </w:pPr>
          <w:bookmarkStart w:id="42" w:name="_Toc132864212"/>
          <w:r>
            <w:rPr>
              <w:rStyle w:val="44"/>
            </w:rPr>
            <w:t>Auto Components:</w:t>
          </w:r>
          <w:bookmarkEnd w:id="42"/>
          <w:r>
            <w:t xml:space="preserve"> China has a well-developed auto components industry, offering a wide range of cost-effective and high-quality parts. Toyota's joint ventures with Chinese partners, such as FAW and GAC, can further localize its supply chain and improve operational efficiency (Yuan et al., 2013).</w:t>
          </w:r>
        </w:p>
        <w:p>
          <w:pPr>
            <w:pStyle w:val="4"/>
            <w:spacing w:line="360" w:lineRule="auto"/>
          </w:pPr>
          <w:bookmarkStart w:id="43" w:name="_Toc132864213"/>
          <w:r>
            <w:t>Firm Strategy, Structure, and Rivalry:</w:t>
          </w:r>
          <w:bookmarkEnd w:id="43"/>
        </w:p>
        <w:p>
          <w:pPr>
            <w:spacing w:line="360" w:lineRule="auto"/>
            <w:jc w:val="both"/>
          </w:pPr>
          <w:bookmarkStart w:id="44" w:name="_Toc132864214"/>
          <w:r>
            <w:rPr>
              <w:rStyle w:val="44"/>
            </w:rPr>
            <w:t>Competition:</w:t>
          </w:r>
          <w:bookmarkEnd w:id="44"/>
          <w:r>
            <w:t xml:space="preserve"> Toyota faces strong competition in the Chinese market from both international and domestic automakers (Jian, 2022). This intense rivalry encourages innovation, cost reduction, and differentiation strategies.</w:t>
          </w:r>
        </w:p>
        <w:p>
          <w:pPr>
            <w:spacing w:line="360" w:lineRule="auto"/>
            <w:jc w:val="both"/>
          </w:pPr>
          <w:bookmarkStart w:id="45" w:name="_Toc132864215"/>
          <w:r>
            <w:rPr>
              <w:rStyle w:val="44"/>
            </w:rPr>
            <w:t>Government Policies:</w:t>
          </w:r>
          <w:bookmarkEnd w:id="45"/>
          <w:r>
            <w:t xml:space="preserve"> The Chinese government has implemented various policies to support the automotive industry, including tax incentives and subsidies for EVs and alternative fuel vehicles (Mengnan, 2023   ). </w:t>
          </w:r>
        </w:p>
        <w:p>
          <w:pPr>
            <w:spacing w:after="160" w:line="360" w:lineRule="auto"/>
            <w:jc w:val="both"/>
          </w:pPr>
          <w:bookmarkStart w:id="46" w:name="_Toc132864216"/>
          <w:r>
            <w:rPr>
              <w:rStyle w:val="38"/>
            </w:rPr>
            <w:t>Country Business Risks</w:t>
          </w:r>
          <w:bookmarkEnd w:id="46"/>
          <w:r>
            <w:t xml:space="preserve"> (host country)</w:t>
          </w:r>
        </w:p>
        <w:p>
          <w:pPr>
            <w:pStyle w:val="4"/>
            <w:spacing w:line="360" w:lineRule="auto"/>
          </w:pPr>
          <w:bookmarkStart w:id="47" w:name="_Toc132864217"/>
          <w:r>
            <w:t>Economic Risks:</w:t>
          </w:r>
          <w:bookmarkEnd w:id="47"/>
        </w:p>
        <w:p>
          <w:pPr>
            <w:spacing w:line="360" w:lineRule="auto"/>
            <w:jc w:val="both"/>
          </w:pPr>
          <w:bookmarkStart w:id="48" w:name="_Toc132864218"/>
          <w:r>
            <w:rPr>
              <w:rStyle w:val="44"/>
            </w:rPr>
            <w:t>Economic Growth:</w:t>
          </w:r>
          <w:bookmarkEnd w:id="48"/>
          <w:r>
            <w:t xml:space="preserve"> While China has experienced rapid economic growth over the past few decades, there are concerns about the sustainability of this growth (IMF, 2021). A slowdown in China's economy could impact consumer spending and, in turn, affect Toyota's sales and profitability.</w:t>
          </w:r>
        </w:p>
        <w:p>
          <w:pPr>
            <w:pStyle w:val="4"/>
            <w:spacing w:line="360" w:lineRule="auto"/>
          </w:pPr>
          <w:bookmarkStart w:id="49" w:name="_Toc132864219"/>
          <w:r>
            <w:t>Political Risks:</w:t>
          </w:r>
          <w:bookmarkEnd w:id="49"/>
        </w:p>
        <w:p>
          <w:pPr>
            <w:spacing w:line="360" w:lineRule="auto"/>
            <w:jc w:val="both"/>
          </w:pPr>
          <w:bookmarkStart w:id="50" w:name="_Toc132864220"/>
          <w:r>
            <w:rPr>
              <w:rStyle w:val="44"/>
            </w:rPr>
            <w:t>Regulatory Changes:</w:t>
          </w:r>
          <w:bookmarkEnd w:id="50"/>
          <w:r>
            <w:t xml:space="preserve"> The Chinese government frequently updates its regulations and policies in the automotive sector, which could impact Toyota's operations. For example, changes in emission standards, electric vehicle subsidies, or import tariffs could affect the company's market position and financial performance (Mengnan, 2023   ).</w:t>
          </w:r>
        </w:p>
        <w:p>
          <w:pPr>
            <w:spacing w:line="360" w:lineRule="auto"/>
            <w:jc w:val="both"/>
          </w:pPr>
          <w:bookmarkStart w:id="51" w:name="_Toc132864221"/>
          <w:r>
            <w:rPr>
              <w:rStyle w:val="44"/>
            </w:rPr>
            <w:t>Intellectual Property Rights</w:t>
          </w:r>
          <w:bookmarkEnd w:id="51"/>
          <w:r>
            <w:t>: Protecting intellectual property (IP) rights in China has been a challenge for foreign companies. Toyota needs to ensure that its technology is adequately protected and consider partnering with trusted local companies to minimize the risk of IP theft or infringement (Zhang, 2018).</w:t>
          </w:r>
        </w:p>
        <w:p>
          <w:pPr>
            <w:pStyle w:val="4"/>
            <w:spacing w:line="360" w:lineRule="auto"/>
          </w:pPr>
          <w:bookmarkStart w:id="52" w:name="_Toc132864222"/>
          <w:r>
            <w:t>Legal Risks:</w:t>
          </w:r>
          <w:bookmarkEnd w:id="52"/>
        </w:p>
        <w:p>
          <w:pPr>
            <w:spacing w:line="360" w:lineRule="auto"/>
            <w:jc w:val="both"/>
          </w:pPr>
          <w:bookmarkStart w:id="53" w:name="_Toc132864223"/>
          <w:r>
            <w:rPr>
              <w:rStyle w:val="44"/>
            </w:rPr>
            <w:t>Joint Venture Requirements:</w:t>
          </w:r>
          <w:bookmarkEnd w:id="53"/>
          <w:r>
            <w:t xml:space="preserve"> Foreign automakers, including Toyota, are required to form joint ventures with local partners in order to operate in China (Zhang, 2018). This can lead to risks related to technology transfer, loss of control over operations, and potential conflicts with local partners.</w:t>
          </w:r>
        </w:p>
        <w:p>
          <w:pPr>
            <w:spacing w:line="360" w:lineRule="auto"/>
            <w:jc w:val="both"/>
          </w:pPr>
          <w:bookmarkStart w:id="54" w:name="_Toc132864224"/>
          <w:r>
            <w:rPr>
              <w:rStyle w:val="44"/>
            </w:rPr>
            <w:t>Compliance with Local Laws and Regulations:</w:t>
          </w:r>
          <w:bookmarkEnd w:id="54"/>
          <w:r>
            <w:t xml:space="preserve"> Toyota must comply with various Chinese laws and regulations, such as labor laws, environmental regulations, and anti-corruption laws. Non-compliance can result in fines, penalties, and reputational damage.</w:t>
          </w:r>
        </w:p>
        <w:p>
          <w:pPr>
            <w:pStyle w:val="4"/>
            <w:spacing w:line="360" w:lineRule="auto"/>
          </w:pPr>
          <w:bookmarkStart w:id="55" w:name="_Toc132864225"/>
          <w:r>
            <w:t>Cultural Risks:</w:t>
          </w:r>
          <w:bookmarkEnd w:id="55"/>
        </w:p>
        <w:p>
          <w:pPr>
            <w:spacing w:line="360" w:lineRule="auto"/>
            <w:jc w:val="both"/>
          </w:pPr>
          <w:bookmarkStart w:id="56" w:name="_Toc132864226"/>
          <w:r>
            <w:rPr>
              <w:rStyle w:val="44"/>
            </w:rPr>
            <w:t>Cross-Cultural Management:</w:t>
          </w:r>
          <w:bookmarkEnd w:id="56"/>
          <w:r>
            <w:t xml:space="preserve"> Toyota must manage the cultural differences between its Japanese management and Chinese employees, suppliers, and partners. Misunderstandings and conflicts can arise due to differences in communication styles, decision-making processes, and attitudes towards hierarchy (Fang, 2006).</w:t>
          </w:r>
        </w:p>
        <w:p>
          <w:pPr>
            <w:pStyle w:val="4"/>
            <w:spacing w:line="360" w:lineRule="auto"/>
          </w:pPr>
          <w:bookmarkStart w:id="57" w:name="_Toc132864227"/>
          <w:r>
            <w:t>Competitive Risks:</w:t>
          </w:r>
          <w:bookmarkEnd w:id="57"/>
        </w:p>
        <w:p>
          <w:pPr>
            <w:spacing w:line="360" w:lineRule="auto"/>
            <w:jc w:val="both"/>
          </w:pPr>
          <w:bookmarkStart w:id="58" w:name="_Toc132864228"/>
          <w:r>
            <w:rPr>
              <w:rStyle w:val="44"/>
            </w:rPr>
            <w:t>Intense Competition:</w:t>
          </w:r>
          <w:bookmarkEnd w:id="58"/>
          <w:r>
            <w:rPr>
              <w:rStyle w:val="44"/>
            </w:rPr>
            <w:t xml:space="preserve"> </w:t>
          </w:r>
          <w:r>
            <w:t>The Chinese automotive market is highly competitive, with both global and domestic players. Toyota faces strong competition from brands like Volkswagen, General Motors, and local automakers like Geely and BYD. This intense competition can lead to price wars, eroding margins, and the need for continuous innovation to maintain market share (Yuan et al., 2013).</w:t>
          </w:r>
        </w:p>
        <w:p>
          <w:pPr>
            <w:spacing w:line="360" w:lineRule="auto"/>
            <w:jc w:val="both"/>
          </w:pPr>
          <w:bookmarkStart w:id="59" w:name="_Toc132864229"/>
          <w:r>
            <w:rPr>
              <w:rStyle w:val="44"/>
            </w:rPr>
            <w:t>Rapid Technological Advancements:</w:t>
          </w:r>
          <w:bookmarkEnd w:id="59"/>
          <w:r>
            <w:t xml:space="preserve"> China is at the forefront of technological advancements in electric vehicles, battery technology, and autonomous driving systems. Toyota must invest in research and </w:t>
          </w:r>
          <w:r>
            <w:rPr>
              <w:szCs w:val="24"/>
            </w:rPr>
            <w:t>development and collaborate with local technology companies to stay competitive in the market (</w:t>
          </w:r>
          <w:r>
            <w:rPr>
              <w:rFonts w:ascii="Arial" w:hAnsi="Arial" w:cs="Arial"/>
              <w:color w:val="222222"/>
              <w:szCs w:val="24"/>
              <w:shd w:val="clear" w:color="auto" w:fill="FFFFFF"/>
            </w:rPr>
            <w:t>Defraigne, 2014</w:t>
          </w:r>
          <w:r>
            <w:rPr>
              <w:szCs w:val="24"/>
            </w:rPr>
            <w:t>).</w:t>
          </w:r>
        </w:p>
        <w:p>
          <w:pPr>
            <w:pStyle w:val="4"/>
            <w:spacing w:line="360" w:lineRule="auto"/>
          </w:pPr>
          <w:bookmarkStart w:id="60" w:name="_Toc132864230"/>
          <w:r>
            <w:t>Supply Chain Risks:</w:t>
          </w:r>
          <w:bookmarkEnd w:id="60"/>
        </w:p>
        <w:p>
          <w:pPr>
            <w:spacing w:line="360" w:lineRule="auto"/>
            <w:jc w:val="both"/>
          </w:pPr>
          <w:bookmarkStart w:id="61" w:name="_Toc132864231"/>
          <w:r>
            <w:rPr>
              <w:rStyle w:val="44"/>
            </w:rPr>
            <w:t>Geopolitical Tensions:</w:t>
          </w:r>
          <w:bookmarkEnd w:id="61"/>
          <w:r>
            <w:t xml:space="preserve"> Geopolitical tensions between China and other countries, such as the US and Japan, can lead to trade disputes and disruptions in supply chains. Toyota must carefully manage its supply chain to minimize potential disruptions and ensure business continuity (Zhang, 2018).</w:t>
          </w:r>
        </w:p>
        <w:p>
          <w:pPr>
            <w:pStyle w:val="2"/>
            <w:spacing w:line="360" w:lineRule="auto"/>
          </w:pPr>
          <w:bookmarkStart w:id="62" w:name="_Toc132864232"/>
          <w:r>
            <w:t>Internal Analysis</w:t>
          </w:r>
          <w:bookmarkEnd w:id="62"/>
        </w:p>
        <w:p>
          <w:pPr>
            <w:pStyle w:val="3"/>
          </w:pPr>
          <w:bookmarkStart w:id="63" w:name="_Toc132864233"/>
          <w:r>
            <w:t>Global value chain</w:t>
          </w:r>
          <w:bookmarkEnd w:id="63"/>
        </w:p>
        <w:p>
          <w:pPr>
            <w:spacing w:after="160" w:line="360" w:lineRule="auto"/>
            <w:jc w:val="both"/>
          </w:pPr>
          <w:r>
            <w:t xml:space="preserve">Toyota Motor Corporation operates a global value chain, with production facilities and suppliers located around the world. The company's global value chain enables it to access different markets, leverage economies of scale, and reduce costs </w:t>
          </w:r>
          <w:r>
            <w:rPr>
              <w:szCs w:val="24"/>
            </w:rPr>
            <w:t>through specialized production and sourcing (</w:t>
          </w:r>
          <w:r>
            <w:rPr>
              <w:rFonts w:ascii="Arial" w:hAnsi="Arial" w:cs="Arial"/>
              <w:color w:val="222222"/>
              <w:szCs w:val="24"/>
              <w:shd w:val="clear" w:color="auto" w:fill="FFFFFF"/>
            </w:rPr>
            <w:t>Chopra et al., 2021)</w:t>
          </w:r>
          <w:r>
            <w:rPr>
              <w:szCs w:val="24"/>
            </w:rPr>
            <w:t>.</w:t>
          </w:r>
          <w:r>
            <w:t xml:space="preserve"> </w:t>
          </w:r>
        </w:p>
        <w:p>
          <w:pPr>
            <w:pStyle w:val="4"/>
            <w:spacing w:line="360" w:lineRule="auto"/>
          </w:pPr>
          <w:bookmarkStart w:id="64" w:name="_Toc132864234"/>
          <w:r>
            <w:t>Global Production</w:t>
          </w:r>
          <w:bookmarkEnd w:id="64"/>
        </w:p>
        <w:p>
          <w:pPr>
            <w:spacing w:after="160" w:line="360" w:lineRule="auto"/>
            <w:jc w:val="both"/>
          </w:pPr>
          <w:r>
            <w:t xml:space="preserve">Toyota's global production network consists of 67 production facilities in 28 countries, as of 2020 (Toyota Global, 2021). The company has adopted a regional production system, which allows it to tailor its production to regional markets' needs and preferences. </w:t>
          </w:r>
        </w:p>
        <w:p>
          <w:pPr>
            <w:spacing w:after="160" w:line="360" w:lineRule="auto"/>
            <w:jc w:val="both"/>
          </w:pPr>
          <w:r>
            <w:t>Toyota's global production system is based on the Toyota Production System (TPS), which emphasizes the elimination of waste, continuous improvement, and lean manufacturing (Monden, 2011).</w:t>
          </w:r>
        </w:p>
        <w:p>
          <w:pPr>
            <w:pStyle w:val="4"/>
            <w:spacing w:line="360" w:lineRule="auto"/>
          </w:pPr>
          <w:bookmarkStart w:id="65" w:name="_Toc132864235"/>
          <w:r>
            <w:t>Global Marketing</w:t>
          </w:r>
          <w:bookmarkEnd w:id="65"/>
        </w:p>
        <w:p>
          <w:pPr>
            <w:spacing w:after="160" w:line="360" w:lineRule="auto"/>
            <w:jc w:val="both"/>
            <w:rPr>
              <w:szCs w:val="24"/>
            </w:rPr>
          </w:pPr>
          <w:r>
            <w:t xml:space="preserve">Toyota's global marketing strategy focuses on building a strong brand, developing customer-centric products, and leveraging digital </w:t>
          </w:r>
          <w:r>
            <w:rPr>
              <w:szCs w:val="24"/>
            </w:rPr>
            <w:t>channels to reach consumers. The company's brand is known for its reliability, quality, and innovation. Toyota markets its products globally through various channels, including television, print, online, and social media (</w:t>
          </w:r>
          <w:r>
            <w:rPr>
              <w:rFonts w:ascii="Arial" w:hAnsi="Arial" w:cs="Arial"/>
              <w:color w:val="222222"/>
              <w:szCs w:val="24"/>
              <w:shd w:val="clear" w:color="auto" w:fill="FFFFFF"/>
            </w:rPr>
            <w:t>Güven, 2022)</w:t>
          </w:r>
          <w:r>
            <w:rPr>
              <w:szCs w:val="24"/>
            </w:rPr>
            <w:t>.</w:t>
          </w:r>
        </w:p>
        <w:p>
          <w:pPr>
            <w:spacing w:after="160" w:line="360" w:lineRule="auto"/>
            <w:jc w:val="both"/>
            <w:rPr>
              <w:szCs w:val="24"/>
            </w:rPr>
          </w:pPr>
          <w:r>
            <w:rPr>
              <w:szCs w:val="24"/>
            </w:rPr>
            <w:t>Toyota's global marketing strategy is based on regional marketing and product development (</w:t>
          </w:r>
          <w:r>
            <w:rPr>
              <w:rFonts w:ascii="Arial" w:hAnsi="Arial" w:cs="Arial"/>
              <w:color w:val="222222"/>
              <w:szCs w:val="24"/>
              <w:shd w:val="clear" w:color="auto" w:fill="FFFFFF"/>
            </w:rPr>
            <w:t>Paul, 2018)</w:t>
          </w:r>
          <w:r>
            <w:rPr>
              <w:szCs w:val="24"/>
            </w:rPr>
            <w:t>. The company develops and markets products that meet the needs and preferences of regional markets. Toyota has invested heavily in digital marketing, including social media and e-commerce, to reach younger consumers and enhance its customer experience (</w:t>
          </w:r>
          <w:r>
            <w:rPr>
              <w:rFonts w:ascii="Arial" w:hAnsi="Arial" w:cs="Arial"/>
              <w:color w:val="222222"/>
              <w:szCs w:val="24"/>
              <w:shd w:val="clear" w:color="auto" w:fill="FFFFFF"/>
            </w:rPr>
            <w:t>Taher, 2021)</w:t>
          </w:r>
          <w:r>
            <w:rPr>
              <w:szCs w:val="24"/>
            </w:rPr>
            <w:t>.</w:t>
          </w:r>
        </w:p>
        <w:p>
          <w:pPr>
            <w:pStyle w:val="4"/>
            <w:spacing w:line="360" w:lineRule="auto"/>
          </w:pPr>
          <w:bookmarkStart w:id="66" w:name="_Toc132864236"/>
          <w:r>
            <w:t>Global Human Resource Management</w:t>
          </w:r>
          <w:bookmarkEnd w:id="66"/>
        </w:p>
        <w:p>
          <w:pPr>
            <w:spacing w:after="160" w:line="360" w:lineRule="auto"/>
            <w:jc w:val="both"/>
          </w:pPr>
          <w:r>
            <w:t>Toyota's global human resource management (HRM) strategy focuses on developing a diverse and skilled workforce, fostering a culture of continuous improvement and innovation, and promoting employee engagement and satisfaction. The company's HRM practices are based on the Toyota Way, which emphasizes respect for people, teamwork, and Kaizen, or continuous improvement (Liker &amp; Hoseus, 2020).</w:t>
          </w:r>
        </w:p>
        <w:p>
          <w:pPr>
            <w:spacing w:after="160" w:line="360" w:lineRule="auto"/>
            <w:jc w:val="both"/>
          </w:pPr>
          <w:r>
            <w:rPr>
              <w:highlight w:val="yellow"/>
            </w:rPr>
            <w:t>Toyota's expansion from Japan to China highlights the significance of a well-executed global HRM strategy, as emphasized in (Rugman &amp; Collinson, 2021). As Toyota navigated the Chinese market, it successfully managed diverse workforces, incorporating cultural understanding and local talent development. The company's ability to align global HRM policies with local needs has contributed to its success in China, reflecting the principles outlined by Rugman and Collinson. Toyota's experience underscores the importance of adaptable HRM strategies in international business.</w:t>
          </w:r>
          <w:r>
            <w:t xml:space="preserve"> </w:t>
          </w:r>
        </w:p>
        <w:p>
          <w:pPr>
            <w:spacing w:after="160" w:line="360" w:lineRule="auto"/>
            <w:jc w:val="both"/>
          </w:pPr>
          <w:r>
            <w:t>In 2020, Toyota invested $400 million in a joint venture with Chinese electric vehicle manufacturer BYD to develop electric vehicles in China (Toyota Global, 2021). Toyota's global marketing campaign for the launch of the 2020 Toyota Supra included a partnership with the video game "Gran Turismo Sport" and the production of a short film featuring the Supra (Toyota USA Newsroom, 2020). This campaign targeted younger consumers and leveraged digital channels to promote the Supra's performance and design. Toyota's HRM practices were recognized by Fortune as one of the "World's Most Admired Companies" in 2020 (Toyota Newsroom, 2020).</w:t>
          </w:r>
        </w:p>
        <w:p>
          <w:pPr>
            <w:pStyle w:val="3"/>
          </w:pPr>
          <w:bookmarkStart w:id="67" w:name="_Toc132864237"/>
          <w:r>
            <w:t>SWOT analysis</w:t>
          </w:r>
          <w:bookmarkEnd w:id="67"/>
        </w:p>
        <w:p>
          <w:pPr>
            <w:pStyle w:val="4"/>
            <w:spacing w:line="360" w:lineRule="auto"/>
          </w:pPr>
          <w:bookmarkStart w:id="68" w:name="_Toc132864238"/>
          <w:r>
            <w:t>Strengths:</w:t>
          </w:r>
          <w:bookmarkEnd w:id="68"/>
        </w:p>
        <w:p>
          <w:pPr>
            <w:spacing w:line="360" w:lineRule="auto"/>
            <w:jc w:val="both"/>
          </w:pPr>
          <w:bookmarkStart w:id="69" w:name="_Toc132864239"/>
          <w:r>
            <w:rPr>
              <w:rStyle w:val="44"/>
            </w:rPr>
            <w:t>Strong Global Presence:</w:t>
          </w:r>
          <w:bookmarkEnd w:id="69"/>
          <w:r>
            <w:t xml:space="preserve"> Toyota has a strong global presence, with production facilities, sales networks, and suppliers located in different regions around the world. This global footprint enables Toyota to access different markets, leverage economies of scale, and reduce costs through specialized production and sourcing (Toyota Global, 2021).</w:t>
          </w:r>
        </w:p>
        <w:p>
          <w:pPr>
            <w:spacing w:line="360" w:lineRule="auto"/>
            <w:jc w:val="both"/>
          </w:pPr>
          <w:bookmarkStart w:id="70" w:name="_Toc132864240"/>
          <w:r>
            <w:rPr>
              <w:rStyle w:val="44"/>
            </w:rPr>
            <w:t>Strong R&amp;D Capabilities:</w:t>
          </w:r>
          <w:bookmarkEnd w:id="70"/>
          <w:r>
            <w:t xml:space="preserve"> Toyota has a strong research and development (R&amp;D) capability, with a focus on innovation and sustainability. The company has invested heavily in electric and hybrid vehicles, autonomous driving technology, and fuel cell technology, positioning itself as a leader in the rapidly evolving automotive industry (Toyota Global, 2021).</w:t>
          </w:r>
        </w:p>
        <w:p>
          <w:pPr>
            <w:pStyle w:val="4"/>
            <w:spacing w:line="360" w:lineRule="auto"/>
          </w:pPr>
          <w:bookmarkStart w:id="71" w:name="_Toc132864241"/>
          <w:r>
            <w:t>Weaknesses:</w:t>
          </w:r>
          <w:bookmarkEnd w:id="71"/>
        </w:p>
        <w:p>
          <w:pPr>
            <w:spacing w:line="360" w:lineRule="auto"/>
            <w:jc w:val="both"/>
          </w:pPr>
          <w:bookmarkStart w:id="72" w:name="_Toc132864242"/>
          <w:r>
            <w:rPr>
              <w:rStyle w:val="44"/>
            </w:rPr>
            <w:t>Dependence on Japanese Market:</w:t>
          </w:r>
          <w:bookmarkEnd w:id="72"/>
          <w:r>
            <w:t xml:space="preserve"> Toyota's dependence on the Japanese market is a weakness, as the Japanese market is relatively small and mature compared to other regions. This dependence limits Toyota's growth potential and exposes the company to economic and political risks in Japan (Statista, 2021).</w:t>
          </w:r>
        </w:p>
        <w:p>
          <w:pPr>
            <w:spacing w:line="360" w:lineRule="auto"/>
            <w:jc w:val="both"/>
          </w:pPr>
          <w:bookmarkStart w:id="73" w:name="_Toc132864243"/>
          <w:r>
            <w:rPr>
              <w:rStyle w:val="44"/>
            </w:rPr>
            <w:t>Product Recalls:</w:t>
          </w:r>
          <w:bookmarkEnd w:id="73"/>
          <w:r>
            <w:t xml:space="preserve"> Toyota has faced several product recalls in recent years, which have damaged the company's reputation and eroded consumer trust. These recalls have also resulted in significant financial costs and legal liabilities for the company (Cohen, 2019).</w:t>
          </w:r>
        </w:p>
        <w:p>
          <w:pPr>
            <w:pStyle w:val="4"/>
            <w:spacing w:line="360" w:lineRule="auto"/>
          </w:pPr>
          <w:bookmarkStart w:id="74" w:name="_Toc132864244"/>
          <w:r>
            <w:t>Opportunities:</w:t>
          </w:r>
          <w:bookmarkEnd w:id="74"/>
        </w:p>
        <w:p>
          <w:pPr>
            <w:spacing w:line="360" w:lineRule="auto"/>
            <w:jc w:val="both"/>
          </w:pPr>
          <w:bookmarkStart w:id="75" w:name="_Toc132864245"/>
          <w:r>
            <w:rPr>
              <w:rStyle w:val="44"/>
            </w:rPr>
            <w:t>Growth in Emerging Markets:</w:t>
          </w:r>
          <w:bookmarkEnd w:id="75"/>
          <w:r>
            <w:t xml:space="preserve"> Toyota has an opportunity to expand its presence in emerging markets, such as China, India, and Southeast Asia. These markets offer significant growth potential, as rising incomes and urbanization drive demand for automotive products (Statista, 2021).</w:t>
          </w:r>
        </w:p>
        <w:p>
          <w:pPr>
            <w:spacing w:line="360" w:lineRule="auto"/>
            <w:jc w:val="both"/>
          </w:pPr>
          <w:bookmarkStart w:id="76" w:name="_Toc132864246"/>
          <w:r>
            <w:rPr>
              <w:rStyle w:val="44"/>
            </w:rPr>
            <w:t>Electric and Autonomous Vehicles:</w:t>
          </w:r>
          <w:bookmarkEnd w:id="76"/>
          <w:r>
            <w:t xml:space="preserve"> Toyota has an opportunity to capitalize on the growing demand for electric and autonomous vehicles. The company has invested heavily in these technologies and has launched several electric and hybrid models in different regions (Toyota Global, 2021).</w:t>
          </w:r>
        </w:p>
        <w:p>
          <w:pPr>
            <w:pStyle w:val="4"/>
            <w:spacing w:line="360" w:lineRule="auto"/>
          </w:pPr>
          <w:bookmarkStart w:id="77" w:name="_Toc132864247"/>
          <w:r>
            <w:t>Threats:</w:t>
          </w:r>
          <w:bookmarkEnd w:id="77"/>
        </w:p>
        <w:p>
          <w:pPr>
            <w:spacing w:line="360" w:lineRule="auto"/>
            <w:jc w:val="both"/>
          </w:pPr>
          <w:bookmarkStart w:id="78" w:name="_Toc132864248"/>
          <w:r>
            <w:rPr>
              <w:rStyle w:val="44"/>
            </w:rPr>
            <w:t>Intense Competition:</w:t>
          </w:r>
          <w:bookmarkEnd w:id="78"/>
          <w:r>
            <w:t xml:space="preserve"> Toyota faces intense competition in the global automotive industry, from established players such as General Motors and Volkswagen, as well as new entrants such as Tesla and Chinese electric vehicle manufacturers. This competition puts pressure on Toyota to continuously innovate and maintain a competitive edge (Statista, 2021).</w:t>
          </w:r>
        </w:p>
        <w:p>
          <w:pPr>
            <w:spacing w:line="360" w:lineRule="auto"/>
            <w:jc w:val="both"/>
          </w:pPr>
          <w:bookmarkStart w:id="79" w:name="_Toc132864249"/>
          <w:r>
            <w:rPr>
              <w:rStyle w:val="44"/>
            </w:rPr>
            <w:t>Economic and Political Risks:</w:t>
          </w:r>
          <w:bookmarkEnd w:id="79"/>
          <w:r>
            <w:t xml:space="preserve"> Toyota is exposed to economic and political risks in different regions around the world. Economic downturns, trade disputes, and regulatory changes can impact the company's operations and profitability (Toyota Global, 2021).</w:t>
          </w:r>
        </w:p>
        <w:p>
          <w:pPr>
            <w:spacing w:line="360" w:lineRule="auto"/>
            <w:jc w:val="both"/>
          </w:pPr>
          <w:r>
            <w:t>In 2019, Toyota faced a recall of 2.9 million vehicles in the US due to a defect in the airbag control unit. This recall was a significant setback for Toyota's reputation and financial performance, as the company had to pay significant compensation and legal costs (Cohen, 2019).</w:t>
          </w:r>
        </w:p>
        <w:p>
          <w:pPr>
            <w:pStyle w:val="2"/>
            <w:spacing w:line="360" w:lineRule="auto"/>
          </w:pPr>
          <w:bookmarkStart w:id="80" w:name="_Toc132864250"/>
          <w:r>
            <w:t>International Strategies</w:t>
          </w:r>
          <w:bookmarkEnd w:id="80"/>
          <w:r>
            <w:t xml:space="preserve"> </w:t>
          </w:r>
        </w:p>
        <w:p>
          <w:pPr>
            <w:pStyle w:val="3"/>
          </w:pPr>
          <w:bookmarkStart w:id="81" w:name="_Toc132864251"/>
          <w:r>
            <w:t>Global Value Chain:</w:t>
          </w:r>
          <w:bookmarkEnd w:id="81"/>
        </w:p>
        <w:p>
          <w:pPr>
            <w:spacing w:line="360" w:lineRule="auto"/>
            <w:jc w:val="both"/>
          </w:pPr>
          <w:r>
            <w:t>Toyota's global value chain strategy focuses on integrating its production, logistics, and supply chain operations across different regions to achieve greater efficiency and flexibility. The company's regional production system allows it to tailor its production to regional markets' needs and preferences while maintaining consistent quality and efficiency. Toyota's global supply chain network comprises more than 4,000 suppliers located in different regions, enabling the company to access high-quality components and reduce costs through global sourcing (Toyota Global, 2021).</w:t>
          </w:r>
        </w:p>
        <w:p>
          <w:pPr>
            <w:pStyle w:val="3"/>
          </w:pPr>
          <w:bookmarkStart w:id="82" w:name="_Toc132864252"/>
          <w:r>
            <w:t>Global Production:</w:t>
          </w:r>
          <w:bookmarkEnd w:id="82"/>
        </w:p>
        <w:p>
          <w:pPr>
            <w:spacing w:line="360" w:lineRule="auto"/>
            <w:jc w:val="both"/>
          </w:pPr>
          <w:r>
            <w:t>Toyota's global production strategy is based on the principle of "localization," which involves producing vehicles close to the markets where they are sold. The company has production facilities in different regions around the world, including North America, Europe, Asia, and Latin America (</w:t>
          </w:r>
          <w:r>
            <w:rPr>
              <w:rFonts w:ascii="Arial" w:hAnsi="Arial" w:cs="Arial"/>
              <w:color w:val="222222"/>
              <w:sz w:val="20"/>
              <w:szCs w:val="20"/>
              <w:shd w:val="clear" w:color="auto" w:fill="FFFFFF"/>
            </w:rPr>
            <w:t>Cassetta, 2015)</w:t>
          </w:r>
          <w:r>
            <w:t>. Toyota's regional production system enables it to leverage economies of scale, reduce costs, and respond quickly to changing market demands. For example, Toyota's production facility in Tianjin, China, produces different models tailored to the Chinese market's needs and preferences, such as the Corolla and Levin (Toyota Global, 2021).</w:t>
          </w:r>
        </w:p>
        <w:p>
          <w:pPr>
            <w:pStyle w:val="3"/>
          </w:pPr>
          <w:bookmarkStart w:id="83" w:name="_Toc132864253"/>
          <w:r>
            <w:t>Global Marketing:</w:t>
          </w:r>
          <w:bookmarkEnd w:id="83"/>
        </w:p>
        <w:p>
          <w:pPr>
            <w:spacing w:line="360" w:lineRule="auto"/>
            <w:jc w:val="both"/>
          </w:pPr>
          <w:r>
            <w:t>Toyota's global marketing strategy focuses on building a strong brand, developing customer-centric products, and leveraging digital channels to reach consumers. The company's marketing campaigns emphasize Toyota's quality, reliability, and innovation, highlighting its commitment to sustainability and safety. Toyota also invests heavily in R&amp;D and innovation, developing new technologies and products to meet changing customer needs and preferences. For example, Toyota launched the Prius Prime, an electric vehicle with a range of 25 miles on battery power and a total range of 640 miles, in the US in 2016 (Toyota USA Newsroom, 2016).</w:t>
          </w:r>
        </w:p>
        <w:p>
          <w:pPr>
            <w:pStyle w:val="3"/>
          </w:pPr>
          <w:bookmarkStart w:id="84" w:name="_Toc132864254"/>
          <w:r>
            <w:t>Global HRM:</w:t>
          </w:r>
          <w:bookmarkEnd w:id="84"/>
        </w:p>
        <w:p>
          <w:pPr>
            <w:spacing w:line="360" w:lineRule="auto"/>
            <w:jc w:val="both"/>
          </w:pPr>
          <w:r>
            <w:t>Toyota's global HRM strategy is based on the Toyota Way, which emphasizes respect for people, teamwork, and continuous improvement. The company's HRM practices are designed to develop and retain talented employees, foster a culture of innovation and learning, and promote diversity and inclusion. Toyota also invests in training and development programs to enhance employees' skills and knowledge, enabling them to contribute to the company's success in different regions around the world (</w:t>
          </w:r>
          <w:r>
            <w:rPr>
              <w:rFonts w:ascii="Arial" w:hAnsi="Arial" w:cs="Arial"/>
              <w:color w:val="222222"/>
              <w:sz w:val="20"/>
              <w:szCs w:val="20"/>
              <w:shd w:val="clear" w:color="auto" w:fill="FFFFFF"/>
            </w:rPr>
            <w:t>Matsuo, 2015)</w:t>
          </w:r>
          <w:r>
            <w:t xml:space="preserve">. </w:t>
          </w:r>
        </w:p>
        <w:p>
          <w:pPr>
            <w:spacing w:line="360" w:lineRule="auto"/>
            <w:jc w:val="both"/>
          </w:pPr>
          <w:r>
            <w:t xml:space="preserve">In 2020, Toyota announced that it would invest $2 billion to develop electric vehicles in Indonesia over the next five years (Potkin, 2019). This investment is part of Toyota's strategy to expand its presence in Southeast Asia and capitalize on the region's growth potential (Toyota Global, 2021). In 2019, Toyota announced a joint venture with Chinese electric vehicle manufacturer BYD to develop electric vehicles and related components. This collaboration enables Toyota to leverage BYD's expertise in electric vehicles and gain access to the Chinese market, which is the world's largest market for electric vehicles (Toyota Global, 2021). </w:t>
          </w:r>
        </w:p>
        <w:p>
          <w:pPr>
            <w:pStyle w:val="2"/>
            <w:spacing w:line="360" w:lineRule="auto"/>
          </w:pPr>
          <w:bookmarkStart w:id="85" w:name="_Toc132864255"/>
          <w:r>
            <w:t>Entry Modes</w:t>
          </w:r>
          <w:bookmarkEnd w:id="85"/>
        </w:p>
        <w:p>
          <w:pPr>
            <w:pStyle w:val="3"/>
          </w:pPr>
          <w:bookmarkStart w:id="86" w:name="_Toc132864256"/>
          <w:r>
            <w:t>Joint Ventures:</w:t>
          </w:r>
          <w:bookmarkEnd w:id="86"/>
        </w:p>
        <w:p>
          <w:pPr>
            <w:spacing w:line="360" w:lineRule="auto"/>
            <w:jc w:val="both"/>
            <w:rPr>
              <w:lang w:eastAsia="ja-JP"/>
            </w:rPr>
          </w:pPr>
          <w:r>
            <w:rPr>
              <w:lang w:eastAsia="ja-JP"/>
            </w:rPr>
            <w:t>Joint ventures involve a partnership between two or more companies to pursue a common goal, such as entering a new market or developing a new product. Toyota has used joint ventures to enter new markets, such as China and India, where regulations and cultural differences make it challenging for foreign companies to establish a presence (Henisz et al., 2013). For example, Toyota has a joint venture with Guangzhou Automobile Group (GAC) in China, which enables the company to produce and sell vehicles under the Toyota brand in the country. This joint venture has enabled Toyota to access local expertise, gain market knowledge, and reduce risks associated with operating in a foreign market (Toyota Global, 2021).</w:t>
          </w:r>
        </w:p>
        <w:p>
          <w:pPr>
            <w:pStyle w:val="3"/>
          </w:pPr>
          <w:bookmarkStart w:id="87" w:name="_Toc132864257"/>
          <w:r>
            <w:t>Wholly-Owned Subsidiaries:</w:t>
          </w:r>
          <w:bookmarkEnd w:id="87"/>
        </w:p>
        <w:p>
          <w:pPr>
            <w:spacing w:line="360" w:lineRule="auto"/>
            <w:jc w:val="both"/>
            <w:rPr>
              <w:lang w:eastAsia="ja-JP"/>
            </w:rPr>
          </w:pPr>
          <w:r>
            <w:rPr>
              <w:lang w:eastAsia="ja-JP"/>
            </w:rPr>
            <w:t>Wholly-owned subsidiaries involve establishing a new company in a foreign market that is wholly-owned and controlled by the parent company. Toyota has used wholly-owned subsidiaries to enter new markets where it has significant market potential and wants to have full control over operations. For example, Toyota established a wholly-owned subsidiary in Indonesia in 1971, which has become one of the company's largest production bases in the region (Toyota Global, 2021).</w:t>
          </w:r>
        </w:p>
        <w:p>
          <w:pPr>
            <w:pStyle w:val="3"/>
          </w:pPr>
          <w:bookmarkStart w:id="88" w:name="_Toc132864258"/>
          <w:r>
            <w:t>Licensing Agreements:</w:t>
          </w:r>
          <w:bookmarkEnd w:id="88"/>
        </w:p>
        <w:p>
          <w:pPr>
            <w:spacing w:line="360" w:lineRule="auto"/>
            <w:jc w:val="both"/>
            <w:rPr>
              <w:lang w:eastAsia="ja-JP"/>
            </w:rPr>
          </w:pPr>
          <w:r>
            <w:rPr>
              <w:lang w:eastAsia="ja-JP"/>
            </w:rPr>
            <w:t>Licensing agreements involve granting the rights to use a company's technology, brand, or product to another company in exchange for fees or royalties. Toyota has licensed its hybrid technology to other companies, such as Nissan and Mazda, to promote the adoption of hybrid vehicles and reduce greenhouse gas emissions (Toyota Global, 2021). Licensing agreements enable Toyota to generate additional revenue streams and promote the adoption of its technology and products in different regions around the world.</w:t>
          </w:r>
        </w:p>
        <w:p>
          <w:pPr>
            <w:spacing w:line="360" w:lineRule="auto"/>
            <w:jc w:val="both"/>
            <w:rPr>
              <w:lang w:eastAsia="ja-JP"/>
            </w:rPr>
          </w:pPr>
          <w:r>
            <w:rPr>
              <w:lang w:eastAsia="ja-JP"/>
            </w:rPr>
            <w:t>In 2019, Toyota announced that it would invest $500 million in Uber to develop self-driving cars. This investment is part of Toyota's strategy to collaborate with other companies and stakeholders to promote innovation and technology development in the automotive industry (Toyota Global, 2021).</w:t>
          </w:r>
        </w:p>
        <w:p>
          <w:pPr>
            <w:pStyle w:val="2"/>
            <w:spacing w:line="360" w:lineRule="auto"/>
          </w:pPr>
          <w:bookmarkStart w:id="89" w:name="_Toc132864259"/>
          <w:r>
            <w:t>Corporate Social Responsibility</w:t>
          </w:r>
          <w:bookmarkEnd w:id="89"/>
          <w:r>
            <w:t xml:space="preserve"> </w:t>
          </w:r>
        </w:p>
        <w:p>
          <w:pPr>
            <w:pStyle w:val="3"/>
          </w:pPr>
          <w:bookmarkStart w:id="90" w:name="_Toc132864260"/>
          <w:r>
            <w:t>Environmental Initiatives:</w:t>
          </w:r>
          <w:bookmarkEnd w:id="90"/>
        </w:p>
        <w:p>
          <w:pPr>
            <w:spacing w:line="360" w:lineRule="auto"/>
            <w:jc w:val="both"/>
          </w:pPr>
          <w:r>
            <w:t>Toyota has a long-standing commitment to environmental sustainability and has implemented various programs and initiatives to reduce its carbon footprint and promote sustainable practices. For example, the company has invested heavily in hybrid and electric vehicle technology, which has helped to reduce greenhouse gas emissions and promote the adoption of cleaner transportation (Toyota Global, 2021). Additionally, Toyota has implemented a range of sustainable manufacturing practices, such as reducing waste and water usage, and increasing energy efficiency in its factories and production processes (Toyota Global, 2021).</w:t>
          </w:r>
        </w:p>
        <w:p>
          <w:pPr>
            <w:pStyle w:val="3"/>
          </w:pPr>
          <w:bookmarkStart w:id="91" w:name="_Toc132864261"/>
          <w:r>
            <w:t>Community Involvement:</w:t>
          </w:r>
          <w:bookmarkEnd w:id="91"/>
        </w:p>
        <w:p>
          <w:pPr>
            <w:spacing w:line="360" w:lineRule="auto"/>
            <w:jc w:val="both"/>
          </w:pPr>
          <w:r>
            <w:t>Toyota has also demonstrated a strong commitment to community involvement and social responsibility, both locally and globally. For example, the company has established the Toyota Global Vision, which outlines its commitment to social and environmental sustainability and aims to create a more prosperous society through its business operations (Toyota Global, 2021). Additionally, Toyota has implemented various community outreach and philanthropic programs, such as the Toyota Foundation, which supports social and cultural initiatives in different regions around the world (Toyota Global, 2021).</w:t>
          </w:r>
        </w:p>
        <w:p>
          <w:pPr>
            <w:pStyle w:val="3"/>
          </w:pPr>
          <w:bookmarkStart w:id="92" w:name="_Toc132864262"/>
          <w:r>
            <w:t>Ethical Business Practices:</w:t>
          </w:r>
          <w:bookmarkEnd w:id="92"/>
        </w:p>
        <w:p>
          <w:pPr>
            <w:spacing w:line="360" w:lineRule="auto"/>
            <w:jc w:val="both"/>
          </w:pPr>
          <w:r>
            <w:t xml:space="preserve">Toyota has also implemented various ethical business practices and compliance programs to promote responsible and transparent business operations. For example, the company has established a Code of Conduct, which outlines its commitment to ethical business practices and compliance with local laws and regulations (Toyota Global, 2021). </w:t>
          </w:r>
        </w:p>
        <w:p>
          <w:pPr>
            <w:spacing w:line="360" w:lineRule="auto"/>
            <w:jc w:val="both"/>
          </w:pPr>
          <w:r>
            <w:t>In 2019, Toyota announced a partnership with the Wildlife Conservation Society (WCS) to promote sustainable forestry practices and protect wildlife habitats in the Asia-Pacific region. This partnership aims to reduce deforestation and promote sustainable forest management practices, which will benefit both the environment and local communities (Toyota Global, 2021). Toyota has also implemented various environmental initiatives in different regions around the world. For example, the company has installed solar panels at its factories in different regions to reduce energy consumption and promote renewable energy sources (Toyota Global, 2021).</w:t>
          </w:r>
        </w:p>
        <w:p>
          <w:pPr>
            <w:pStyle w:val="2"/>
            <w:spacing w:line="360" w:lineRule="auto"/>
          </w:pPr>
          <w:bookmarkStart w:id="93" w:name="_Toc132864263"/>
          <w:r>
            <w:t>Conclusion</w:t>
          </w:r>
          <w:bookmarkEnd w:id="93"/>
        </w:p>
        <w:p>
          <w:pPr>
            <w:spacing w:line="360" w:lineRule="auto"/>
            <w:jc w:val="both"/>
          </w:pPr>
          <w:r>
            <w:t>In conclusion, this report has provided a comprehensive analysis of Toyota Company in both its home country Japan and host country China, covering a wide range of analytical frameworks and perspectives. Through this analysis, it is evident that Toyota has been successful in leveraging its core competencies, resources, and capabilities to become one of the leading players in the global automotive industry, analysis helped to identify Toyota's strengths, weaknesses, opportunities, and threats in the global market. Furthermore, the report analyzed Toyota's entry modes, international strategies, and corporate social responsibility practices in the international context. This analysis provided insight into how Toyota has successfully expanded its business globally, while maintaining its core values and commitment to sustainability and social responsibility.</w:t>
          </w:r>
        </w:p>
        <w:p>
          <w:pPr>
            <w:spacing w:line="360" w:lineRule="auto"/>
            <w:jc w:val="both"/>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spacing w:line="360" w:lineRule="auto"/>
            <w:jc w:val="both"/>
            <w:rPr>
              <w:rFonts w:asciiTheme="majorBidi" w:hAnsiTheme="majorBidi" w:cstheme="majorBidi"/>
            </w:rPr>
          </w:pPr>
        </w:p>
        <w:p>
          <w:pPr>
            <w:pStyle w:val="2"/>
            <w:spacing w:line="360" w:lineRule="auto"/>
            <w:rPr>
              <w:rFonts w:asciiTheme="majorBidi" w:hAnsiTheme="majorBidi" w:cstheme="majorBidi"/>
            </w:rPr>
          </w:pPr>
          <w:bookmarkStart w:id="94" w:name="_Toc132864264"/>
          <w:r>
            <w:rPr>
              <w:rFonts w:asciiTheme="majorBidi" w:hAnsiTheme="majorBidi" w:cstheme="majorBidi"/>
            </w:rPr>
            <w:t>References</w:t>
          </w:r>
          <w:bookmarkEnd w:id="94"/>
          <w:r>
            <w:rPr>
              <w:rFonts w:asciiTheme="majorBidi" w:hAnsiTheme="majorBidi" w:cstheme="majorBidi"/>
            </w:rPr>
            <w:t xml:space="preserve"> </w:t>
          </w:r>
          <w:bookmarkStart w:id="95" w:name="_Hlk131646161"/>
        </w:p>
        <w:bookmarkEnd w:id="95"/>
        <w:p>
          <w:pPr>
            <w:pStyle w:val="17"/>
            <w:ind w:left="567" w:hanging="567"/>
            <w:rPr>
              <w:rFonts w:asciiTheme="majorBidi" w:hAnsiTheme="majorBidi" w:cstheme="majorBidi"/>
            </w:rPr>
          </w:pPr>
          <w:r>
            <w:rPr>
              <w:rFonts w:asciiTheme="majorBidi" w:hAnsiTheme="majorBidi" w:cstheme="majorBidi"/>
            </w:rPr>
            <w:t xml:space="preserve">BBC (2015) </w:t>
          </w:r>
          <w:r>
            <w:rPr>
              <w:rFonts w:asciiTheme="majorBidi" w:hAnsiTheme="majorBidi" w:cstheme="majorBidi"/>
              <w:i/>
              <w:iCs/>
            </w:rPr>
            <w:t>Toyota plans to all but stop making carbon emitting cars by 2050</w:t>
          </w:r>
          <w:r>
            <w:rPr>
              <w:rFonts w:asciiTheme="majorBidi" w:hAnsiTheme="majorBidi" w:cstheme="majorBidi"/>
            </w:rPr>
            <w:t xml:space="preserve">, </w:t>
          </w:r>
          <w:r>
            <w:rPr>
              <w:rFonts w:asciiTheme="majorBidi" w:hAnsiTheme="majorBidi" w:cstheme="majorBidi"/>
              <w:i/>
              <w:iCs/>
            </w:rPr>
            <w:t>BBC News</w:t>
          </w:r>
          <w:r>
            <w:rPr>
              <w:rFonts w:asciiTheme="majorBidi" w:hAnsiTheme="majorBidi" w:cstheme="majorBidi"/>
            </w:rPr>
            <w:t xml:space="preserve">. BBC. Available at: https://www.bbc.com/news/business-34527431 (Accessed: March 21, 2023). </w:t>
          </w:r>
        </w:p>
        <w:p>
          <w:pPr>
            <w:pStyle w:val="17"/>
            <w:ind w:left="567" w:hanging="567"/>
            <w:rPr>
              <w:rFonts w:asciiTheme="majorBidi" w:hAnsiTheme="majorBidi" w:cstheme="majorBidi"/>
            </w:rPr>
          </w:pPr>
          <w:r>
            <w:rPr>
              <w:rFonts w:asciiTheme="majorBidi" w:hAnsiTheme="majorBidi" w:cstheme="majorBidi"/>
            </w:rPr>
            <w:t xml:space="preserve">Carlier, M. (2022) </w:t>
          </w:r>
          <w:r>
            <w:rPr>
              <w:rFonts w:asciiTheme="majorBidi" w:hAnsiTheme="majorBidi" w:cstheme="majorBidi"/>
              <w:i/>
              <w:iCs/>
            </w:rPr>
            <w:t>Leading car companies based on Worldwide Vehicle Sales</w:t>
          </w:r>
          <w:r>
            <w:rPr>
              <w:rFonts w:asciiTheme="majorBidi" w:hAnsiTheme="majorBidi" w:cstheme="majorBidi"/>
            </w:rPr>
            <w:t xml:space="preserve">, </w:t>
          </w:r>
          <w:r>
            <w:rPr>
              <w:rFonts w:asciiTheme="majorBidi" w:hAnsiTheme="majorBidi" w:cstheme="majorBidi"/>
              <w:i/>
              <w:iCs/>
            </w:rPr>
            <w:t>Statista</w:t>
          </w:r>
          <w:r>
            <w:rPr>
              <w:rFonts w:asciiTheme="majorBidi" w:hAnsiTheme="majorBidi" w:cstheme="majorBidi"/>
            </w:rPr>
            <w:t xml:space="preserve">. Available at: https://www.statista.com/statistics/268977/global-leading-car-companies-based-on-worldwide-vehicle (Accessed: April 6, 2023). </w:t>
          </w:r>
        </w:p>
        <w:p>
          <w:pPr>
            <w:pStyle w:val="17"/>
            <w:ind w:left="567" w:hanging="567"/>
            <w:rPr>
              <w:rFonts w:asciiTheme="majorBidi" w:hAnsiTheme="majorBidi" w:cstheme="majorBidi"/>
            </w:rPr>
          </w:pPr>
          <w:r>
            <w:rPr>
              <w:rFonts w:asciiTheme="majorBidi" w:hAnsiTheme="majorBidi" w:cstheme="majorBidi"/>
            </w:rPr>
            <w:t xml:space="preserve">Carlier, M. (2022) </w:t>
          </w:r>
          <w:r>
            <w:rPr>
              <w:rFonts w:asciiTheme="majorBidi" w:hAnsiTheme="majorBidi" w:cstheme="majorBidi"/>
              <w:i/>
              <w:iCs/>
            </w:rPr>
            <w:t>Toyota Motor Corporation</w:t>
          </w:r>
          <w:r>
            <w:rPr>
              <w:rFonts w:asciiTheme="majorBidi" w:hAnsiTheme="majorBidi" w:cstheme="majorBidi"/>
            </w:rPr>
            <w:t xml:space="preserve">, </w:t>
          </w:r>
          <w:r>
            <w:rPr>
              <w:rFonts w:asciiTheme="majorBidi" w:hAnsiTheme="majorBidi" w:cstheme="majorBidi"/>
              <w:i/>
              <w:iCs/>
            </w:rPr>
            <w:t>Statista</w:t>
          </w:r>
          <w:r>
            <w:rPr>
              <w:rFonts w:asciiTheme="majorBidi" w:hAnsiTheme="majorBidi" w:cstheme="majorBidi"/>
            </w:rPr>
            <w:t xml:space="preserve">. Available at: https://www.statista.com/topics/1893/toyota/ (Accessed: March 13, 2023). </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Cassetta, M.A., 2015. Toyota Motor Corporation: A Global Expansion.</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Central Intelligence Agency (CIA). (2021). The World Factbook: Japan. Retrieved from </w:t>
          </w:r>
          <w:r>
            <w:fldChar w:fldCharType="begin"/>
          </w:r>
          <w:r>
            <w:instrText xml:space="preserve"> HYPERLINK "https://www.cia.gov/the-world-factbook/countries/japan/" </w:instrText>
          </w:r>
          <w:r>
            <w:fldChar w:fldCharType="separate"/>
          </w:r>
          <w:r>
            <w:rPr>
              <w:rStyle w:val="16"/>
              <w:rFonts w:asciiTheme="majorBidi" w:hAnsiTheme="majorBidi" w:cstheme="majorBidi"/>
              <w:szCs w:val="24"/>
            </w:rPr>
            <w:t>https://www.cia.gov/the-world-factbook/countries/japan/</w:t>
          </w:r>
          <w:r>
            <w:rPr>
              <w:rStyle w:val="16"/>
              <w:rFonts w:asciiTheme="majorBidi" w:hAnsiTheme="majorBidi" w:cstheme="majorBidi"/>
              <w:szCs w:val="24"/>
            </w:rPr>
            <w:fldChar w:fldCharType="end"/>
          </w:r>
          <w:r>
            <w:rPr>
              <w:rFonts w:asciiTheme="majorBidi" w:hAnsiTheme="majorBidi" w:cstheme="majorBidi"/>
              <w:szCs w:val="24"/>
            </w:rPr>
            <w:t xml:space="preserve"> </w:t>
          </w:r>
        </w:p>
        <w:p>
          <w:pPr>
            <w:spacing w:line="240" w:lineRule="auto"/>
            <w:ind w:left="720" w:hanging="720"/>
            <w:rPr>
              <w:rFonts w:asciiTheme="majorBidi" w:hAnsiTheme="majorBidi" w:cstheme="majorBidi"/>
              <w:szCs w:val="24"/>
            </w:rPr>
          </w:pPr>
          <w:r>
            <w:rPr>
              <w:rFonts w:asciiTheme="majorBidi" w:hAnsiTheme="majorBidi" w:cstheme="majorBidi"/>
              <w:szCs w:val="24"/>
            </w:rPr>
            <w:t>China Daily. (2018). China's car-sharing market expands fast. Retrieved from http://www.chinadaily.com.cn/a/201801/10/WS5a55a558a3102c394518f2a6.html</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Chopra, S., Sodhi, M. and Lücker, F., 2021. Achieving supply chain efficiency and resilience by using multi‐level commons. </w:t>
          </w:r>
          <w:r>
            <w:rPr>
              <w:rFonts w:asciiTheme="majorBidi" w:hAnsiTheme="majorBidi" w:cstheme="majorBidi"/>
              <w:i/>
              <w:iCs/>
              <w:color w:val="222222"/>
              <w:shd w:val="clear" w:color="auto" w:fill="FFFFFF"/>
            </w:rPr>
            <w:t>Decision Sciences</w:t>
          </w:r>
          <w:r>
            <w:rPr>
              <w:rFonts w:asciiTheme="majorBidi" w:hAnsiTheme="majorBidi" w:cstheme="majorBidi"/>
              <w:color w:val="222222"/>
              <w:shd w:val="clear" w:color="auto" w:fill="FFFFFF"/>
            </w:rPr>
            <w:t>, </w:t>
          </w:r>
          <w:r>
            <w:rPr>
              <w:rFonts w:asciiTheme="majorBidi" w:hAnsiTheme="majorBidi" w:cstheme="majorBidi"/>
              <w:i/>
              <w:iCs/>
              <w:color w:val="222222"/>
              <w:shd w:val="clear" w:color="auto" w:fill="FFFFFF"/>
            </w:rPr>
            <w:t>52</w:t>
          </w:r>
          <w:r>
            <w:rPr>
              <w:rFonts w:asciiTheme="majorBidi" w:hAnsiTheme="majorBidi" w:cstheme="majorBidi"/>
              <w:color w:val="222222"/>
              <w:shd w:val="clear" w:color="auto" w:fill="FFFFFF"/>
            </w:rPr>
            <w:t>(4), pp.817-832.</w:t>
          </w:r>
        </w:p>
        <w:p>
          <w:pPr>
            <w:pStyle w:val="17"/>
            <w:ind w:left="567" w:hanging="567"/>
            <w:rPr>
              <w:rFonts w:asciiTheme="majorBidi" w:hAnsiTheme="majorBidi" w:cstheme="majorBidi"/>
            </w:rPr>
          </w:pPr>
          <w:r>
            <w:rPr>
              <w:rFonts w:asciiTheme="majorBidi" w:hAnsiTheme="majorBidi" w:cstheme="majorBidi"/>
            </w:rPr>
            <w:t xml:space="preserve">Clifford, J. (2015) </w:t>
          </w:r>
          <w:r>
            <w:rPr>
              <w:rFonts w:asciiTheme="majorBidi" w:hAnsiTheme="majorBidi" w:cstheme="majorBidi"/>
              <w:i/>
              <w:iCs/>
            </w:rPr>
            <w:t>History of the Toyota Prius</w:t>
          </w:r>
          <w:r>
            <w:rPr>
              <w:rFonts w:asciiTheme="majorBidi" w:hAnsiTheme="majorBidi" w:cstheme="majorBidi"/>
            </w:rPr>
            <w:t xml:space="preserve">, </w:t>
          </w:r>
          <w:r>
            <w:rPr>
              <w:rFonts w:asciiTheme="majorBidi" w:hAnsiTheme="majorBidi" w:cstheme="majorBidi"/>
              <w:i/>
              <w:iCs/>
            </w:rPr>
            <w:t>Toyota UK Magazine</w:t>
          </w:r>
          <w:r>
            <w:rPr>
              <w:rFonts w:asciiTheme="majorBidi" w:hAnsiTheme="majorBidi" w:cstheme="majorBidi"/>
            </w:rPr>
            <w:t xml:space="preserve">. Available at: https://mag.toyota.co.uk/history-toyota-prius/ (Accessed: March 21, 2023). </w:t>
          </w:r>
        </w:p>
        <w:p>
          <w:pPr>
            <w:pStyle w:val="17"/>
            <w:ind w:left="567" w:hanging="567"/>
            <w:rPr>
              <w:rFonts w:asciiTheme="majorBidi" w:hAnsiTheme="majorBidi" w:cstheme="majorBidi"/>
            </w:rPr>
          </w:pPr>
          <w:r>
            <w:rPr>
              <w:rFonts w:asciiTheme="majorBidi" w:hAnsiTheme="majorBidi" w:cstheme="majorBidi"/>
            </w:rPr>
            <w:t xml:space="preserve">Clifford, J. (2021) </w:t>
          </w:r>
          <w:r>
            <w:rPr>
              <w:rFonts w:asciiTheme="majorBidi" w:hAnsiTheme="majorBidi" w:cstheme="majorBidi"/>
              <w:i/>
              <w:iCs/>
            </w:rPr>
            <w:t>What is the Toyota Environmental Challenge 2050?</w:t>
          </w:r>
          <w:r>
            <w:rPr>
              <w:rFonts w:asciiTheme="majorBidi" w:hAnsiTheme="majorBidi" w:cstheme="majorBidi"/>
            </w:rPr>
            <w:t xml:space="preserve">, </w:t>
          </w:r>
          <w:r>
            <w:rPr>
              <w:rFonts w:asciiTheme="majorBidi" w:hAnsiTheme="majorBidi" w:cstheme="majorBidi"/>
              <w:i/>
              <w:iCs/>
            </w:rPr>
            <w:t>Toyota UK Magazine</w:t>
          </w:r>
          <w:r>
            <w:rPr>
              <w:rFonts w:asciiTheme="majorBidi" w:hAnsiTheme="majorBidi" w:cstheme="majorBidi"/>
            </w:rPr>
            <w:t xml:space="preserve">. Available at: https://mag.toyota.co.uk/toyota-environmental-challenge-2050/ (Accessed: March 21, 2023). </w:t>
          </w:r>
        </w:p>
        <w:p>
          <w:pPr>
            <w:pStyle w:val="17"/>
            <w:ind w:left="567" w:hanging="567"/>
            <w:rPr>
              <w:rFonts w:asciiTheme="majorBidi" w:hAnsiTheme="majorBidi" w:cstheme="majorBidi"/>
            </w:rPr>
          </w:pPr>
          <w:r>
            <w:rPr>
              <w:rFonts w:asciiTheme="majorBidi" w:hAnsiTheme="majorBidi" w:cstheme="majorBidi"/>
            </w:rPr>
            <w:t xml:space="preserve">CNBC (2017) </w:t>
          </w:r>
          <w:r>
            <w:rPr>
              <w:rFonts w:asciiTheme="majorBidi" w:hAnsiTheme="majorBidi" w:cstheme="majorBidi"/>
              <w:i/>
              <w:iCs/>
            </w:rPr>
            <w:t>Japan's Toyota, Mazda and Denso to tie up to develop electric vehicles</w:t>
          </w:r>
          <w:r>
            <w:rPr>
              <w:rFonts w:asciiTheme="majorBidi" w:hAnsiTheme="majorBidi" w:cstheme="majorBidi"/>
            </w:rPr>
            <w:t xml:space="preserve">, </w:t>
          </w:r>
          <w:r>
            <w:rPr>
              <w:rFonts w:asciiTheme="majorBidi" w:hAnsiTheme="majorBidi" w:cstheme="majorBidi"/>
              <w:i/>
              <w:iCs/>
            </w:rPr>
            <w:t>CNBC</w:t>
          </w:r>
          <w:r>
            <w:rPr>
              <w:rFonts w:asciiTheme="majorBidi" w:hAnsiTheme="majorBidi" w:cstheme="majorBidi"/>
            </w:rPr>
            <w:t xml:space="preserve">. CNBC. Available at: https://www.cnbc.com/2017/09/27/toyota-mazda-denso-to-form-joint-venture-to-develop-electric-vehicles.html (Accessed: March 21, 2023). </w:t>
          </w:r>
        </w:p>
        <w:p>
          <w:pPr>
            <w:spacing w:line="240" w:lineRule="auto"/>
            <w:ind w:left="720" w:hanging="720"/>
            <w:rPr>
              <w:rFonts w:asciiTheme="majorBidi" w:hAnsiTheme="majorBidi" w:cstheme="majorBidi"/>
              <w:szCs w:val="24"/>
            </w:rPr>
          </w:pPr>
          <w:r>
            <w:rPr>
              <w:rFonts w:asciiTheme="majorBidi" w:hAnsiTheme="majorBidi" w:cstheme="majorBidi"/>
              <w:szCs w:val="24"/>
            </w:rPr>
            <w:t>Cohen, J. (2019). Toyota recalls 2.9 million vehicles over airbag defect. Retrieved from https://www.cnn.com/2019/01/30/business/toyota-airbag-recall/index.html</w:t>
          </w:r>
        </w:p>
        <w:p>
          <w:pPr>
            <w:pStyle w:val="17"/>
            <w:ind w:left="567" w:hanging="567"/>
            <w:rPr>
              <w:rFonts w:asciiTheme="majorBidi" w:hAnsiTheme="majorBidi" w:cstheme="majorBidi"/>
            </w:rPr>
          </w:pPr>
          <w:r>
            <w:rPr>
              <w:rFonts w:asciiTheme="majorBidi" w:hAnsiTheme="majorBidi" w:cstheme="majorBidi"/>
            </w:rPr>
            <w:t xml:space="preserve">CompaniesMarketCap.com (2023) </w:t>
          </w:r>
          <w:r>
            <w:rPr>
              <w:rFonts w:asciiTheme="majorBidi" w:hAnsiTheme="majorBidi" w:cstheme="majorBidi"/>
              <w:i/>
              <w:iCs/>
            </w:rPr>
            <w:t>Toyota (TM) - market capitalization</w:t>
          </w:r>
          <w:r>
            <w:rPr>
              <w:rFonts w:asciiTheme="majorBidi" w:hAnsiTheme="majorBidi" w:cstheme="majorBidi"/>
            </w:rPr>
            <w:t xml:space="preserve">, </w:t>
          </w:r>
          <w:r>
            <w:rPr>
              <w:rFonts w:asciiTheme="majorBidi" w:hAnsiTheme="majorBidi" w:cstheme="majorBidi"/>
              <w:i/>
              <w:iCs/>
            </w:rPr>
            <w:t>CompaniesMarketCap.com - companies ranked by market capitalization</w:t>
          </w:r>
          <w:r>
            <w:rPr>
              <w:rFonts w:asciiTheme="majorBidi" w:hAnsiTheme="majorBidi" w:cstheme="majorBidi"/>
            </w:rPr>
            <w:t xml:space="preserve">. Available at: https://companiesmarketcap.com/toyota/marketcap/. (Accessed: March 13, 2023). </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Cusumano, M.A., Holweg, M., Howell, J., Netland, T., Shah, R., Shook, J., Ward, P. and Womack, J., 2021. Commentaries on “The Lenses of Lean”. </w:t>
          </w:r>
          <w:r>
            <w:rPr>
              <w:rFonts w:asciiTheme="majorBidi" w:hAnsiTheme="majorBidi" w:cstheme="majorBidi"/>
              <w:i/>
              <w:iCs/>
              <w:color w:val="222222"/>
              <w:shd w:val="clear" w:color="auto" w:fill="FFFFFF"/>
            </w:rPr>
            <w:t>Journal of Operations Management</w:t>
          </w:r>
          <w:r>
            <w:rPr>
              <w:rFonts w:asciiTheme="majorBidi" w:hAnsiTheme="majorBidi" w:cstheme="majorBidi"/>
              <w:color w:val="222222"/>
              <w:shd w:val="clear" w:color="auto" w:fill="FFFFFF"/>
            </w:rPr>
            <w:t>, </w:t>
          </w:r>
          <w:r>
            <w:rPr>
              <w:rFonts w:asciiTheme="majorBidi" w:hAnsiTheme="majorBidi" w:cstheme="majorBidi"/>
              <w:i/>
              <w:iCs/>
              <w:color w:val="222222"/>
              <w:shd w:val="clear" w:color="auto" w:fill="FFFFFF"/>
            </w:rPr>
            <w:t>67</w:t>
          </w:r>
          <w:r>
            <w:rPr>
              <w:rFonts w:asciiTheme="majorBidi" w:hAnsiTheme="majorBidi" w:cstheme="majorBidi"/>
              <w:color w:val="222222"/>
              <w:shd w:val="clear" w:color="auto" w:fill="FFFFFF"/>
            </w:rPr>
            <w:t>(5), pp.627-639.</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highlight w:val="yellow"/>
              <w:shd w:val="clear" w:color="auto" w:fill="FFFFFF"/>
            </w:rPr>
            <w:t>Daniels, J. D., Radebaugh, L. H., &amp; Sullivan, D. P. (2018). International Business: Environments and Operations. Pearson.</w:t>
          </w:r>
        </w:p>
        <w:p>
          <w:pPr>
            <w:spacing w:line="240" w:lineRule="auto"/>
            <w:ind w:left="720" w:hanging="720"/>
            <w:rPr>
              <w:rFonts w:asciiTheme="majorBidi" w:hAnsiTheme="majorBidi" w:cstheme="majorBidi"/>
              <w:szCs w:val="24"/>
            </w:rPr>
          </w:pPr>
          <w:r>
            <w:rPr>
              <w:rFonts w:asciiTheme="majorBidi" w:hAnsiTheme="majorBidi" w:cstheme="majorBidi"/>
              <w:color w:val="222222"/>
              <w:szCs w:val="24"/>
              <w:shd w:val="clear" w:color="auto" w:fill="FFFFFF"/>
            </w:rPr>
            <w:t>Defraigne, J.C., 2014. China’s industrial policy. </w:t>
          </w:r>
          <w:r>
            <w:rPr>
              <w:rFonts w:asciiTheme="majorBidi" w:hAnsiTheme="majorBidi" w:cstheme="majorBidi"/>
              <w:i/>
              <w:iCs/>
              <w:color w:val="222222"/>
              <w:szCs w:val="24"/>
              <w:shd w:val="clear" w:color="auto" w:fill="FFFFFF"/>
            </w:rPr>
            <w:t>ECRAN Short Term Policy Brief</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81</w:t>
          </w:r>
          <w:r>
            <w:rPr>
              <w:rFonts w:asciiTheme="majorBidi" w:hAnsiTheme="majorBidi" w:cstheme="majorBidi"/>
              <w:color w:val="222222"/>
              <w:szCs w:val="24"/>
              <w:shd w:val="clear" w:color="auto" w:fill="FFFFFF"/>
            </w:rPr>
            <w:t>, pp.17-32.</w:t>
          </w:r>
          <w:r>
            <w:rPr>
              <w:rFonts w:asciiTheme="majorBidi" w:hAnsiTheme="majorBidi" w:cstheme="majorBidi"/>
              <w:szCs w:val="24"/>
            </w:rPr>
            <w:t>.</w:t>
          </w:r>
        </w:p>
        <w:p>
          <w:pPr>
            <w:spacing w:line="240" w:lineRule="auto"/>
            <w:ind w:left="720" w:hanging="720"/>
            <w:rPr>
              <w:rFonts w:asciiTheme="majorBidi" w:hAnsiTheme="majorBidi" w:cstheme="majorBidi"/>
              <w:szCs w:val="24"/>
            </w:rPr>
          </w:pPr>
          <w:r>
            <w:rPr>
              <w:rFonts w:asciiTheme="majorBidi" w:hAnsiTheme="majorBidi" w:cstheme="majorBidi"/>
              <w:szCs w:val="24"/>
            </w:rPr>
            <w:t>Deloitte. (2017). 2017 China Auto Consumer Report. Retrieved from https://www2.deloitte.com/cn/en/pages/consumer-business/articles/china-auto-consumer-report-2017.html</w:t>
          </w:r>
        </w:p>
        <w:p>
          <w:pPr>
            <w:spacing w:line="240" w:lineRule="auto"/>
            <w:ind w:left="720" w:hanging="720"/>
            <w:rPr>
              <w:rFonts w:asciiTheme="majorBidi" w:hAnsiTheme="majorBidi" w:cstheme="majorBidi"/>
              <w:szCs w:val="24"/>
            </w:rPr>
          </w:pPr>
          <w:r>
            <w:rPr>
              <w:rFonts w:asciiTheme="majorBidi" w:hAnsiTheme="majorBidi" w:cstheme="majorBidi"/>
              <w:szCs w:val="24"/>
            </w:rPr>
            <w:t>Fang, T. (2006). Negotiation: The Chinese style. Journal of Business &amp; Industrial Marketing, 21(1), 50-60.</w:t>
          </w:r>
        </w:p>
        <w:p>
          <w:pPr>
            <w:pStyle w:val="17"/>
            <w:ind w:left="567" w:hanging="567"/>
            <w:rPr>
              <w:rFonts w:asciiTheme="majorBidi" w:hAnsiTheme="majorBidi" w:cstheme="majorBidi"/>
            </w:rPr>
          </w:pPr>
          <w:r>
            <w:rPr>
              <w:rFonts w:asciiTheme="majorBidi" w:hAnsiTheme="majorBidi" w:cstheme="majorBidi"/>
            </w:rPr>
            <w:t xml:space="preserve">Frangoul, A. (2022) </w:t>
          </w:r>
          <w:r>
            <w:rPr>
              <w:rFonts w:asciiTheme="majorBidi" w:hAnsiTheme="majorBidi" w:cstheme="majorBidi"/>
              <w:i/>
              <w:iCs/>
            </w:rPr>
            <w:t>Toyota secures funding to develop hydrogen fuel cell version of its Hilux pickup in the UK</w:t>
          </w:r>
          <w:r>
            <w:rPr>
              <w:rFonts w:asciiTheme="majorBidi" w:hAnsiTheme="majorBidi" w:cstheme="majorBidi"/>
            </w:rPr>
            <w:t xml:space="preserve">, </w:t>
          </w:r>
          <w:r>
            <w:rPr>
              <w:rFonts w:asciiTheme="majorBidi" w:hAnsiTheme="majorBidi" w:cstheme="majorBidi"/>
              <w:i/>
              <w:iCs/>
            </w:rPr>
            <w:t>CNBC</w:t>
          </w:r>
          <w:r>
            <w:rPr>
              <w:rFonts w:asciiTheme="majorBidi" w:hAnsiTheme="majorBidi" w:cstheme="majorBidi"/>
            </w:rPr>
            <w:t xml:space="preserve">. CNBC. Available at: https://www.cnbc.com/2022/12/02/toyota-secures-funding-to-develop-hydrogen-fuel-cell-version-of-hilux.html (Accessed: March 21, 2023). </w:t>
          </w:r>
        </w:p>
        <w:p>
          <w:pPr>
            <w:spacing w:line="240" w:lineRule="auto"/>
            <w:ind w:left="720" w:hanging="720"/>
            <w:rPr>
              <w:rFonts w:asciiTheme="majorBidi" w:hAnsiTheme="majorBidi" w:cstheme="majorBidi"/>
              <w:szCs w:val="24"/>
              <w:highlight w:val="yellow"/>
            </w:rPr>
          </w:pPr>
          <w:r>
            <w:rPr>
              <w:rFonts w:asciiTheme="majorBidi" w:hAnsiTheme="majorBidi" w:cstheme="majorBidi"/>
              <w:szCs w:val="24"/>
              <w:highlight w:val="yellow"/>
            </w:rPr>
            <w:t>Fujimoto, T. (1999). The evolution of a manufacturing system at Toyota. Oxford University Press.</w:t>
          </w:r>
        </w:p>
        <w:p>
          <w:pPr>
            <w:spacing w:line="240" w:lineRule="auto"/>
            <w:ind w:left="720" w:hanging="720"/>
            <w:rPr>
              <w:rFonts w:asciiTheme="majorBidi" w:hAnsiTheme="majorBidi" w:cstheme="majorBidi"/>
              <w:szCs w:val="24"/>
            </w:rPr>
          </w:pPr>
          <w:r>
            <w:rPr>
              <w:rFonts w:asciiTheme="majorBidi" w:hAnsiTheme="majorBidi" w:cstheme="majorBidi"/>
              <w:szCs w:val="24"/>
              <w:highlight w:val="yellow"/>
            </w:rPr>
            <w:t>Fujimoto, T. (2007). Competing to be really, really good: The behind-the-scenes drama of capability-building competition in the automobile industry. Tokyo: Iwanami Shoten.</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Güven, E., 2022. Digital Evolution in Brand Communication. In </w:t>
          </w:r>
          <w:r>
            <w:rPr>
              <w:rFonts w:asciiTheme="majorBidi" w:hAnsiTheme="majorBidi" w:cstheme="majorBidi"/>
              <w:i/>
              <w:iCs/>
              <w:color w:val="222222"/>
              <w:shd w:val="clear" w:color="auto" w:fill="FFFFFF"/>
            </w:rPr>
            <w:t>Impact of Digital Transformation on the Development of New Business Models and Consumer Experience</w:t>
          </w:r>
          <w:r>
            <w:rPr>
              <w:rFonts w:asciiTheme="majorBidi" w:hAnsiTheme="majorBidi" w:cstheme="majorBidi"/>
              <w:color w:val="222222"/>
              <w:shd w:val="clear" w:color="auto" w:fill="FFFFFF"/>
            </w:rPr>
            <w:t> (pp. 231-252). IGI Global.</w:t>
          </w:r>
        </w:p>
        <w:p>
          <w:pPr>
            <w:spacing w:line="240" w:lineRule="auto"/>
            <w:ind w:left="720" w:hanging="720"/>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HARIKRISHNAN, R., 2021. </w:t>
          </w:r>
          <w:r>
            <w:rPr>
              <w:rFonts w:asciiTheme="majorBidi" w:hAnsiTheme="majorBidi" w:cstheme="majorBidi"/>
              <w:i/>
              <w:iCs/>
              <w:color w:val="222222"/>
              <w:szCs w:val="24"/>
              <w:shd w:val="clear" w:color="auto" w:fill="FFFFFF"/>
            </w:rPr>
            <w:t>A STUDY ON JUST IN TIME PRATICE AT TOYOTA</w:t>
          </w:r>
          <w:r>
            <w:rPr>
              <w:rFonts w:asciiTheme="majorBidi" w:hAnsiTheme="majorBidi" w:cstheme="majorBidi"/>
              <w:color w:val="222222"/>
              <w:szCs w:val="24"/>
              <w:shd w:val="clear" w:color="auto" w:fill="FFFFFF"/>
            </w:rPr>
            <w:t> (Doctoral dissertation, Mahatma Gandhi University).</w:t>
          </w:r>
        </w:p>
        <w:p>
          <w:pPr>
            <w:spacing w:line="240" w:lineRule="auto"/>
            <w:ind w:left="720" w:hanging="720"/>
            <w:rPr>
              <w:rFonts w:asciiTheme="majorBidi" w:hAnsiTheme="majorBidi" w:cstheme="majorBidi"/>
              <w:szCs w:val="24"/>
            </w:rPr>
          </w:pPr>
          <w:r>
            <w:rPr>
              <w:rFonts w:asciiTheme="majorBidi" w:hAnsiTheme="majorBidi" w:cstheme="majorBidi"/>
              <w:szCs w:val="24"/>
            </w:rPr>
            <w:t>Henisz, W. J., Dorobantu, S., &amp; Nartey, L. J. (2013). Spinning gold: The financial returns to stakeholder engagement. Strategic Management Journal, 34(3), 297-316.</w:t>
          </w:r>
        </w:p>
        <w:p>
          <w:pPr>
            <w:spacing w:line="240" w:lineRule="auto"/>
            <w:ind w:left="720" w:hanging="720"/>
            <w:rPr>
              <w:rFonts w:asciiTheme="majorBidi" w:hAnsiTheme="majorBidi" w:cstheme="majorBidi"/>
              <w:szCs w:val="24"/>
            </w:rPr>
          </w:pPr>
          <w:r>
            <w:rPr>
              <w:rFonts w:ascii="Arial" w:hAnsi="Arial" w:cs="Arial"/>
              <w:color w:val="222222"/>
              <w:sz w:val="20"/>
              <w:szCs w:val="20"/>
              <w:shd w:val="clear" w:color="auto" w:fill="FFFFFF"/>
            </w:rPr>
            <w:t>Horwitz, F. M., &amp; Mellahi, K. (2018). Human resource management in emerging markets. </w:t>
          </w:r>
          <w:r>
            <w:rPr>
              <w:rFonts w:ascii="Arial" w:hAnsi="Arial" w:cs="Arial"/>
              <w:i/>
              <w:iCs/>
              <w:color w:val="222222"/>
              <w:sz w:val="20"/>
              <w:szCs w:val="20"/>
              <w:shd w:val="clear" w:color="auto" w:fill="FFFFFF"/>
            </w:rPr>
            <w:t>Human Resource Management</w:t>
          </w:r>
          <w:r>
            <w:rPr>
              <w:rFonts w:ascii="Arial" w:hAnsi="Arial" w:cs="Arial"/>
              <w:color w:val="222222"/>
              <w:sz w:val="20"/>
              <w:szCs w:val="20"/>
              <w:shd w:val="clear" w:color="auto" w:fill="FFFFFF"/>
            </w:rPr>
            <w:t>, 337-357.</w:t>
          </w:r>
        </w:p>
        <w:p>
          <w:pPr>
            <w:spacing w:line="240" w:lineRule="auto"/>
            <w:ind w:left="720" w:hanging="720"/>
            <w:rPr>
              <w:rFonts w:asciiTheme="majorBidi" w:hAnsiTheme="majorBidi" w:cstheme="majorBidi"/>
              <w:szCs w:val="24"/>
            </w:rPr>
          </w:pPr>
          <w:r>
            <w:rPr>
              <w:rFonts w:asciiTheme="majorBidi" w:hAnsiTheme="majorBidi" w:cstheme="majorBidi"/>
              <w:szCs w:val="24"/>
            </w:rPr>
            <w:t>Imai, M. (1986). Kaizen: The key to Japan's competitive success. Random House Business Division.</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IMF. (2021). World Economic Outlook Database, April 2021. Retrieved from </w:t>
          </w:r>
          <w:r>
            <w:fldChar w:fldCharType="begin"/>
          </w:r>
          <w:r>
            <w:instrText xml:space="preserve"> HYPERLINK "https://www.imf.org/en/Publications/WEO/weo-database/2021/April" </w:instrText>
          </w:r>
          <w:r>
            <w:fldChar w:fldCharType="separate"/>
          </w:r>
          <w:r>
            <w:rPr>
              <w:rStyle w:val="16"/>
              <w:rFonts w:asciiTheme="majorBidi" w:hAnsiTheme="majorBidi" w:cstheme="majorBidi"/>
              <w:szCs w:val="24"/>
            </w:rPr>
            <w:t>https://www.imf.org/en/Publications/WEO/weo-database/2021/April</w:t>
          </w:r>
          <w:r>
            <w:rPr>
              <w:rStyle w:val="16"/>
              <w:rFonts w:asciiTheme="majorBidi" w:hAnsiTheme="majorBidi" w:cstheme="majorBidi"/>
              <w:szCs w:val="24"/>
            </w:rPr>
            <w:fldChar w:fldCharType="end"/>
          </w:r>
          <w:r>
            <w:rPr>
              <w:rFonts w:asciiTheme="majorBidi" w:hAnsiTheme="majorBidi" w:cstheme="majorBidi"/>
              <w:szCs w:val="24"/>
            </w:rPr>
            <w:t xml:space="preserve"> </w:t>
          </w:r>
        </w:p>
        <w:p>
          <w:pPr>
            <w:spacing w:line="240" w:lineRule="auto"/>
            <w:ind w:left="720" w:hanging="720"/>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Jeffrey K.. Liker and Michael, H., 2008. </w:t>
          </w:r>
          <w:r>
            <w:rPr>
              <w:rFonts w:asciiTheme="majorBidi" w:hAnsiTheme="majorBidi" w:cstheme="majorBidi"/>
              <w:i/>
              <w:iCs/>
              <w:color w:val="222222"/>
              <w:szCs w:val="24"/>
              <w:shd w:val="clear" w:color="auto" w:fill="FFFFFF"/>
            </w:rPr>
            <w:t>Toyota culture: the heart and soul of the Toyota way</w:t>
          </w:r>
          <w:r>
            <w:rPr>
              <w:rFonts w:asciiTheme="majorBidi" w:hAnsiTheme="majorBidi" w:cstheme="majorBidi"/>
              <w:color w:val="222222"/>
              <w:szCs w:val="24"/>
              <w:shd w:val="clear" w:color="auto" w:fill="FFFFFF"/>
            </w:rPr>
            <w:t>. Mc Graw-Hill.</w:t>
          </w:r>
        </w:p>
        <w:p>
          <w:pPr>
            <w:pStyle w:val="17"/>
            <w:ind w:left="567" w:hanging="567"/>
            <w:rPr>
              <w:rFonts w:asciiTheme="majorBidi" w:hAnsiTheme="majorBidi" w:cstheme="majorBidi"/>
            </w:rPr>
          </w:pPr>
          <w:r>
            <w:rPr>
              <w:rFonts w:asciiTheme="majorBidi" w:hAnsiTheme="majorBidi" w:cstheme="majorBidi"/>
            </w:rPr>
            <w:t xml:space="preserve">Jian, Y. (2022) </w:t>
          </w:r>
          <w:r>
            <w:rPr>
              <w:rFonts w:asciiTheme="majorBidi" w:hAnsiTheme="majorBidi" w:cstheme="majorBidi"/>
              <w:i/>
              <w:iCs/>
            </w:rPr>
            <w:t>Toyota shines in a tough year</w:t>
          </w:r>
          <w:r>
            <w:rPr>
              <w:rFonts w:asciiTheme="majorBidi" w:hAnsiTheme="majorBidi" w:cstheme="majorBidi"/>
            </w:rPr>
            <w:t xml:space="preserve">, </w:t>
          </w:r>
          <w:r>
            <w:rPr>
              <w:rFonts w:asciiTheme="majorBidi" w:hAnsiTheme="majorBidi" w:cstheme="majorBidi"/>
              <w:i/>
              <w:iCs/>
            </w:rPr>
            <w:t>Automotive News</w:t>
          </w:r>
          <w:r>
            <w:rPr>
              <w:rFonts w:asciiTheme="majorBidi" w:hAnsiTheme="majorBidi" w:cstheme="majorBidi"/>
            </w:rPr>
            <w:t xml:space="preserve">. Available at: https://www.autonews.com/china-commentary/toyota-shines-tough-china-market (Accessed: April 6, 2023). </w:t>
          </w:r>
        </w:p>
        <w:p>
          <w:pPr>
            <w:spacing w:line="240" w:lineRule="auto"/>
            <w:ind w:left="567" w:hanging="567"/>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Jotov, M.D., 2021. Multinational corporate relations in Japanese company Toyota with overlook on cooperation with Philippines. </w:t>
          </w:r>
          <w:r>
            <w:rPr>
              <w:rFonts w:asciiTheme="majorBidi" w:hAnsiTheme="majorBidi" w:cstheme="majorBidi"/>
              <w:i/>
              <w:iCs/>
              <w:color w:val="222222"/>
              <w:szCs w:val="24"/>
              <w:shd w:val="clear" w:color="auto" w:fill="FFFFFF"/>
            </w:rPr>
            <w:t>Baština</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31</w:t>
          </w:r>
          <w:r>
            <w:rPr>
              <w:rFonts w:asciiTheme="majorBidi" w:hAnsiTheme="majorBidi" w:cstheme="majorBidi"/>
              <w:color w:val="222222"/>
              <w:szCs w:val="24"/>
              <w:shd w:val="clear" w:color="auto" w:fill="FFFFFF"/>
            </w:rPr>
            <w:t>(53).</w:t>
          </w:r>
        </w:p>
        <w:p>
          <w:pPr>
            <w:pStyle w:val="17"/>
            <w:ind w:left="567" w:hanging="567"/>
            <w:rPr>
              <w:rFonts w:asciiTheme="majorBidi" w:hAnsiTheme="majorBidi" w:cstheme="majorBidi"/>
            </w:rPr>
          </w:pPr>
          <w:r>
            <w:rPr>
              <w:rFonts w:asciiTheme="majorBidi" w:hAnsiTheme="majorBidi" w:cstheme="majorBidi"/>
            </w:rPr>
            <w:t xml:space="preserve">Kajimoto, T. (2020) </w:t>
          </w:r>
          <w:r>
            <w:rPr>
              <w:rFonts w:asciiTheme="majorBidi" w:hAnsiTheme="majorBidi" w:cstheme="majorBidi"/>
              <w:i/>
              <w:iCs/>
            </w:rPr>
            <w:t>Japan to extend tax breaks to green investment, low-emission cars</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https://www.reuters.com/article/us-japan-economy-tax-idUKKBN28J35S (Accessed: April 6, 2023). </w:t>
          </w:r>
        </w:p>
        <w:p>
          <w:pPr>
            <w:spacing w:line="240" w:lineRule="auto"/>
            <w:ind w:left="567" w:hanging="567"/>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Kaneko, H., Vlad, C., Takahashi, T., Ishida, H. and Sugiyama, K., 2021. TOYOTA MOTOR CORPORATION'S LEGACY OF TRANSFORMATION BEHIND THE GLOBAL BUSINESS GROWTH STRATEGY. </w:t>
          </w:r>
          <w:r>
            <w:rPr>
              <w:rFonts w:asciiTheme="majorBidi" w:hAnsiTheme="majorBidi" w:cstheme="majorBidi"/>
              <w:i/>
              <w:iCs/>
              <w:color w:val="222222"/>
              <w:szCs w:val="24"/>
              <w:shd w:val="clear" w:color="auto" w:fill="FFFFFF"/>
            </w:rPr>
            <w:t>Romanian Economic and Business Review</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16</w:t>
          </w:r>
          <w:r>
            <w:rPr>
              <w:rFonts w:asciiTheme="majorBidi" w:hAnsiTheme="majorBidi" w:cstheme="majorBidi"/>
              <w:color w:val="222222"/>
              <w:szCs w:val="24"/>
              <w:shd w:val="clear" w:color="auto" w:fill="FFFFFF"/>
            </w:rPr>
            <w:t>(2), pp.66-78.</w:t>
          </w:r>
        </w:p>
        <w:p>
          <w:pPr>
            <w:spacing w:line="240" w:lineRule="auto"/>
            <w:ind w:left="567" w:hanging="567"/>
            <w:rPr>
              <w:rFonts w:asciiTheme="majorBidi" w:hAnsiTheme="majorBidi" w:cstheme="majorBidi"/>
              <w:color w:val="222222"/>
              <w:szCs w:val="24"/>
              <w:shd w:val="clear" w:color="auto" w:fill="FFFFFF"/>
            </w:rPr>
          </w:pPr>
          <w:r>
            <w:rPr>
              <w:rFonts w:ascii="Arial" w:hAnsi="Arial" w:cs="Arial"/>
              <w:color w:val="222222"/>
              <w:sz w:val="20"/>
              <w:szCs w:val="20"/>
              <w:shd w:val="clear" w:color="auto" w:fill="FFFFFF"/>
            </w:rPr>
            <w:t>Liao, K., Marsillac, E., Johnson, E., &amp; Liao, Y. (2011). Global supply chain adaptations to improve financial performance: supply base establishment and logistics integration. </w:t>
          </w:r>
          <w:r>
            <w:rPr>
              <w:rFonts w:ascii="Arial" w:hAnsi="Arial" w:cs="Arial"/>
              <w:i/>
              <w:iCs/>
              <w:color w:val="222222"/>
              <w:sz w:val="20"/>
              <w:szCs w:val="20"/>
              <w:shd w:val="clear" w:color="auto" w:fill="FFFFFF"/>
            </w:rPr>
            <w:t>Journal of Manufacturing Technology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(2), 204-222.</w:t>
          </w:r>
        </w:p>
        <w:p>
          <w:pPr>
            <w:spacing w:line="240" w:lineRule="auto"/>
            <w:ind w:left="720" w:hanging="720"/>
            <w:rPr>
              <w:rFonts w:asciiTheme="majorBidi" w:hAnsiTheme="majorBidi" w:cstheme="majorBidi"/>
              <w:szCs w:val="24"/>
            </w:rPr>
          </w:pPr>
          <w:r>
            <w:rPr>
              <w:rFonts w:asciiTheme="majorBidi" w:hAnsiTheme="majorBidi" w:cstheme="majorBidi"/>
              <w:szCs w:val="24"/>
            </w:rPr>
            <w:t>Liker, J. K. (2004). The Toyota way: 14 management principles from the world's greatest manufacturer. McGraw-Hill.</w:t>
          </w:r>
        </w:p>
        <w:p>
          <w:pPr>
            <w:spacing w:line="240" w:lineRule="auto"/>
            <w:ind w:left="720" w:hanging="720"/>
            <w:rPr>
              <w:rFonts w:asciiTheme="majorBidi" w:hAnsiTheme="majorBidi" w:cstheme="majorBidi"/>
              <w:szCs w:val="24"/>
            </w:rPr>
          </w:pPr>
          <w:r>
            <w:rPr>
              <w:rFonts w:asciiTheme="majorBidi" w:hAnsiTheme="majorBidi" w:cstheme="majorBidi"/>
              <w:szCs w:val="24"/>
            </w:rPr>
            <w:t>Liker, J. K., &amp; Hoseus, M. (2020). Toyota Culture: The Heart and Soul of the Toyota Way. McGraw Hill Professional.</w:t>
          </w:r>
        </w:p>
        <w:p>
          <w:pPr>
            <w:spacing w:line="240" w:lineRule="auto"/>
            <w:ind w:left="567" w:hanging="567"/>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Liker, J.K., 2021. </w:t>
          </w:r>
          <w:r>
            <w:rPr>
              <w:rFonts w:asciiTheme="majorBidi" w:hAnsiTheme="majorBidi" w:cstheme="majorBidi"/>
              <w:i/>
              <w:iCs/>
              <w:color w:val="222222"/>
              <w:szCs w:val="24"/>
              <w:shd w:val="clear" w:color="auto" w:fill="FFFFFF"/>
            </w:rPr>
            <w:t>Toyota way: 14 management principles from the world's greatest manufacturer</w:t>
          </w:r>
          <w:r>
            <w:rPr>
              <w:rFonts w:asciiTheme="majorBidi" w:hAnsiTheme="majorBidi" w:cstheme="majorBidi"/>
              <w:color w:val="222222"/>
              <w:szCs w:val="24"/>
              <w:shd w:val="clear" w:color="auto" w:fill="FFFFFF"/>
            </w:rPr>
            <w:t>. McGraw-Hill Education.</w:t>
          </w:r>
        </w:p>
        <w:p>
          <w:pPr>
            <w:spacing w:line="240" w:lineRule="auto"/>
            <w:ind w:left="720" w:hanging="720"/>
            <w:rPr>
              <w:rFonts w:asciiTheme="majorBidi" w:hAnsiTheme="majorBidi" w:cstheme="majorBidi"/>
              <w:szCs w:val="24"/>
            </w:rPr>
          </w:pPr>
          <w:r>
            <w:rPr>
              <w:rFonts w:asciiTheme="majorBidi" w:hAnsiTheme="majorBidi" w:cstheme="majorBidi"/>
              <w:szCs w:val="24"/>
            </w:rPr>
            <w:t>Lincoln, J. R., &amp; Gerlach, M. L. (2004). Japan's network economy: Structure, persistence, and change. Cambridge University Press.</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Luo, Y., Wu, Y., Li, B., Mo, T., Li, Y., Feng, S.P., Qu, J. and Chu, P.K., 2021. Development and application of fuel cells in the automobile industry. </w:t>
          </w:r>
          <w:r>
            <w:rPr>
              <w:rFonts w:asciiTheme="majorBidi" w:hAnsiTheme="majorBidi" w:cstheme="majorBidi"/>
              <w:i/>
              <w:iCs/>
              <w:color w:val="222222"/>
              <w:shd w:val="clear" w:color="auto" w:fill="FFFFFF"/>
            </w:rPr>
            <w:t>Journal of Energy Storage</w:t>
          </w:r>
          <w:r>
            <w:rPr>
              <w:rFonts w:asciiTheme="majorBidi" w:hAnsiTheme="majorBidi" w:cstheme="majorBidi"/>
              <w:color w:val="222222"/>
              <w:shd w:val="clear" w:color="auto" w:fill="FFFFFF"/>
            </w:rPr>
            <w:t>, </w:t>
          </w:r>
          <w:r>
            <w:rPr>
              <w:rFonts w:asciiTheme="majorBidi" w:hAnsiTheme="majorBidi" w:cstheme="majorBidi"/>
              <w:i/>
              <w:iCs/>
              <w:color w:val="222222"/>
              <w:shd w:val="clear" w:color="auto" w:fill="FFFFFF"/>
            </w:rPr>
            <w:t>42</w:t>
          </w:r>
          <w:r>
            <w:rPr>
              <w:rFonts w:asciiTheme="majorBidi" w:hAnsiTheme="majorBidi" w:cstheme="majorBidi"/>
              <w:color w:val="222222"/>
              <w:shd w:val="clear" w:color="auto" w:fill="FFFFFF"/>
            </w:rPr>
            <w:t>, p.103124.</w:t>
          </w:r>
        </w:p>
        <w:p>
          <w:pPr>
            <w:pStyle w:val="17"/>
            <w:ind w:left="567" w:hanging="567"/>
            <w:rPr>
              <w:rFonts w:asciiTheme="majorBidi" w:hAnsiTheme="majorBidi" w:cstheme="majorBidi"/>
            </w:rPr>
          </w:pPr>
          <w:r>
            <w:rPr>
              <w:rFonts w:asciiTheme="majorBidi" w:hAnsiTheme="majorBidi" w:cstheme="majorBidi"/>
            </w:rPr>
            <w:t xml:space="preserve">Marklines (2021) </w:t>
          </w:r>
          <w:r>
            <w:rPr>
              <w:rFonts w:asciiTheme="majorBidi" w:hAnsiTheme="majorBidi" w:cstheme="majorBidi"/>
              <w:i/>
              <w:iCs/>
            </w:rPr>
            <w:t>China - Flash report, Automotive sales volume, 2021 - MarkLines Automotive Industry Portal</w:t>
          </w:r>
          <w:r>
            <w:rPr>
              <w:rFonts w:asciiTheme="majorBidi" w:hAnsiTheme="majorBidi" w:cstheme="majorBidi"/>
            </w:rPr>
            <w:t xml:space="preserve">, </w:t>
          </w:r>
          <w:r>
            <w:rPr>
              <w:rFonts w:asciiTheme="majorBidi" w:hAnsiTheme="majorBidi" w:cstheme="majorBidi"/>
              <w:i/>
              <w:iCs/>
            </w:rPr>
            <w:t>Marklines</w:t>
          </w:r>
          <w:r>
            <w:rPr>
              <w:rFonts w:asciiTheme="majorBidi" w:hAnsiTheme="majorBidi" w:cstheme="majorBidi"/>
            </w:rPr>
            <w:t xml:space="preserve">. Available at: https://www.marklines.com/en/statistics/flash_sales/automotive-sales-in-china-by-month-2021 (Accessed: April 6, 2023). </w:t>
          </w:r>
        </w:p>
        <w:p>
          <w:pPr>
            <w:pStyle w:val="17"/>
            <w:ind w:left="567" w:hanging="567"/>
            <w:rPr>
              <w:rFonts w:asciiTheme="majorBidi" w:hAnsiTheme="majorBidi" w:cstheme="majorBidi"/>
            </w:rPr>
          </w:pPr>
          <w:r>
            <w:rPr>
              <w:rFonts w:asciiTheme="majorBidi" w:hAnsiTheme="majorBidi" w:cstheme="majorBidi"/>
            </w:rPr>
            <w:t xml:space="preserve">Marklines (2023) </w:t>
          </w:r>
          <w:r>
            <w:rPr>
              <w:rFonts w:asciiTheme="majorBidi" w:hAnsiTheme="majorBidi" w:cstheme="majorBidi"/>
              <w:i/>
              <w:iCs/>
            </w:rPr>
            <w:t>Japan - Flash report, Automotive sales volume, 2023 - MarkLines Automotive Industry Portal</w:t>
          </w:r>
          <w:r>
            <w:rPr>
              <w:rFonts w:asciiTheme="majorBidi" w:hAnsiTheme="majorBidi" w:cstheme="majorBidi"/>
            </w:rPr>
            <w:t xml:space="preserve">, </w:t>
          </w:r>
          <w:r>
            <w:rPr>
              <w:rFonts w:asciiTheme="majorBidi" w:hAnsiTheme="majorBidi" w:cstheme="majorBidi"/>
              <w:i/>
              <w:iCs/>
            </w:rPr>
            <w:t>Marklines</w:t>
          </w:r>
          <w:r>
            <w:rPr>
              <w:rFonts w:asciiTheme="majorBidi" w:hAnsiTheme="majorBidi" w:cstheme="majorBidi"/>
            </w:rPr>
            <w:t xml:space="preserve">. Available at: https://www.marklines.com/en/statistics/flash_sales/automotive-sales-in-japan-by-month (Accessed: April 6, 2023). </w:t>
          </w:r>
        </w:p>
        <w:p>
          <w:pPr>
            <w:pStyle w:val="17"/>
            <w:ind w:left="567" w:hanging="567"/>
            <w:rPr>
              <w:rFonts w:asciiTheme="majorBidi" w:hAnsiTheme="majorBidi" w:cstheme="majorBidi"/>
            </w:rPr>
          </w:pPr>
          <w:r>
            <w:rPr>
              <w:rFonts w:asciiTheme="majorBidi" w:hAnsiTheme="majorBidi" w:cstheme="majorBidi"/>
            </w:rPr>
            <w:t xml:space="preserve">Marshall, A. (2018) </w:t>
          </w:r>
          <w:r>
            <w:rPr>
              <w:rFonts w:asciiTheme="majorBidi" w:hAnsiTheme="majorBidi" w:cstheme="majorBidi"/>
              <w:i/>
              <w:iCs/>
            </w:rPr>
            <w:t>Toyota joins Uber on its tortuous journey to Robocars</w:t>
          </w:r>
          <w:r>
            <w:rPr>
              <w:rFonts w:asciiTheme="majorBidi" w:hAnsiTheme="majorBidi" w:cstheme="majorBidi"/>
            </w:rPr>
            <w:t xml:space="preserve">, </w:t>
          </w:r>
          <w:r>
            <w:rPr>
              <w:rFonts w:asciiTheme="majorBidi" w:hAnsiTheme="majorBidi" w:cstheme="majorBidi"/>
              <w:i/>
              <w:iCs/>
            </w:rPr>
            <w:t>Wired</w:t>
          </w:r>
          <w:r>
            <w:rPr>
              <w:rFonts w:asciiTheme="majorBidi" w:hAnsiTheme="majorBidi" w:cstheme="majorBidi"/>
            </w:rPr>
            <w:t xml:space="preserve">. Conde Nast. Available at: https://www.wired.com/story/toyota-uber-tortuous-journey-self-driving-cars. (Accessed: March 21, 2023). </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Matsuo, M., 2015. Human resource development programs for knowledge transfer and creation: the case of the Toyota Technical Development Corporation. </w:t>
          </w:r>
          <w:r>
            <w:rPr>
              <w:rFonts w:asciiTheme="majorBidi" w:hAnsiTheme="majorBidi" w:cstheme="majorBidi"/>
              <w:i/>
              <w:iCs/>
              <w:color w:val="222222"/>
              <w:shd w:val="clear" w:color="auto" w:fill="FFFFFF"/>
            </w:rPr>
            <w:t>Journal of Knowledge Management</w:t>
          </w:r>
          <w:r>
            <w:rPr>
              <w:rFonts w:asciiTheme="majorBidi" w:hAnsiTheme="majorBidi" w:cstheme="majorBidi"/>
              <w:color w:val="222222"/>
              <w:shd w:val="clear" w:color="auto" w:fill="FFFFFF"/>
            </w:rPr>
            <w:t>.</w:t>
          </w:r>
        </w:p>
        <w:p>
          <w:pPr>
            <w:pStyle w:val="17"/>
            <w:ind w:left="567" w:hanging="567"/>
            <w:rPr>
              <w:rFonts w:asciiTheme="majorBidi" w:hAnsiTheme="majorBidi" w:cstheme="majorBidi"/>
            </w:rPr>
          </w:pPr>
          <w:r>
            <w:rPr>
              <w:rFonts w:asciiTheme="majorBidi" w:hAnsiTheme="majorBidi" w:cstheme="majorBidi"/>
            </w:rPr>
            <w:t xml:space="preserve">Mengnan, J. (2023) </w:t>
          </w:r>
          <w:r>
            <w:rPr>
              <w:rFonts w:asciiTheme="majorBidi" w:hAnsiTheme="majorBidi" w:cstheme="majorBidi"/>
              <w:i/>
              <w:iCs/>
            </w:rPr>
            <w:t>China ends electric vehicle subsidies</w:t>
          </w:r>
          <w:r>
            <w:rPr>
              <w:rFonts w:asciiTheme="majorBidi" w:hAnsiTheme="majorBidi" w:cstheme="majorBidi"/>
            </w:rPr>
            <w:t xml:space="preserve">, </w:t>
          </w:r>
          <w:r>
            <w:rPr>
              <w:rFonts w:asciiTheme="majorBidi" w:hAnsiTheme="majorBidi" w:cstheme="majorBidi"/>
              <w:i/>
              <w:iCs/>
            </w:rPr>
            <w:t>China Dialogue</w:t>
          </w:r>
          <w:r>
            <w:rPr>
              <w:rFonts w:asciiTheme="majorBidi" w:hAnsiTheme="majorBidi" w:cstheme="majorBidi"/>
            </w:rPr>
            <w:t xml:space="preserve">. Available at: https://chinadialogue.net/en/digest/china-ends-electric-vehicle-subsidies. (Accessed: April 6, 2023). </w:t>
          </w:r>
        </w:p>
        <w:p>
          <w:pPr>
            <w:spacing w:line="240" w:lineRule="auto"/>
            <w:ind w:left="720" w:hanging="720"/>
            <w:rPr>
              <w:rFonts w:asciiTheme="majorBidi" w:hAnsiTheme="majorBidi" w:cstheme="majorBidi"/>
              <w:szCs w:val="24"/>
            </w:rPr>
          </w:pPr>
          <w:r>
            <w:rPr>
              <w:rFonts w:asciiTheme="majorBidi" w:hAnsiTheme="majorBidi" w:cstheme="majorBidi"/>
              <w:szCs w:val="24"/>
            </w:rPr>
            <w:t>Monden, Y. (2012). Toyota production system: An integrated approach to just-in-time. CRC Press.</w:t>
          </w:r>
        </w:p>
        <w:p>
          <w:pPr>
            <w:pStyle w:val="17"/>
            <w:ind w:left="567" w:hanging="567"/>
            <w:rPr>
              <w:rFonts w:asciiTheme="majorBidi" w:hAnsiTheme="majorBidi" w:cstheme="majorBidi"/>
            </w:rPr>
          </w:pPr>
          <w:r>
            <w:rPr>
              <w:rFonts w:asciiTheme="majorBidi" w:hAnsiTheme="majorBidi" w:cstheme="majorBidi"/>
              <w:color w:val="222222"/>
              <w:shd w:val="clear" w:color="auto" w:fill="FFFFFF"/>
            </w:rPr>
            <w:t>Monden, Y., 2011. </w:t>
          </w:r>
          <w:r>
            <w:rPr>
              <w:rFonts w:asciiTheme="majorBidi" w:hAnsiTheme="majorBidi" w:cstheme="majorBidi"/>
              <w:i/>
              <w:iCs/>
              <w:color w:val="222222"/>
              <w:shd w:val="clear" w:color="auto" w:fill="FFFFFF"/>
            </w:rPr>
            <w:t>Toyota production system: an integrated approach to just-in-time</w:t>
          </w:r>
          <w:r>
            <w:rPr>
              <w:rFonts w:asciiTheme="majorBidi" w:hAnsiTheme="majorBidi" w:cstheme="majorBidi"/>
              <w:color w:val="222222"/>
              <w:shd w:val="clear" w:color="auto" w:fill="FFFFFF"/>
            </w:rPr>
            <w:t>. CRc Press.</w:t>
          </w:r>
          <w:r>
            <w:rPr>
              <w:rFonts w:asciiTheme="majorBidi" w:hAnsiTheme="majorBidi" w:cstheme="majorBidi"/>
            </w:rPr>
            <w:t>.</w:t>
          </w:r>
        </w:p>
        <w:p>
          <w:pPr>
            <w:spacing w:line="240" w:lineRule="auto"/>
            <w:ind w:left="567" w:hanging="567"/>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Mpehle, Z., Farhansyah, A., Haeruddin, M.I.W. and Haeruddin, M.I.M., 2021. One Way or Another. </w:t>
          </w:r>
          <w:r>
            <w:rPr>
              <w:rFonts w:asciiTheme="majorBidi" w:hAnsiTheme="majorBidi" w:cstheme="majorBidi"/>
              <w:i/>
              <w:iCs/>
              <w:color w:val="222222"/>
              <w:szCs w:val="24"/>
              <w:shd w:val="clear" w:color="auto" w:fill="FFFFFF"/>
            </w:rPr>
            <w:t>International Journal of Educational Administration, Management, and Leadership</w:t>
          </w:r>
          <w:r>
            <w:rPr>
              <w:rFonts w:asciiTheme="majorBidi" w:hAnsiTheme="majorBidi" w:cstheme="majorBidi"/>
              <w:color w:val="222222"/>
              <w:szCs w:val="24"/>
              <w:shd w:val="clear" w:color="auto" w:fill="FFFFFF"/>
            </w:rPr>
            <w:t>, pp.65-70.</w:t>
          </w:r>
        </w:p>
        <w:p>
          <w:pPr>
            <w:spacing w:line="240" w:lineRule="auto"/>
            <w:ind w:left="720" w:hanging="720"/>
            <w:rPr>
              <w:rFonts w:asciiTheme="majorBidi" w:hAnsiTheme="majorBidi" w:cstheme="majorBidi"/>
              <w:color w:val="222222"/>
              <w:szCs w:val="24"/>
              <w:shd w:val="clear" w:color="auto" w:fill="FFFFFF"/>
            </w:rPr>
          </w:pPr>
          <w:r>
            <w:rPr>
              <w:rFonts w:asciiTheme="majorBidi" w:hAnsiTheme="majorBidi" w:cstheme="majorBidi"/>
              <w:color w:val="222222"/>
              <w:szCs w:val="24"/>
              <w:shd w:val="clear" w:color="auto" w:fill="FFFFFF"/>
            </w:rPr>
            <w:t>Paul, J., 2018. Toward a'masstige'theory and strategy for marketing. </w:t>
          </w:r>
          <w:r>
            <w:rPr>
              <w:rFonts w:asciiTheme="majorBidi" w:hAnsiTheme="majorBidi" w:cstheme="majorBidi"/>
              <w:i/>
              <w:iCs/>
              <w:color w:val="222222"/>
              <w:szCs w:val="24"/>
              <w:shd w:val="clear" w:color="auto" w:fill="FFFFFF"/>
            </w:rPr>
            <w:t>European Journal of International Management</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12</w:t>
          </w:r>
          <w:r>
            <w:rPr>
              <w:rFonts w:asciiTheme="majorBidi" w:hAnsiTheme="majorBidi" w:cstheme="majorBidi"/>
              <w:color w:val="222222"/>
              <w:szCs w:val="24"/>
              <w:shd w:val="clear" w:color="auto" w:fill="FFFFFF"/>
            </w:rPr>
            <w:t>(5-6), pp.722-745.</w:t>
          </w:r>
        </w:p>
        <w:p>
          <w:pPr>
            <w:pStyle w:val="17"/>
            <w:ind w:left="567" w:hanging="567"/>
            <w:rPr>
              <w:rFonts w:asciiTheme="majorBidi" w:hAnsiTheme="majorBidi" w:cstheme="majorBidi"/>
            </w:rPr>
          </w:pPr>
          <w:r>
            <w:rPr>
              <w:rFonts w:asciiTheme="majorBidi" w:hAnsiTheme="majorBidi" w:cstheme="majorBidi"/>
            </w:rPr>
            <w:t xml:space="preserve">Potkin, F. (2019) </w:t>
          </w:r>
          <w:r>
            <w:rPr>
              <w:rFonts w:asciiTheme="majorBidi" w:hAnsiTheme="majorBidi" w:cstheme="majorBidi"/>
              <w:i/>
              <w:iCs/>
            </w:rPr>
            <w:t>Toyota to invest $2 billion in developing electric vehicles in Indonesia</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Thomson Reuters. Available at: https://www.reuters.com/article/us-toyota-indonesia-idUSKCN1TS1SL (Accessed: April 6, 2023).</w:t>
          </w:r>
        </w:p>
        <w:p>
          <w:pPr>
            <w:pStyle w:val="17"/>
            <w:ind w:left="567" w:hanging="567"/>
            <w:rPr>
              <w:rFonts w:asciiTheme="majorBidi" w:hAnsiTheme="majorBidi" w:cstheme="majorBidi"/>
            </w:rPr>
          </w:pPr>
          <w:r>
            <w:rPr>
              <w:rFonts w:asciiTheme="majorBidi" w:hAnsiTheme="majorBidi" w:cstheme="majorBidi"/>
            </w:rPr>
            <w:t xml:space="preserve">Reuters (2018) </w:t>
          </w:r>
          <w:r>
            <w:rPr>
              <w:rFonts w:asciiTheme="majorBidi" w:hAnsiTheme="majorBidi" w:cstheme="majorBidi"/>
              <w:i/>
              <w:iCs/>
            </w:rPr>
            <w:t>Toyota expects record net profit as weaker yen offsets U.S. struggle</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https://www.reuters.com/article/us-toyota-results-idUKKBN1FQ0MM (Accessed: March 13, 2023). </w:t>
          </w:r>
        </w:p>
        <w:p>
          <w:pPr>
            <w:pStyle w:val="17"/>
            <w:ind w:left="567" w:hanging="567"/>
            <w:rPr>
              <w:rFonts w:asciiTheme="majorBidi" w:hAnsiTheme="majorBidi" w:cstheme="majorBidi"/>
            </w:rPr>
          </w:pPr>
          <w:r>
            <w:rPr>
              <w:rFonts w:asciiTheme="majorBidi" w:hAnsiTheme="majorBidi" w:cstheme="majorBidi"/>
            </w:rPr>
            <w:t xml:space="preserve">Reuters (2019) </w:t>
          </w:r>
          <w:r>
            <w:rPr>
              <w:rFonts w:asciiTheme="majorBidi" w:hAnsiTheme="majorBidi" w:cstheme="majorBidi"/>
              <w:i/>
              <w:iCs/>
            </w:rPr>
            <w:t>Toyota, Subaru team up to develop electric SUV in battle against costs</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https://www.reuters.com/article/us-toyota-subaru-idUSKCN1T70DG (Accessed: March 21, 2023). </w:t>
          </w:r>
        </w:p>
        <w:p>
          <w:pPr>
            <w:pStyle w:val="17"/>
            <w:ind w:left="567" w:hanging="567"/>
            <w:rPr>
              <w:rFonts w:asciiTheme="majorBidi" w:hAnsiTheme="majorBidi" w:cstheme="majorBidi"/>
            </w:rPr>
          </w:pPr>
          <w:r>
            <w:rPr>
              <w:rFonts w:asciiTheme="majorBidi" w:hAnsiTheme="majorBidi" w:cstheme="majorBidi"/>
            </w:rPr>
            <w:t xml:space="preserve">Reuters (2021) </w:t>
          </w:r>
          <w:r>
            <w:rPr>
              <w:rFonts w:asciiTheme="majorBidi" w:hAnsiTheme="majorBidi" w:cstheme="majorBidi"/>
              <w:i/>
              <w:iCs/>
            </w:rPr>
            <w:t>Chinese auto recovery on track as vehicle sales rise for Ninth Month</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https://www.reuters.com/world/china/china-auto-sales-head-rebound-this-year-2-fall-2020-2021-01-13/ (Accessed: April 6, 2023). </w:t>
          </w:r>
        </w:p>
        <w:p>
          <w:pPr>
            <w:pStyle w:val="17"/>
            <w:ind w:left="567" w:hanging="567"/>
            <w:rPr>
              <w:rFonts w:asciiTheme="majorBidi" w:hAnsiTheme="majorBidi" w:cstheme="majorBidi"/>
            </w:rPr>
          </w:pPr>
          <w:r>
            <w:rPr>
              <w:rFonts w:asciiTheme="majorBidi" w:hAnsiTheme="majorBidi" w:cstheme="majorBidi"/>
            </w:rPr>
            <w:t xml:space="preserve">Reuters (2021) </w:t>
          </w:r>
          <w:r>
            <w:rPr>
              <w:rFonts w:asciiTheme="majorBidi" w:hAnsiTheme="majorBidi" w:cstheme="majorBidi"/>
              <w:i/>
              <w:iCs/>
            </w:rPr>
            <w:t>Toyota's sales in China rise 11% in 2020 even as Pandemic hits market</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https://www.reuters.com/article/us-toyota-china-idUSKBN29C0OI (Accessed: April 6, 2023). </w:t>
          </w:r>
        </w:p>
        <w:p>
          <w:pPr>
            <w:pStyle w:val="17"/>
            <w:ind w:left="567" w:hanging="567"/>
            <w:rPr>
              <w:rFonts w:asciiTheme="majorBidi" w:hAnsiTheme="majorBidi" w:cstheme="majorBidi"/>
            </w:rPr>
          </w:pPr>
          <w:r>
            <w:rPr>
              <w:rFonts w:asciiTheme="majorBidi" w:hAnsiTheme="majorBidi" w:cstheme="majorBidi"/>
            </w:rPr>
            <w:t xml:space="preserve">Reuters (2022) </w:t>
          </w:r>
          <w:r>
            <w:rPr>
              <w:rFonts w:asciiTheme="majorBidi" w:hAnsiTheme="majorBidi" w:cstheme="majorBidi"/>
              <w:i/>
              <w:iCs/>
            </w:rPr>
            <w:t>Toyota global vehicle output rises 44.3% in Aug to record for Month</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https://www.reuters.com/business/autos-transportation/toyota-global-vehicle-production-up-443-aug-record-that-month-2022-09-29/ (Accessed: March 13, 2023). </w:t>
          </w:r>
        </w:p>
        <w:p>
          <w:pPr>
            <w:pStyle w:val="17"/>
            <w:ind w:left="567" w:hanging="567"/>
            <w:rPr>
              <w:rFonts w:asciiTheme="majorBidi" w:hAnsiTheme="majorBidi" w:cstheme="majorBidi"/>
            </w:rPr>
          </w:pPr>
          <w:r>
            <w:rPr>
              <w:rFonts w:asciiTheme="majorBidi" w:hAnsiTheme="majorBidi" w:cstheme="majorBidi"/>
              <w:highlight w:val="yellow"/>
            </w:rPr>
            <w:t>Rugman, A. M., &amp; Collinson, S. (2012). International business. Pearson.</w:t>
          </w:r>
        </w:p>
        <w:p>
          <w:pPr>
            <w:pStyle w:val="17"/>
            <w:ind w:left="567" w:hanging="567"/>
            <w:rPr>
              <w:rFonts w:asciiTheme="majorBidi" w:hAnsiTheme="majorBidi" w:cstheme="majorBidi"/>
            </w:rPr>
          </w:pPr>
          <w:r>
            <w:rPr>
              <w:rFonts w:asciiTheme="majorBidi" w:hAnsiTheme="majorBidi" w:cstheme="majorBidi"/>
            </w:rPr>
            <w:t xml:space="preserve">Shah, A. (2015) </w:t>
          </w:r>
          <w:r>
            <w:rPr>
              <w:rFonts w:asciiTheme="majorBidi" w:hAnsiTheme="majorBidi" w:cstheme="majorBidi"/>
              <w:i/>
              <w:iCs/>
            </w:rPr>
            <w:t>In India, where no-frills cars rule, Toyota aims upmarket</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https://www.reuters.com/article/autos-india-toyota-idINKCN0T72YA20151118 (Accessed: March 21, 2023). </w:t>
          </w:r>
        </w:p>
        <w:p>
          <w:pPr>
            <w:pStyle w:val="17"/>
            <w:ind w:left="567" w:hanging="567"/>
            <w:rPr>
              <w:rFonts w:asciiTheme="majorBidi" w:hAnsiTheme="majorBidi" w:cstheme="majorBidi"/>
            </w:rPr>
          </w:pPr>
          <w:r>
            <w:rPr>
              <w:rFonts w:asciiTheme="majorBidi" w:hAnsiTheme="majorBidi" w:cstheme="majorBidi"/>
            </w:rPr>
            <w:t xml:space="preserve">Shih, W. (2022) </w:t>
          </w:r>
          <w:r>
            <w:rPr>
              <w:rFonts w:asciiTheme="majorBidi" w:hAnsiTheme="majorBidi" w:cstheme="majorBidi"/>
              <w:i/>
              <w:iCs/>
            </w:rPr>
            <w:t>What really makes Toyota's Production System Resilient</w:t>
          </w:r>
          <w:r>
            <w:rPr>
              <w:rFonts w:asciiTheme="majorBidi" w:hAnsiTheme="majorBidi" w:cstheme="majorBidi"/>
            </w:rPr>
            <w:t xml:space="preserve">, </w:t>
          </w:r>
          <w:r>
            <w:rPr>
              <w:rFonts w:asciiTheme="majorBidi" w:hAnsiTheme="majorBidi" w:cstheme="majorBidi"/>
              <w:i/>
              <w:iCs/>
            </w:rPr>
            <w:t>Harvard Business Review</w:t>
          </w:r>
          <w:r>
            <w:rPr>
              <w:rFonts w:asciiTheme="majorBidi" w:hAnsiTheme="majorBidi" w:cstheme="majorBidi"/>
            </w:rPr>
            <w:t xml:space="preserve">. Available at: https://hbr.org/2022/11/what-really-makes-toyotas-production-system-resilient (Accessed: March 21, 2023). </w:t>
          </w:r>
        </w:p>
        <w:p>
          <w:pPr>
            <w:spacing w:line="240" w:lineRule="auto"/>
            <w:ind w:left="720" w:hanging="720"/>
            <w:rPr>
              <w:rFonts w:asciiTheme="majorBidi" w:hAnsiTheme="majorBidi" w:cstheme="majorBidi"/>
              <w:szCs w:val="24"/>
            </w:rPr>
          </w:pPr>
          <w:r>
            <w:rPr>
              <w:rFonts w:asciiTheme="majorBidi" w:hAnsiTheme="majorBidi" w:cstheme="majorBidi"/>
              <w:color w:val="222222"/>
              <w:szCs w:val="24"/>
              <w:shd w:val="clear" w:color="auto" w:fill="FFFFFF"/>
            </w:rPr>
            <w:t>Shih, W.C., 2014. What it takes to reshore manufacturing successfully. </w:t>
          </w:r>
          <w:r>
            <w:rPr>
              <w:rFonts w:asciiTheme="majorBidi" w:hAnsiTheme="majorBidi" w:cstheme="majorBidi"/>
              <w:i/>
              <w:iCs/>
              <w:color w:val="222222"/>
              <w:szCs w:val="24"/>
              <w:shd w:val="clear" w:color="auto" w:fill="FFFFFF"/>
            </w:rPr>
            <w:t>MIT sloan management review</w:t>
          </w:r>
          <w:r>
            <w:rPr>
              <w:rFonts w:asciiTheme="majorBidi" w:hAnsiTheme="majorBidi" w:cstheme="majorBidi"/>
              <w:color w:val="222222"/>
              <w:szCs w:val="24"/>
              <w:shd w:val="clear" w:color="auto" w:fill="FFFFFF"/>
            </w:rPr>
            <w:t>.</w:t>
          </w:r>
          <w:r>
            <w:rPr>
              <w:rFonts w:asciiTheme="majorBidi" w:hAnsiTheme="majorBidi" w:cstheme="majorBidi"/>
              <w:szCs w:val="24"/>
            </w:rPr>
            <w:t>.</w:t>
          </w:r>
        </w:p>
        <w:p>
          <w:pPr>
            <w:pStyle w:val="17"/>
            <w:ind w:left="567" w:hanging="567"/>
            <w:rPr>
              <w:rFonts w:asciiTheme="majorBidi" w:hAnsiTheme="majorBidi" w:cstheme="majorBidi"/>
            </w:rPr>
          </w:pPr>
          <w:r>
            <w:rPr>
              <w:rFonts w:asciiTheme="majorBidi" w:hAnsiTheme="majorBidi" w:cstheme="majorBidi"/>
            </w:rPr>
            <w:t xml:space="preserve">Shirouzu, N. (2018) </w:t>
          </w:r>
          <w:r>
            <w:rPr>
              <w:rFonts w:asciiTheme="majorBidi" w:hAnsiTheme="majorBidi" w:cstheme="majorBidi"/>
              <w:i/>
              <w:iCs/>
            </w:rPr>
            <w:t>Toyota to increase production capacity in China by 20 percent: Source</w:t>
          </w:r>
          <w:r>
            <w:rPr>
              <w:rFonts w:asciiTheme="majorBidi" w:hAnsiTheme="majorBidi" w:cstheme="majorBidi"/>
            </w:rPr>
            <w:t xml:space="preserve">, </w:t>
          </w:r>
          <w:r>
            <w:rPr>
              <w:rFonts w:asciiTheme="majorBidi" w:hAnsiTheme="majorBidi" w:cstheme="majorBidi"/>
              <w:i/>
              <w:iCs/>
            </w:rPr>
            <w:t>Reuters</w:t>
          </w:r>
          <w:r>
            <w:rPr>
              <w:rFonts w:asciiTheme="majorBidi" w:hAnsiTheme="majorBidi" w:cstheme="majorBidi"/>
            </w:rPr>
            <w:t xml:space="preserve">. Thomson Reuters. Available at: https://www.reuters.com/article/us-toyota-china-idUSKBN1L20MD (Accessed: April 6, 2023).  </w:t>
          </w:r>
        </w:p>
        <w:p>
          <w:pPr>
            <w:spacing w:line="240" w:lineRule="auto"/>
            <w:ind w:left="720" w:hanging="720"/>
            <w:rPr>
              <w:rFonts w:asciiTheme="majorBidi" w:hAnsiTheme="majorBidi" w:cstheme="majorBidi"/>
              <w:szCs w:val="24"/>
            </w:rPr>
          </w:pPr>
          <w:r>
            <w:rPr>
              <w:rFonts w:asciiTheme="majorBidi" w:hAnsiTheme="majorBidi" w:cstheme="majorBidi"/>
              <w:color w:val="222222"/>
              <w:szCs w:val="24"/>
              <w:shd w:val="clear" w:color="auto" w:fill="FFFFFF"/>
            </w:rPr>
            <w:t>Somlev, I.P. and Hoshino, Y., 2005. Influence of location factors on establishment and ownership of foreign investments: The case of the Japanese manufacturing firms in Europe. </w:t>
          </w:r>
          <w:r>
            <w:rPr>
              <w:rFonts w:asciiTheme="majorBidi" w:hAnsiTheme="majorBidi" w:cstheme="majorBidi"/>
              <w:i/>
              <w:iCs/>
              <w:color w:val="222222"/>
              <w:szCs w:val="24"/>
              <w:shd w:val="clear" w:color="auto" w:fill="FFFFFF"/>
            </w:rPr>
            <w:t>International Business Review</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14</w:t>
          </w:r>
          <w:r>
            <w:rPr>
              <w:rFonts w:asciiTheme="majorBidi" w:hAnsiTheme="majorBidi" w:cstheme="majorBidi"/>
              <w:color w:val="222222"/>
              <w:szCs w:val="24"/>
              <w:shd w:val="clear" w:color="auto" w:fill="FFFFFF"/>
            </w:rPr>
            <w:t>(5), pp.577-598</w:t>
          </w:r>
          <w:r>
            <w:rPr>
              <w:rFonts w:asciiTheme="majorBidi" w:hAnsiTheme="majorBidi" w:cstheme="majorBidi"/>
              <w:szCs w:val="24"/>
            </w:rPr>
            <w:t>.</w:t>
          </w:r>
        </w:p>
        <w:p>
          <w:pPr>
            <w:pStyle w:val="17"/>
            <w:ind w:left="567" w:hanging="567"/>
            <w:rPr>
              <w:rFonts w:asciiTheme="majorBidi" w:hAnsiTheme="majorBidi" w:cstheme="majorBidi"/>
            </w:rPr>
          </w:pPr>
          <w:r>
            <w:rPr>
              <w:rFonts w:asciiTheme="majorBidi" w:hAnsiTheme="majorBidi" w:cstheme="majorBidi"/>
            </w:rPr>
            <w:t xml:space="preserve">Statista (2022) </w:t>
          </w:r>
          <w:r>
            <w:rPr>
              <w:rFonts w:asciiTheme="majorBidi" w:hAnsiTheme="majorBidi" w:cstheme="majorBidi"/>
              <w:i/>
              <w:iCs/>
            </w:rPr>
            <w:t>Topic: Automotive sales industry in China</w:t>
          </w:r>
          <w:r>
            <w:rPr>
              <w:rFonts w:asciiTheme="majorBidi" w:hAnsiTheme="majorBidi" w:cstheme="majorBidi"/>
            </w:rPr>
            <w:t xml:space="preserve">, </w:t>
          </w:r>
          <w:r>
            <w:rPr>
              <w:rFonts w:asciiTheme="majorBidi" w:hAnsiTheme="majorBidi" w:cstheme="majorBidi"/>
              <w:i/>
              <w:iCs/>
            </w:rPr>
            <w:t>Statista</w:t>
          </w:r>
          <w:r>
            <w:rPr>
              <w:rFonts w:asciiTheme="majorBidi" w:hAnsiTheme="majorBidi" w:cstheme="majorBidi"/>
            </w:rPr>
            <w:t xml:space="preserve">. Available at: https://www.statista.com/topics/1100/automobile-sales-in-china/ (Accessed: April 6, 2023). </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Statista. (2021). Annual automobile sales in China from 2009 to 2020. Retrieved from </w:t>
          </w:r>
          <w:r>
            <w:fldChar w:fldCharType="begin"/>
          </w:r>
          <w:r>
            <w:instrText xml:space="preserve"> HYPERLINK "https://www.statista.com/statistics/233743/vehicle-sales-in-china/" </w:instrText>
          </w:r>
          <w:r>
            <w:fldChar w:fldCharType="separate"/>
          </w:r>
          <w:r>
            <w:rPr>
              <w:rStyle w:val="16"/>
              <w:rFonts w:asciiTheme="majorBidi" w:hAnsiTheme="majorBidi" w:cstheme="majorBidi"/>
              <w:szCs w:val="24"/>
            </w:rPr>
            <w:t>https://www.statista.com/statistics/233743/vehicle-sales-in-china/</w:t>
          </w:r>
          <w:r>
            <w:rPr>
              <w:rStyle w:val="16"/>
              <w:rFonts w:asciiTheme="majorBidi" w:hAnsiTheme="majorBidi" w:cstheme="majorBidi"/>
              <w:szCs w:val="24"/>
            </w:rPr>
            <w:fldChar w:fldCharType="end"/>
          </w:r>
          <w:r>
            <w:rPr>
              <w:rFonts w:asciiTheme="majorBidi" w:hAnsiTheme="majorBidi" w:cstheme="majorBidi"/>
              <w:szCs w:val="24"/>
            </w:rPr>
            <w:t xml:space="preserve"> </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Statista. (2021). Market share of leading automobile manufacturers in China in 2020. Retrieved from </w:t>
          </w:r>
          <w:r>
            <w:fldChar w:fldCharType="begin"/>
          </w:r>
          <w:r>
            <w:instrText xml:space="preserve"> HYPERLINK "https://www.statista.com/statistics/277931/market-share-of-leading-automakers-in-china/" </w:instrText>
          </w:r>
          <w:r>
            <w:fldChar w:fldCharType="separate"/>
          </w:r>
          <w:r>
            <w:rPr>
              <w:rStyle w:val="16"/>
              <w:rFonts w:asciiTheme="majorBidi" w:hAnsiTheme="majorBidi" w:cstheme="majorBidi"/>
              <w:szCs w:val="24"/>
            </w:rPr>
            <w:t>https://www.statista.com/statistics/277931/market-share-of-leading-automakers-in-china/</w:t>
          </w:r>
          <w:r>
            <w:rPr>
              <w:rStyle w:val="16"/>
              <w:rFonts w:asciiTheme="majorBidi" w:hAnsiTheme="majorBidi" w:cstheme="majorBidi"/>
              <w:szCs w:val="24"/>
            </w:rPr>
            <w:fldChar w:fldCharType="end"/>
          </w:r>
          <w:r>
            <w:rPr>
              <w:rFonts w:asciiTheme="majorBidi" w:hAnsiTheme="majorBidi" w:cstheme="majorBidi"/>
              <w:szCs w:val="24"/>
            </w:rPr>
            <w:t xml:space="preserve"> </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Statista. (2021). Toyota - Statistics &amp; Facts. Retrieved from </w:t>
          </w:r>
          <w:r>
            <w:fldChar w:fldCharType="begin"/>
          </w:r>
          <w:r>
            <w:instrText xml:space="preserve"> HYPERLINK "https://www.statista.com/topics/1489/toyota/" </w:instrText>
          </w:r>
          <w:r>
            <w:fldChar w:fldCharType="separate"/>
          </w:r>
          <w:r>
            <w:rPr>
              <w:rStyle w:val="16"/>
              <w:rFonts w:asciiTheme="majorBidi" w:hAnsiTheme="majorBidi" w:cstheme="majorBidi"/>
              <w:szCs w:val="24"/>
            </w:rPr>
            <w:t>https://www.statista.com/topics/1489/toyota/</w:t>
          </w:r>
          <w:r>
            <w:rPr>
              <w:rStyle w:val="16"/>
              <w:rFonts w:asciiTheme="majorBidi" w:hAnsiTheme="majorBidi" w:cstheme="majorBidi"/>
              <w:szCs w:val="24"/>
            </w:rPr>
            <w:fldChar w:fldCharType="end"/>
          </w:r>
          <w:r>
            <w:rPr>
              <w:rFonts w:asciiTheme="majorBidi" w:hAnsiTheme="majorBidi" w:cstheme="majorBidi"/>
              <w:szCs w:val="24"/>
            </w:rPr>
            <w:t xml:space="preserve"> </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Statista. (2021a). Annual automobile sales in China from 2009 to 2020. Retrieved from </w:t>
          </w:r>
          <w:r>
            <w:fldChar w:fldCharType="begin"/>
          </w:r>
          <w:r>
            <w:instrText xml:space="preserve"> HYPERLINK "https://www.statista.com/statistics/233743/vehicle-sales-in-china/" </w:instrText>
          </w:r>
          <w:r>
            <w:fldChar w:fldCharType="separate"/>
          </w:r>
          <w:r>
            <w:rPr>
              <w:rStyle w:val="16"/>
              <w:rFonts w:asciiTheme="majorBidi" w:hAnsiTheme="majorBidi" w:cstheme="majorBidi"/>
              <w:szCs w:val="24"/>
            </w:rPr>
            <w:t>https://www.statista.com/statistics/233743/vehicle-sales-in-china/</w:t>
          </w:r>
          <w:r>
            <w:rPr>
              <w:rStyle w:val="16"/>
              <w:rFonts w:asciiTheme="majorBidi" w:hAnsiTheme="majorBidi" w:cstheme="majorBidi"/>
              <w:szCs w:val="24"/>
            </w:rPr>
            <w:fldChar w:fldCharType="end"/>
          </w:r>
          <w:r>
            <w:rPr>
              <w:rFonts w:asciiTheme="majorBidi" w:hAnsiTheme="majorBidi" w:cstheme="majorBidi"/>
              <w:szCs w:val="24"/>
            </w:rPr>
            <w:t xml:space="preserve"> </w:t>
          </w:r>
        </w:p>
        <w:p>
          <w:pPr>
            <w:pStyle w:val="17"/>
            <w:ind w:left="567" w:hanging="567"/>
            <w:rPr>
              <w:rFonts w:asciiTheme="majorBidi" w:hAnsiTheme="majorBidi" w:cstheme="majorBidi"/>
              <w:color w:val="222222"/>
              <w:shd w:val="clear" w:color="auto" w:fill="FFFFFF"/>
            </w:rPr>
          </w:pPr>
          <w:r>
            <w:rPr>
              <w:rFonts w:asciiTheme="majorBidi" w:hAnsiTheme="majorBidi" w:cstheme="majorBidi"/>
              <w:color w:val="222222"/>
              <w:shd w:val="clear" w:color="auto" w:fill="FFFFFF"/>
            </w:rPr>
            <w:t>Taher, G., 2021. E-commerce: advantages and limitations. </w:t>
          </w:r>
          <w:r>
            <w:rPr>
              <w:rFonts w:asciiTheme="majorBidi" w:hAnsiTheme="majorBidi" w:cstheme="majorBidi"/>
              <w:i/>
              <w:iCs/>
              <w:color w:val="222222"/>
              <w:shd w:val="clear" w:color="auto" w:fill="FFFFFF"/>
            </w:rPr>
            <w:t>International Journal of Academic Research in Accounting Finance and Management Sciences</w:t>
          </w:r>
          <w:r>
            <w:rPr>
              <w:rFonts w:asciiTheme="majorBidi" w:hAnsiTheme="majorBidi" w:cstheme="majorBidi"/>
              <w:color w:val="222222"/>
              <w:shd w:val="clear" w:color="auto" w:fill="FFFFFF"/>
            </w:rPr>
            <w:t>, </w:t>
          </w:r>
          <w:r>
            <w:rPr>
              <w:rFonts w:asciiTheme="majorBidi" w:hAnsiTheme="majorBidi" w:cstheme="majorBidi"/>
              <w:i/>
              <w:iCs/>
              <w:color w:val="222222"/>
              <w:shd w:val="clear" w:color="auto" w:fill="FFFFFF"/>
            </w:rPr>
            <w:t>11</w:t>
          </w:r>
          <w:r>
            <w:rPr>
              <w:rFonts w:asciiTheme="majorBidi" w:hAnsiTheme="majorBidi" w:cstheme="majorBidi"/>
              <w:color w:val="222222"/>
              <w:shd w:val="clear" w:color="auto" w:fill="FFFFFF"/>
            </w:rPr>
            <w:t>(1), pp.153-165.</w:t>
          </w:r>
        </w:p>
        <w:p>
          <w:pPr>
            <w:spacing w:line="240" w:lineRule="auto"/>
            <w:ind w:left="720" w:hanging="720"/>
            <w:rPr>
              <w:rFonts w:asciiTheme="majorBidi" w:hAnsiTheme="majorBidi" w:cstheme="majorBidi"/>
              <w:szCs w:val="24"/>
            </w:rPr>
          </w:pPr>
          <w:r>
            <w:rPr>
              <w:rFonts w:asciiTheme="majorBidi" w:hAnsiTheme="majorBidi" w:cstheme="majorBidi"/>
              <w:szCs w:val="24"/>
            </w:rPr>
            <w:t>Takeuchi, H., Osono, E., &amp; Shimizu, N. (2008). The contradictions that drive Toyota's success. Harvard Business Review, 86(6), 96-104.</w:t>
          </w:r>
        </w:p>
        <w:p>
          <w:pPr>
            <w:pStyle w:val="17"/>
            <w:ind w:left="567" w:hanging="567"/>
            <w:rPr>
              <w:rFonts w:asciiTheme="majorBidi" w:hAnsiTheme="majorBidi" w:cstheme="majorBidi"/>
            </w:rPr>
          </w:pPr>
          <w:r>
            <w:rPr>
              <w:rFonts w:asciiTheme="majorBidi" w:hAnsiTheme="majorBidi" w:cstheme="majorBidi"/>
            </w:rPr>
            <w:t xml:space="preserve">Toyota (2013) </w:t>
          </w:r>
          <w:r>
            <w:rPr>
              <w:rFonts w:asciiTheme="majorBidi" w:hAnsiTheme="majorBidi" w:cstheme="majorBidi"/>
              <w:i/>
              <w:iCs/>
            </w:rPr>
            <w:t>Toyota's hybrid success story</w:t>
          </w:r>
          <w:r>
            <w:rPr>
              <w:rFonts w:asciiTheme="majorBidi" w:hAnsiTheme="majorBidi" w:cstheme="majorBidi"/>
            </w:rPr>
            <w:t xml:space="preserve">, </w:t>
          </w:r>
          <w:r>
            <w:rPr>
              <w:rFonts w:asciiTheme="majorBidi" w:hAnsiTheme="majorBidi" w:cstheme="majorBidi"/>
              <w:i/>
              <w:iCs/>
            </w:rPr>
            <w:t>Toyota Media Site</w:t>
          </w:r>
          <w:r>
            <w:rPr>
              <w:rFonts w:asciiTheme="majorBidi" w:hAnsiTheme="majorBidi" w:cstheme="majorBidi"/>
            </w:rPr>
            <w:t xml:space="preserve">. Available at: https://media.toyota.co.uk/toyotas-hybrid-success-story/ (Accessed: March 13, 2023). </w:t>
          </w:r>
        </w:p>
        <w:p>
          <w:pPr>
            <w:pStyle w:val="17"/>
            <w:ind w:left="567" w:hanging="567"/>
            <w:rPr>
              <w:rFonts w:asciiTheme="majorBidi" w:hAnsiTheme="majorBidi" w:cstheme="majorBidi"/>
            </w:rPr>
          </w:pPr>
          <w:r>
            <w:rPr>
              <w:rFonts w:asciiTheme="majorBidi" w:hAnsiTheme="majorBidi" w:cstheme="majorBidi"/>
            </w:rPr>
            <w:t xml:space="preserve">Toyota (2018) </w:t>
          </w:r>
          <w:r>
            <w:rPr>
              <w:rFonts w:asciiTheme="majorBidi" w:hAnsiTheme="majorBidi" w:cstheme="majorBidi"/>
              <w:i/>
              <w:iCs/>
            </w:rPr>
            <w:t>Toyota Environmental Challenge 2050</w:t>
          </w:r>
          <w:r>
            <w:rPr>
              <w:rFonts w:asciiTheme="majorBidi" w:hAnsiTheme="majorBidi" w:cstheme="majorBidi"/>
            </w:rPr>
            <w:t xml:space="preserve">, </w:t>
          </w:r>
          <w:r>
            <w:rPr>
              <w:rFonts w:asciiTheme="majorBidi" w:hAnsiTheme="majorBidi" w:cstheme="majorBidi"/>
              <w:i/>
              <w:iCs/>
            </w:rPr>
            <w:t>Toyota</w:t>
          </w:r>
          <w:r>
            <w:rPr>
              <w:rFonts w:asciiTheme="majorBidi" w:hAnsiTheme="majorBidi" w:cstheme="majorBidi"/>
            </w:rPr>
            <w:t xml:space="preserve">. Available at: https://global.toyota/pages/global_toyota/sustainability/report/er/er18_07-13_en.pdf (Accessed: March 13, 2023). </w:t>
          </w:r>
        </w:p>
        <w:p>
          <w:pPr>
            <w:pStyle w:val="17"/>
            <w:ind w:left="567" w:hanging="567"/>
            <w:rPr>
              <w:rFonts w:asciiTheme="majorBidi" w:hAnsiTheme="majorBidi" w:cstheme="majorBidi"/>
            </w:rPr>
          </w:pPr>
          <w:r>
            <w:rPr>
              <w:rFonts w:asciiTheme="majorBidi" w:hAnsiTheme="majorBidi" w:cstheme="majorBidi"/>
            </w:rPr>
            <w:t xml:space="preserve">Toyota (2022) </w:t>
          </w:r>
          <w:r>
            <w:rPr>
              <w:rFonts w:asciiTheme="majorBidi" w:hAnsiTheme="majorBidi" w:cstheme="majorBidi"/>
              <w:i/>
              <w:iCs/>
            </w:rPr>
            <w:t>Toyota set new standards in 2021</w:t>
          </w:r>
          <w:r>
            <w:rPr>
              <w:rFonts w:asciiTheme="majorBidi" w:hAnsiTheme="majorBidi" w:cstheme="majorBidi"/>
            </w:rPr>
            <w:t xml:space="preserve">, </w:t>
          </w:r>
          <w:r>
            <w:rPr>
              <w:rFonts w:asciiTheme="majorBidi" w:hAnsiTheme="majorBidi" w:cstheme="majorBidi"/>
              <w:i/>
              <w:iCs/>
            </w:rPr>
            <w:t>Toyota USA Newsroom</w:t>
          </w:r>
          <w:r>
            <w:rPr>
              <w:rFonts w:asciiTheme="majorBidi" w:hAnsiTheme="majorBidi" w:cstheme="majorBidi"/>
            </w:rPr>
            <w:t xml:space="preserve">. Available at: https://pressroom.toyota.com/toyota-set-new-standards-in-2021/ (Accessed: March 21, 2023). </w:t>
          </w:r>
        </w:p>
        <w:p>
          <w:pPr>
            <w:pStyle w:val="17"/>
            <w:ind w:left="567" w:hanging="567"/>
            <w:rPr>
              <w:rFonts w:asciiTheme="majorBidi" w:hAnsiTheme="majorBidi" w:cstheme="majorBidi"/>
            </w:rPr>
          </w:pPr>
          <w:r>
            <w:rPr>
              <w:rFonts w:asciiTheme="majorBidi" w:hAnsiTheme="majorBidi" w:cstheme="majorBidi"/>
            </w:rPr>
            <w:t xml:space="preserve">Toyota (2022) </w:t>
          </w:r>
          <w:r>
            <w:rPr>
              <w:rFonts w:asciiTheme="majorBidi" w:hAnsiTheme="majorBidi" w:cstheme="majorBidi"/>
              <w:i/>
              <w:iCs/>
            </w:rPr>
            <w:t>Toyota</w:t>
          </w:r>
          <w:r>
            <w:rPr>
              <w:rFonts w:asciiTheme="majorBidi" w:hAnsiTheme="majorBidi" w:cstheme="majorBidi"/>
            </w:rPr>
            <w:t xml:space="preserve">, </w:t>
          </w:r>
          <w:r>
            <w:rPr>
              <w:rFonts w:asciiTheme="majorBidi" w:hAnsiTheme="majorBidi" w:cstheme="majorBidi"/>
              <w:i/>
              <w:iCs/>
            </w:rPr>
            <w:t>Toyota in the World</w:t>
          </w:r>
          <w:r>
            <w:rPr>
              <w:rFonts w:asciiTheme="majorBidi" w:hAnsiTheme="majorBidi" w:cstheme="majorBidi"/>
            </w:rPr>
            <w:t xml:space="preserve">. Available at: https://www.toyotauk.com/about-toyota/toyota-in-the-world (Accessed: March 21, 2023). </w:t>
          </w:r>
        </w:p>
        <w:p>
          <w:pPr>
            <w:pStyle w:val="17"/>
            <w:ind w:left="567" w:hanging="567"/>
            <w:rPr>
              <w:rFonts w:asciiTheme="majorBidi" w:hAnsiTheme="majorBidi" w:cstheme="majorBidi"/>
            </w:rPr>
          </w:pPr>
          <w:r>
            <w:rPr>
              <w:rFonts w:asciiTheme="majorBidi" w:hAnsiTheme="majorBidi" w:cstheme="majorBidi"/>
            </w:rPr>
            <w:t xml:space="preserve">Toyota (2023) </w:t>
          </w:r>
          <w:r>
            <w:rPr>
              <w:rFonts w:asciiTheme="majorBidi" w:hAnsiTheme="majorBidi" w:cstheme="majorBidi"/>
              <w:i/>
              <w:iCs/>
            </w:rPr>
            <w:t>Lexus, Toyota recognized in J.D. Power 2023 U.S. vehicle dependability study results</w:t>
          </w:r>
          <w:r>
            <w:rPr>
              <w:rFonts w:asciiTheme="majorBidi" w:hAnsiTheme="majorBidi" w:cstheme="majorBidi"/>
            </w:rPr>
            <w:t xml:space="preserve">, </w:t>
          </w:r>
          <w:r>
            <w:rPr>
              <w:rFonts w:asciiTheme="majorBidi" w:hAnsiTheme="majorBidi" w:cstheme="majorBidi"/>
              <w:i/>
              <w:iCs/>
            </w:rPr>
            <w:t>Toyota USA Newsroom</w:t>
          </w:r>
          <w:r>
            <w:rPr>
              <w:rFonts w:asciiTheme="majorBidi" w:hAnsiTheme="majorBidi" w:cstheme="majorBidi"/>
            </w:rPr>
            <w:t xml:space="preserve">. Available at: https://pressroom.toyota.com/lexus-toyota-recognized-in-j-d-power-2023-u-s-vehicle-dependability-study-results/ (Accessed: March 13, 2023). </w:t>
          </w:r>
        </w:p>
        <w:p>
          <w:pPr>
            <w:pStyle w:val="17"/>
            <w:ind w:left="567" w:hanging="567"/>
            <w:rPr>
              <w:rFonts w:asciiTheme="majorBidi" w:hAnsiTheme="majorBidi" w:cstheme="majorBidi"/>
            </w:rPr>
          </w:pPr>
          <w:r>
            <w:rPr>
              <w:rFonts w:asciiTheme="majorBidi" w:hAnsiTheme="majorBidi" w:cstheme="majorBidi"/>
            </w:rPr>
            <w:t xml:space="preserve">Toyota Europe (2021) </w:t>
          </w:r>
          <w:r>
            <w:rPr>
              <w:rFonts w:asciiTheme="majorBidi" w:hAnsiTheme="majorBidi" w:cstheme="majorBidi"/>
              <w:i/>
              <w:iCs/>
            </w:rPr>
            <w:t>The New Toyota Mirai</w:t>
          </w:r>
          <w:r>
            <w:rPr>
              <w:rFonts w:asciiTheme="majorBidi" w:hAnsiTheme="majorBidi" w:cstheme="majorBidi"/>
            </w:rPr>
            <w:t xml:space="preserve">, </w:t>
          </w:r>
          <w:r>
            <w:rPr>
              <w:rFonts w:asciiTheme="majorBidi" w:hAnsiTheme="majorBidi" w:cstheme="majorBidi"/>
              <w:i/>
              <w:iCs/>
            </w:rPr>
            <w:t>Toyota Newsroom</w:t>
          </w:r>
          <w:r>
            <w:rPr>
              <w:rFonts w:asciiTheme="majorBidi" w:hAnsiTheme="majorBidi" w:cstheme="majorBidi"/>
            </w:rPr>
            <w:t xml:space="preserve">. Toyota Europe. Available at: https://newsroom.toyota.eu/the-new-toyota-mirai/ (Accessed: March 21, 2023). </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Community and Culture. Retrieved from https://global.toyota/en/sustainability/community/</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Compliance. Retrieved from https://global.toyota/en/company/compliance/</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Corporate Social Responsibility. Retrieved from https://global.toyota/en/sustainability/csr/</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Environmental Activities. Retrieved from https://global.toyota/en/sustainability/environment/</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Manufacturing and Sales of Vehicles by Region. Retrieved from https://global.toyota/en/company/profile/production-sales-locations/</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and BYD to Establish Joint Company for Battery Electric Vehicle Research and Development in China. Retrieved from https://global.toyota/en/newsroom/toyota/</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and the Wildlife Conservation Society Collaborate on Forest Conservation in APAC. Retrieved from https://global.toyota/en/newsroom/toyota/</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Toyota Global. (2021). Toyota and Uber Agree to Explore Collaboration, Starting with Trials in Countries where Ridesharing is Expanding. Retrieved from </w:t>
          </w:r>
          <w:r>
            <w:fldChar w:fldCharType="begin"/>
          </w:r>
          <w:r>
            <w:instrText xml:space="preserve"> HYPERLINK "https://global.toyota/en/newsroom/toyota/18176838.html" </w:instrText>
          </w:r>
          <w:r>
            <w:fldChar w:fldCharType="separate"/>
          </w:r>
          <w:r>
            <w:rPr>
              <w:rStyle w:val="16"/>
              <w:rFonts w:asciiTheme="majorBidi" w:hAnsiTheme="majorBidi" w:cstheme="majorBidi"/>
              <w:szCs w:val="24"/>
            </w:rPr>
            <w:t>https://global.toyota/en/newsroom/toyota/18176838.html</w:t>
          </w:r>
          <w:r>
            <w:rPr>
              <w:rStyle w:val="16"/>
              <w:rFonts w:asciiTheme="majorBidi" w:hAnsiTheme="majorBidi" w:cstheme="majorBidi"/>
              <w:szCs w:val="24"/>
            </w:rPr>
            <w:fldChar w:fldCharType="end"/>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Toyota Global. (2021). Toyota at a Glance. Retrieved from </w:t>
          </w:r>
          <w:r>
            <w:fldChar w:fldCharType="begin"/>
          </w:r>
          <w:r>
            <w:instrText xml:space="preserve"> HYPERLINK "https://global.toyota/en/company/profile/" </w:instrText>
          </w:r>
          <w:r>
            <w:fldChar w:fldCharType="separate"/>
          </w:r>
          <w:r>
            <w:rPr>
              <w:rStyle w:val="16"/>
              <w:rFonts w:asciiTheme="majorBidi" w:hAnsiTheme="majorBidi" w:cstheme="majorBidi"/>
              <w:szCs w:val="24"/>
            </w:rPr>
            <w:t>https://global.toyota/en/company/profile/</w:t>
          </w:r>
          <w:r>
            <w:rPr>
              <w:rStyle w:val="16"/>
              <w:rFonts w:asciiTheme="majorBidi" w:hAnsiTheme="majorBidi" w:cstheme="majorBidi"/>
              <w:szCs w:val="24"/>
            </w:rPr>
            <w:fldChar w:fldCharType="end"/>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C-HR. Retrieved from https://global.toyota/en/showroom/c-hr/</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Launches Its First All-Electric Vehicle in China. Retrieved from https://global.toyota/en/newsroom/toyota/31372217.html</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Prius. Retrieved from https://global.toyota/en/showroom/prius/</w:t>
          </w:r>
        </w:p>
        <w:p>
          <w:pPr>
            <w:spacing w:line="240" w:lineRule="auto"/>
            <w:ind w:left="720" w:hanging="720"/>
            <w:rPr>
              <w:rFonts w:asciiTheme="majorBidi" w:hAnsiTheme="majorBidi" w:cstheme="majorBidi"/>
              <w:szCs w:val="24"/>
            </w:rPr>
          </w:pPr>
          <w:r>
            <w:rPr>
              <w:rFonts w:asciiTheme="majorBidi" w:hAnsiTheme="majorBidi" w:cstheme="majorBidi"/>
              <w:szCs w:val="24"/>
            </w:rPr>
            <w:t>Toyota Global. (2021). Toyota to Build New Plant in Myanmar. Retrieved from https://global.toyota/en/newsroom/toyota/23521140.html</w:t>
          </w:r>
        </w:p>
        <w:p>
          <w:pPr>
            <w:pStyle w:val="17"/>
            <w:ind w:left="567" w:hanging="567"/>
            <w:rPr>
              <w:rFonts w:asciiTheme="majorBidi" w:hAnsiTheme="majorBidi" w:cstheme="majorBidi"/>
            </w:rPr>
          </w:pPr>
          <w:r>
            <w:rPr>
              <w:rFonts w:asciiTheme="majorBidi" w:hAnsiTheme="majorBidi" w:cstheme="majorBidi"/>
            </w:rPr>
            <w:t xml:space="preserve">Toyota Newsroom (2020) </w:t>
          </w:r>
          <w:r>
            <w:rPr>
              <w:rFonts w:asciiTheme="majorBidi" w:hAnsiTheme="majorBidi" w:cstheme="majorBidi"/>
              <w:i/>
              <w:iCs/>
            </w:rPr>
            <w:t>Toyota named Number 1 Motor Vehicle Company on Fortune Magazine's 2020 "World's most admired" list</w:t>
          </w:r>
          <w:r>
            <w:rPr>
              <w:rFonts w:asciiTheme="majorBidi" w:hAnsiTheme="majorBidi" w:cstheme="majorBidi"/>
            </w:rPr>
            <w:t xml:space="preserve">, </w:t>
          </w:r>
          <w:r>
            <w:rPr>
              <w:rFonts w:asciiTheme="majorBidi" w:hAnsiTheme="majorBidi" w:cstheme="majorBidi"/>
              <w:i/>
              <w:iCs/>
            </w:rPr>
            <w:t>Toyota USA Newsroom</w:t>
          </w:r>
          <w:r>
            <w:rPr>
              <w:rFonts w:asciiTheme="majorBidi" w:hAnsiTheme="majorBidi" w:cstheme="majorBidi"/>
            </w:rPr>
            <w:t xml:space="preserve">. Available at: https://pressroom.toyota.com/toyota-named-number-1-motor-vehicle-company-on-fortune-magazines-2020-worlds-most-admired-list/ (Accessed: April 6, 2023). </w:t>
          </w:r>
        </w:p>
        <w:p>
          <w:pPr>
            <w:spacing w:line="240" w:lineRule="auto"/>
            <w:ind w:left="720" w:hanging="720"/>
            <w:rPr>
              <w:rFonts w:asciiTheme="majorBidi" w:hAnsiTheme="majorBidi" w:cstheme="majorBidi"/>
              <w:szCs w:val="24"/>
            </w:rPr>
          </w:pPr>
          <w:r>
            <w:rPr>
              <w:rFonts w:asciiTheme="majorBidi" w:hAnsiTheme="majorBidi" w:cstheme="majorBidi"/>
              <w:szCs w:val="24"/>
            </w:rPr>
            <w:t>Toyota USA Newsroom. (2016). 2017 Toyota Prius Prime: The Most Efficient Car in America. Retrieved from https://pressroom.toyota.com/2017-toyota-prius-prime-the-most-efficient-car-in-america/</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Toyota USA Newsroom. (2020). 2020 Toyota Supra Launches As New Halo Model. Retrieved from </w:t>
          </w:r>
          <w:r>
            <w:fldChar w:fldCharType="begin"/>
          </w:r>
          <w:r>
            <w:instrText xml:space="preserve"> HYPERLINK "https://pressroom.toyota.com/2020-toyota-supra-launches-as-new-halo-model/" </w:instrText>
          </w:r>
          <w:r>
            <w:fldChar w:fldCharType="separate"/>
          </w:r>
          <w:r>
            <w:rPr>
              <w:rStyle w:val="16"/>
              <w:rFonts w:asciiTheme="majorBidi" w:hAnsiTheme="majorBidi" w:cstheme="majorBidi"/>
              <w:szCs w:val="24"/>
            </w:rPr>
            <w:t>https://pressroom.toyota.com/2020-toyota-supra-launches-as-new-halo-model/</w:t>
          </w:r>
          <w:r>
            <w:rPr>
              <w:rStyle w:val="16"/>
              <w:rFonts w:asciiTheme="majorBidi" w:hAnsiTheme="majorBidi" w:cstheme="majorBidi"/>
              <w:szCs w:val="24"/>
            </w:rPr>
            <w:fldChar w:fldCharType="end"/>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Toyota USA Newsroom. (2021). Toyota Motor North America Reports December 2020, Year-End Sales. Retrieved from </w:t>
          </w:r>
          <w:r>
            <w:fldChar w:fldCharType="begin"/>
          </w:r>
          <w:r>
            <w:instrText xml:space="preserve"> HYPERLINK "https://pressroom.toyota.com/toyota-motor-north-america-reports-december-2020-year-end-sales/" </w:instrText>
          </w:r>
          <w:r>
            <w:fldChar w:fldCharType="separate"/>
          </w:r>
          <w:r>
            <w:rPr>
              <w:rStyle w:val="16"/>
              <w:rFonts w:asciiTheme="majorBidi" w:hAnsiTheme="majorBidi" w:cstheme="majorBidi"/>
              <w:szCs w:val="24"/>
            </w:rPr>
            <w:t>https://pressroom.toyota.com/toyota-motor-north-america-reports-december-2020-year-end-sales/</w:t>
          </w:r>
          <w:r>
            <w:rPr>
              <w:rStyle w:val="16"/>
              <w:rFonts w:asciiTheme="majorBidi" w:hAnsiTheme="majorBidi" w:cstheme="majorBidi"/>
              <w:szCs w:val="24"/>
            </w:rPr>
            <w:fldChar w:fldCharType="end"/>
          </w:r>
        </w:p>
        <w:p>
          <w:pPr>
            <w:spacing w:line="240" w:lineRule="auto"/>
            <w:ind w:left="720" w:hanging="720"/>
            <w:rPr>
              <w:rFonts w:asciiTheme="majorBidi" w:hAnsiTheme="majorBidi" w:cstheme="majorBidi"/>
              <w:szCs w:val="24"/>
            </w:rPr>
          </w:pPr>
          <w:r>
            <w:rPr>
              <w:rFonts w:asciiTheme="majorBidi" w:hAnsiTheme="majorBidi" w:cstheme="majorBidi"/>
              <w:szCs w:val="24"/>
            </w:rPr>
            <w:t>Toyota. (2017). Toyota Announces the Accident Reduction Effects of Intelligent Clearance Sonar, a Safety Support Technology for Parking. Retrieved from https://global.toyota/en/newsroom/corporate/20253397.html</w:t>
          </w:r>
        </w:p>
        <w:p>
          <w:pPr>
            <w:spacing w:line="240" w:lineRule="auto"/>
            <w:ind w:left="720" w:hanging="720"/>
            <w:rPr>
              <w:rFonts w:asciiTheme="majorBidi" w:hAnsiTheme="majorBidi" w:cstheme="majorBidi"/>
              <w:szCs w:val="24"/>
            </w:rPr>
          </w:pPr>
          <w:r>
            <w:rPr>
              <w:rFonts w:asciiTheme="majorBidi" w:hAnsiTheme="majorBidi" w:cstheme="majorBidi"/>
              <w:szCs w:val="24"/>
            </w:rPr>
            <w:t>Toyota. (2020). Toyota to Introduce 15 BEVs by 2025, Including Seven New BEV Models in the Next Five Years. Retrieved from https://global.toyota/en/newsroom/corporate/34911202.html</w:t>
          </w:r>
        </w:p>
        <w:p>
          <w:pPr>
            <w:spacing w:line="240" w:lineRule="auto"/>
            <w:ind w:left="720" w:hanging="720"/>
            <w:rPr>
              <w:rFonts w:asciiTheme="majorBidi" w:hAnsiTheme="majorBidi" w:cstheme="majorBidi"/>
              <w:szCs w:val="24"/>
            </w:rPr>
          </w:pPr>
          <w:r>
            <w:rPr>
              <w:rFonts w:asciiTheme="majorBidi" w:hAnsiTheme="majorBidi" w:cstheme="majorBidi"/>
              <w:szCs w:val="24"/>
            </w:rPr>
            <w:t>Toyota. (2020). Toyota's hybrid vehicle sales up to January 2020. Retrieved from https://global.toyota/en/newsroom/corporate/31761449.html</w:t>
          </w:r>
        </w:p>
        <w:p>
          <w:pPr>
            <w:spacing w:line="240" w:lineRule="auto"/>
            <w:ind w:left="720" w:hanging="720"/>
            <w:rPr>
              <w:rFonts w:asciiTheme="majorBidi" w:hAnsiTheme="majorBidi" w:cstheme="majorBidi"/>
              <w:szCs w:val="24"/>
            </w:rPr>
          </w:pPr>
          <w:r>
            <w:rPr>
              <w:rFonts w:asciiTheme="majorBidi" w:hAnsiTheme="majorBidi" w:cstheme="majorBidi"/>
              <w:szCs w:val="24"/>
            </w:rPr>
            <w:t>Toyota. (2021). Toyota Motor Corporation Annual Report 2021. Retrieved from https://global.toyota/en/ir/library/annual/</w:t>
          </w:r>
        </w:p>
        <w:p>
          <w:pPr>
            <w:spacing w:line="240" w:lineRule="auto"/>
            <w:ind w:left="567" w:hanging="567"/>
            <w:rPr>
              <w:rFonts w:asciiTheme="majorBidi" w:hAnsiTheme="majorBidi" w:cstheme="majorBidi"/>
              <w:szCs w:val="24"/>
            </w:rPr>
          </w:pPr>
          <w:r>
            <w:rPr>
              <w:rFonts w:asciiTheme="majorBidi" w:hAnsiTheme="majorBidi" w:cstheme="majorBidi"/>
              <w:szCs w:val="24"/>
            </w:rPr>
            <w:t>Toyota. (2022). </w:t>
          </w:r>
          <w:r>
            <w:rPr>
              <w:rFonts w:asciiTheme="majorBidi" w:hAnsiTheme="majorBidi" w:cstheme="majorBidi"/>
              <w:i/>
              <w:iCs/>
              <w:szCs w:val="24"/>
            </w:rPr>
            <w:t>Toyota's net revenue from FY 2012 to FY 2022 (in trillion Japanese yen)</w:t>
          </w:r>
          <w:r>
            <w:rPr>
              <w:rFonts w:asciiTheme="majorBidi" w:hAnsiTheme="majorBidi" w:cstheme="majorBidi"/>
              <w:szCs w:val="24"/>
            </w:rPr>
            <w:t>. </w:t>
          </w:r>
          <w:r>
            <w:rPr>
              <w:rFonts w:asciiTheme="majorBidi" w:hAnsiTheme="majorBidi" w:cstheme="majorBidi"/>
              <w:i/>
              <w:iCs/>
              <w:szCs w:val="24"/>
            </w:rPr>
            <w:t>Statista</w:t>
          </w:r>
          <w:r>
            <w:rPr>
              <w:rFonts w:asciiTheme="majorBidi" w:hAnsiTheme="majorBidi" w:cstheme="majorBidi"/>
              <w:szCs w:val="24"/>
            </w:rPr>
            <w:t>. Statista Inc.. Accessed: March 13, 2023. https://www.statista.com/statistics/262752/total-net-revenues-of-toyota/</w:t>
          </w:r>
        </w:p>
        <w:p>
          <w:pPr>
            <w:spacing w:line="240" w:lineRule="auto"/>
            <w:ind w:left="567" w:hanging="567"/>
            <w:rPr>
              <w:rFonts w:asciiTheme="majorBidi" w:hAnsiTheme="majorBidi" w:cstheme="majorBidi"/>
              <w:szCs w:val="24"/>
            </w:rPr>
          </w:pPr>
          <w:r>
            <w:rPr>
              <w:rFonts w:asciiTheme="majorBidi" w:hAnsiTheme="majorBidi" w:cstheme="majorBidi"/>
              <w:szCs w:val="24"/>
            </w:rPr>
            <w:t>Toyota. (2022). </w:t>
          </w:r>
          <w:r>
            <w:rPr>
              <w:rFonts w:asciiTheme="majorBidi" w:hAnsiTheme="majorBidi" w:cstheme="majorBidi"/>
              <w:i/>
              <w:iCs/>
              <w:szCs w:val="24"/>
            </w:rPr>
            <w:t>Worldwide number of vehicles produced by Toyota from FY 2007 to FY 2022 (in 1,000s)</w:t>
          </w:r>
          <w:r>
            <w:rPr>
              <w:rFonts w:asciiTheme="majorBidi" w:hAnsiTheme="majorBidi" w:cstheme="majorBidi"/>
              <w:szCs w:val="24"/>
            </w:rPr>
            <w:t>. </w:t>
          </w:r>
          <w:r>
            <w:rPr>
              <w:rFonts w:asciiTheme="majorBidi" w:hAnsiTheme="majorBidi" w:cstheme="majorBidi"/>
              <w:i/>
              <w:iCs/>
              <w:szCs w:val="24"/>
            </w:rPr>
            <w:t>Statista</w:t>
          </w:r>
          <w:r>
            <w:rPr>
              <w:rFonts w:asciiTheme="majorBidi" w:hAnsiTheme="majorBidi" w:cstheme="majorBidi"/>
              <w:szCs w:val="24"/>
            </w:rPr>
            <w:t>. Statista Inc.. Accessed: March 13, 2023. https://www.statista.com/statistics/267272/worldwide-vehicle-production-of-toyota/</w:t>
          </w:r>
        </w:p>
        <w:p>
          <w:pPr>
            <w:pStyle w:val="17"/>
            <w:ind w:left="567" w:hanging="567"/>
            <w:rPr>
              <w:rFonts w:asciiTheme="majorBidi" w:hAnsiTheme="majorBidi" w:cstheme="majorBidi"/>
            </w:rPr>
          </w:pPr>
          <w:r>
            <w:rPr>
              <w:rFonts w:asciiTheme="majorBidi" w:hAnsiTheme="majorBidi" w:cstheme="majorBidi"/>
            </w:rPr>
            <w:t xml:space="preserve">Toyota. 2022. </w:t>
          </w:r>
          <w:r>
            <w:rPr>
              <w:rFonts w:asciiTheme="majorBidi" w:hAnsiTheme="majorBidi" w:cstheme="majorBidi"/>
              <w:i/>
              <w:iCs/>
            </w:rPr>
            <w:t>Global website: 75 Years of Toyota: Section 4. expanding business in China through joint ventures: Item 1. production sites expanded</w:t>
          </w:r>
          <w:r>
            <w:rPr>
              <w:rFonts w:asciiTheme="majorBidi" w:hAnsiTheme="majorBidi" w:cstheme="majorBidi"/>
            </w:rPr>
            <w:t xml:space="preserve">, </w:t>
          </w:r>
          <w:r>
            <w:rPr>
              <w:rFonts w:asciiTheme="majorBidi" w:hAnsiTheme="majorBidi" w:cstheme="majorBidi"/>
              <w:i/>
              <w:iCs/>
            </w:rPr>
            <w:t>Toyota</w:t>
          </w:r>
          <w:r>
            <w:rPr>
              <w:rFonts w:asciiTheme="majorBidi" w:hAnsiTheme="majorBidi" w:cstheme="majorBidi"/>
            </w:rPr>
            <w:t xml:space="preserve">. Available at: https://www.toyota-global.com/company/history_of_toyota/75years/text/leaping_forward_as_a_global_corporation/chapter4/section4/item1.html (Accessed: April 6, 2023). </w:t>
          </w:r>
        </w:p>
        <w:p>
          <w:pPr>
            <w:pStyle w:val="17"/>
            <w:ind w:left="567" w:hanging="567"/>
            <w:rPr>
              <w:rFonts w:asciiTheme="majorBidi" w:hAnsiTheme="majorBidi" w:cstheme="majorBidi"/>
            </w:rPr>
          </w:pPr>
          <w:r>
            <w:rPr>
              <w:rFonts w:asciiTheme="majorBidi" w:hAnsiTheme="majorBidi" w:cstheme="majorBidi"/>
            </w:rPr>
            <w:t xml:space="preserve">United Nations (2022) </w:t>
          </w:r>
          <w:r>
            <w:rPr>
              <w:rFonts w:asciiTheme="majorBidi" w:hAnsiTheme="majorBidi" w:cstheme="majorBidi"/>
              <w:i/>
              <w:iCs/>
            </w:rPr>
            <w:t>The 2030 agenda for sustainable development</w:t>
          </w:r>
          <w:r>
            <w:rPr>
              <w:rFonts w:asciiTheme="majorBidi" w:hAnsiTheme="majorBidi" w:cstheme="majorBidi"/>
            </w:rPr>
            <w:t xml:space="preserve">, </w:t>
          </w:r>
          <w:r>
            <w:rPr>
              <w:rFonts w:asciiTheme="majorBidi" w:hAnsiTheme="majorBidi" w:cstheme="majorBidi"/>
              <w:i/>
              <w:iCs/>
            </w:rPr>
            <w:t>United Nations</w:t>
          </w:r>
          <w:r>
            <w:rPr>
              <w:rFonts w:asciiTheme="majorBidi" w:hAnsiTheme="majorBidi" w:cstheme="majorBidi"/>
            </w:rPr>
            <w:t xml:space="preserve">. United Nations. Available at: https://sdgs.un.org/sites/default/files/publications/ (Accessed: March 13, 2023). </w:t>
          </w:r>
        </w:p>
        <w:p>
          <w:pPr>
            <w:spacing w:line="240" w:lineRule="auto"/>
            <w:ind w:left="720" w:hanging="720"/>
            <w:rPr>
              <w:rFonts w:asciiTheme="majorBidi" w:hAnsiTheme="majorBidi" w:cstheme="majorBidi"/>
              <w:szCs w:val="24"/>
            </w:rPr>
          </w:pPr>
          <w:r>
            <w:rPr>
              <w:rFonts w:asciiTheme="majorBidi" w:hAnsiTheme="majorBidi" w:cstheme="majorBidi"/>
              <w:szCs w:val="24"/>
            </w:rPr>
            <w:t>US-China Business Council. (2018). Intellectual Property Rights in China. Retrieved from https://www.uschina.org/reports/intellectual-property-rights-china</w:t>
          </w:r>
        </w:p>
        <w:p>
          <w:pPr>
            <w:pStyle w:val="17"/>
            <w:ind w:left="567" w:hanging="567"/>
            <w:rPr>
              <w:rFonts w:asciiTheme="majorBidi" w:hAnsiTheme="majorBidi" w:cstheme="majorBidi"/>
            </w:rPr>
          </w:pPr>
          <w:r>
            <w:rPr>
              <w:rFonts w:asciiTheme="majorBidi" w:hAnsiTheme="majorBidi" w:cstheme="majorBidi"/>
              <w:highlight w:val="yellow"/>
            </w:rPr>
            <w:t>Wild, J. J., &amp; Wild, K. L. (2019). International Business: The Challenges of Globalization. Pearson.</w:t>
          </w:r>
        </w:p>
        <w:p>
          <w:pPr>
            <w:spacing w:line="240" w:lineRule="auto"/>
            <w:ind w:left="720" w:hanging="720"/>
            <w:rPr>
              <w:rFonts w:asciiTheme="majorBidi" w:hAnsiTheme="majorBidi" w:cstheme="majorBidi"/>
              <w:szCs w:val="24"/>
            </w:rPr>
          </w:pPr>
          <w:r>
            <w:rPr>
              <w:rFonts w:asciiTheme="majorBidi" w:hAnsiTheme="majorBidi" w:cstheme="majorBidi"/>
              <w:szCs w:val="24"/>
            </w:rPr>
            <w:t>WIPO (World Intellectual Property Organization). (2021). Global Innovation Index 2021. Retrieved from https://www.wipo.int/global_innovation_index/en/2021/index.html</w:t>
          </w:r>
        </w:p>
        <w:p>
          <w:pPr>
            <w:spacing w:line="240" w:lineRule="auto"/>
            <w:ind w:left="720" w:hanging="720"/>
            <w:rPr>
              <w:rFonts w:asciiTheme="majorBidi" w:hAnsiTheme="majorBidi" w:cstheme="majorBidi"/>
              <w:szCs w:val="24"/>
            </w:rPr>
          </w:pPr>
          <w:r>
            <w:rPr>
              <w:rFonts w:asciiTheme="majorBidi" w:hAnsiTheme="majorBidi" w:cstheme="majorBidi"/>
              <w:szCs w:val="24"/>
            </w:rPr>
            <w:t xml:space="preserve">World Bank. (2021). GDP (current US$) - Japan. Retrieved from </w:t>
          </w:r>
          <w:r>
            <w:fldChar w:fldCharType="begin"/>
          </w:r>
          <w:r>
            <w:instrText xml:space="preserve"> HYPERLINK "https://data.worldbank.org/indicator/NY.GDP.MKTP.CD?locations=JP" </w:instrText>
          </w:r>
          <w:r>
            <w:fldChar w:fldCharType="separate"/>
          </w:r>
          <w:r>
            <w:rPr>
              <w:rStyle w:val="16"/>
              <w:rFonts w:asciiTheme="majorBidi" w:hAnsiTheme="majorBidi" w:cstheme="majorBidi"/>
              <w:szCs w:val="24"/>
            </w:rPr>
            <w:t>https://data.worldbank.org/indicator/NY.GDP.MKTP.CD?locations=JP</w:t>
          </w:r>
          <w:r>
            <w:rPr>
              <w:rStyle w:val="16"/>
              <w:rFonts w:asciiTheme="majorBidi" w:hAnsiTheme="majorBidi" w:cstheme="majorBidi"/>
              <w:szCs w:val="24"/>
            </w:rPr>
            <w:fldChar w:fldCharType="end"/>
          </w:r>
          <w:r>
            <w:rPr>
              <w:rFonts w:asciiTheme="majorBidi" w:hAnsiTheme="majorBidi" w:cstheme="majorBidi"/>
              <w:szCs w:val="24"/>
            </w:rPr>
            <w:t xml:space="preserve"> </w:t>
          </w:r>
        </w:p>
        <w:p>
          <w:pPr>
            <w:pStyle w:val="17"/>
            <w:ind w:left="567" w:hanging="567"/>
            <w:rPr>
              <w:rFonts w:asciiTheme="majorBidi" w:hAnsiTheme="majorBidi" w:cstheme="majorBidi"/>
            </w:rPr>
          </w:pPr>
          <w:r>
            <w:rPr>
              <w:rFonts w:asciiTheme="majorBidi" w:hAnsiTheme="majorBidi" w:cstheme="majorBidi"/>
            </w:rPr>
            <w:t xml:space="preserve">Zhang, J.W. (2018) </w:t>
          </w:r>
          <w:r>
            <w:rPr>
              <w:rFonts w:asciiTheme="majorBidi" w:hAnsiTheme="majorBidi" w:cstheme="majorBidi"/>
              <w:i/>
              <w:iCs/>
            </w:rPr>
            <w:t>The Chinese Labor Market, 2000–2016</w:t>
          </w:r>
          <w:r>
            <w:rPr>
              <w:rFonts w:asciiTheme="majorBidi" w:hAnsiTheme="majorBidi" w:cstheme="majorBidi"/>
            </w:rPr>
            <w:t xml:space="preserve">, </w:t>
          </w:r>
          <w:r>
            <w:rPr>
              <w:rFonts w:asciiTheme="majorBidi" w:hAnsiTheme="majorBidi" w:cstheme="majorBidi"/>
              <w:i/>
              <w:iCs/>
            </w:rPr>
            <w:t>IZA World of Labor</w:t>
          </w:r>
          <w:r>
            <w:rPr>
              <w:rFonts w:asciiTheme="majorBidi" w:hAnsiTheme="majorBidi" w:cstheme="majorBidi"/>
            </w:rPr>
            <w:t xml:space="preserve">. Available at: https://wol.iza.org/articles/the-chinese-labor-market/long (Accessed: April 6, 2023). </w:t>
          </w:r>
        </w:p>
        <w:p>
          <w:pPr>
            <w:pStyle w:val="17"/>
            <w:spacing w:line="360" w:lineRule="auto"/>
            <w:ind w:left="567" w:hanging="567"/>
            <w:jc w:val="both"/>
            <w:rPr>
              <w:rFonts w:asciiTheme="majorBidi" w:hAnsiTheme="majorBidi" w:cstheme="majorBidi"/>
            </w:rPr>
          </w:pPr>
        </w:p>
        <w:p>
          <w:pPr>
            <w:pStyle w:val="17"/>
            <w:spacing w:line="360" w:lineRule="auto"/>
            <w:jc w:val="both"/>
            <w:rPr>
              <w:rFonts w:asciiTheme="majorBidi" w:hAnsiTheme="majorBidi" w:cstheme="majorBidi"/>
            </w:rPr>
          </w:pPr>
        </w:p>
        <w:p>
          <w:pPr>
            <w:spacing w:line="360" w:lineRule="auto"/>
            <w:jc w:val="both"/>
            <w:rPr>
              <w:rFonts w:asciiTheme="majorBidi" w:hAnsiTheme="majorBidi" w:cstheme="majorBidi"/>
            </w:rPr>
          </w:pPr>
          <w:bookmarkStart w:id="96" w:name="_Toc132864265"/>
          <w:r>
            <w:rPr>
              <w:rStyle w:val="33"/>
              <w:rFonts w:asciiTheme="majorBidi" w:hAnsiTheme="majorBidi" w:cstheme="majorBidi"/>
            </w:rPr>
            <w:t>Appendix</w:t>
          </w:r>
          <w:bookmarkEnd w:id="96"/>
          <w:r>
            <w:rPr>
              <w:rFonts w:asciiTheme="majorBidi" w:hAnsiTheme="majorBidi" w:cstheme="majorBidi"/>
            </w:rPr>
            <w:t xml:space="preserve"> </w:t>
          </w:r>
        </w:p>
        <w:p>
          <w:pPr>
            <w:pStyle w:val="3"/>
            <w:rPr>
              <w:rFonts w:asciiTheme="majorBidi" w:hAnsiTheme="majorBidi"/>
            </w:rPr>
          </w:pPr>
          <w:bookmarkStart w:id="97" w:name="_Toc132864266"/>
          <w:r>
            <w:rPr>
              <w:rFonts w:asciiTheme="majorBidi" w:hAnsiTheme="majorBidi"/>
            </w:rPr>
            <w:t>Appendix 1: industry five forces</w:t>
          </w:r>
          <w:bookmarkEnd w:id="97"/>
        </w:p>
        <w:tbl>
          <w:tblPr>
            <w:tblStyle w:val="47"/>
            <w:tblW w:w="10890" w:type="dxa"/>
            <w:tblInd w:w="-995"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1980"/>
            <w:gridCol w:w="3780"/>
            <w:gridCol w:w="513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bottom w:val="nil"/>
                  <w:right w:val="nil"/>
                </w:tcBorders>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Forces</w:t>
                </w:r>
              </w:p>
            </w:tc>
            <w:tc>
              <w:tcPr>
                <w:tcW w:w="3780" w:type="dxa"/>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China</w:t>
                </w:r>
              </w:p>
            </w:tc>
            <w:tc>
              <w:tcPr>
                <w:tcW w:w="5130" w:type="dxa"/>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Japan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Competitive Rivalry</w:t>
                </w:r>
              </w:p>
            </w:tc>
            <w:tc>
              <w:tcPr>
                <w:tcW w:w="37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xml:space="preserve">- Highly competitive market with both international and domestic automakers, including Volkswagen, General Motors, Honda, Nissan, Geely, Great Wall Motors, and BYD (Statista, 2021) </w:t>
                </w:r>
              </w:p>
            </w:tc>
            <w:tc>
              <w:tcPr>
                <w:tcW w:w="513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xml:space="preserve">- Competition mainly from other Japanese automakers, such as Honda, Nissan, and Mazda, as well as global players like Volkswagen and General Motors (Fujimoto, 2007)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right w:val="nil"/>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Bargaining Power of Suppliers</w:t>
                </w:r>
              </w:p>
            </w:tc>
            <w:tc>
              <w:tcPr>
                <w:tcW w:w="378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Localization of supply chain by sourcing parts and components from Chinese suppliers (Yuan et al., 2013) Reduced bargaining power of suppliers due to localized strategy, leading to cost savings and efficiency improvements</w:t>
                </w:r>
              </w:p>
            </w:tc>
            <w:tc>
              <w:tcPr>
                <w:tcW w:w="513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Long-term relationships with Japanese suppliers for mutual benefit and risk-sharing (Fujimoto, 2007) - Toyota's dominance in the Japanese market gives it substantial bargaining power over suppliers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Bargaining Power of Buyers</w:t>
                </w:r>
              </w:p>
            </w:tc>
            <w:tc>
              <w:tcPr>
                <w:tcW w:w="37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Wide range of choices for consumers, increasing their bargaining power (Deloitte, 2017)     - Toyota must offer high-quality, fuel-efficient, and affordable vehicles to attract and retain customers in the price-sensitive market</w:t>
                </w:r>
              </w:p>
            </w:tc>
            <w:tc>
              <w:tcPr>
                <w:tcW w:w="513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Buyers have high expectations for quality, reliability, and fuel efficiency (Oh &amp; Rugman, 2014)     - Strong brand loyalty among Japanese consumers helps mitigate the bargaining power of buyers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right w:val="nil"/>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Threat of Substitutes</w:t>
                </w:r>
              </w:p>
            </w:tc>
            <w:tc>
              <w:tcPr>
                <w:tcW w:w="378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Alternative modes of transportation, such as public transit, ride-hailing services, and car-sharing platforms, pose a potential threat to Toyota's sales (China Daily, 2018)     - Adapting to shifting consumer preferences and exploring new business models and mobility solutions is crucial</w:t>
                </w:r>
              </w:p>
            </w:tc>
            <w:tc>
              <w:tcPr>
                <w:tcW w:w="513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Public transportation and emerging ride-hailing services are potential substitutes for private car ownership (Fujimoto, 2007)     - Diversification into mobility services and other transportation solutions can help mitigate the threat of substitutes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1980"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Threat of New Entrants</w:t>
                </w:r>
              </w:p>
            </w:tc>
            <w:tc>
              <w:tcPr>
                <w:tcW w:w="37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High barriers to entry due to capital-intensive nature of the industry and strict government regulations (Yuan et al., 2013)     - Growing number of local and international startups focusing on electric and autonomous vehicles could pose a future threat to established players like Toyota</w:t>
                </w:r>
              </w:p>
            </w:tc>
            <w:tc>
              <w:tcPr>
                <w:tcW w:w="513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High barriers to entry due to capital-intensive nature of the industry, technology requirements, and economies of scale (Fujimoto, 2007)     - Established players dominate the market, making it difficult for new entrants to gain a foothold</w:t>
                </w:r>
              </w:p>
            </w:tc>
          </w:tr>
        </w:tbl>
        <w:p>
          <w:pPr>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tabs>
              <w:tab w:val="left" w:pos="214"/>
            </w:tabs>
            <w:spacing w:line="360" w:lineRule="auto"/>
            <w:jc w:val="both"/>
            <w:rPr>
              <w:rFonts w:asciiTheme="majorBidi" w:hAnsiTheme="majorBidi" w:cstheme="majorBidi"/>
              <w:lang w:eastAsia="ja-JP"/>
            </w:rPr>
          </w:pPr>
        </w:p>
        <w:p>
          <w:pPr>
            <w:pStyle w:val="3"/>
            <w:rPr>
              <w:rFonts w:asciiTheme="majorBidi" w:hAnsiTheme="majorBidi"/>
            </w:rPr>
          </w:pPr>
          <w:bookmarkStart w:id="98" w:name="_Toc132864267"/>
          <w:r>
            <w:rPr>
              <w:rFonts w:asciiTheme="majorBidi" w:hAnsiTheme="majorBidi"/>
            </w:rPr>
            <w:t>Appendix 2: Market analysis</w:t>
          </w:r>
          <w:bookmarkEnd w:id="98"/>
        </w:p>
        <w:p>
          <w:pPr>
            <w:spacing w:line="360" w:lineRule="auto"/>
            <w:jc w:val="both"/>
            <w:rPr>
              <w:rFonts w:asciiTheme="majorBidi" w:hAnsiTheme="majorBidi" w:cstheme="majorBidi"/>
              <w:lang w:eastAsia="ja-JP"/>
            </w:rPr>
          </w:pPr>
        </w:p>
        <w:tbl>
          <w:tblPr>
            <w:tblStyle w:val="47"/>
            <w:tblW w:w="10890" w:type="dxa"/>
            <w:tblInd w:w="-995"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2556"/>
            <w:gridCol w:w="3654"/>
            <w:gridCol w:w="468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bottom w:val="nil"/>
                  <w:right w:val="nil"/>
                </w:tcBorders>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Market Factors</w:t>
                </w:r>
              </w:p>
            </w:tc>
            <w:tc>
              <w:tcPr>
                <w:tcW w:w="3654" w:type="dxa"/>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China</w:t>
                </w:r>
              </w:p>
            </w:tc>
            <w:tc>
              <w:tcPr>
                <w:tcW w:w="4680" w:type="dxa"/>
                <w:shd w:val="clear" w:color="auto" w:fill="000000" w:themeFill="text1"/>
              </w:tcPr>
              <w:p>
                <w:pPr>
                  <w:spacing w:before="480" w:after="480" w:line="360" w:lineRule="auto"/>
                  <w:jc w:val="both"/>
                  <w:rPr>
                    <w:rFonts w:eastAsia="Times New Roman" w:asciiTheme="majorBidi" w:hAnsiTheme="majorBidi" w:cstheme="majorBidi"/>
                    <w:b w:val="0"/>
                    <w:bCs w:val="0"/>
                    <w:color w:val="FFFFFF" w:themeColor="background1"/>
                    <w:sz w:val="21"/>
                    <w:szCs w:val="21"/>
                    <w:lang w:val="en-US"/>
                    <w14:textFill>
                      <w14:solidFill>
                        <w14:schemeClr w14:val="bg1"/>
                      </w14:solidFill>
                    </w14:textFill>
                  </w:rPr>
                </w:pPr>
                <w:r>
                  <w:rPr>
                    <w:rFonts w:eastAsia="Times New Roman" w:asciiTheme="majorBidi" w:hAnsiTheme="majorBidi" w:cstheme="majorBidi"/>
                    <w:b w:val="0"/>
                    <w:bCs w:val="0"/>
                    <w:color w:val="FFFFFF" w:themeColor="background1"/>
                    <w:sz w:val="21"/>
                    <w:szCs w:val="21"/>
                    <w:lang w:val="en-US"/>
                    <w14:textFill>
                      <w14:solidFill>
                        <w14:schemeClr w14:val="bg1"/>
                      </w14:solidFill>
                    </w14:textFill>
                  </w:rPr>
                  <w:t>Japan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Market Size</w:t>
                </w:r>
              </w:p>
            </w:tc>
            <w:tc>
              <w:tcPr>
                <w:tcW w:w="3654"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World's largest automotive market, with 25.3 million vehicles sold in 2020 (Statista, 2021)     - Huge potential for growth due to the large population and urbanization trends</w:t>
                </w:r>
              </w:p>
            </w:tc>
            <w:tc>
              <w:tcPr>
                <w:tcW w:w="46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Third-largest automotive market, with 4.6 million vehicles sold in 2020 (Statista, 2021)     - Relatively mature market with slower growth compared to emerging markets like China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right w:val="nil"/>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Market Share</w:t>
                </w:r>
              </w:p>
            </w:tc>
            <w:tc>
              <w:tcPr>
                <w:tcW w:w="3654"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Toyota's market share in China was 6.1% in 2020, ranking 5th among automakers (Statista, 2021)     - Joint ventures with local partners, such as FAW and GAC, help increase market penetration</w:t>
                </w:r>
              </w:p>
            </w:tc>
            <w:tc>
              <w:tcPr>
                <w:tcW w:w="468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Toyota's market share in Japan was around 30.9% in 2020, dominating the market (Statista, 2021)     - Strong brand loyalty among Japanese consumers supports market dominance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Market Segments</w:t>
                </w:r>
              </w:p>
            </w:tc>
            <w:tc>
              <w:tcPr>
                <w:tcW w:w="3654"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Rapidly growing demand for electric vehicles (EVs), hybrids, and fuel cell vehicles (FCVs) due to government policies and incentives (Hale, 2018)     - Growth in the luxury car segment, driven by rising disposable incomes</w:t>
                </w:r>
              </w:p>
            </w:tc>
            <w:tc>
              <w:tcPr>
                <w:tcW w:w="46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Demand for compact, fuel-efficient, and eco-friendly vehicles (METI, 2016)     - Growing interest in EVs, hybrids, and FCVs, driven by government support and consumer preferences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right w:val="nil"/>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Consumer Preferences</w:t>
                </w:r>
              </w:p>
            </w:tc>
            <w:tc>
              <w:tcPr>
                <w:tcW w:w="3654"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Price-sensitive consumers looking for affordable, fuel-efficient, and technologically advanced vehicles (Deloitte, 2017)     - Increasing demand for connected and autonomous vehicles</w:t>
                </w:r>
              </w:p>
            </w:tc>
            <w:tc>
              <w:tcPr>
                <w:tcW w:w="4680" w:type="dxa"/>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Quality-conscious consumers with high expectations for reliability, fuel efficiency, and safety (Oh &amp; Rugman, 2014)     - Growing interest in connected, autonomous, and shared mobility solutions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556"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spacing w:before="480" w:after="480" w:line="360" w:lineRule="auto"/>
                  <w:jc w:val="both"/>
                  <w:rPr>
                    <w:rFonts w:eastAsia="Times New Roman" w:asciiTheme="majorBidi" w:hAnsiTheme="majorBidi" w:cstheme="majorBidi"/>
                    <w:b/>
                    <w:bCs/>
                    <w:sz w:val="21"/>
                    <w:szCs w:val="21"/>
                    <w:lang w:val="en-US"/>
                  </w:rPr>
                </w:pPr>
                <w:r>
                  <w:rPr>
                    <w:rFonts w:eastAsia="Times New Roman" w:asciiTheme="majorBidi" w:hAnsiTheme="majorBidi" w:cstheme="majorBidi"/>
                    <w:b/>
                    <w:bCs/>
                    <w:sz w:val="21"/>
                    <w:szCs w:val="21"/>
                    <w:lang w:val="en-US"/>
                  </w:rPr>
                  <w:t>Regulatory Environment</w:t>
                </w:r>
              </w:p>
            </w:tc>
            <w:tc>
              <w:tcPr>
                <w:tcW w:w="3654"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Strict regulations on emissions and fuel efficiency standards (Hale, 2018)     - Government support for EVs and alternative energy vehicles, such as tax incentives and subsidies</w:t>
                </w:r>
              </w:p>
            </w:tc>
            <w:tc>
              <w:tcPr>
                <w:tcW w:w="4680" w:type="dxa"/>
                <w:tcBorders>
                  <w:top w:val="single" w:color="000000" w:themeColor="text1" w:sz="4" w:space="0"/>
                  <w:bottom w:val="single" w:color="000000" w:themeColor="text1" w:sz="4" w:space="0"/>
                  <w:insideH w:val="single" w:sz="4" w:space="0"/>
                </w:tcBorders>
              </w:tcPr>
              <w:p>
                <w:pPr>
                  <w:spacing w:before="480" w:after="480" w:line="360" w:lineRule="auto"/>
                  <w:jc w:val="both"/>
                  <w:rPr>
                    <w:rFonts w:eastAsia="Times New Roman" w:asciiTheme="majorBidi" w:hAnsiTheme="majorBidi" w:cstheme="majorBidi"/>
                    <w:sz w:val="21"/>
                    <w:szCs w:val="21"/>
                    <w:lang w:val="en-US"/>
                  </w:rPr>
                </w:pPr>
                <w:r>
                  <w:rPr>
                    <w:rFonts w:eastAsia="Times New Roman" w:asciiTheme="majorBidi" w:hAnsiTheme="majorBidi" w:cstheme="majorBidi"/>
                    <w:sz w:val="21"/>
                    <w:szCs w:val="21"/>
                    <w:lang w:val="en-US"/>
                  </w:rPr>
                  <w:t>- Government regulations on emissions and fuel efficiency standards (METI, 2016)     - Strong government support for the development and adoption of eco-friendly vehicles, including EVs, hybrids, and FCVs</w:t>
                </w:r>
              </w:p>
            </w:tc>
          </w:tr>
        </w:tbl>
        <w:p>
          <w:pPr>
            <w:spacing w:line="360" w:lineRule="auto"/>
            <w:jc w:val="both"/>
            <w:rPr>
              <w:rFonts w:asciiTheme="majorBidi" w:hAnsiTheme="majorBidi" w:cstheme="majorBidi"/>
              <w:lang w:eastAsia="ja-JP"/>
            </w:rPr>
          </w:pPr>
        </w:p>
        <w:p>
          <w:pPr>
            <w:spacing w:line="360" w:lineRule="auto"/>
            <w:jc w:val="both"/>
            <w:rPr>
              <w:rFonts w:asciiTheme="majorBidi" w:hAnsiTheme="majorBidi" w:cstheme="majorBidi"/>
              <w:lang w:eastAsia="ja-JP"/>
            </w:rPr>
          </w:pPr>
        </w:p>
        <w:p>
          <w:pPr>
            <w:pStyle w:val="3"/>
            <w:rPr>
              <w:rFonts w:asciiTheme="majorBidi" w:hAnsiTheme="majorBidi"/>
            </w:rPr>
          </w:pPr>
          <w:bookmarkStart w:id="99" w:name="_Toc132864268"/>
          <w:r>
            <w:rPr>
              <w:rFonts w:asciiTheme="majorBidi" w:hAnsiTheme="majorBidi"/>
            </w:rPr>
            <w:t>Appendix 3: Units sold by Toyota</w:t>
          </w:r>
          <w:bookmarkEnd w:id="99"/>
        </w:p>
        <w:p>
          <w:pPr>
            <w:spacing w:line="360" w:lineRule="auto"/>
            <w:jc w:val="both"/>
            <w:rPr>
              <w:rFonts w:asciiTheme="majorBidi" w:hAnsiTheme="majorBidi" w:cstheme="majorBidi"/>
              <w:szCs w:val="24"/>
            </w:rPr>
          </w:pPr>
          <w:r>
            <w:rPr>
              <w:rFonts w:asciiTheme="majorBidi" w:hAnsiTheme="majorBidi" w:cstheme="majorBidi"/>
              <w:szCs w:val="24"/>
            </w:rPr>
            <w:drawing>
              <wp:inline distT="0" distB="0" distL="0" distR="0">
                <wp:extent cx="5731510" cy="27813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731510" cy="2781300"/>
                        </a:xfrm>
                        <a:prstGeom prst="rect">
                          <a:avLst/>
                        </a:prstGeom>
                      </pic:spPr>
                    </pic:pic>
                  </a:graphicData>
                </a:graphic>
              </wp:inline>
            </w:drawing>
          </w:r>
        </w:p>
        <w:p>
          <w:pPr>
            <w:pStyle w:val="9"/>
            <w:spacing w:line="360" w:lineRule="auto"/>
            <w:jc w:val="both"/>
            <w:rPr>
              <w:rFonts w:asciiTheme="majorBidi" w:hAnsiTheme="majorBidi" w:cstheme="majorBidi"/>
              <w:sz w:val="24"/>
              <w:szCs w:val="24"/>
            </w:rPr>
          </w:pPr>
          <w:r>
            <w:rPr>
              <w:rFonts w:asciiTheme="majorBidi" w:hAnsiTheme="majorBidi" w:cstheme="majorBidi"/>
              <w:sz w:val="24"/>
              <w:szCs w:val="24"/>
            </w:rPr>
            <w:t>Figure 2</w:t>
          </w:r>
          <w:r>
            <w:rPr>
              <w:rFonts w:asciiTheme="majorBidi" w:hAnsiTheme="majorBidi" w:cstheme="majorBidi"/>
              <w:sz w:val="24"/>
              <w:szCs w:val="24"/>
              <w:lang w:val="en-US"/>
            </w:rPr>
            <w:t>: Stats of Units produced by Toyota, Source: (Toyota, 2022).</w:t>
          </w:r>
        </w:p>
        <w:p>
          <w:pPr>
            <w:spacing w:line="360" w:lineRule="auto"/>
            <w:jc w:val="both"/>
            <w:rPr>
              <w:rFonts w:asciiTheme="majorBidi" w:hAnsiTheme="majorBidi" w:cstheme="majorBidi"/>
            </w:rPr>
          </w:pPr>
          <w:r>
            <w:rPr>
              <w:rFonts w:asciiTheme="majorBidi" w:hAnsiTheme="majorBidi" w:cstheme="majorBidi"/>
              <w:szCs w:val="24"/>
            </w:rPr>
            <w:t xml:space="preserve">According to data, Toyota produced over </w:t>
          </w:r>
          <w:r>
            <w:rPr>
              <w:rFonts w:asciiTheme="majorBidi" w:hAnsiTheme="majorBidi" w:cstheme="majorBidi"/>
              <w:color w:val="455F7C"/>
              <w:szCs w:val="24"/>
              <w:shd w:val="clear" w:color="auto" w:fill="FFFFFF"/>
            </w:rPr>
            <w:t xml:space="preserve">8.16 million units </w:t>
          </w:r>
          <w:r>
            <w:rPr>
              <w:rFonts w:asciiTheme="majorBidi" w:hAnsiTheme="majorBidi" w:cstheme="majorBidi"/>
              <w:szCs w:val="24"/>
            </w:rPr>
            <w:t xml:space="preserve">vehicles in 2022, making it the second-largest producer of automobiles in the world after Volkswagen (Toyota, 2022). Toyota's production volume has been relatively consistent over the past decade, as its production rised 44.3 percent in 2022. Toyota's success in the automotive industry is also reflected in its financial performance (Reuters, 2022). </w:t>
          </w:r>
        </w:p>
        <w:p>
          <w:pPr>
            <w:spacing w:line="360" w:lineRule="auto"/>
            <w:jc w:val="both"/>
            <w:rPr>
              <w:rFonts w:asciiTheme="majorBidi" w:hAnsiTheme="majorBidi" w:cstheme="majorBidi"/>
              <w:szCs w:val="24"/>
            </w:rPr>
          </w:pPr>
        </w:p>
      </w:sdtContent>
    </w:sdt>
    <w:sectPr>
      <w:headerReference r:id="rId5" w:type="default"/>
      <w:footerReference r:id="rId6"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inoLetter-Roman">
    <w:altName w:val="Cambria"/>
    <w:panose1 w:val="00000000000000000000"/>
    <w:charset w:val="00"/>
    <w:family w:val="roman"/>
    <w:pitch w:val="default"/>
    <w:sig w:usb0="00000000" w:usb1="00000000" w:usb2="00000000" w:usb3="00000000" w:csb0="00000000" w:csb1="00000000"/>
  </w:font>
  <w:font w:name="Söhne">
    <w:altName w:val="Cambria"/>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0081097"/>
      <w:docPartObj>
        <w:docPartGallery w:val="AutoText"/>
      </w:docPartObj>
    </w:sdtPr>
    <w:sdtContent>
      <w:p>
        <w:pPr>
          <w:pStyle w:val="14"/>
        </w:pPr>
        <w:r>
          <w:t xml:space="preserve">Page | </w:t>
        </w:r>
        <w:r>
          <w:fldChar w:fldCharType="begin"/>
        </w:r>
        <w:r>
          <w:instrText xml:space="preserve"> PAGE   \* MERGEFORMAT </w:instrText>
        </w:r>
        <w:r>
          <w:fldChar w:fldCharType="separate"/>
        </w:r>
        <w:r>
          <w:t>2</w:t>
        </w:r>
        <w:r>
          <w:fldChar w:fldCharType="end"/>
        </w:r>
      </w:p>
    </w:sdtContent>
  </w:sdt>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oFAH6LbZwtAAAA"/>
  </w:docVars>
  <w:rsids>
    <w:rsidRoot w:val="006F71F5"/>
    <w:rsid w:val="00001DF6"/>
    <w:rsid w:val="00002309"/>
    <w:rsid w:val="00002D3D"/>
    <w:rsid w:val="00004531"/>
    <w:rsid w:val="00014330"/>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B7839"/>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04D9F"/>
    <w:rsid w:val="0011111A"/>
    <w:rsid w:val="00112E0D"/>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530D"/>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A2A1F"/>
    <w:rsid w:val="001A2FB0"/>
    <w:rsid w:val="001A469C"/>
    <w:rsid w:val="001B1AF3"/>
    <w:rsid w:val="001B2A9C"/>
    <w:rsid w:val="001B41B6"/>
    <w:rsid w:val="001B4261"/>
    <w:rsid w:val="001B48F2"/>
    <w:rsid w:val="001C1A6B"/>
    <w:rsid w:val="001C3108"/>
    <w:rsid w:val="001C5286"/>
    <w:rsid w:val="001C55A5"/>
    <w:rsid w:val="001D0142"/>
    <w:rsid w:val="001D1551"/>
    <w:rsid w:val="001D2A28"/>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0E13"/>
    <w:rsid w:val="003A4662"/>
    <w:rsid w:val="003A72AE"/>
    <w:rsid w:val="003A7F61"/>
    <w:rsid w:val="003B1824"/>
    <w:rsid w:val="003B385F"/>
    <w:rsid w:val="003B70E6"/>
    <w:rsid w:val="003C02D3"/>
    <w:rsid w:val="003C24FC"/>
    <w:rsid w:val="003D1766"/>
    <w:rsid w:val="003D1E59"/>
    <w:rsid w:val="003D20AB"/>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55FC9"/>
    <w:rsid w:val="00460EF1"/>
    <w:rsid w:val="00461B0B"/>
    <w:rsid w:val="00462F22"/>
    <w:rsid w:val="004635AE"/>
    <w:rsid w:val="00466606"/>
    <w:rsid w:val="00467D62"/>
    <w:rsid w:val="004736DD"/>
    <w:rsid w:val="00474C7C"/>
    <w:rsid w:val="00477EB8"/>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51FE"/>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02BC"/>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A7ADF"/>
    <w:rsid w:val="005B4B5E"/>
    <w:rsid w:val="005B4D9E"/>
    <w:rsid w:val="005B5B8E"/>
    <w:rsid w:val="005B5D2B"/>
    <w:rsid w:val="005C25C9"/>
    <w:rsid w:val="005C6D80"/>
    <w:rsid w:val="005D2281"/>
    <w:rsid w:val="005D259A"/>
    <w:rsid w:val="005D6BE7"/>
    <w:rsid w:val="005F1551"/>
    <w:rsid w:val="005F17AF"/>
    <w:rsid w:val="005F3E3E"/>
    <w:rsid w:val="005F4A93"/>
    <w:rsid w:val="005F5DED"/>
    <w:rsid w:val="005F7B4C"/>
    <w:rsid w:val="00602C53"/>
    <w:rsid w:val="0060408E"/>
    <w:rsid w:val="00604197"/>
    <w:rsid w:val="00613B8C"/>
    <w:rsid w:val="00614B45"/>
    <w:rsid w:val="006205E6"/>
    <w:rsid w:val="00621B41"/>
    <w:rsid w:val="00625D95"/>
    <w:rsid w:val="006264DE"/>
    <w:rsid w:val="0062717E"/>
    <w:rsid w:val="00627E00"/>
    <w:rsid w:val="00632CE2"/>
    <w:rsid w:val="00633F1F"/>
    <w:rsid w:val="00641078"/>
    <w:rsid w:val="006443FB"/>
    <w:rsid w:val="00645264"/>
    <w:rsid w:val="00645365"/>
    <w:rsid w:val="006456CA"/>
    <w:rsid w:val="006475E6"/>
    <w:rsid w:val="0065295C"/>
    <w:rsid w:val="00652F6C"/>
    <w:rsid w:val="006534C7"/>
    <w:rsid w:val="00664C5B"/>
    <w:rsid w:val="00666D4B"/>
    <w:rsid w:val="00677E72"/>
    <w:rsid w:val="00680989"/>
    <w:rsid w:val="00680C13"/>
    <w:rsid w:val="00681821"/>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69D9"/>
    <w:rsid w:val="006F71F5"/>
    <w:rsid w:val="007004D6"/>
    <w:rsid w:val="00703A87"/>
    <w:rsid w:val="00704378"/>
    <w:rsid w:val="007057B1"/>
    <w:rsid w:val="00707D7B"/>
    <w:rsid w:val="00712BDD"/>
    <w:rsid w:val="00725F89"/>
    <w:rsid w:val="00733570"/>
    <w:rsid w:val="0073473E"/>
    <w:rsid w:val="00742D06"/>
    <w:rsid w:val="00744D07"/>
    <w:rsid w:val="00744DF5"/>
    <w:rsid w:val="007453BB"/>
    <w:rsid w:val="007453CD"/>
    <w:rsid w:val="00745C91"/>
    <w:rsid w:val="00746753"/>
    <w:rsid w:val="00757F11"/>
    <w:rsid w:val="00764224"/>
    <w:rsid w:val="00764E3B"/>
    <w:rsid w:val="007745F2"/>
    <w:rsid w:val="00777D87"/>
    <w:rsid w:val="0078433A"/>
    <w:rsid w:val="00784495"/>
    <w:rsid w:val="00784799"/>
    <w:rsid w:val="00786755"/>
    <w:rsid w:val="00790033"/>
    <w:rsid w:val="0079508C"/>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31AFE"/>
    <w:rsid w:val="00841E80"/>
    <w:rsid w:val="00843FDF"/>
    <w:rsid w:val="00845755"/>
    <w:rsid w:val="00845C09"/>
    <w:rsid w:val="00851C71"/>
    <w:rsid w:val="0086616B"/>
    <w:rsid w:val="008673A4"/>
    <w:rsid w:val="00880D9D"/>
    <w:rsid w:val="00881867"/>
    <w:rsid w:val="00882BE1"/>
    <w:rsid w:val="008926CE"/>
    <w:rsid w:val="00894C15"/>
    <w:rsid w:val="00895EB5"/>
    <w:rsid w:val="008A0FF6"/>
    <w:rsid w:val="008A3181"/>
    <w:rsid w:val="008B0AA5"/>
    <w:rsid w:val="008B2376"/>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A9D"/>
    <w:rsid w:val="00936E20"/>
    <w:rsid w:val="00940F9C"/>
    <w:rsid w:val="00944F89"/>
    <w:rsid w:val="00945A67"/>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006"/>
    <w:rsid w:val="009F65D5"/>
    <w:rsid w:val="00A0476D"/>
    <w:rsid w:val="00A05216"/>
    <w:rsid w:val="00A06523"/>
    <w:rsid w:val="00A110D8"/>
    <w:rsid w:val="00A13F60"/>
    <w:rsid w:val="00A14136"/>
    <w:rsid w:val="00A15E29"/>
    <w:rsid w:val="00A17EAB"/>
    <w:rsid w:val="00A21B38"/>
    <w:rsid w:val="00A21F23"/>
    <w:rsid w:val="00A22EA0"/>
    <w:rsid w:val="00A234B0"/>
    <w:rsid w:val="00A3245E"/>
    <w:rsid w:val="00A33F74"/>
    <w:rsid w:val="00A33FF8"/>
    <w:rsid w:val="00A35E19"/>
    <w:rsid w:val="00A378B3"/>
    <w:rsid w:val="00A40228"/>
    <w:rsid w:val="00A40888"/>
    <w:rsid w:val="00A4258E"/>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808"/>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4C49"/>
    <w:rsid w:val="00B3571C"/>
    <w:rsid w:val="00B4219D"/>
    <w:rsid w:val="00B44209"/>
    <w:rsid w:val="00B44692"/>
    <w:rsid w:val="00B44928"/>
    <w:rsid w:val="00B44BC1"/>
    <w:rsid w:val="00B46E61"/>
    <w:rsid w:val="00B473DB"/>
    <w:rsid w:val="00B47F92"/>
    <w:rsid w:val="00B5225D"/>
    <w:rsid w:val="00B52CDF"/>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B00D1"/>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361E7"/>
    <w:rsid w:val="00C412F8"/>
    <w:rsid w:val="00C4421F"/>
    <w:rsid w:val="00C442CE"/>
    <w:rsid w:val="00C449B6"/>
    <w:rsid w:val="00C454E0"/>
    <w:rsid w:val="00C47C6E"/>
    <w:rsid w:val="00C506E4"/>
    <w:rsid w:val="00C532F6"/>
    <w:rsid w:val="00C62CE1"/>
    <w:rsid w:val="00C6553E"/>
    <w:rsid w:val="00C67E98"/>
    <w:rsid w:val="00C710B6"/>
    <w:rsid w:val="00C730F6"/>
    <w:rsid w:val="00C77CF2"/>
    <w:rsid w:val="00C829E4"/>
    <w:rsid w:val="00C83D91"/>
    <w:rsid w:val="00C84B84"/>
    <w:rsid w:val="00C86130"/>
    <w:rsid w:val="00C86A27"/>
    <w:rsid w:val="00C86A6C"/>
    <w:rsid w:val="00C87F4F"/>
    <w:rsid w:val="00C92072"/>
    <w:rsid w:val="00C92C63"/>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3DA"/>
    <w:rsid w:val="00CD4AB4"/>
    <w:rsid w:val="00CD5801"/>
    <w:rsid w:val="00CD7C5C"/>
    <w:rsid w:val="00CE4121"/>
    <w:rsid w:val="00CE506B"/>
    <w:rsid w:val="00CE52EE"/>
    <w:rsid w:val="00CE6545"/>
    <w:rsid w:val="00CE78D7"/>
    <w:rsid w:val="00CF0035"/>
    <w:rsid w:val="00CF16E3"/>
    <w:rsid w:val="00CF5624"/>
    <w:rsid w:val="00CF5FD7"/>
    <w:rsid w:val="00D00067"/>
    <w:rsid w:val="00D01A18"/>
    <w:rsid w:val="00D039BB"/>
    <w:rsid w:val="00D04FB3"/>
    <w:rsid w:val="00D07039"/>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ADA"/>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0712"/>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 w:val="46470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qFormat="1"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iPriority="65"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33"/>
    <w:qFormat/>
    <w:uiPriority w:val="9"/>
    <w:pPr>
      <w:keepNext/>
      <w:keepLines/>
      <w:spacing w:before="360" w:after="240"/>
      <w:jc w:val="both"/>
      <w:outlineLvl w:val="0"/>
    </w:pPr>
    <w:rPr>
      <w:rFonts w:ascii="Arial" w:hAnsi="Arial" w:cs="Times New Roman" w:eastAsiaTheme="majorEastAsia"/>
      <w:b/>
      <w:bCs/>
      <w:color w:val="17375E" w:themeColor="text2" w:themeShade="BF"/>
      <w:szCs w:val="24"/>
      <w:lang w:eastAsia="ja-JP"/>
    </w:rPr>
  </w:style>
  <w:style w:type="paragraph" w:styleId="3">
    <w:name w:val="heading 2"/>
    <w:basedOn w:val="1"/>
    <w:next w:val="1"/>
    <w:link w:val="38"/>
    <w:unhideWhenUsed/>
    <w:qFormat/>
    <w:uiPriority w:val="9"/>
    <w:pPr>
      <w:keepNext/>
      <w:keepLines/>
      <w:spacing w:before="40" w:after="0" w:line="360" w:lineRule="auto"/>
      <w:jc w:val="both"/>
      <w:outlineLvl w:val="1"/>
    </w:pPr>
    <w:rPr>
      <w:rFonts w:ascii="Arial" w:hAnsi="Arial" w:eastAsiaTheme="majorEastAsia" w:cstheme="majorBidi"/>
      <w:b/>
      <w:color w:val="376092" w:themeColor="accent1" w:themeShade="BF"/>
      <w:szCs w:val="26"/>
      <w:lang w:eastAsia="ja-JP"/>
    </w:rPr>
  </w:style>
  <w:style w:type="paragraph" w:styleId="4">
    <w:name w:val="heading 3"/>
    <w:basedOn w:val="1"/>
    <w:next w:val="1"/>
    <w:link w:val="42"/>
    <w:unhideWhenUsed/>
    <w:qFormat/>
    <w:uiPriority w:val="9"/>
    <w:pPr>
      <w:keepNext/>
      <w:keepLines/>
      <w:spacing w:before="240" w:after="240"/>
      <w:jc w:val="both"/>
      <w:outlineLvl w:val="2"/>
    </w:pPr>
    <w:rPr>
      <w:rFonts w:ascii="Arial" w:hAnsi="Arial" w:eastAsiaTheme="majorEastAsia" w:cstheme="majorBidi"/>
      <w:b/>
      <w:color w:val="254061" w:themeColor="accent1" w:themeShade="80"/>
      <w:szCs w:val="24"/>
    </w:rPr>
  </w:style>
  <w:style w:type="paragraph" w:styleId="5">
    <w:name w:val="heading 4"/>
    <w:basedOn w:val="1"/>
    <w:next w:val="1"/>
    <w:link w:val="44"/>
    <w:unhideWhenUsed/>
    <w:qFormat/>
    <w:uiPriority w:val="9"/>
    <w:pPr>
      <w:keepNext/>
      <w:keepLines/>
      <w:spacing w:before="40" w:after="0"/>
      <w:outlineLvl w:val="3"/>
    </w:pPr>
    <w:rPr>
      <w:rFonts w:ascii="Arial" w:hAnsi="Arial" w:eastAsiaTheme="majorEastAsia" w:cstheme="majorBidi"/>
      <w:b/>
      <w:iCs/>
      <w:color w:val="632523" w:themeColor="accent2" w:themeShade="80"/>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31"/>
    <w:semiHidden/>
    <w:unhideWhenUsed/>
    <w:uiPriority w:val="99"/>
    <w:pPr>
      <w:spacing w:after="0" w:line="240" w:lineRule="auto"/>
    </w:pPr>
    <w:rPr>
      <w:rFonts w:ascii="Tahoma" w:hAnsi="Tahoma" w:cs="Tahoma"/>
      <w:sz w:val="16"/>
      <w:szCs w:val="16"/>
    </w:rPr>
  </w:style>
  <w:style w:type="paragraph" w:styleId="9">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character" w:styleId="10">
    <w:name w:val="annotation reference"/>
    <w:basedOn w:val="6"/>
    <w:semiHidden/>
    <w:unhideWhenUsed/>
    <w:uiPriority w:val="99"/>
    <w:rPr>
      <w:sz w:val="16"/>
      <w:szCs w:val="16"/>
    </w:rPr>
  </w:style>
  <w:style w:type="paragraph" w:styleId="11">
    <w:name w:val="annotation text"/>
    <w:basedOn w:val="1"/>
    <w:link w:val="45"/>
    <w:semiHidden/>
    <w:unhideWhenUsed/>
    <w:uiPriority w:val="99"/>
    <w:pPr>
      <w:spacing w:line="240" w:lineRule="auto"/>
    </w:pPr>
    <w:rPr>
      <w:sz w:val="20"/>
      <w:szCs w:val="20"/>
    </w:rPr>
  </w:style>
  <w:style w:type="paragraph" w:styleId="12">
    <w:name w:val="annotation subject"/>
    <w:basedOn w:val="11"/>
    <w:next w:val="11"/>
    <w:link w:val="46"/>
    <w:semiHidden/>
    <w:unhideWhenUsed/>
    <w:uiPriority w:val="99"/>
    <w:rPr>
      <w:b/>
      <w:bCs/>
    </w:rPr>
  </w:style>
  <w:style w:type="character" w:styleId="13">
    <w:name w:val="FollowedHyperlink"/>
    <w:basedOn w:val="6"/>
    <w:semiHidden/>
    <w:unhideWhenUsed/>
    <w:qFormat/>
    <w:uiPriority w:val="99"/>
    <w:rPr>
      <w:color w:val="800080" w:themeColor="followedHyperlink"/>
      <w:u w:val="single"/>
      <w14:textFill>
        <w14:solidFill>
          <w14:schemeClr w14:val="folHlink"/>
        </w14:solidFill>
      </w14:textFill>
    </w:rPr>
  </w:style>
  <w:style w:type="paragraph" w:styleId="14">
    <w:name w:val="footer"/>
    <w:basedOn w:val="1"/>
    <w:link w:val="37"/>
    <w:unhideWhenUsed/>
    <w:uiPriority w:val="99"/>
    <w:pPr>
      <w:tabs>
        <w:tab w:val="center" w:pos="4513"/>
        <w:tab w:val="right" w:pos="9026"/>
      </w:tabs>
      <w:spacing w:after="0" w:line="240" w:lineRule="auto"/>
    </w:pPr>
  </w:style>
  <w:style w:type="paragraph" w:styleId="15">
    <w:name w:val="header"/>
    <w:basedOn w:val="1"/>
    <w:link w:val="36"/>
    <w:unhideWhenUsed/>
    <w:qFormat/>
    <w:uiPriority w:val="99"/>
    <w:pPr>
      <w:tabs>
        <w:tab w:val="center" w:pos="4513"/>
        <w:tab w:val="right" w:pos="9026"/>
      </w:tabs>
      <w:spacing w:after="0" w:line="240" w:lineRule="auto"/>
    </w:pPr>
  </w:style>
  <w:style w:type="character" w:styleId="16">
    <w:name w:val="Hyperlink"/>
    <w:basedOn w:val="6"/>
    <w:unhideWhenUsed/>
    <w:uiPriority w:val="99"/>
    <w:rPr>
      <w:color w:val="0000FF" w:themeColor="hyperlink"/>
      <w:u w:val="single"/>
      <w14:textFill>
        <w14:solidFill>
          <w14:schemeClr w14:val="hlink"/>
        </w14:solidFill>
      </w14:textFill>
    </w:rPr>
  </w:style>
  <w:style w:type="paragraph" w:styleId="17">
    <w:name w:val="Normal (Web)"/>
    <w:basedOn w:val="1"/>
    <w:unhideWhenUsed/>
    <w:uiPriority w:val="99"/>
    <w:pPr>
      <w:spacing w:before="100" w:beforeAutospacing="1" w:after="100" w:afterAutospacing="1" w:line="240" w:lineRule="auto"/>
    </w:pPr>
    <w:rPr>
      <w:rFonts w:eastAsia="Times New Roman" w:cs="Times New Roman"/>
      <w:szCs w:val="24"/>
      <w:lang w:val="en-US"/>
    </w:rPr>
  </w:style>
  <w:style w:type="character" w:styleId="18">
    <w:name w:val="Strong"/>
    <w:basedOn w:val="6"/>
    <w:qFormat/>
    <w:uiPriority w:val="22"/>
    <w:rPr>
      <w:b/>
      <w:bCs/>
    </w:rPr>
  </w:style>
  <w:style w:type="paragraph" w:styleId="19">
    <w:name w:val="toc 1"/>
    <w:basedOn w:val="1"/>
    <w:next w:val="1"/>
    <w:unhideWhenUsed/>
    <w:qFormat/>
    <w:uiPriority w:val="39"/>
    <w:pPr>
      <w:spacing w:after="100"/>
    </w:pPr>
  </w:style>
  <w:style w:type="paragraph" w:styleId="20">
    <w:name w:val="toc 2"/>
    <w:basedOn w:val="1"/>
    <w:next w:val="1"/>
    <w:unhideWhenUsed/>
    <w:qFormat/>
    <w:uiPriority w:val="39"/>
    <w:pPr>
      <w:spacing w:after="100"/>
      <w:ind w:left="220"/>
    </w:pPr>
  </w:style>
  <w:style w:type="paragraph" w:styleId="21">
    <w:name w:val="toc 3"/>
    <w:basedOn w:val="1"/>
    <w:next w:val="1"/>
    <w:unhideWhenUsed/>
    <w:qFormat/>
    <w:uiPriority w:val="39"/>
    <w:pPr>
      <w:spacing w:after="100"/>
      <w:ind w:left="440"/>
    </w:pPr>
  </w:style>
  <w:style w:type="paragraph" w:styleId="22">
    <w:name w:val="toc 4"/>
    <w:basedOn w:val="1"/>
    <w:next w:val="1"/>
    <w:unhideWhenUsed/>
    <w:uiPriority w:val="39"/>
    <w:pPr>
      <w:spacing w:after="100"/>
      <w:ind w:left="660"/>
    </w:pPr>
  </w:style>
  <w:style w:type="paragraph" w:styleId="23">
    <w:name w:val="toc 5"/>
    <w:basedOn w:val="1"/>
    <w:next w:val="1"/>
    <w:unhideWhenUsed/>
    <w:uiPriority w:val="39"/>
    <w:pPr>
      <w:spacing w:after="100" w:line="259" w:lineRule="auto"/>
      <w:ind w:left="880"/>
    </w:pPr>
    <w:rPr>
      <w:rFonts w:asciiTheme="minorHAnsi" w:hAnsiTheme="minorHAnsi" w:eastAsiaTheme="minorEastAsia"/>
      <w:sz w:val="22"/>
      <w:lang w:val="en-US"/>
    </w:rPr>
  </w:style>
  <w:style w:type="paragraph" w:styleId="24">
    <w:name w:val="toc 6"/>
    <w:basedOn w:val="1"/>
    <w:next w:val="1"/>
    <w:unhideWhenUsed/>
    <w:uiPriority w:val="39"/>
    <w:pPr>
      <w:spacing w:after="100" w:line="259" w:lineRule="auto"/>
      <w:ind w:left="1100"/>
    </w:pPr>
    <w:rPr>
      <w:rFonts w:asciiTheme="minorHAnsi" w:hAnsiTheme="minorHAnsi" w:eastAsiaTheme="minorEastAsia"/>
      <w:sz w:val="22"/>
      <w:lang w:val="en-US"/>
    </w:rPr>
  </w:style>
  <w:style w:type="paragraph" w:styleId="25">
    <w:name w:val="toc 7"/>
    <w:basedOn w:val="1"/>
    <w:next w:val="1"/>
    <w:unhideWhenUsed/>
    <w:qFormat/>
    <w:uiPriority w:val="39"/>
    <w:pPr>
      <w:spacing w:after="100" w:line="259" w:lineRule="auto"/>
      <w:ind w:left="1320"/>
    </w:pPr>
    <w:rPr>
      <w:rFonts w:asciiTheme="minorHAnsi" w:hAnsiTheme="minorHAnsi" w:eastAsiaTheme="minorEastAsia"/>
      <w:sz w:val="22"/>
      <w:lang w:val="en-US"/>
    </w:rPr>
  </w:style>
  <w:style w:type="paragraph" w:styleId="26">
    <w:name w:val="toc 8"/>
    <w:basedOn w:val="1"/>
    <w:next w:val="1"/>
    <w:unhideWhenUsed/>
    <w:uiPriority w:val="39"/>
    <w:pPr>
      <w:spacing w:after="100" w:line="259" w:lineRule="auto"/>
      <w:ind w:left="1540"/>
    </w:pPr>
    <w:rPr>
      <w:rFonts w:asciiTheme="minorHAnsi" w:hAnsiTheme="minorHAnsi" w:eastAsiaTheme="minorEastAsia"/>
      <w:sz w:val="22"/>
      <w:lang w:val="en-US"/>
    </w:rPr>
  </w:style>
  <w:style w:type="paragraph" w:styleId="27">
    <w:name w:val="toc 9"/>
    <w:basedOn w:val="1"/>
    <w:next w:val="1"/>
    <w:unhideWhenUsed/>
    <w:uiPriority w:val="39"/>
    <w:pPr>
      <w:spacing w:after="100" w:line="259" w:lineRule="auto"/>
      <w:ind w:left="1760"/>
    </w:pPr>
    <w:rPr>
      <w:rFonts w:asciiTheme="minorHAnsi" w:hAnsiTheme="minorHAnsi" w:eastAsiaTheme="minorEastAsia"/>
      <w:sz w:val="22"/>
      <w:lang w:val="en-US"/>
    </w:rPr>
  </w:style>
  <w:style w:type="table" w:styleId="28">
    <w:name w:val="Medium List 1 Accent 5"/>
    <w:basedOn w:val="7"/>
    <w:semiHidden/>
    <w:unhideWhenUsed/>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29">
    <w:name w:val="Colorful Shading Accent 3"/>
    <w:basedOn w:val="7"/>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30">
    <w:name w:val="List Paragraph"/>
    <w:basedOn w:val="1"/>
    <w:qFormat/>
    <w:uiPriority w:val="34"/>
    <w:pPr>
      <w:ind w:left="720"/>
      <w:contextualSpacing/>
    </w:pPr>
  </w:style>
  <w:style w:type="character" w:customStyle="1" w:styleId="31">
    <w:name w:val="Balloon Text Char"/>
    <w:basedOn w:val="6"/>
    <w:link w:val="8"/>
    <w:semiHidden/>
    <w:qFormat/>
    <w:uiPriority w:val="99"/>
    <w:rPr>
      <w:rFonts w:ascii="Tahoma" w:hAnsi="Tahoma" w:cs="Tahoma"/>
      <w:sz w:val="16"/>
      <w:szCs w:val="16"/>
    </w:rPr>
  </w:style>
  <w:style w:type="paragraph" w:customStyle="1" w:styleId="32">
    <w:name w:val="Bibliography"/>
    <w:basedOn w:val="1"/>
    <w:next w:val="1"/>
    <w:unhideWhenUsed/>
    <w:uiPriority w:val="37"/>
  </w:style>
  <w:style w:type="character" w:customStyle="1" w:styleId="33">
    <w:name w:val="Heading 1 Char"/>
    <w:basedOn w:val="6"/>
    <w:link w:val="2"/>
    <w:qFormat/>
    <w:uiPriority w:val="9"/>
    <w:rPr>
      <w:rFonts w:ascii="Arial" w:hAnsi="Arial" w:cs="Times New Roman" w:eastAsiaTheme="majorEastAsia"/>
      <w:b/>
      <w:bCs/>
      <w:color w:val="17375E" w:themeColor="text2" w:themeShade="BF"/>
      <w:sz w:val="24"/>
      <w:szCs w:val="24"/>
      <w:lang w:eastAsia="ja-JP"/>
    </w:rPr>
  </w:style>
  <w:style w:type="paragraph" w:styleId="34">
    <w:name w:val="No Spacing"/>
    <w:link w:val="35"/>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35">
    <w:name w:val="No Spacing Char"/>
    <w:basedOn w:val="6"/>
    <w:link w:val="34"/>
    <w:qFormat/>
    <w:uiPriority w:val="1"/>
    <w:rPr>
      <w:rFonts w:eastAsiaTheme="minorEastAsia"/>
      <w:lang w:val="en-US" w:eastAsia="ja-JP"/>
    </w:rPr>
  </w:style>
  <w:style w:type="character" w:customStyle="1" w:styleId="36">
    <w:name w:val="Header Char"/>
    <w:basedOn w:val="6"/>
    <w:link w:val="15"/>
    <w:qFormat/>
    <w:uiPriority w:val="99"/>
  </w:style>
  <w:style w:type="character" w:customStyle="1" w:styleId="37">
    <w:name w:val="Footer Char"/>
    <w:basedOn w:val="6"/>
    <w:link w:val="14"/>
    <w:uiPriority w:val="99"/>
  </w:style>
  <w:style w:type="character" w:customStyle="1" w:styleId="38">
    <w:name w:val="Heading 2 Char"/>
    <w:basedOn w:val="6"/>
    <w:link w:val="3"/>
    <w:uiPriority w:val="9"/>
    <w:rPr>
      <w:rFonts w:ascii="Arial" w:hAnsi="Arial" w:eastAsiaTheme="majorEastAsia" w:cstheme="majorBidi"/>
      <w:b/>
      <w:color w:val="376092" w:themeColor="accent1" w:themeShade="BF"/>
      <w:sz w:val="24"/>
      <w:szCs w:val="26"/>
      <w:lang w:eastAsia="ja-JP"/>
    </w:rPr>
  </w:style>
  <w:style w:type="paragraph" w:customStyle="1" w:styleId="39">
    <w:name w:val="TOC Heading"/>
    <w:basedOn w:val="2"/>
    <w:next w:val="1"/>
    <w:unhideWhenUsed/>
    <w:qFormat/>
    <w:uiPriority w:val="39"/>
    <w:pPr>
      <w:spacing w:before="240" w:line="259" w:lineRule="auto"/>
      <w:outlineLvl w:val="9"/>
    </w:pPr>
    <w:rPr>
      <w:rFonts w:asciiTheme="majorHAnsi" w:hAnsiTheme="majorHAnsi"/>
      <w:b w:val="0"/>
      <w:bCs w:val="0"/>
      <w:color w:val="376092" w:themeColor="accent1" w:themeShade="BF"/>
      <w:sz w:val="32"/>
      <w:szCs w:val="32"/>
      <w:lang w:eastAsia="en-US"/>
    </w:rPr>
  </w:style>
  <w:style w:type="character" w:customStyle="1" w:styleId="40">
    <w:name w:val="Unresolved Mention"/>
    <w:basedOn w:val="6"/>
    <w:semiHidden/>
    <w:unhideWhenUsed/>
    <w:qFormat/>
    <w:uiPriority w:val="99"/>
    <w:rPr>
      <w:color w:val="605E5C"/>
      <w:shd w:val="clear" w:color="auto" w:fill="E1DFDD"/>
    </w:rPr>
  </w:style>
  <w:style w:type="character" w:customStyle="1" w:styleId="41">
    <w:name w:val="fontstyle01"/>
    <w:basedOn w:val="6"/>
    <w:uiPriority w:val="0"/>
    <w:rPr>
      <w:rFonts w:hint="default" w:ascii="LinoLetter-Roman" w:hAnsi="LinoLetter-Roman"/>
      <w:color w:val="242021"/>
      <w:sz w:val="20"/>
      <w:szCs w:val="20"/>
    </w:rPr>
  </w:style>
  <w:style w:type="character" w:customStyle="1" w:styleId="42">
    <w:name w:val="Heading 3 Char"/>
    <w:basedOn w:val="6"/>
    <w:link w:val="4"/>
    <w:uiPriority w:val="9"/>
    <w:rPr>
      <w:rFonts w:ascii="Arial" w:hAnsi="Arial" w:eastAsiaTheme="majorEastAsia" w:cstheme="majorBidi"/>
      <w:b/>
      <w:color w:val="254061" w:themeColor="accent1" w:themeShade="80"/>
      <w:sz w:val="24"/>
      <w:szCs w:val="24"/>
    </w:rPr>
  </w:style>
  <w:style w:type="table" w:customStyle="1" w:styleId="43">
    <w:name w:val="Medium List 1 - Accent 51"/>
    <w:basedOn w:val="7"/>
    <w:qFormat/>
    <w:uiPriority w:val="65"/>
    <w:pPr>
      <w:spacing w:after="0" w:line="240" w:lineRule="auto"/>
      <w:jc w:val="both"/>
    </w:pPr>
    <w:rPr>
      <w:rFonts w:ascii="Times New Roman" w:hAnsi="Times New Roman" w:eastAsia="Times New Roman" w:cs="Times New Roman"/>
      <w:color w:val="000000"/>
      <w:sz w:val="24"/>
      <w:szCs w:val="24"/>
    </w:rPr>
    <w:tblPr>
      <w:tblBorders>
        <w:top w:val="single" w:color="4BACC6" w:sz="8" w:space="0"/>
        <w:bottom w:val="single" w:color="4BACC6" w:sz="8" w:space="0"/>
      </w:tblBorders>
    </w:tblPr>
    <w:tblStylePr w:type="firstRow">
      <w:rPr>
        <w:rFonts w:ascii="Cambria" w:hAnsi="Cambria" w:eastAsia="Times New Roman" w:cs="Times New Roman"/>
      </w:rPr>
      <w:tcPr>
        <w:tcBorders>
          <w:top w:val="nil"/>
          <w:bottom w:val="single" w:color="4BACC6" w:sz="8" w:space="0"/>
        </w:tcBorders>
      </w:tcPr>
    </w:tblStylePr>
    <w:tblStylePr w:type="lastRow">
      <w:rPr>
        <w:b/>
        <w:bCs/>
        <w:color w:val="1F497D"/>
      </w:rPr>
      <w:tcPr>
        <w:tcBorders>
          <w:top w:val="single" w:color="4BACC6" w:sz="8" w:space="0"/>
          <w:bottom w:val="single" w:color="4BACC6" w:sz="8" w:space="0"/>
        </w:tcBorders>
      </w:tcPr>
    </w:tblStylePr>
    <w:tblStylePr w:type="firstCol">
      <w:rPr>
        <w:b/>
        <w:bCs/>
      </w:rPr>
    </w:tblStylePr>
    <w:tblStylePr w:type="lastCol">
      <w:rPr>
        <w:b/>
        <w:bCs/>
      </w:rPr>
      <w:tcPr>
        <w:tcBorders>
          <w:top w:val="single" w:color="4BACC6" w:sz="8" w:space="0"/>
          <w:bottom w:val="single" w:color="4BACC6" w:sz="8" w:space="0"/>
        </w:tcBorders>
      </w:tcPr>
    </w:tblStylePr>
    <w:tblStylePr w:type="band1Vert">
      <w:tcPr>
        <w:shd w:val="clear" w:color="auto" w:fill="D2EAF1"/>
      </w:tcPr>
    </w:tblStylePr>
    <w:tblStylePr w:type="band1Horz">
      <w:tcPr>
        <w:shd w:val="clear" w:color="auto" w:fill="D2EAF1"/>
      </w:tcPr>
    </w:tblStylePr>
  </w:style>
  <w:style w:type="character" w:customStyle="1" w:styleId="44">
    <w:name w:val="Heading 4 Char"/>
    <w:basedOn w:val="6"/>
    <w:link w:val="5"/>
    <w:uiPriority w:val="9"/>
    <w:rPr>
      <w:rFonts w:ascii="Arial" w:hAnsi="Arial" w:eastAsiaTheme="majorEastAsia" w:cstheme="majorBidi"/>
      <w:b/>
      <w:iCs/>
      <w:color w:val="632523" w:themeColor="accent2" w:themeShade="80"/>
    </w:rPr>
  </w:style>
  <w:style w:type="character" w:customStyle="1" w:styleId="45">
    <w:name w:val="Comment Text Char"/>
    <w:basedOn w:val="6"/>
    <w:link w:val="11"/>
    <w:semiHidden/>
    <w:uiPriority w:val="99"/>
    <w:rPr>
      <w:rFonts w:ascii="Times New Roman" w:hAnsi="Times New Roman"/>
      <w:sz w:val="20"/>
      <w:szCs w:val="20"/>
    </w:rPr>
  </w:style>
  <w:style w:type="character" w:customStyle="1" w:styleId="46">
    <w:name w:val="Comment Subject Char"/>
    <w:basedOn w:val="45"/>
    <w:link w:val="12"/>
    <w:semiHidden/>
    <w:uiPriority w:val="99"/>
    <w:rPr>
      <w:rFonts w:ascii="Times New Roman" w:hAnsi="Times New Roman"/>
      <w:b/>
      <w:bCs/>
      <w:sz w:val="20"/>
      <w:szCs w:val="20"/>
    </w:rPr>
  </w:style>
  <w:style w:type="table" w:customStyle="1" w:styleId="47">
    <w:name w:val="List Table 3"/>
    <w:basedOn w:val="7"/>
    <w:qFormat/>
    <w:uiPriority w:val="4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2.xml><?xml version="1.0" encoding="utf-8"?>
<CoverPageProperties xmlns="http://schemas.microsoft.com/office/2006/coverPageProps">
  <PublishDate>2019/2020</PublishDate>
  <Abstract>Lecturer: Hossein Shokri</Abstract>
  <CompanyAddress/>
  <CompanyPhone/>
  <CompanyFax/>
  <CompanyEmail/>
</CoverPageProperties>
</file>

<file path=customXml/itemProps1.xml><?xml version="1.0" encoding="utf-8"?>
<ds:datastoreItem xmlns:ds="http://schemas.openxmlformats.org/officeDocument/2006/customXml" ds:itemID="{A8B8398E-4442-42DD-92F3-776CDBAF6546}">
  <ds:schemaRefs/>
</ds:datastoreItem>
</file>

<file path=customXml/itemProps2.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37</Pages>
  <Words>10414</Words>
  <Characters>59366</Characters>
  <Lines>494</Lines>
  <Paragraphs>139</Paragraphs>
  <TotalTime>3</TotalTime>
  <ScaleCrop>false</ScaleCrop>
  <LinksUpToDate>false</LinksUpToDate>
  <CharactersWithSpaces>69641</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2023-04-24T05:51:00Z</dcterms:created>
  <dc:creator>Nicole</dc:creator>
  <cp:lastModifiedBy>LENOVO</cp:lastModifiedBy>
  <cp:lastPrinted>2020-05-15T21:08:00Z</cp:lastPrinted>
  <dcterms:modified xsi:type="dcterms:W3CDTF">2023-05-02T00:03:22Z</dcterms:modified>
  <dc:subject>Marketing Management Report</dc:subject>
  <dc:title>Marketing Management LCMB 7001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25600F8528434F599156AC6B532E0A33</vt:lpwstr>
  </property>
</Properties>
</file>