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73A8DDEA"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w:t>
      </w:r>
      <w:r w:rsidR="00CF7EA4">
        <w:rPr>
          <w:rStyle w:val="Strong"/>
          <w:rFonts w:ascii="Arial" w:hAnsi="Arial" w:cs="Arial"/>
          <w:color w:val="1D2125"/>
          <w:sz w:val="32"/>
          <w:szCs w:val="32"/>
        </w:rPr>
        <w:t>Name: Monalene Anne Ho</w:t>
      </w:r>
    </w:p>
    <w:p w14:paraId="3F25C99D" w14:textId="223D9BF7"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w:t>
      </w:r>
      <w:r w:rsidR="00CF7EA4">
        <w:rPr>
          <w:rStyle w:val="Strong"/>
          <w:rFonts w:ascii="Arial" w:hAnsi="Arial" w:cs="Arial"/>
          <w:color w:val="1D2125"/>
          <w:sz w:val="32"/>
          <w:szCs w:val="32"/>
        </w:rPr>
        <w:t>Number: 2311680</w:t>
      </w:r>
    </w:p>
    <w:p w14:paraId="7DD82387" w14:textId="77777777" w:rsidR="000264A1" w:rsidRDefault="000264A1" w:rsidP="000264A1">
      <w:pPr>
        <w:rPr>
          <w:rFonts w:ascii="Arial" w:hAnsi="Arial" w:cs="Arial"/>
          <w:sz w:val="36"/>
          <w:szCs w:val="36"/>
        </w:rPr>
      </w:pPr>
    </w:p>
    <w:p w14:paraId="3011D276" w14:textId="77777777" w:rsidR="00AC0F8D" w:rsidRPr="00F63053" w:rsidRDefault="00AC0F8D" w:rsidP="00AC0F8D">
      <w:pPr>
        <w:tabs>
          <w:tab w:val="left" w:pos="6540"/>
        </w:tabs>
        <w:spacing w:line="360" w:lineRule="auto"/>
        <w:rPr>
          <w:rFonts w:ascii="Arial" w:hAnsi="Arial" w:cs="Arial"/>
        </w:rPr>
      </w:pPr>
      <w:r>
        <w:rPr>
          <w:rFonts w:ascii="Arial" w:hAnsi="Arial" w:cs="Arial"/>
          <w:sz w:val="36"/>
          <w:szCs w:val="36"/>
        </w:rPr>
        <w:t xml:space="preserve">Use of AI Acknowledgement: </w:t>
      </w:r>
      <w:r w:rsidRPr="00F63053">
        <w:rPr>
          <w:rFonts w:ascii="Arial" w:hAnsi="Arial" w:cs="Arial"/>
        </w:rPr>
        <w:t>I confirm that I have not used any ai tools in the research and creation</w:t>
      </w:r>
      <w:r>
        <w:rPr>
          <w:rFonts w:ascii="Arial" w:hAnsi="Arial" w:cs="Arial"/>
        </w:rPr>
        <w:t xml:space="preserve"> of this assignment. I confirm that I have not presented any AI generated materials as my own work. I confirm I have copies of my drafts, notes and other resources I used, which I may be asked to provide in evidence. </w:t>
      </w:r>
    </w:p>
    <w:p w14:paraId="563A7395" w14:textId="36C3D04F"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713A67EE" w14:textId="77777777" w:rsidR="00022B71" w:rsidRDefault="00022B71" w:rsidP="008A6D32">
      <w:pPr>
        <w:pStyle w:val="NormalWeb"/>
        <w:rPr>
          <w:rFonts w:ascii="Arial" w:hAnsi="Arial" w:cs="Arial"/>
          <w:b/>
          <w:bCs/>
          <w:color w:val="000000"/>
        </w:rPr>
      </w:pPr>
    </w:p>
    <w:p w14:paraId="490AD4BC" w14:textId="64CE421A" w:rsidR="009A5E54" w:rsidRPr="009A5E54" w:rsidRDefault="009A5E54" w:rsidP="008A6D32">
      <w:pPr>
        <w:pStyle w:val="NormalWeb"/>
        <w:rPr>
          <w:rFonts w:ascii="Arial" w:hAnsi="Arial" w:cs="Arial"/>
          <w:b/>
          <w:bCs/>
          <w:color w:val="000000"/>
          <w:sz w:val="28"/>
          <w:szCs w:val="28"/>
        </w:rPr>
      </w:pPr>
      <w:r w:rsidRPr="009A5E54">
        <w:rPr>
          <w:rFonts w:ascii="Arial" w:hAnsi="Arial" w:cs="Arial"/>
          <w:b/>
          <w:bCs/>
          <w:color w:val="000000"/>
          <w:sz w:val="28"/>
          <w:szCs w:val="28"/>
        </w:rPr>
        <w:lastRenderedPageBreak/>
        <w:t>Post-Traumatic Stress Disorder (PTSD)</w:t>
      </w:r>
    </w:p>
    <w:p w14:paraId="5DD55A3B" w14:textId="4B7455C2" w:rsidR="008A6D32" w:rsidRDefault="008A6D32" w:rsidP="008A6D32">
      <w:pPr>
        <w:pStyle w:val="NormalWeb"/>
        <w:rPr>
          <w:rStyle w:val="apple-converted-space"/>
          <w:rFonts w:ascii="Arial" w:eastAsiaTheme="majorEastAsia" w:hAnsi="Arial" w:cs="Arial"/>
          <w:b/>
          <w:bCs/>
          <w:color w:val="000000"/>
        </w:rPr>
      </w:pPr>
      <w:r w:rsidRPr="008A6D32">
        <w:rPr>
          <w:rFonts w:ascii="Arial" w:hAnsi="Arial" w:cs="Arial"/>
          <w:b/>
          <w:bCs/>
          <w:color w:val="000000"/>
        </w:rPr>
        <w:t>Classification and Diagnosis:</w:t>
      </w:r>
      <w:r w:rsidRPr="008A6D32">
        <w:rPr>
          <w:rStyle w:val="apple-converted-space"/>
          <w:rFonts w:ascii="Arial" w:eastAsiaTheme="majorEastAsia" w:hAnsi="Arial" w:cs="Arial"/>
          <w:b/>
          <w:bCs/>
          <w:color w:val="000000"/>
        </w:rPr>
        <w:t> </w:t>
      </w:r>
    </w:p>
    <w:p w14:paraId="7AA05D06" w14:textId="77777777" w:rsidR="005A4C20" w:rsidRPr="005A4C20" w:rsidRDefault="005A4C20" w:rsidP="005A4C20">
      <w:pPr>
        <w:pStyle w:val="NormalWeb"/>
        <w:spacing w:line="360" w:lineRule="auto"/>
        <w:jc w:val="both"/>
        <w:rPr>
          <w:rFonts w:ascii="Arial" w:hAnsi="Arial" w:cs="Arial"/>
          <w:color w:val="000000"/>
          <w:sz w:val="22"/>
          <w:szCs w:val="22"/>
        </w:rPr>
      </w:pPr>
      <w:r w:rsidRPr="005A4C20">
        <w:rPr>
          <w:rFonts w:ascii="Arial" w:hAnsi="Arial" w:cs="Arial"/>
          <w:color w:val="000000"/>
          <w:sz w:val="22"/>
          <w:szCs w:val="22"/>
        </w:rPr>
        <w:t>Post-Traumatic Stress Disorder (PTSD) is classified within the</w:t>
      </w:r>
      <w:r w:rsidRPr="005A4C20">
        <w:rPr>
          <w:rStyle w:val="apple-converted-space"/>
          <w:rFonts w:ascii="Arial" w:eastAsiaTheme="majorEastAsia" w:hAnsi="Arial" w:cs="Arial"/>
          <w:color w:val="000000"/>
          <w:sz w:val="22"/>
          <w:szCs w:val="22"/>
        </w:rPr>
        <w:t> </w:t>
      </w:r>
      <w:r w:rsidRPr="005A4C20">
        <w:rPr>
          <w:rStyle w:val="Emphasis"/>
          <w:rFonts w:ascii="Arial" w:eastAsiaTheme="majorEastAsia" w:hAnsi="Arial" w:cs="Arial"/>
          <w:color w:val="000000"/>
          <w:sz w:val="22"/>
          <w:szCs w:val="22"/>
        </w:rPr>
        <w:t xml:space="preserve">International Classification of Diseases, Eleventh </w:t>
      </w:r>
      <w:proofErr w:type="gramStart"/>
      <w:r w:rsidRPr="005A4C20">
        <w:rPr>
          <w:rStyle w:val="Emphasis"/>
          <w:rFonts w:ascii="Arial" w:eastAsiaTheme="majorEastAsia" w:hAnsi="Arial" w:cs="Arial"/>
          <w:color w:val="000000"/>
          <w:sz w:val="22"/>
          <w:szCs w:val="22"/>
        </w:rPr>
        <w:t>Revision</w:t>
      </w:r>
      <w:r w:rsidRPr="005A4C20">
        <w:rPr>
          <w:rFonts w:ascii="Arial" w:hAnsi="Arial" w:cs="Arial"/>
          <w:color w:val="000000"/>
          <w:sz w:val="22"/>
          <w:szCs w:val="22"/>
        </w:rPr>
        <w:t>(</w:t>
      </w:r>
      <w:proofErr w:type="gramEnd"/>
      <w:r w:rsidRPr="005A4C20">
        <w:rPr>
          <w:rFonts w:ascii="Arial" w:hAnsi="Arial" w:cs="Arial"/>
          <w:color w:val="000000"/>
          <w:sz w:val="22"/>
          <w:szCs w:val="22"/>
        </w:rPr>
        <w:t>ICD-11) under code 6B40, positioned within the category of disorders specifically associated with stress (World Health Organization, 2019). PTSD is defined as a mental disorder that develops following exposure to an extremely threatening or horrific event or series of events that overwhelm an individual’s psychological capacity to cope (World Health Organization, 2019). This definition emphasises the relationship between traumatic exposure and persistent psychological disturbance, distinguishing PTSD from transient stress reactions.</w:t>
      </w:r>
    </w:p>
    <w:p w14:paraId="751DACD5" w14:textId="77777777" w:rsidR="005A4C20" w:rsidRPr="005A4C20" w:rsidRDefault="005A4C20" w:rsidP="005A4C20">
      <w:pPr>
        <w:pStyle w:val="NormalWeb"/>
        <w:spacing w:line="360" w:lineRule="auto"/>
        <w:jc w:val="both"/>
        <w:rPr>
          <w:rFonts w:ascii="Arial" w:hAnsi="Arial" w:cs="Arial"/>
          <w:color w:val="000000"/>
          <w:sz w:val="22"/>
          <w:szCs w:val="22"/>
        </w:rPr>
      </w:pPr>
      <w:r w:rsidRPr="005A4C20">
        <w:rPr>
          <w:rFonts w:ascii="Arial" w:hAnsi="Arial" w:cs="Arial"/>
          <w:color w:val="000000"/>
          <w:sz w:val="22"/>
          <w:szCs w:val="22"/>
        </w:rPr>
        <w:t>The ICD-11 conceptualisation of PTSD is intentionally narrow and identifies three core symptom clusters: persistent re-experiencing of the traumatic event in the present, avoidance of trauma-related reminders, and a sustained sense of current threat, commonly expressed through hypervigilance or exaggerated startle response (World Health Organization, 2019; National Institute for Health and Care Excellence, 2018). This approach marked a departure from the broader ICD-10 criteria and was designed to improve diagnostic precision, reduce heterogeneity, and enhance clinical utility across international settings (</w:t>
      </w:r>
      <w:proofErr w:type="spellStart"/>
      <w:r w:rsidRPr="005A4C20">
        <w:rPr>
          <w:rFonts w:ascii="Arial" w:hAnsi="Arial" w:cs="Arial"/>
          <w:color w:val="000000"/>
          <w:sz w:val="22"/>
          <w:szCs w:val="22"/>
        </w:rPr>
        <w:t>Maercker</w:t>
      </w:r>
      <w:proofErr w:type="spellEnd"/>
      <w:r w:rsidRPr="005A4C20">
        <w:rPr>
          <w:rFonts w:ascii="Arial" w:hAnsi="Arial" w:cs="Arial"/>
          <w:color w:val="000000"/>
          <w:sz w:val="22"/>
          <w:szCs w:val="22"/>
        </w:rPr>
        <w:t xml:space="preserve"> et al., 2018).</w:t>
      </w:r>
    </w:p>
    <w:p w14:paraId="0E7C58C0" w14:textId="77777777" w:rsidR="005A4C20" w:rsidRPr="005A4C20" w:rsidRDefault="005A4C20" w:rsidP="005A4C20">
      <w:pPr>
        <w:pStyle w:val="NormalWeb"/>
        <w:spacing w:line="360" w:lineRule="auto"/>
        <w:jc w:val="both"/>
        <w:rPr>
          <w:rFonts w:ascii="Arial" w:hAnsi="Arial" w:cs="Arial"/>
          <w:color w:val="000000"/>
          <w:sz w:val="22"/>
          <w:szCs w:val="22"/>
        </w:rPr>
      </w:pPr>
      <w:r w:rsidRPr="005A4C20">
        <w:rPr>
          <w:rFonts w:ascii="Arial" w:hAnsi="Arial" w:cs="Arial"/>
          <w:color w:val="000000"/>
          <w:sz w:val="22"/>
          <w:szCs w:val="22"/>
        </w:rPr>
        <w:t>A significant development within ICD-11 is the formal distinction between PTSD and</w:t>
      </w:r>
      <w:r w:rsidRPr="005A4C20">
        <w:rPr>
          <w:rStyle w:val="apple-converted-space"/>
          <w:rFonts w:ascii="Arial" w:eastAsiaTheme="majorEastAsia" w:hAnsi="Arial" w:cs="Arial"/>
          <w:color w:val="000000"/>
          <w:sz w:val="22"/>
          <w:szCs w:val="22"/>
        </w:rPr>
        <w:t> </w:t>
      </w:r>
      <w:r w:rsidRPr="005A4C20">
        <w:rPr>
          <w:rStyle w:val="Strong"/>
          <w:rFonts w:ascii="Arial" w:eastAsiaTheme="majorEastAsia" w:hAnsi="Arial" w:cs="Arial"/>
          <w:color w:val="000000"/>
          <w:sz w:val="22"/>
          <w:szCs w:val="22"/>
        </w:rPr>
        <w:t>Complex Post-Traumatic Stress Disorder (6B41)</w:t>
      </w:r>
      <w:r w:rsidRPr="005A4C20">
        <w:rPr>
          <w:rFonts w:ascii="Arial" w:hAnsi="Arial" w:cs="Arial"/>
          <w:color w:val="000000"/>
          <w:sz w:val="22"/>
          <w:szCs w:val="22"/>
        </w:rPr>
        <w:t>. Complex PTSD includes the core PTSD symptoms alongside additional disturbances in self-organisation, such as emotional dysregulation, persistent negative self-concept, and difficulties in sustaining relationships (</w:t>
      </w:r>
      <w:proofErr w:type="spellStart"/>
      <w:r w:rsidRPr="005A4C20">
        <w:rPr>
          <w:rFonts w:ascii="Arial" w:hAnsi="Arial" w:cs="Arial"/>
          <w:color w:val="000000"/>
          <w:sz w:val="22"/>
          <w:szCs w:val="22"/>
        </w:rPr>
        <w:t>Cloitre</w:t>
      </w:r>
      <w:proofErr w:type="spellEnd"/>
      <w:r w:rsidRPr="005A4C20">
        <w:rPr>
          <w:rFonts w:ascii="Arial" w:hAnsi="Arial" w:cs="Arial"/>
          <w:color w:val="000000"/>
          <w:sz w:val="22"/>
          <w:szCs w:val="22"/>
        </w:rPr>
        <w:t xml:space="preserve"> et al., 2018). This differentiation reflects robust empirical evidence demonstrating that prolonged and repeated interpersonal trauma produces more pervasive and enduring psychological consequences than single-incident trauma (Ford and Courtois, 2020).</w:t>
      </w:r>
    </w:p>
    <w:p w14:paraId="53656A7B" w14:textId="77777777" w:rsidR="005A4C20" w:rsidRPr="005A4C20" w:rsidRDefault="005A4C20" w:rsidP="005A4C20">
      <w:pPr>
        <w:pStyle w:val="NormalWeb"/>
        <w:spacing w:line="360" w:lineRule="auto"/>
        <w:jc w:val="both"/>
        <w:rPr>
          <w:rFonts w:ascii="Arial" w:hAnsi="Arial" w:cs="Arial"/>
          <w:color w:val="000000"/>
          <w:sz w:val="22"/>
          <w:szCs w:val="22"/>
        </w:rPr>
      </w:pPr>
      <w:r w:rsidRPr="005A4C20">
        <w:rPr>
          <w:rFonts w:ascii="Arial" w:hAnsi="Arial" w:cs="Arial"/>
          <w:color w:val="000000"/>
          <w:sz w:val="22"/>
          <w:szCs w:val="22"/>
        </w:rPr>
        <w:t>In England, PTSD diagnosis follows ICD-11 criteria for clinical coding, service access, and epidemiological reporting, while DSM-5-TR criteria may be referenced for research comparison or medico-legal assessment (</w:t>
      </w:r>
      <w:proofErr w:type="spellStart"/>
      <w:r w:rsidRPr="005A4C20">
        <w:rPr>
          <w:rFonts w:ascii="Arial" w:hAnsi="Arial" w:cs="Arial"/>
          <w:color w:val="000000"/>
          <w:sz w:val="22"/>
          <w:szCs w:val="22"/>
        </w:rPr>
        <w:t>Siddaway</w:t>
      </w:r>
      <w:proofErr w:type="spellEnd"/>
      <w:r w:rsidRPr="005A4C20">
        <w:rPr>
          <w:rFonts w:ascii="Arial" w:hAnsi="Arial" w:cs="Arial"/>
          <w:color w:val="000000"/>
          <w:sz w:val="22"/>
          <w:szCs w:val="22"/>
        </w:rPr>
        <w:t>, 2024). NICE guidance requires that diagnosis confirms exposure to a qualifying traumatic event, symptom persistence beyond several weeks, clinically significant functional impairment, and exclusion of alternative primary diagnoses such as psychotic disorders or substance-induced conditions (NICE, 2018). This structured diagnostic process aims to ensure both accuracy and consistency across services.</w:t>
      </w:r>
    </w:p>
    <w:p w14:paraId="74B2DB61" w14:textId="77777777" w:rsidR="005A4C20" w:rsidRPr="005A4C20" w:rsidRDefault="005A4C20" w:rsidP="005A4C20">
      <w:pPr>
        <w:pStyle w:val="NormalWeb"/>
        <w:spacing w:line="360" w:lineRule="auto"/>
        <w:jc w:val="both"/>
        <w:rPr>
          <w:rFonts w:ascii="Arial" w:hAnsi="Arial" w:cs="Arial"/>
          <w:color w:val="000000"/>
          <w:sz w:val="22"/>
          <w:szCs w:val="22"/>
        </w:rPr>
      </w:pPr>
      <w:r w:rsidRPr="005A4C20">
        <w:rPr>
          <w:rFonts w:ascii="Arial" w:hAnsi="Arial" w:cs="Arial"/>
          <w:color w:val="000000"/>
          <w:sz w:val="22"/>
          <w:szCs w:val="22"/>
        </w:rPr>
        <w:t xml:space="preserve">Clinical assessment typically combines structured diagnostic interviews with validated symptom measures to enhance reliability and reduce diagnostic subjectivity (Friedman et al., </w:t>
      </w:r>
      <w:r w:rsidRPr="005A4C20">
        <w:rPr>
          <w:rFonts w:ascii="Arial" w:hAnsi="Arial" w:cs="Arial"/>
          <w:color w:val="000000"/>
          <w:sz w:val="22"/>
          <w:szCs w:val="22"/>
        </w:rPr>
        <w:lastRenderedPageBreak/>
        <w:t>2023). Trauma-informed assessment practices are mandated in England to ensure psychological safety, minimise the risk of re-traumatisation, and promote patient autonomy throughout the diagnostic process (British Psychological Society, 2022). Such approaches recognise the potential harm of insensitive assessment and emphasise trust, transparency, and collaboration.</w:t>
      </w:r>
    </w:p>
    <w:p w14:paraId="0C970B42" w14:textId="77777777" w:rsidR="005A4C20" w:rsidRPr="005A4C20" w:rsidRDefault="005A4C20" w:rsidP="005A4C20">
      <w:pPr>
        <w:pStyle w:val="NormalWeb"/>
        <w:spacing w:line="360" w:lineRule="auto"/>
        <w:jc w:val="both"/>
        <w:rPr>
          <w:rFonts w:ascii="Arial" w:hAnsi="Arial" w:cs="Arial"/>
          <w:color w:val="000000"/>
          <w:sz w:val="22"/>
          <w:szCs w:val="22"/>
        </w:rPr>
      </w:pPr>
      <w:r w:rsidRPr="005A4C20">
        <w:rPr>
          <w:rFonts w:ascii="Arial" w:hAnsi="Arial" w:cs="Arial"/>
          <w:color w:val="000000"/>
          <w:sz w:val="22"/>
          <w:szCs w:val="22"/>
        </w:rPr>
        <w:t>The terminology used within ICD-11 deliberately classifies PTSD as a</w:t>
      </w:r>
      <w:r w:rsidRPr="005A4C20">
        <w:rPr>
          <w:rStyle w:val="apple-converted-space"/>
          <w:rFonts w:ascii="Arial" w:eastAsiaTheme="majorEastAsia" w:hAnsi="Arial" w:cs="Arial"/>
          <w:color w:val="000000"/>
          <w:sz w:val="22"/>
          <w:szCs w:val="22"/>
        </w:rPr>
        <w:t> </w:t>
      </w:r>
      <w:r w:rsidRPr="005A4C20">
        <w:rPr>
          <w:rStyle w:val="Strong"/>
          <w:rFonts w:ascii="Arial" w:eastAsiaTheme="majorEastAsia" w:hAnsi="Arial" w:cs="Arial"/>
          <w:color w:val="000000"/>
          <w:sz w:val="22"/>
          <w:szCs w:val="22"/>
        </w:rPr>
        <w:t>“disorder”</w:t>
      </w:r>
      <w:r w:rsidRPr="005A4C20">
        <w:rPr>
          <w:rFonts w:ascii="Arial" w:hAnsi="Arial" w:cs="Arial"/>
          <w:color w:val="000000"/>
          <w:sz w:val="22"/>
          <w:szCs w:val="22"/>
        </w:rPr>
        <w:t>, reflecting a clinically recognisable psychological response rather than a transient emotional reaction (World Health Organization, 2019). In contrast, UK public-facing health communications, including NHS patient resources, frequently employ the term</w:t>
      </w:r>
      <w:r w:rsidRPr="005A4C20">
        <w:rPr>
          <w:rStyle w:val="apple-converted-space"/>
          <w:rFonts w:ascii="Arial" w:eastAsiaTheme="majorEastAsia" w:hAnsi="Arial" w:cs="Arial"/>
          <w:color w:val="000000"/>
          <w:sz w:val="22"/>
          <w:szCs w:val="22"/>
        </w:rPr>
        <w:t> </w:t>
      </w:r>
      <w:r w:rsidRPr="005A4C20">
        <w:rPr>
          <w:rStyle w:val="Emphasis"/>
          <w:rFonts w:ascii="Arial" w:eastAsiaTheme="majorEastAsia" w:hAnsi="Arial" w:cs="Arial"/>
          <w:color w:val="000000"/>
          <w:sz w:val="22"/>
          <w:szCs w:val="22"/>
        </w:rPr>
        <w:t>mental health condition</w:t>
      </w:r>
      <w:r w:rsidRPr="005A4C20">
        <w:rPr>
          <w:rStyle w:val="apple-converted-space"/>
          <w:rFonts w:ascii="Arial" w:eastAsiaTheme="majorEastAsia" w:hAnsi="Arial" w:cs="Arial"/>
          <w:color w:val="000000"/>
          <w:sz w:val="22"/>
          <w:szCs w:val="22"/>
        </w:rPr>
        <w:t> </w:t>
      </w:r>
      <w:r w:rsidRPr="005A4C20">
        <w:rPr>
          <w:rFonts w:ascii="Arial" w:hAnsi="Arial" w:cs="Arial"/>
          <w:color w:val="000000"/>
          <w:sz w:val="22"/>
          <w:szCs w:val="22"/>
        </w:rPr>
        <w:t>to reduce stigma while preserving access to statutory services and legal protections (NHS, 2024). Critical scholars have argued that diagnostic labelling risks individualising experiences rooted in social or political violence; however, classification remains essential for safeguarding rights and securing access to evidence-based treatment (Haaken, 2021).</w:t>
      </w:r>
    </w:p>
    <w:p w14:paraId="19978F90" w14:textId="77777777" w:rsidR="005A4C20" w:rsidRPr="005A4C20" w:rsidRDefault="005A4C20" w:rsidP="005A4C20">
      <w:pPr>
        <w:pStyle w:val="NormalWeb"/>
        <w:spacing w:line="360" w:lineRule="auto"/>
        <w:jc w:val="both"/>
        <w:rPr>
          <w:rFonts w:ascii="Arial" w:hAnsi="Arial" w:cs="Arial"/>
          <w:color w:val="000000"/>
          <w:sz w:val="22"/>
          <w:szCs w:val="22"/>
        </w:rPr>
      </w:pPr>
      <w:r w:rsidRPr="005A4C20">
        <w:rPr>
          <w:rFonts w:ascii="Arial" w:hAnsi="Arial" w:cs="Arial"/>
          <w:color w:val="000000"/>
          <w:sz w:val="22"/>
          <w:szCs w:val="22"/>
        </w:rPr>
        <w:t>Comparative research indicates that ICD-11 criteria identify a smaller but more diagnostically consistent population than DSM-5-TR, potentially improving treatment matching while also risking exclusion of individuals whose trauma responses are dominated by guilt, shame, or dissociation (</w:t>
      </w:r>
      <w:proofErr w:type="spellStart"/>
      <w:r w:rsidRPr="005A4C20">
        <w:rPr>
          <w:rFonts w:ascii="Arial" w:hAnsi="Arial" w:cs="Arial"/>
          <w:color w:val="000000"/>
          <w:sz w:val="22"/>
          <w:szCs w:val="22"/>
        </w:rPr>
        <w:t>Siddaway</w:t>
      </w:r>
      <w:proofErr w:type="spellEnd"/>
      <w:r w:rsidRPr="005A4C20">
        <w:rPr>
          <w:rFonts w:ascii="Arial" w:hAnsi="Arial" w:cs="Arial"/>
          <w:color w:val="000000"/>
          <w:sz w:val="22"/>
          <w:szCs w:val="22"/>
        </w:rPr>
        <w:t>, 2024). In England, this diagnostic tension has practical implications, as ICD-11 coding directly determines eligibility for specialist trauma services and commissioning pathways (NHS Digital, 2024).</w:t>
      </w:r>
    </w:p>
    <w:p w14:paraId="666B3DB5" w14:textId="77777777" w:rsidR="005A4C20" w:rsidRPr="005A4C20" w:rsidRDefault="005A4C20" w:rsidP="005A4C20">
      <w:pPr>
        <w:pStyle w:val="NormalWeb"/>
        <w:spacing w:line="360" w:lineRule="auto"/>
        <w:jc w:val="both"/>
        <w:rPr>
          <w:rFonts w:ascii="Arial" w:hAnsi="Arial" w:cs="Arial"/>
          <w:color w:val="000000"/>
          <w:sz w:val="22"/>
          <w:szCs w:val="22"/>
        </w:rPr>
      </w:pPr>
      <w:r w:rsidRPr="005A4C20">
        <w:rPr>
          <w:rFonts w:ascii="Arial" w:hAnsi="Arial" w:cs="Arial"/>
          <w:color w:val="000000"/>
          <w:sz w:val="22"/>
          <w:szCs w:val="22"/>
        </w:rPr>
        <w:t xml:space="preserve">Cultural context further shapes diagnostic practice. NICE emphasises that trauma responses may present differently across cultural and ethnic groups and that clinicians must adapt language and assessment strategies accordingly (NICE, 2018). Evidence from UK populations suggests that refugees and individuals from minoritised communities may express trauma through somatic or spiritual idioms, requiring culturally sensitive inquiry to avoid misdiagnosis and disengagement from services (Schnyder and </w:t>
      </w:r>
      <w:proofErr w:type="spellStart"/>
      <w:r w:rsidRPr="005A4C20">
        <w:rPr>
          <w:rFonts w:ascii="Arial" w:hAnsi="Arial" w:cs="Arial"/>
          <w:color w:val="000000"/>
          <w:sz w:val="22"/>
          <w:szCs w:val="22"/>
        </w:rPr>
        <w:t>Cloitre</w:t>
      </w:r>
      <w:proofErr w:type="spellEnd"/>
      <w:r w:rsidRPr="005A4C20">
        <w:rPr>
          <w:rFonts w:ascii="Arial" w:hAnsi="Arial" w:cs="Arial"/>
          <w:color w:val="000000"/>
          <w:sz w:val="22"/>
          <w:szCs w:val="22"/>
        </w:rPr>
        <w:t>, 2022).</w:t>
      </w:r>
    </w:p>
    <w:p w14:paraId="23CCEF70" w14:textId="77777777" w:rsidR="008A6D32" w:rsidRDefault="008A6D32" w:rsidP="008A6D32">
      <w:pPr>
        <w:pStyle w:val="NormalWeb"/>
        <w:rPr>
          <w:rStyle w:val="apple-converted-space"/>
          <w:rFonts w:ascii="Arial" w:eastAsiaTheme="majorEastAsia" w:hAnsi="Arial" w:cs="Arial"/>
          <w:b/>
          <w:bCs/>
          <w:color w:val="000000"/>
        </w:rPr>
      </w:pPr>
      <w:r w:rsidRPr="008A6D32">
        <w:rPr>
          <w:rFonts w:ascii="Arial" w:hAnsi="Arial" w:cs="Arial"/>
          <w:b/>
          <w:bCs/>
          <w:color w:val="000000"/>
        </w:rPr>
        <w:t>Treatment and Rehabilitation:</w:t>
      </w:r>
      <w:r w:rsidRPr="008A6D32">
        <w:rPr>
          <w:rStyle w:val="apple-converted-space"/>
          <w:rFonts w:ascii="Arial" w:eastAsiaTheme="majorEastAsia" w:hAnsi="Arial" w:cs="Arial"/>
          <w:b/>
          <w:bCs/>
          <w:color w:val="000000"/>
        </w:rPr>
        <w:t> </w:t>
      </w:r>
    </w:p>
    <w:p w14:paraId="458D40E8" w14:textId="4FF7587A" w:rsidR="00A72671" w:rsidRPr="00A72671" w:rsidRDefault="00A72671" w:rsidP="00A72671">
      <w:pPr>
        <w:pStyle w:val="NormalWeb"/>
        <w:spacing w:line="360" w:lineRule="auto"/>
        <w:jc w:val="both"/>
        <w:rPr>
          <w:rFonts w:ascii="Arial" w:hAnsi="Arial" w:cs="Arial"/>
          <w:color w:val="000000"/>
          <w:sz w:val="22"/>
          <w:szCs w:val="22"/>
        </w:rPr>
      </w:pPr>
      <w:r>
        <w:rPr>
          <w:rFonts w:ascii="Arial" w:hAnsi="Arial" w:cs="Arial"/>
          <w:color w:val="000000"/>
          <w:sz w:val="22"/>
          <w:szCs w:val="22"/>
        </w:rPr>
        <w:t>I</w:t>
      </w:r>
      <w:r w:rsidRPr="00A72671">
        <w:rPr>
          <w:rFonts w:ascii="Arial" w:hAnsi="Arial" w:cs="Arial"/>
          <w:color w:val="000000"/>
          <w:sz w:val="22"/>
          <w:szCs w:val="22"/>
        </w:rPr>
        <w:t>n England, trauma-focused psychological therapies are recommended as the first-line treatment for PTSD (NICE, 2018). The strongest evidence supports Trauma-Focused Cognitive Behavioural Therapy (TF-CBT) and Eye Movement Desensitisation and Reprocessing (EMDR), both of which directly target traumatic memory processing (</w:t>
      </w:r>
      <w:proofErr w:type="spellStart"/>
      <w:r w:rsidRPr="00A72671">
        <w:rPr>
          <w:rFonts w:ascii="Arial" w:hAnsi="Arial" w:cs="Arial"/>
          <w:color w:val="000000"/>
          <w:sz w:val="22"/>
          <w:szCs w:val="22"/>
        </w:rPr>
        <w:t>Zayfert</w:t>
      </w:r>
      <w:proofErr w:type="spellEnd"/>
      <w:r w:rsidRPr="00A72671">
        <w:rPr>
          <w:rFonts w:ascii="Arial" w:hAnsi="Arial" w:cs="Arial"/>
          <w:color w:val="000000"/>
          <w:sz w:val="22"/>
          <w:szCs w:val="22"/>
        </w:rPr>
        <w:t xml:space="preserve"> and Becker, 2019). These interventions aim to reduce symptom severity by facilitating adaptive processing of trauma-related memories.</w:t>
      </w:r>
    </w:p>
    <w:p w14:paraId="56FFDD12" w14:textId="77777777" w:rsidR="00A72671" w:rsidRPr="00A72671" w:rsidRDefault="00A72671" w:rsidP="00A72671">
      <w:pPr>
        <w:pStyle w:val="NormalWeb"/>
        <w:spacing w:line="360" w:lineRule="auto"/>
        <w:jc w:val="both"/>
        <w:rPr>
          <w:rFonts w:ascii="Arial" w:hAnsi="Arial" w:cs="Arial"/>
          <w:color w:val="000000"/>
          <w:sz w:val="22"/>
          <w:szCs w:val="22"/>
        </w:rPr>
      </w:pPr>
      <w:r w:rsidRPr="00A72671">
        <w:rPr>
          <w:rFonts w:ascii="Arial" w:hAnsi="Arial" w:cs="Arial"/>
          <w:color w:val="000000"/>
          <w:sz w:val="22"/>
          <w:szCs w:val="22"/>
        </w:rPr>
        <w:lastRenderedPageBreak/>
        <w:t xml:space="preserve">TF-CBT seeks to modify maladaptive trauma-related beliefs through structured exposure and cognitive restructuring, while EMDR promotes adaptive information processing through bilateral stimulation (Schnyder and </w:t>
      </w:r>
      <w:proofErr w:type="spellStart"/>
      <w:r w:rsidRPr="00A72671">
        <w:rPr>
          <w:rFonts w:ascii="Arial" w:hAnsi="Arial" w:cs="Arial"/>
          <w:color w:val="000000"/>
          <w:sz w:val="22"/>
          <w:szCs w:val="22"/>
        </w:rPr>
        <w:t>Cloitre</w:t>
      </w:r>
      <w:proofErr w:type="spellEnd"/>
      <w:r w:rsidRPr="00A72671">
        <w:rPr>
          <w:rFonts w:ascii="Arial" w:hAnsi="Arial" w:cs="Arial"/>
          <w:color w:val="000000"/>
          <w:sz w:val="22"/>
          <w:szCs w:val="22"/>
        </w:rPr>
        <w:t>, 2022). Meta-analytic evidence demonstrates that both interventions produce large and sustained reductions in PTSD symptom severity across adult populations (Hoskins et al., 2021). As a result, NICE advises that these therapies should be prioritised wherever possible.</w:t>
      </w:r>
    </w:p>
    <w:p w14:paraId="30D0DEBF" w14:textId="77777777" w:rsidR="00A72671" w:rsidRPr="00A72671" w:rsidRDefault="00A72671" w:rsidP="00A72671">
      <w:pPr>
        <w:pStyle w:val="NormalWeb"/>
        <w:spacing w:line="360" w:lineRule="auto"/>
        <w:jc w:val="both"/>
        <w:rPr>
          <w:rFonts w:ascii="Arial" w:hAnsi="Arial" w:cs="Arial"/>
          <w:color w:val="000000"/>
          <w:sz w:val="22"/>
          <w:szCs w:val="22"/>
        </w:rPr>
      </w:pPr>
      <w:r w:rsidRPr="00A72671">
        <w:rPr>
          <w:rFonts w:ascii="Arial" w:hAnsi="Arial" w:cs="Arial"/>
          <w:color w:val="000000"/>
          <w:sz w:val="22"/>
          <w:szCs w:val="22"/>
        </w:rPr>
        <w:t>Pharmacological treatment is recommended only as an adjunct when trauma-focused therapy is unavailable or ineffective (NICE, 2018). Selective serotonin reuptake inhibitors such as sertraline and paroxetine have demonstrated modest symptom reduction, though relapse rates following discontinuation remain high (Bisson et al., 2020). This evidence supports NICE guidance that medication should not be used as a standalone intervention for PTSD, particularly given the risk of masking symptoms without addressing underlying trauma.</w:t>
      </w:r>
    </w:p>
    <w:p w14:paraId="57FE0BBE" w14:textId="77777777" w:rsidR="00A72671" w:rsidRPr="00A72671" w:rsidRDefault="00A72671" w:rsidP="00A72671">
      <w:pPr>
        <w:pStyle w:val="NormalWeb"/>
        <w:spacing w:line="360" w:lineRule="auto"/>
        <w:jc w:val="both"/>
        <w:rPr>
          <w:rFonts w:ascii="Arial" w:hAnsi="Arial" w:cs="Arial"/>
          <w:color w:val="000000"/>
          <w:sz w:val="22"/>
          <w:szCs w:val="22"/>
        </w:rPr>
      </w:pPr>
      <w:r w:rsidRPr="00A72671">
        <w:rPr>
          <w:rFonts w:ascii="Arial" w:hAnsi="Arial" w:cs="Arial"/>
          <w:color w:val="000000"/>
          <w:sz w:val="22"/>
          <w:szCs w:val="22"/>
        </w:rPr>
        <w:t>Rehabilitation within PTSD care extends beyond symptom reduction to include restoration of social functioning, employment capacity, and personal identity (NHS England, 2024). Multidisciplinary rehabilitation approaches involving psychologists, occupational therapists, and social prescribing services are increasingly recognised as necessary for sustained recovery (British Psychological Society, 2022). Such approaches acknowledge that trauma disrupts multiple aspects of functioning that cannot be addressed through therapy alone.</w:t>
      </w:r>
    </w:p>
    <w:p w14:paraId="4815675E" w14:textId="77777777" w:rsidR="00A72671" w:rsidRPr="00A72671" w:rsidRDefault="00A72671" w:rsidP="00A72671">
      <w:pPr>
        <w:pStyle w:val="NormalWeb"/>
        <w:spacing w:line="360" w:lineRule="auto"/>
        <w:jc w:val="both"/>
        <w:rPr>
          <w:rFonts w:ascii="Arial" w:hAnsi="Arial" w:cs="Arial"/>
          <w:color w:val="000000"/>
          <w:sz w:val="22"/>
          <w:szCs w:val="22"/>
        </w:rPr>
      </w:pPr>
      <w:r w:rsidRPr="00A72671">
        <w:rPr>
          <w:rFonts w:ascii="Arial" w:hAnsi="Arial" w:cs="Arial"/>
          <w:color w:val="000000"/>
          <w:sz w:val="22"/>
          <w:szCs w:val="22"/>
        </w:rPr>
        <w:t>For individuals diagnosed with Complex PTSD, phased rehabilitation models prioritising stabilisation, trauma processing, and reintegration demonstrate improved functional outcomes and reduced treatment dropout (Ford and Courtois, 2020). However, short-term commissioning structures within English mental health services often fail to align with the long-term needs associated with complex trauma presentations (NHS England, 2024).</w:t>
      </w:r>
    </w:p>
    <w:p w14:paraId="782B57D6" w14:textId="77777777" w:rsidR="00A72671" w:rsidRPr="00A72671" w:rsidRDefault="00A72671" w:rsidP="00A72671">
      <w:pPr>
        <w:pStyle w:val="NormalWeb"/>
        <w:spacing w:line="360" w:lineRule="auto"/>
        <w:jc w:val="both"/>
        <w:rPr>
          <w:rFonts w:ascii="Arial" w:hAnsi="Arial" w:cs="Arial"/>
          <w:color w:val="000000"/>
          <w:sz w:val="22"/>
          <w:szCs w:val="22"/>
        </w:rPr>
      </w:pPr>
      <w:r w:rsidRPr="00A72671">
        <w:rPr>
          <w:rFonts w:ascii="Arial" w:hAnsi="Arial" w:cs="Arial"/>
          <w:color w:val="000000"/>
          <w:sz w:val="22"/>
          <w:szCs w:val="22"/>
        </w:rPr>
        <w:t>While trauma-focused therapies demonstrate strong efficacy within controlled research settings, their effectiveness in routine NHS practice is significantly influenced by structural and contextual constraints. Long waiting times, regional shortages of EMDR-trained clinicians, and uneven service provision across England limit timely access to evidence-based care (NHS England, 2024). These barriers disproportionately affect individuals in socio-economically deprived areas. Furthermore, individuals with multiple trauma exposures, comorbid mental health conditions, or unstable housing experience higher dropout rates, indicating that standard treatment protocols may insufficiently address the social determinants of recovery (Hoskins et al., 2021).</w:t>
      </w:r>
    </w:p>
    <w:p w14:paraId="31D5B304" w14:textId="77777777" w:rsidR="00A72671" w:rsidRPr="00A72671" w:rsidRDefault="00A72671" w:rsidP="00A72671">
      <w:pPr>
        <w:pStyle w:val="NormalWeb"/>
        <w:spacing w:line="360" w:lineRule="auto"/>
        <w:jc w:val="both"/>
        <w:rPr>
          <w:rFonts w:ascii="Arial" w:hAnsi="Arial" w:cs="Arial"/>
          <w:color w:val="000000"/>
          <w:sz w:val="22"/>
          <w:szCs w:val="22"/>
        </w:rPr>
      </w:pPr>
      <w:r w:rsidRPr="00A72671">
        <w:rPr>
          <w:rFonts w:ascii="Arial" w:hAnsi="Arial" w:cs="Arial"/>
          <w:color w:val="000000"/>
          <w:sz w:val="22"/>
          <w:szCs w:val="22"/>
        </w:rPr>
        <w:lastRenderedPageBreak/>
        <w:t>Digitally delivered interventions, such as internet-based Cognitive Therapy for PTSD (</w:t>
      </w:r>
      <w:proofErr w:type="spellStart"/>
      <w:r w:rsidRPr="00A72671">
        <w:rPr>
          <w:rFonts w:ascii="Arial" w:hAnsi="Arial" w:cs="Arial"/>
          <w:color w:val="000000"/>
          <w:sz w:val="22"/>
          <w:szCs w:val="22"/>
        </w:rPr>
        <w:t>iCT</w:t>
      </w:r>
      <w:proofErr w:type="spellEnd"/>
      <w:r w:rsidRPr="00A72671">
        <w:rPr>
          <w:rFonts w:ascii="Arial" w:hAnsi="Arial" w:cs="Arial"/>
          <w:color w:val="000000"/>
          <w:sz w:val="22"/>
          <w:szCs w:val="22"/>
        </w:rPr>
        <w:t xml:space="preserve">-PTSD), have expanded access within NHS Talking Therapies services (NIHR Oxford Health Biomedical Research Centre, 2023). Outcome evaluations suggest that </w:t>
      </w:r>
      <w:proofErr w:type="spellStart"/>
      <w:r w:rsidRPr="00A72671">
        <w:rPr>
          <w:rFonts w:ascii="Arial" w:hAnsi="Arial" w:cs="Arial"/>
          <w:color w:val="000000"/>
          <w:sz w:val="22"/>
          <w:szCs w:val="22"/>
        </w:rPr>
        <w:t>iCT</w:t>
      </w:r>
      <w:proofErr w:type="spellEnd"/>
      <w:r w:rsidRPr="00A72671">
        <w:rPr>
          <w:rFonts w:ascii="Arial" w:hAnsi="Arial" w:cs="Arial"/>
          <w:color w:val="000000"/>
          <w:sz w:val="22"/>
          <w:szCs w:val="22"/>
        </w:rPr>
        <w:t>-PTSD can achieve outcomes comparable to face-to-face therapy for selected patients while reducing therapist contact time (Wild et al., 2023). Nevertheless, concerns persist regarding digital exclusion, data security, and risk management for individuals with severe or complex trauma (NICE, 2023).</w:t>
      </w:r>
    </w:p>
    <w:p w14:paraId="2C67F149" w14:textId="77777777" w:rsidR="009D187A" w:rsidRPr="009D187A" w:rsidRDefault="009D187A" w:rsidP="009D187A">
      <w:pPr>
        <w:pStyle w:val="Heading2"/>
        <w:rPr>
          <w:rFonts w:ascii="Arial" w:hAnsi="Arial" w:cs="Arial"/>
          <w:b/>
          <w:bCs/>
          <w:color w:val="000000"/>
          <w:sz w:val="24"/>
          <w:szCs w:val="24"/>
        </w:rPr>
      </w:pPr>
      <w:r w:rsidRPr="009D187A">
        <w:rPr>
          <w:rFonts w:ascii="Arial" w:hAnsi="Arial" w:cs="Arial"/>
          <w:b/>
          <w:bCs/>
          <w:color w:val="000000"/>
          <w:sz w:val="24"/>
          <w:szCs w:val="24"/>
        </w:rPr>
        <w:t>Prevalence and Trends in England</w:t>
      </w:r>
    </w:p>
    <w:p w14:paraId="42B090C3" w14:textId="77777777" w:rsidR="0034770B" w:rsidRPr="0034770B" w:rsidRDefault="0034770B" w:rsidP="0034770B">
      <w:pPr>
        <w:pStyle w:val="NormalWeb"/>
        <w:spacing w:line="360" w:lineRule="auto"/>
        <w:jc w:val="both"/>
        <w:rPr>
          <w:rFonts w:ascii="Arial" w:hAnsi="Arial" w:cs="Arial"/>
          <w:color w:val="000000"/>
          <w:sz w:val="22"/>
          <w:szCs w:val="22"/>
        </w:rPr>
      </w:pPr>
      <w:r w:rsidRPr="0034770B">
        <w:rPr>
          <w:rFonts w:ascii="Arial" w:hAnsi="Arial" w:cs="Arial"/>
          <w:color w:val="000000"/>
          <w:sz w:val="22"/>
          <w:szCs w:val="22"/>
        </w:rPr>
        <w:t>Population-level data illustrate that PTSD represents a growing public mental health concern in England. The</w:t>
      </w:r>
      <w:r w:rsidRPr="0034770B">
        <w:rPr>
          <w:rStyle w:val="apple-converted-space"/>
          <w:rFonts w:ascii="Arial" w:eastAsiaTheme="majorEastAsia" w:hAnsi="Arial" w:cs="Arial"/>
          <w:color w:val="000000"/>
          <w:sz w:val="22"/>
          <w:szCs w:val="22"/>
        </w:rPr>
        <w:t> </w:t>
      </w:r>
      <w:r w:rsidRPr="0034770B">
        <w:rPr>
          <w:rStyle w:val="Emphasis"/>
          <w:rFonts w:ascii="Arial" w:eastAsiaTheme="majorEastAsia" w:hAnsi="Arial" w:cs="Arial"/>
          <w:color w:val="000000"/>
          <w:sz w:val="22"/>
          <w:szCs w:val="22"/>
        </w:rPr>
        <w:t>Adult Psychiatric Morbidity Survey</w:t>
      </w:r>
      <w:r w:rsidRPr="0034770B">
        <w:rPr>
          <w:rStyle w:val="apple-converted-space"/>
          <w:rFonts w:ascii="Arial" w:eastAsiaTheme="majorEastAsia" w:hAnsi="Arial" w:cs="Arial"/>
          <w:color w:val="000000"/>
          <w:sz w:val="22"/>
          <w:szCs w:val="22"/>
        </w:rPr>
        <w:t> </w:t>
      </w:r>
      <w:r w:rsidRPr="0034770B">
        <w:rPr>
          <w:rFonts w:ascii="Arial" w:hAnsi="Arial" w:cs="Arial"/>
          <w:color w:val="000000"/>
          <w:sz w:val="22"/>
          <w:szCs w:val="22"/>
        </w:rPr>
        <w:t>reported PTSD prevalence of approximately 3.3% among adults in 2014 (NHS Digital, 2016). Updated findings from the 2023–2024 survey indicate prevalence closer to 4%, reflecting increased trauma exposure linked to the COVID-19 pandemic and broader socio-economic stressors (NHS Digital, 2024).</w:t>
      </w:r>
    </w:p>
    <w:p w14:paraId="0AAE5A24" w14:textId="77777777" w:rsidR="0034770B" w:rsidRPr="0034770B" w:rsidRDefault="0034770B" w:rsidP="0034770B">
      <w:pPr>
        <w:pStyle w:val="NormalWeb"/>
        <w:spacing w:line="360" w:lineRule="auto"/>
        <w:jc w:val="both"/>
        <w:rPr>
          <w:rFonts w:ascii="Arial" w:hAnsi="Arial" w:cs="Arial"/>
          <w:color w:val="000000"/>
          <w:sz w:val="22"/>
          <w:szCs w:val="22"/>
        </w:rPr>
      </w:pPr>
      <w:r w:rsidRPr="0034770B">
        <w:rPr>
          <w:rFonts w:ascii="Arial" w:hAnsi="Arial" w:cs="Arial"/>
          <w:color w:val="000000"/>
          <w:sz w:val="22"/>
          <w:szCs w:val="22"/>
        </w:rPr>
        <w:t>Rates of PTSD are disproportionately higher among emergency responders, veterans, and healthcare workers, with post-pandemic studies reporting prevalence estimates approaching 9–10% among frontline NHS staff (Brewin, 2021). Gender differences remain evident, with women approximately twice as likely as men to meet diagnostic criteria for PTSD in England (NHS Digital, 2024).</w:t>
      </w:r>
    </w:p>
    <w:p w14:paraId="22659E22" w14:textId="7794BC35" w:rsidR="009D187A" w:rsidRPr="009D187A" w:rsidRDefault="0034770B" w:rsidP="009D187A">
      <w:pPr>
        <w:pStyle w:val="NormalWeb"/>
        <w:spacing w:line="360" w:lineRule="auto"/>
        <w:jc w:val="both"/>
        <w:rPr>
          <w:rFonts w:ascii="Arial" w:hAnsi="Arial" w:cs="Arial"/>
          <w:color w:val="000000"/>
          <w:sz w:val="22"/>
          <w:szCs w:val="22"/>
        </w:rPr>
      </w:pPr>
      <w:r w:rsidRPr="0034770B">
        <w:rPr>
          <w:rFonts w:ascii="Arial" w:hAnsi="Arial" w:cs="Arial"/>
          <w:color w:val="000000"/>
          <w:sz w:val="22"/>
          <w:szCs w:val="22"/>
        </w:rPr>
        <w:t>The increase in prevalence observed between 2014 and 2023–2024 likely reflects both heightened trauma exposure and improved recognition within mental health services. However, this upward trend raises concerns regarding the long-term sustainability of existing service models. Without targeted prevention, early intervention, and workforce-specific support, PTSD prevalence is likely to remain elevated, placing continued pressure on NHS mental health infrastructure and reinforcing the need for trauma-informed public health planning.</w:t>
      </w:r>
    </w:p>
    <w:p w14:paraId="0D06B3CB" w14:textId="69C4E20E" w:rsidR="008A6D32" w:rsidRDefault="008A6D32" w:rsidP="008A6D32">
      <w:pPr>
        <w:pStyle w:val="NormalWeb"/>
        <w:rPr>
          <w:rStyle w:val="apple-converted-space"/>
          <w:rFonts w:ascii="Arial" w:eastAsiaTheme="majorEastAsia" w:hAnsi="Arial" w:cs="Arial"/>
          <w:b/>
          <w:bCs/>
          <w:color w:val="000000"/>
        </w:rPr>
      </w:pPr>
      <w:r w:rsidRPr="008A6D32">
        <w:rPr>
          <w:rFonts w:ascii="Arial" w:hAnsi="Arial" w:cs="Arial"/>
          <w:b/>
          <w:bCs/>
          <w:color w:val="000000"/>
        </w:rPr>
        <w:t>Current Debates and Emerging Issues:</w:t>
      </w:r>
      <w:r w:rsidRPr="008A6D32">
        <w:rPr>
          <w:rStyle w:val="apple-converted-space"/>
          <w:rFonts w:ascii="Arial" w:eastAsiaTheme="majorEastAsia" w:hAnsi="Arial" w:cs="Arial"/>
          <w:b/>
          <w:bCs/>
          <w:color w:val="000000"/>
        </w:rPr>
        <w:t> </w:t>
      </w:r>
    </w:p>
    <w:p w14:paraId="11457845" w14:textId="77777777" w:rsidR="009D42DB" w:rsidRPr="009D42DB" w:rsidRDefault="009D42DB" w:rsidP="009D42DB">
      <w:pPr>
        <w:pStyle w:val="NormalWeb"/>
        <w:spacing w:line="360" w:lineRule="auto"/>
        <w:jc w:val="both"/>
        <w:rPr>
          <w:rFonts w:ascii="Arial" w:hAnsi="Arial" w:cs="Arial"/>
          <w:color w:val="000000"/>
          <w:sz w:val="22"/>
          <w:szCs w:val="22"/>
        </w:rPr>
      </w:pPr>
      <w:r w:rsidRPr="009D42DB">
        <w:rPr>
          <w:rFonts w:ascii="Arial" w:hAnsi="Arial" w:cs="Arial"/>
          <w:color w:val="000000"/>
          <w:sz w:val="22"/>
          <w:szCs w:val="22"/>
        </w:rPr>
        <w:t>One of the most prominent debates surrounding PTSD concerns classification differences between ICD-11 and DSM-5-TR. ICD-11 conceptualises PTSD through three core symptom clusters, whereas DSM-5-TR includes an additional cluster related to negative alterations in cognition and mood (</w:t>
      </w:r>
      <w:proofErr w:type="spellStart"/>
      <w:r w:rsidRPr="009D42DB">
        <w:rPr>
          <w:rFonts w:ascii="Arial" w:hAnsi="Arial" w:cs="Arial"/>
          <w:color w:val="000000"/>
          <w:sz w:val="22"/>
          <w:szCs w:val="22"/>
        </w:rPr>
        <w:t>Siddaway</w:t>
      </w:r>
      <w:proofErr w:type="spellEnd"/>
      <w:r w:rsidRPr="009D42DB">
        <w:rPr>
          <w:rFonts w:ascii="Arial" w:hAnsi="Arial" w:cs="Arial"/>
          <w:color w:val="000000"/>
          <w:sz w:val="22"/>
          <w:szCs w:val="22"/>
        </w:rPr>
        <w:t xml:space="preserve">, 2024). Proponents of the ICD-11 model argue that its narrower criteria enhance diagnostic reliability and reduce the risk of </w:t>
      </w:r>
      <w:proofErr w:type="spellStart"/>
      <w:r w:rsidRPr="009D42DB">
        <w:rPr>
          <w:rFonts w:ascii="Arial" w:hAnsi="Arial" w:cs="Arial"/>
          <w:color w:val="000000"/>
          <w:sz w:val="22"/>
          <w:szCs w:val="22"/>
        </w:rPr>
        <w:t>pathologising</w:t>
      </w:r>
      <w:proofErr w:type="spellEnd"/>
      <w:r w:rsidRPr="009D42DB">
        <w:rPr>
          <w:rFonts w:ascii="Arial" w:hAnsi="Arial" w:cs="Arial"/>
          <w:color w:val="000000"/>
          <w:sz w:val="22"/>
          <w:szCs w:val="22"/>
        </w:rPr>
        <w:t xml:space="preserve"> normative stress reactions (</w:t>
      </w:r>
      <w:proofErr w:type="spellStart"/>
      <w:r w:rsidRPr="009D42DB">
        <w:rPr>
          <w:rFonts w:ascii="Arial" w:hAnsi="Arial" w:cs="Arial"/>
          <w:color w:val="000000"/>
          <w:sz w:val="22"/>
          <w:szCs w:val="22"/>
        </w:rPr>
        <w:t>Maercker</w:t>
      </w:r>
      <w:proofErr w:type="spellEnd"/>
      <w:r w:rsidRPr="009D42DB">
        <w:rPr>
          <w:rFonts w:ascii="Arial" w:hAnsi="Arial" w:cs="Arial"/>
          <w:color w:val="000000"/>
          <w:sz w:val="22"/>
          <w:szCs w:val="22"/>
        </w:rPr>
        <w:t xml:space="preserve"> et al., 2018). Critics contend that this approach may under-identify </w:t>
      </w:r>
      <w:r w:rsidRPr="009D42DB">
        <w:rPr>
          <w:rFonts w:ascii="Arial" w:hAnsi="Arial" w:cs="Arial"/>
          <w:color w:val="000000"/>
          <w:sz w:val="22"/>
          <w:szCs w:val="22"/>
        </w:rPr>
        <w:lastRenderedPageBreak/>
        <w:t>individuals whose trauma responses centre on guilt, shame, or emotional numbing (</w:t>
      </w:r>
      <w:proofErr w:type="spellStart"/>
      <w:r w:rsidRPr="009D42DB">
        <w:rPr>
          <w:rFonts w:ascii="Arial" w:hAnsi="Arial" w:cs="Arial"/>
          <w:color w:val="000000"/>
          <w:sz w:val="22"/>
          <w:szCs w:val="22"/>
        </w:rPr>
        <w:t>Cloitre</w:t>
      </w:r>
      <w:proofErr w:type="spellEnd"/>
      <w:r w:rsidRPr="009D42DB">
        <w:rPr>
          <w:rFonts w:ascii="Arial" w:hAnsi="Arial" w:cs="Arial"/>
          <w:color w:val="000000"/>
          <w:sz w:val="22"/>
          <w:szCs w:val="22"/>
        </w:rPr>
        <w:t xml:space="preserve"> et al., 2018).</w:t>
      </w:r>
    </w:p>
    <w:p w14:paraId="3123A04C" w14:textId="77777777" w:rsidR="009D42DB" w:rsidRPr="009D42DB" w:rsidRDefault="009D42DB" w:rsidP="009D42DB">
      <w:pPr>
        <w:pStyle w:val="NormalWeb"/>
        <w:spacing w:line="360" w:lineRule="auto"/>
        <w:jc w:val="both"/>
        <w:rPr>
          <w:rFonts w:ascii="Arial" w:hAnsi="Arial" w:cs="Arial"/>
          <w:color w:val="000000"/>
          <w:sz w:val="22"/>
          <w:szCs w:val="22"/>
        </w:rPr>
      </w:pPr>
      <w:r w:rsidRPr="009D42DB">
        <w:rPr>
          <w:rFonts w:ascii="Arial" w:hAnsi="Arial" w:cs="Arial"/>
          <w:color w:val="000000"/>
          <w:sz w:val="22"/>
          <w:szCs w:val="22"/>
        </w:rPr>
        <w:t>In England, this debate has direct implications for clinical practice and service access, as ICD-11 codes are the primary mechanism for diagnosis, commissioning, and epidemiological reporting within the NHS (NHS Digital, 2024). Rigid application of diagnostic thresholds risks excluding individuals with complex or non-prototypical presentations, highlighting the need for clinical judgement alongside diagnostic frameworks.</w:t>
      </w:r>
    </w:p>
    <w:p w14:paraId="3EC9440C" w14:textId="77777777" w:rsidR="009D42DB" w:rsidRPr="009D42DB" w:rsidRDefault="009D42DB" w:rsidP="009D42DB">
      <w:pPr>
        <w:pStyle w:val="NormalWeb"/>
        <w:spacing w:line="360" w:lineRule="auto"/>
        <w:jc w:val="both"/>
        <w:rPr>
          <w:rFonts w:ascii="Arial" w:hAnsi="Arial" w:cs="Arial"/>
          <w:color w:val="000000"/>
          <w:sz w:val="22"/>
          <w:szCs w:val="22"/>
        </w:rPr>
      </w:pPr>
      <w:r w:rsidRPr="009D42DB">
        <w:rPr>
          <w:rFonts w:ascii="Arial" w:hAnsi="Arial" w:cs="Arial"/>
          <w:color w:val="000000"/>
          <w:sz w:val="22"/>
          <w:szCs w:val="22"/>
        </w:rPr>
        <w:t>The recognition of Complex PTSD has generated optimism by validating the impact of sustained interpersonal trauma, while also exposing systemic limitations within English mental health services (Ford and Courtois, 2020). Despite diagnostic recognition, commissioning structures frequently prioritise short-term interventions, creating a mismatch between identified need and service provision (NHS England, 2024).</w:t>
      </w:r>
    </w:p>
    <w:p w14:paraId="4A44624A" w14:textId="77777777" w:rsidR="009D42DB" w:rsidRPr="009D42DB" w:rsidRDefault="009D42DB" w:rsidP="009D42DB">
      <w:pPr>
        <w:pStyle w:val="NormalWeb"/>
        <w:spacing w:line="360" w:lineRule="auto"/>
        <w:jc w:val="both"/>
        <w:rPr>
          <w:rFonts w:ascii="Arial" w:hAnsi="Arial" w:cs="Arial"/>
          <w:color w:val="000000"/>
          <w:sz w:val="22"/>
          <w:szCs w:val="22"/>
        </w:rPr>
      </w:pPr>
      <w:r w:rsidRPr="009D42DB">
        <w:rPr>
          <w:rFonts w:ascii="Arial" w:hAnsi="Arial" w:cs="Arial"/>
          <w:color w:val="000000"/>
          <w:sz w:val="22"/>
          <w:szCs w:val="22"/>
        </w:rPr>
        <w:t>Another emerging issue concerns the intersection of neurodivergence and trauma. Research suggests that autistic individuals and those with attention deficit hyperactivity disorder may experience higher rates of trauma exposure and atypical symptom expression, including sensory overload and shutdown responses (Morganstein et al., 2021). Standard PTSD assessment tools may inadequately capture these presentations, increasing the risk of misdiagnosis (</w:t>
      </w:r>
      <w:proofErr w:type="spellStart"/>
      <w:r w:rsidRPr="009D42DB">
        <w:rPr>
          <w:rFonts w:ascii="Arial" w:hAnsi="Arial" w:cs="Arial"/>
          <w:color w:val="000000"/>
          <w:sz w:val="22"/>
          <w:szCs w:val="22"/>
        </w:rPr>
        <w:t>Siddaway</w:t>
      </w:r>
      <w:proofErr w:type="spellEnd"/>
      <w:r w:rsidRPr="009D42DB">
        <w:rPr>
          <w:rFonts w:ascii="Arial" w:hAnsi="Arial" w:cs="Arial"/>
          <w:color w:val="000000"/>
          <w:sz w:val="22"/>
          <w:szCs w:val="22"/>
        </w:rPr>
        <w:t>, 2024). NICE increasingly emphasises the need for adapted communication and sensory-aware therapeutic environments to improve engagement (NICE, 2018).</w:t>
      </w:r>
    </w:p>
    <w:p w14:paraId="6122C968" w14:textId="3EC9BDD8" w:rsidR="009D42DB" w:rsidRPr="00AB3AA2" w:rsidRDefault="009D42DB" w:rsidP="00AB3AA2">
      <w:pPr>
        <w:pStyle w:val="NormalWeb"/>
        <w:spacing w:line="360" w:lineRule="auto"/>
        <w:jc w:val="both"/>
        <w:rPr>
          <w:rStyle w:val="apple-converted-space"/>
          <w:rFonts w:ascii="Arial" w:hAnsi="Arial" w:cs="Arial"/>
          <w:color w:val="000000"/>
          <w:sz w:val="22"/>
          <w:szCs w:val="22"/>
        </w:rPr>
      </w:pPr>
      <w:r w:rsidRPr="009D42DB">
        <w:rPr>
          <w:rFonts w:ascii="Arial" w:hAnsi="Arial" w:cs="Arial"/>
          <w:color w:val="000000"/>
          <w:sz w:val="22"/>
          <w:szCs w:val="22"/>
        </w:rPr>
        <w:t>Collectively, these debates demonstrate that PTSD classification is not merely diagnostic but also shapes access to care, treatment intensity, and long-term recovery trajectories. In the English context, maintaining diagnostic rigour must be balanced with formulation-led clinical practice to ensure equitable and trauma-informed service delivery.</w:t>
      </w:r>
    </w:p>
    <w:p w14:paraId="663F265C" w14:textId="4B1DF42E" w:rsidR="008A6D32" w:rsidRDefault="008A6D32" w:rsidP="008A6D32">
      <w:pPr>
        <w:pStyle w:val="NormalWeb"/>
        <w:rPr>
          <w:rStyle w:val="apple-converted-space"/>
          <w:rFonts w:ascii="Arial" w:eastAsiaTheme="majorEastAsia" w:hAnsi="Arial" w:cs="Arial"/>
          <w:b/>
          <w:bCs/>
          <w:color w:val="000000"/>
        </w:rPr>
      </w:pPr>
      <w:r w:rsidRPr="008A6D32">
        <w:rPr>
          <w:rFonts w:ascii="Arial" w:hAnsi="Arial" w:cs="Arial"/>
          <w:b/>
          <w:bCs/>
          <w:color w:val="000000"/>
        </w:rPr>
        <w:t>Recommendations:</w:t>
      </w:r>
      <w:r w:rsidRPr="008A6D32">
        <w:rPr>
          <w:rStyle w:val="apple-converted-space"/>
          <w:rFonts w:ascii="Arial" w:eastAsiaTheme="majorEastAsia" w:hAnsi="Arial" w:cs="Arial"/>
          <w:b/>
          <w:bCs/>
          <w:color w:val="000000"/>
        </w:rPr>
        <w:t> </w:t>
      </w:r>
    </w:p>
    <w:p w14:paraId="1132A965" w14:textId="77777777" w:rsidR="00AB3AA2" w:rsidRPr="00AB3AA2" w:rsidRDefault="00AB3AA2" w:rsidP="00AB3AA2">
      <w:pPr>
        <w:pStyle w:val="NormalWeb"/>
        <w:spacing w:line="360" w:lineRule="auto"/>
        <w:jc w:val="both"/>
        <w:rPr>
          <w:rFonts w:ascii="Arial" w:hAnsi="Arial" w:cs="Arial"/>
          <w:color w:val="000000"/>
          <w:sz w:val="22"/>
          <w:szCs w:val="22"/>
        </w:rPr>
      </w:pPr>
      <w:r w:rsidRPr="00AB3AA2">
        <w:rPr>
          <w:rFonts w:ascii="Arial" w:hAnsi="Arial" w:cs="Arial"/>
          <w:color w:val="000000"/>
          <w:sz w:val="22"/>
          <w:szCs w:val="22"/>
        </w:rPr>
        <w:t>To improve outcomes for individuals with PTSD in England, commissioning structures should align more closely with ICD-11 diagnostic distinctions, particularly in relation to Complex PTSD. Integrated Care Systems should fund longer-term, phased trauma-focused interventions that reflect the chronic and relational nature of complex trauma exposure (Ford and Courtois, 2020).</w:t>
      </w:r>
    </w:p>
    <w:p w14:paraId="5F993579" w14:textId="77777777" w:rsidR="00AB3AA2" w:rsidRPr="00AB3AA2" w:rsidRDefault="00AB3AA2" w:rsidP="00AB3AA2">
      <w:pPr>
        <w:pStyle w:val="NormalWeb"/>
        <w:spacing w:line="360" w:lineRule="auto"/>
        <w:jc w:val="both"/>
        <w:rPr>
          <w:rFonts w:ascii="Arial" w:hAnsi="Arial" w:cs="Arial"/>
          <w:color w:val="000000"/>
          <w:sz w:val="22"/>
          <w:szCs w:val="22"/>
        </w:rPr>
      </w:pPr>
      <w:r w:rsidRPr="00AB3AA2">
        <w:rPr>
          <w:rFonts w:ascii="Arial" w:hAnsi="Arial" w:cs="Arial"/>
          <w:color w:val="000000"/>
          <w:sz w:val="22"/>
          <w:szCs w:val="22"/>
        </w:rPr>
        <w:t xml:space="preserve">Clinical practice should continue to prioritise trauma-focused psychological therapies as first-line treatment, with pharmacological interventions used cautiously and collaboratively (NICE, </w:t>
      </w:r>
      <w:r w:rsidRPr="00AB3AA2">
        <w:rPr>
          <w:rFonts w:ascii="Arial" w:hAnsi="Arial" w:cs="Arial"/>
          <w:color w:val="000000"/>
          <w:sz w:val="22"/>
          <w:szCs w:val="22"/>
        </w:rPr>
        <w:lastRenderedPageBreak/>
        <w:t>2018). Ongoing workforce development, including specialist training in EMDR and trauma-focused CBT, is essential to address regional inequalities in service availability (NHS England, 2024).</w:t>
      </w:r>
    </w:p>
    <w:p w14:paraId="13A53C20" w14:textId="77777777" w:rsidR="00AB3AA2" w:rsidRPr="00AB3AA2" w:rsidRDefault="00AB3AA2" w:rsidP="00AB3AA2">
      <w:pPr>
        <w:pStyle w:val="NormalWeb"/>
        <w:spacing w:line="360" w:lineRule="auto"/>
        <w:jc w:val="both"/>
        <w:rPr>
          <w:rFonts w:ascii="Arial" w:hAnsi="Arial" w:cs="Arial"/>
          <w:color w:val="000000"/>
          <w:sz w:val="22"/>
          <w:szCs w:val="22"/>
        </w:rPr>
      </w:pPr>
      <w:r w:rsidRPr="00AB3AA2">
        <w:rPr>
          <w:rFonts w:ascii="Arial" w:hAnsi="Arial" w:cs="Arial"/>
          <w:color w:val="000000"/>
          <w:sz w:val="22"/>
          <w:szCs w:val="22"/>
        </w:rPr>
        <w:t>Mental health services should adopt trauma-informed organisational cultures that embed principles of safety, choice, collaboration, trust, and empowerment across assessment and treatment pathways (British Psychological Society, 2022). Digital interventions should be offered as optional adjuncts rather than default pathways, with investment in digital inclusion measures to prevent exclusion of vulnerable populations (NIHR Oxford Health Biomedical Research Centre, 2023).</w:t>
      </w:r>
    </w:p>
    <w:p w14:paraId="382E2C08" w14:textId="6EBD36D1" w:rsidR="00AB3AA2" w:rsidRPr="00AB3AA2" w:rsidRDefault="00AB3AA2" w:rsidP="00AB3AA2">
      <w:pPr>
        <w:pStyle w:val="NormalWeb"/>
        <w:spacing w:line="360" w:lineRule="auto"/>
        <w:jc w:val="both"/>
        <w:rPr>
          <w:rFonts w:ascii="Arial" w:hAnsi="Arial" w:cs="Arial"/>
          <w:color w:val="000000"/>
          <w:sz w:val="22"/>
          <w:szCs w:val="22"/>
        </w:rPr>
      </w:pPr>
      <w:r w:rsidRPr="00AB3AA2">
        <w:rPr>
          <w:rFonts w:ascii="Arial" w:hAnsi="Arial" w:cs="Arial"/>
          <w:color w:val="000000"/>
          <w:sz w:val="22"/>
          <w:szCs w:val="22"/>
        </w:rPr>
        <w:t>Outcome evaluation frameworks should move beyond symptom reduction alone and incorporate patient-reported measures of functional recovery, relational stability, and quality of life. Investment in staff supervision and reflective practice is also essential to mitigate vicarious trauma and sustain workforce wellbeing as service demand increases.</w:t>
      </w:r>
    </w:p>
    <w:p w14:paraId="5E5BF9C2" w14:textId="77777777" w:rsidR="00AB3AA2" w:rsidRPr="00AB3AA2" w:rsidRDefault="00AB3AA2" w:rsidP="00AB3AA2">
      <w:pPr>
        <w:pStyle w:val="Heading2"/>
        <w:rPr>
          <w:rFonts w:ascii="Arial" w:hAnsi="Arial" w:cs="Arial"/>
          <w:b/>
          <w:bCs/>
          <w:color w:val="000000"/>
          <w:sz w:val="24"/>
          <w:szCs w:val="24"/>
        </w:rPr>
      </w:pPr>
      <w:r w:rsidRPr="00AB3AA2">
        <w:rPr>
          <w:rFonts w:ascii="Arial" w:hAnsi="Arial" w:cs="Arial"/>
          <w:b/>
          <w:bCs/>
          <w:color w:val="000000"/>
          <w:sz w:val="24"/>
          <w:szCs w:val="24"/>
        </w:rPr>
        <w:t>Conclusion</w:t>
      </w:r>
    </w:p>
    <w:p w14:paraId="4F7597D5" w14:textId="1C2FAB56" w:rsidR="008A6D32" w:rsidRPr="00C6193D" w:rsidRDefault="00AB3AA2" w:rsidP="00C6193D">
      <w:pPr>
        <w:pStyle w:val="NormalWeb"/>
        <w:spacing w:line="360" w:lineRule="auto"/>
        <w:jc w:val="both"/>
        <w:rPr>
          <w:rFonts w:ascii="Arial" w:hAnsi="Arial" w:cs="Arial"/>
          <w:color w:val="000000"/>
          <w:sz w:val="22"/>
          <w:szCs w:val="22"/>
        </w:rPr>
      </w:pPr>
      <w:r w:rsidRPr="00AB3AA2">
        <w:rPr>
          <w:rFonts w:ascii="Arial" w:hAnsi="Arial" w:cs="Arial"/>
          <w:color w:val="000000"/>
          <w:sz w:val="22"/>
          <w:szCs w:val="22"/>
        </w:rPr>
        <w:t>PTSD, as defined within ICD-11, represents a focused psychological response to extreme threat that benefits from precise classification and evidence-based intervention. In England, trauma-focused psychological therapies remain the most effective treatments, while rehabilitation requires broader attention to social functioning and long-term recovery. Ongoing debates surrounding classification, complexity, neurodivergence, and digital delivery highlight the evolving nature of PTSD care. Addressing these challenges through aligned commissioning, trauma-informed practice, and inclusive service design is essential to ensure that diagnostic advances translate into meaningful and equitable improvements in patient outcomes.</w:t>
      </w:r>
    </w:p>
    <w:p w14:paraId="464E4062" w14:textId="02CAC658" w:rsidR="008A6D32" w:rsidRDefault="008A6D32" w:rsidP="008A6D32">
      <w:pPr>
        <w:pStyle w:val="NormalWeb"/>
        <w:rPr>
          <w:rFonts w:ascii="Arial" w:hAnsi="Arial" w:cs="Arial"/>
          <w:b/>
          <w:bCs/>
          <w:color w:val="000000"/>
        </w:rPr>
      </w:pPr>
      <w:r w:rsidRPr="008A6D32">
        <w:rPr>
          <w:rFonts w:ascii="Arial" w:hAnsi="Arial" w:cs="Arial"/>
          <w:b/>
          <w:bCs/>
          <w:color w:val="000000"/>
        </w:rPr>
        <w:t xml:space="preserve">References </w:t>
      </w:r>
    </w:p>
    <w:p w14:paraId="2C722C46"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Bisson, J.I., Baker, A., Dekker, W. and Hoskins, M.D. (2020) ‘Evidence-based prescribing for post-traumatic stress disorder’,</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British Journal of Psychiatry</w:t>
      </w:r>
      <w:r w:rsidRPr="00460BDE">
        <w:rPr>
          <w:rFonts w:ascii="Arial" w:hAnsi="Arial" w:cs="Arial"/>
          <w:color w:val="000000"/>
          <w:sz w:val="22"/>
          <w:szCs w:val="22"/>
        </w:rPr>
        <w:t>, 216(3), pp. 125–127.</w:t>
      </w:r>
    </w:p>
    <w:p w14:paraId="33193200"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Brewin, C.R. (2021) ‘</w:t>
      </w:r>
      <w:proofErr w:type="gramStart"/>
      <w:r w:rsidRPr="00460BDE">
        <w:rPr>
          <w:rFonts w:ascii="Arial" w:hAnsi="Arial" w:cs="Arial"/>
          <w:color w:val="000000"/>
          <w:sz w:val="22"/>
          <w:szCs w:val="22"/>
        </w:rPr>
        <w:t>Post-traumatic</w:t>
      </w:r>
      <w:proofErr w:type="gramEnd"/>
      <w:r w:rsidRPr="00460BDE">
        <w:rPr>
          <w:rFonts w:ascii="Arial" w:hAnsi="Arial" w:cs="Arial"/>
          <w:color w:val="000000"/>
          <w:sz w:val="22"/>
          <w:szCs w:val="22"/>
        </w:rPr>
        <w:t xml:space="preserve"> stress disorder and the COVID-19 pandemic’,</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World Psychiatry</w:t>
      </w:r>
      <w:r w:rsidRPr="00460BDE">
        <w:rPr>
          <w:rFonts w:ascii="Arial" w:hAnsi="Arial" w:cs="Arial"/>
          <w:color w:val="000000"/>
          <w:sz w:val="22"/>
          <w:szCs w:val="22"/>
        </w:rPr>
        <w:t>, 20(1), pp. 145–147.</w:t>
      </w:r>
    </w:p>
    <w:p w14:paraId="68A00928" w14:textId="1DCAD1F8"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British Psychological Society (2022)</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The British Psychological Society Framework for Trauma-Informed Care</w:t>
      </w:r>
      <w:r w:rsidRPr="00460BDE">
        <w:rPr>
          <w:rFonts w:ascii="Arial" w:hAnsi="Arial" w:cs="Arial"/>
          <w:color w:val="000000"/>
          <w:sz w:val="22"/>
          <w:szCs w:val="22"/>
        </w:rPr>
        <w:t>. Leicester: BPS. Available at:</w:t>
      </w:r>
      <w:r w:rsidRPr="00460BDE">
        <w:rPr>
          <w:rStyle w:val="apple-converted-space"/>
          <w:rFonts w:ascii="Arial" w:eastAsiaTheme="majorEastAsia" w:hAnsi="Arial" w:cs="Arial"/>
          <w:color w:val="000000"/>
          <w:sz w:val="22"/>
          <w:szCs w:val="22"/>
        </w:rPr>
        <w:t> </w:t>
      </w:r>
      <w:hyperlink r:id="rId7" w:tgtFrame="_new" w:history="1">
        <w:r w:rsidRPr="00460BDE">
          <w:rPr>
            <w:rStyle w:val="Hyperlink"/>
            <w:rFonts w:ascii="Arial" w:eastAsiaTheme="majorEastAsia" w:hAnsi="Arial" w:cs="Arial"/>
            <w:sz w:val="22"/>
            <w:szCs w:val="22"/>
          </w:rPr>
          <w:t>https://www.bps.org.uk</w:t>
        </w:r>
      </w:hyperlink>
      <w:r w:rsidRPr="00460BDE">
        <w:rPr>
          <w:rStyle w:val="apple-converted-space"/>
          <w:rFonts w:ascii="Arial" w:eastAsiaTheme="majorEastAsia" w:hAnsi="Arial" w:cs="Arial"/>
          <w:color w:val="000000"/>
          <w:sz w:val="22"/>
          <w:szCs w:val="22"/>
        </w:rPr>
        <w:t> </w:t>
      </w:r>
      <w:r w:rsidRPr="00460BDE">
        <w:rPr>
          <w:rFonts w:ascii="Arial" w:hAnsi="Arial" w:cs="Arial"/>
          <w:color w:val="000000"/>
          <w:sz w:val="22"/>
          <w:szCs w:val="22"/>
        </w:rPr>
        <w:t>(Accessed</w:t>
      </w:r>
      <w:r>
        <w:rPr>
          <w:rFonts w:ascii="Arial" w:hAnsi="Arial" w:cs="Arial"/>
          <w:color w:val="000000"/>
          <w:sz w:val="22"/>
          <w:szCs w:val="22"/>
        </w:rPr>
        <w:t xml:space="preserve"> Date</w:t>
      </w:r>
      <w:r w:rsidRPr="00460BDE">
        <w:rPr>
          <w:rFonts w:ascii="Arial" w:hAnsi="Arial" w:cs="Arial"/>
          <w:color w:val="000000"/>
          <w:sz w:val="22"/>
          <w:szCs w:val="22"/>
        </w:rPr>
        <w:t>:</w:t>
      </w:r>
      <w:r>
        <w:rPr>
          <w:rFonts w:ascii="Arial" w:hAnsi="Arial" w:cs="Arial"/>
          <w:color w:val="000000"/>
          <w:sz w:val="22"/>
          <w:szCs w:val="22"/>
        </w:rPr>
        <w:t xml:space="preserve"> December 14,</w:t>
      </w:r>
      <w:r w:rsidRPr="00460BDE">
        <w:rPr>
          <w:rFonts w:ascii="Arial" w:hAnsi="Arial" w:cs="Arial"/>
          <w:color w:val="000000"/>
          <w:sz w:val="22"/>
          <w:szCs w:val="22"/>
        </w:rPr>
        <w:t xml:space="preserve"> 2024).</w:t>
      </w:r>
    </w:p>
    <w:p w14:paraId="5E8C3798" w14:textId="77777777" w:rsidR="00460BDE" w:rsidRPr="00460BDE" w:rsidRDefault="00460BDE" w:rsidP="00460BDE">
      <w:pPr>
        <w:pStyle w:val="NormalWeb"/>
        <w:spacing w:line="360" w:lineRule="auto"/>
        <w:jc w:val="both"/>
        <w:rPr>
          <w:rFonts w:ascii="Arial" w:hAnsi="Arial" w:cs="Arial"/>
          <w:color w:val="000000"/>
          <w:sz w:val="22"/>
          <w:szCs w:val="22"/>
        </w:rPr>
      </w:pPr>
      <w:proofErr w:type="spellStart"/>
      <w:r w:rsidRPr="00460BDE">
        <w:rPr>
          <w:rFonts w:ascii="Arial" w:hAnsi="Arial" w:cs="Arial"/>
          <w:color w:val="000000"/>
          <w:sz w:val="22"/>
          <w:szCs w:val="22"/>
        </w:rPr>
        <w:lastRenderedPageBreak/>
        <w:t>Cloitre</w:t>
      </w:r>
      <w:proofErr w:type="spellEnd"/>
      <w:r w:rsidRPr="00460BDE">
        <w:rPr>
          <w:rFonts w:ascii="Arial" w:hAnsi="Arial" w:cs="Arial"/>
          <w:color w:val="000000"/>
          <w:sz w:val="22"/>
          <w:szCs w:val="22"/>
        </w:rPr>
        <w:t xml:space="preserve">, M., Shevlin, M., Brewin, C.R., Bisson, J.I., Roberts, N.P., </w:t>
      </w:r>
      <w:proofErr w:type="spellStart"/>
      <w:r w:rsidRPr="00460BDE">
        <w:rPr>
          <w:rFonts w:ascii="Arial" w:hAnsi="Arial" w:cs="Arial"/>
          <w:color w:val="000000"/>
          <w:sz w:val="22"/>
          <w:szCs w:val="22"/>
        </w:rPr>
        <w:t>Maercker</w:t>
      </w:r>
      <w:proofErr w:type="spellEnd"/>
      <w:r w:rsidRPr="00460BDE">
        <w:rPr>
          <w:rFonts w:ascii="Arial" w:hAnsi="Arial" w:cs="Arial"/>
          <w:color w:val="000000"/>
          <w:sz w:val="22"/>
          <w:szCs w:val="22"/>
        </w:rPr>
        <w:t>, A. and Hyland, P. (2018) ‘The International Trauma Questionnaire: development of a self-report measure of ICD-11 PTSD and Complex PTSD’,</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 xml:space="preserve">Acta </w:t>
      </w:r>
      <w:proofErr w:type="spellStart"/>
      <w:r w:rsidRPr="00460BDE">
        <w:rPr>
          <w:rStyle w:val="Emphasis"/>
          <w:rFonts w:ascii="Arial" w:eastAsiaTheme="majorEastAsia" w:hAnsi="Arial" w:cs="Arial"/>
          <w:color w:val="000000"/>
          <w:sz w:val="22"/>
          <w:szCs w:val="22"/>
        </w:rPr>
        <w:t>Psychiatrica</w:t>
      </w:r>
      <w:proofErr w:type="spellEnd"/>
      <w:r w:rsidRPr="00460BDE">
        <w:rPr>
          <w:rStyle w:val="Emphasis"/>
          <w:rFonts w:ascii="Arial" w:eastAsiaTheme="majorEastAsia" w:hAnsi="Arial" w:cs="Arial"/>
          <w:color w:val="000000"/>
          <w:sz w:val="22"/>
          <w:szCs w:val="22"/>
        </w:rPr>
        <w:t xml:space="preserve"> Scandinavica</w:t>
      </w:r>
      <w:r w:rsidRPr="00460BDE">
        <w:rPr>
          <w:rFonts w:ascii="Arial" w:hAnsi="Arial" w:cs="Arial"/>
          <w:color w:val="000000"/>
          <w:sz w:val="22"/>
          <w:szCs w:val="22"/>
        </w:rPr>
        <w:t>, 138(6), pp. 536–546.</w:t>
      </w:r>
    </w:p>
    <w:p w14:paraId="443DA9EB"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Ford, J.D. and Courtois, C.A. (2020)</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Treating Complex Traumatic Stress Disorders in Adults</w:t>
      </w:r>
      <w:r w:rsidRPr="00460BDE">
        <w:rPr>
          <w:rFonts w:ascii="Arial" w:hAnsi="Arial" w:cs="Arial"/>
          <w:color w:val="000000"/>
          <w:sz w:val="22"/>
          <w:szCs w:val="22"/>
        </w:rPr>
        <w:t xml:space="preserve">. 2nd </w:t>
      </w:r>
      <w:proofErr w:type="spellStart"/>
      <w:r w:rsidRPr="00460BDE">
        <w:rPr>
          <w:rFonts w:ascii="Arial" w:hAnsi="Arial" w:cs="Arial"/>
          <w:color w:val="000000"/>
          <w:sz w:val="22"/>
          <w:szCs w:val="22"/>
        </w:rPr>
        <w:t>edn</w:t>
      </w:r>
      <w:proofErr w:type="spellEnd"/>
      <w:r w:rsidRPr="00460BDE">
        <w:rPr>
          <w:rFonts w:ascii="Arial" w:hAnsi="Arial" w:cs="Arial"/>
          <w:color w:val="000000"/>
          <w:sz w:val="22"/>
          <w:szCs w:val="22"/>
        </w:rPr>
        <w:t>. New York: Guilford Press.</w:t>
      </w:r>
    </w:p>
    <w:p w14:paraId="0CAC8533"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Friedman, M.J., Keane, T.M. and Schnurr, P.P. (2023)</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Handbook of PTSD: Science and Practice</w:t>
      </w:r>
      <w:r w:rsidRPr="00460BDE">
        <w:rPr>
          <w:rFonts w:ascii="Arial" w:hAnsi="Arial" w:cs="Arial"/>
          <w:color w:val="000000"/>
          <w:sz w:val="22"/>
          <w:szCs w:val="22"/>
        </w:rPr>
        <w:t xml:space="preserve">. 3rd </w:t>
      </w:r>
      <w:proofErr w:type="spellStart"/>
      <w:r w:rsidRPr="00460BDE">
        <w:rPr>
          <w:rFonts w:ascii="Arial" w:hAnsi="Arial" w:cs="Arial"/>
          <w:color w:val="000000"/>
          <w:sz w:val="22"/>
          <w:szCs w:val="22"/>
        </w:rPr>
        <w:t>edn</w:t>
      </w:r>
      <w:proofErr w:type="spellEnd"/>
      <w:r w:rsidRPr="00460BDE">
        <w:rPr>
          <w:rFonts w:ascii="Arial" w:hAnsi="Arial" w:cs="Arial"/>
          <w:color w:val="000000"/>
          <w:sz w:val="22"/>
          <w:szCs w:val="22"/>
        </w:rPr>
        <w:t>. New York: Guilford Press.</w:t>
      </w:r>
    </w:p>
    <w:p w14:paraId="517EAD6C"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Haaken, J. (2021)</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Psychiatry, Politics, and PTSD: Breaking Down</w:t>
      </w:r>
      <w:r w:rsidRPr="00460BDE">
        <w:rPr>
          <w:rFonts w:ascii="Arial" w:hAnsi="Arial" w:cs="Arial"/>
          <w:color w:val="000000"/>
          <w:sz w:val="22"/>
          <w:szCs w:val="22"/>
        </w:rPr>
        <w:t>. London: Routledge.</w:t>
      </w:r>
    </w:p>
    <w:p w14:paraId="03CFF569"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 xml:space="preserve">Hoskins, M.D., Bisson, J.I., Brewin, C.R., </w:t>
      </w:r>
      <w:proofErr w:type="spellStart"/>
      <w:r w:rsidRPr="00460BDE">
        <w:rPr>
          <w:rFonts w:ascii="Arial" w:hAnsi="Arial" w:cs="Arial"/>
          <w:color w:val="000000"/>
          <w:sz w:val="22"/>
          <w:szCs w:val="22"/>
        </w:rPr>
        <w:t>Cloitre</w:t>
      </w:r>
      <w:proofErr w:type="spellEnd"/>
      <w:r w:rsidRPr="00460BDE">
        <w:rPr>
          <w:rFonts w:ascii="Arial" w:hAnsi="Arial" w:cs="Arial"/>
          <w:color w:val="000000"/>
          <w:sz w:val="22"/>
          <w:szCs w:val="22"/>
        </w:rPr>
        <w:t>, M., Gibbs, J. and Olff, M. (2021) ‘Pharmacotherapy for post-traumatic stress disorder: systematic review and meta-analysis’,</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 xml:space="preserve">European Journal of </w:t>
      </w:r>
      <w:proofErr w:type="spellStart"/>
      <w:r w:rsidRPr="00460BDE">
        <w:rPr>
          <w:rStyle w:val="Emphasis"/>
          <w:rFonts w:ascii="Arial" w:eastAsiaTheme="majorEastAsia" w:hAnsi="Arial" w:cs="Arial"/>
          <w:color w:val="000000"/>
          <w:sz w:val="22"/>
          <w:szCs w:val="22"/>
        </w:rPr>
        <w:t>Psychotraumatology</w:t>
      </w:r>
      <w:proofErr w:type="spellEnd"/>
      <w:r w:rsidRPr="00460BDE">
        <w:rPr>
          <w:rFonts w:ascii="Arial" w:hAnsi="Arial" w:cs="Arial"/>
          <w:color w:val="000000"/>
          <w:sz w:val="22"/>
          <w:szCs w:val="22"/>
        </w:rPr>
        <w:t>, 12(1), 1802920.</w:t>
      </w:r>
    </w:p>
    <w:p w14:paraId="5C066335" w14:textId="77777777" w:rsidR="00460BDE" w:rsidRPr="00460BDE" w:rsidRDefault="00460BDE" w:rsidP="00460BDE">
      <w:pPr>
        <w:pStyle w:val="NormalWeb"/>
        <w:spacing w:line="360" w:lineRule="auto"/>
        <w:jc w:val="both"/>
        <w:rPr>
          <w:rFonts w:ascii="Arial" w:hAnsi="Arial" w:cs="Arial"/>
          <w:color w:val="000000"/>
          <w:sz w:val="22"/>
          <w:szCs w:val="22"/>
        </w:rPr>
      </w:pPr>
      <w:proofErr w:type="spellStart"/>
      <w:r w:rsidRPr="00460BDE">
        <w:rPr>
          <w:rFonts w:ascii="Arial" w:hAnsi="Arial" w:cs="Arial"/>
          <w:color w:val="000000"/>
          <w:sz w:val="22"/>
          <w:szCs w:val="22"/>
        </w:rPr>
        <w:t>Maercker</w:t>
      </w:r>
      <w:proofErr w:type="spellEnd"/>
      <w:r w:rsidRPr="00460BDE">
        <w:rPr>
          <w:rFonts w:ascii="Arial" w:hAnsi="Arial" w:cs="Arial"/>
          <w:color w:val="000000"/>
          <w:sz w:val="22"/>
          <w:szCs w:val="22"/>
        </w:rPr>
        <w:t xml:space="preserve">, A., Brewin, C.R., Bryant, R.A., </w:t>
      </w:r>
      <w:proofErr w:type="spellStart"/>
      <w:r w:rsidRPr="00460BDE">
        <w:rPr>
          <w:rFonts w:ascii="Arial" w:hAnsi="Arial" w:cs="Arial"/>
          <w:color w:val="000000"/>
          <w:sz w:val="22"/>
          <w:szCs w:val="22"/>
        </w:rPr>
        <w:t>Cloitre</w:t>
      </w:r>
      <w:proofErr w:type="spellEnd"/>
      <w:r w:rsidRPr="00460BDE">
        <w:rPr>
          <w:rFonts w:ascii="Arial" w:hAnsi="Arial" w:cs="Arial"/>
          <w:color w:val="000000"/>
          <w:sz w:val="22"/>
          <w:szCs w:val="22"/>
        </w:rPr>
        <w:t xml:space="preserve">, M., Reed, G.M., van Ommeren, M., Humayun, A., Jones, L.M., </w:t>
      </w:r>
      <w:proofErr w:type="spellStart"/>
      <w:r w:rsidRPr="00460BDE">
        <w:rPr>
          <w:rFonts w:ascii="Arial" w:hAnsi="Arial" w:cs="Arial"/>
          <w:color w:val="000000"/>
          <w:sz w:val="22"/>
          <w:szCs w:val="22"/>
        </w:rPr>
        <w:t>Kagee</w:t>
      </w:r>
      <w:proofErr w:type="spellEnd"/>
      <w:r w:rsidRPr="00460BDE">
        <w:rPr>
          <w:rFonts w:ascii="Arial" w:hAnsi="Arial" w:cs="Arial"/>
          <w:color w:val="000000"/>
          <w:sz w:val="22"/>
          <w:szCs w:val="22"/>
        </w:rPr>
        <w:t xml:space="preserve">, A., Llosa, A.E., Rousseau, C., Somasundaram, D., Souza, R., Suzuki, Y., </w:t>
      </w:r>
      <w:proofErr w:type="spellStart"/>
      <w:r w:rsidRPr="00460BDE">
        <w:rPr>
          <w:rFonts w:ascii="Arial" w:hAnsi="Arial" w:cs="Arial"/>
          <w:color w:val="000000"/>
          <w:sz w:val="22"/>
          <w:szCs w:val="22"/>
        </w:rPr>
        <w:t>Weissbecker</w:t>
      </w:r>
      <w:proofErr w:type="spellEnd"/>
      <w:r w:rsidRPr="00460BDE">
        <w:rPr>
          <w:rFonts w:ascii="Arial" w:hAnsi="Arial" w:cs="Arial"/>
          <w:color w:val="000000"/>
          <w:sz w:val="22"/>
          <w:szCs w:val="22"/>
        </w:rPr>
        <w:t>, I., Wessely, S.C., First, M.B. and Saxena, S. (2018) ‘Diagnosis and classification of disorders specifically associated with stress: proposals for ICD-11’,</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World Psychiatry</w:t>
      </w:r>
      <w:r w:rsidRPr="00460BDE">
        <w:rPr>
          <w:rFonts w:ascii="Arial" w:hAnsi="Arial" w:cs="Arial"/>
          <w:color w:val="000000"/>
          <w:sz w:val="22"/>
          <w:szCs w:val="22"/>
        </w:rPr>
        <w:t>, 17(2), pp. 198–206.</w:t>
      </w:r>
    </w:p>
    <w:p w14:paraId="7C18CC94"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Morganstein, J.C., Greenberg, N. and Wessely, S. (2021) ‘Neurodiversity, trauma and mental health’,</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The British Journal of Psychiatry</w:t>
      </w:r>
      <w:r w:rsidRPr="00460BDE">
        <w:rPr>
          <w:rFonts w:ascii="Arial" w:hAnsi="Arial" w:cs="Arial"/>
          <w:color w:val="000000"/>
          <w:sz w:val="22"/>
          <w:szCs w:val="22"/>
        </w:rPr>
        <w:t>, 219(6), pp. 567–569.</w:t>
      </w:r>
    </w:p>
    <w:p w14:paraId="5E6D5249" w14:textId="3591E7B5"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National Institute for Health and Care Excellence (2018)</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Post-traumatic stress disorder (NG116)</w:t>
      </w:r>
      <w:r w:rsidRPr="00460BDE">
        <w:rPr>
          <w:rFonts w:ascii="Arial" w:hAnsi="Arial" w:cs="Arial"/>
          <w:color w:val="000000"/>
          <w:sz w:val="22"/>
          <w:szCs w:val="22"/>
        </w:rPr>
        <w:t>. London: NICE. Available at:</w:t>
      </w:r>
      <w:r w:rsidRPr="00460BDE">
        <w:rPr>
          <w:rStyle w:val="apple-converted-space"/>
          <w:rFonts w:ascii="Arial" w:eastAsiaTheme="majorEastAsia" w:hAnsi="Arial" w:cs="Arial"/>
          <w:color w:val="000000"/>
          <w:sz w:val="22"/>
          <w:szCs w:val="22"/>
        </w:rPr>
        <w:t> </w:t>
      </w:r>
      <w:hyperlink r:id="rId8" w:tgtFrame="_new" w:history="1">
        <w:r w:rsidRPr="00460BDE">
          <w:rPr>
            <w:rStyle w:val="Hyperlink"/>
            <w:rFonts w:ascii="Arial" w:eastAsiaTheme="majorEastAsia" w:hAnsi="Arial" w:cs="Arial"/>
            <w:sz w:val="22"/>
            <w:szCs w:val="22"/>
          </w:rPr>
          <w:t>https://www.nice.org.uk</w:t>
        </w:r>
      </w:hyperlink>
      <w:r w:rsidRPr="00460BDE">
        <w:rPr>
          <w:rStyle w:val="apple-converted-space"/>
          <w:rFonts w:ascii="Arial" w:eastAsiaTheme="majorEastAsia" w:hAnsi="Arial" w:cs="Arial"/>
          <w:color w:val="000000"/>
          <w:sz w:val="22"/>
          <w:szCs w:val="22"/>
        </w:rPr>
        <w:t> </w:t>
      </w:r>
      <w:r w:rsidRPr="00460BDE">
        <w:rPr>
          <w:rFonts w:ascii="Arial" w:hAnsi="Arial" w:cs="Arial"/>
          <w:color w:val="000000"/>
          <w:sz w:val="22"/>
          <w:szCs w:val="22"/>
        </w:rPr>
        <w:t>(Accessed</w:t>
      </w:r>
      <w:r>
        <w:rPr>
          <w:rFonts w:ascii="Arial" w:hAnsi="Arial" w:cs="Arial"/>
          <w:color w:val="000000"/>
          <w:sz w:val="22"/>
          <w:szCs w:val="22"/>
        </w:rPr>
        <w:t xml:space="preserve"> Date</w:t>
      </w:r>
      <w:r w:rsidRPr="00460BDE">
        <w:rPr>
          <w:rFonts w:ascii="Arial" w:hAnsi="Arial" w:cs="Arial"/>
          <w:color w:val="000000"/>
          <w:sz w:val="22"/>
          <w:szCs w:val="22"/>
        </w:rPr>
        <w:t xml:space="preserve">: </w:t>
      </w:r>
      <w:r>
        <w:rPr>
          <w:rFonts w:ascii="Arial" w:hAnsi="Arial" w:cs="Arial"/>
          <w:color w:val="000000"/>
          <w:sz w:val="22"/>
          <w:szCs w:val="22"/>
        </w:rPr>
        <w:t xml:space="preserve">December 14, </w:t>
      </w:r>
      <w:r w:rsidRPr="00460BDE">
        <w:rPr>
          <w:rFonts w:ascii="Arial" w:hAnsi="Arial" w:cs="Arial"/>
          <w:color w:val="000000"/>
          <w:sz w:val="22"/>
          <w:szCs w:val="22"/>
        </w:rPr>
        <w:t>2024).</w:t>
      </w:r>
    </w:p>
    <w:p w14:paraId="22FA926A" w14:textId="7784434D"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National Institute for Health and Care Excellence (2023)</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Digitally enabled therapies for PTSD: Early Value Assessment</w:t>
      </w:r>
      <w:r w:rsidRPr="00460BDE">
        <w:rPr>
          <w:rFonts w:ascii="Arial" w:hAnsi="Arial" w:cs="Arial"/>
          <w:color w:val="000000"/>
          <w:sz w:val="22"/>
          <w:szCs w:val="22"/>
        </w:rPr>
        <w:t>. London: NICE. Available at:</w:t>
      </w:r>
      <w:r w:rsidRPr="00460BDE">
        <w:rPr>
          <w:rStyle w:val="apple-converted-space"/>
          <w:rFonts w:ascii="Arial" w:eastAsiaTheme="majorEastAsia" w:hAnsi="Arial" w:cs="Arial"/>
          <w:color w:val="000000"/>
          <w:sz w:val="22"/>
          <w:szCs w:val="22"/>
        </w:rPr>
        <w:t> </w:t>
      </w:r>
      <w:hyperlink r:id="rId9" w:tgtFrame="_new" w:history="1">
        <w:r w:rsidRPr="00460BDE">
          <w:rPr>
            <w:rStyle w:val="Hyperlink"/>
            <w:rFonts w:ascii="Arial" w:eastAsiaTheme="majorEastAsia" w:hAnsi="Arial" w:cs="Arial"/>
            <w:sz w:val="22"/>
            <w:szCs w:val="22"/>
          </w:rPr>
          <w:t>https://www.nice.org.uk</w:t>
        </w:r>
      </w:hyperlink>
      <w:r w:rsidRPr="00460BDE">
        <w:rPr>
          <w:rStyle w:val="apple-converted-space"/>
          <w:rFonts w:ascii="Arial" w:eastAsiaTheme="majorEastAsia" w:hAnsi="Arial" w:cs="Arial"/>
          <w:color w:val="000000"/>
          <w:sz w:val="22"/>
          <w:szCs w:val="22"/>
        </w:rPr>
        <w:t> </w:t>
      </w:r>
      <w:r w:rsidRPr="00460BDE">
        <w:rPr>
          <w:rFonts w:ascii="Arial" w:hAnsi="Arial" w:cs="Arial"/>
          <w:color w:val="000000"/>
          <w:sz w:val="22"/>
          <w:szCs w:val="22"/>
        </w:rPr>
        <w:t>(Accessed</w:t>
      </w:r>
      <w:r>
        <w:rPr>
          <w:rFonts w:ascii="Arial" w:hAnsi="Arial" w:cs="Arial"/>
          <w:color w:val="000000"/>
          <w:sz w:val="22"/>
          <w:szCs w:val="22"/>
        </w:rPr>
        <w:t xml:space="preserve"> Date</w:t>
      </w:r>
      <w:r w:rsidRPr="00460BDE">
        <w:rPr>
          <w:rFonts w:ascii="Arial" w:hAnsi="Arial" w:cs="Arial"/>
          <w:color w:val="000000"/>
          <w:sz w:val="22"/>
          <w:szCs w:val="22"/>
        </w:rPr>
        <w:t>:</w:t>
      </w:r>
      <w:r>
        <w:rPr>
          <w:rFonts w:ascii="Arial" w:hAnsi="Arial" w:cs="Arial"/>
          <w:color w:val="000000"/>
          <w:sz w:val="22"/>
          <w:szCs w:val="22"/>
        </w:rPr>
        <w:t xml:space="preserve"> December 14,</w:t>
      </w:r>
      <w:r w:rsidRPr="00460BDE">
        <w:rPr>
          <w:rFonts w:ascii="Arial" w:hAnsi="Arial" w:cs="Arial"/>
          <w:color w:val="000000"/>
          <w:sz w:val="22"/>
          <w:szCs w:val="22"/>
        </w:rPr>
        <w:t xml:space="preserve"> 2024).</w:t>
      </w:r>
    </w:p>
    <w:p w14:paraId="01CFA276" w14:textId="25D4AA83"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NHS (2024)</w:t>
      </w:r>
      <w:r w:rsidRPr="00460BDE">
        <w:rPr>
          <w:rStyle w:val="apple-converted-space"/>
          <w:rFonts w:ascii="Arial" w:eastAsiaTheme="majorEastAsia" w:hAnsi="Arial" w:cs="Arial"/>
          <w:color w:val="000000"/>
          <w:sz w:val="22"/>
          <w:szCs w:val="22"/>
        </w:rPr>
        <w:t> </w:t>
      </w:r>
      <w:proofErr w:type="gramStart"/>
      <w:r w:rsidRPr="00460BDE">
        <w:rPr>
          <w:rStyle w:val="Emphasis"/>
          <w:rFonts w:ascii="Arial" w:eastAsiaTheme="majorEastAsia" w:hAnsi="Arial" w:cs="Arial"/>
          <w:color w:val="000000"/>
          <w:sz w:val="22"/>
          <w:szCs w:val="22"/>
        </w:rPr>
        <w:t>Post-traumatic</w:t>
      </w:r>
      <w:proofErr w:type="gramEnd"/>
      <w:r w:rsidRPr="00460BDE">
        <w:rPr>
          <w:rStyle w:val="Emphasis"/>
          <w:rFonts w:ascii="Arial" w:eastAsiaTheme="majorEastAsia" w:hAnsi="Arial" w:cs="Arial"/>
          <w:color w:val="000000"/>
          <w:sz w:val="22"/>
          <w:szCs w:val="22"/>
        </w:rPr>
        <w:t xml:space="preserve"> stress disorder (PTSD): Overview</w:t>
      </w:r>
      <w:r w:rsidRPr="00460BDE">
        <w:rPr>
          <w:rFonts w:ascii="Arial" w:hAnsi="Arial" w:cs="Arial"/>
          <w:color w:val="000000"/>
          <w:sz w:val="22"/>
          <w:szCs w:val="22"/>
        </w:rPr>
        <w:t>. Available at:</w:t>
      </w:r>
      <w:r w:rsidRPr="00460BDE">
        <w:rPr>
          <w:rStyle w:val="apple-converted-space"/>
          <w:rFonts w:ascii="Arial" w:eastAsiaTheme="majorEastAsia" w:hAnsi="Arial" w:cs="Arial"/>
          <w:color w:val="000000"/>
          <w:sz w:val="22"/>
          <w:szCs w:val="22"/>
        </w:rPr>
        <w:t> </w:t>
      </w:r>
      <w:hyperlink r:id="rId10" w:tgtFrame="_new" w:history="1">
        <w:r w:rsidRPr="00460BDE">
          <w:rPr>
            <w:rStyle w:val="Hyperlink"/>
            <w:rFonts w:ascii="Arial" w:eastAsiaTheme="majorEastAsia" w:hAnsi="Arial" w:cs="Arial"/>
            <w:sz w:val="22"/>
            <w:szCs w:val="22"/>
          </w:rPr>
          <w:t>https://www.nhs.uk</w:t>
        </w:r>
      </w:hyperlink>
      <w:r w:rsidRPr="00460BDE">
        <w:rPr>
          <w:rStyle w:val="apple-converted-space"/>
          <w:rFonts w:ascii="Arial" w:eastAsiaTheme="majorEastAsia" w:hAnsi="Arial" w:cs="Arial"/>
          <w:color w:val="000000"/>
          <w:sz w:val="22"/>
          <w:szCs w:val="22"/>
        </w:rPr>
        <w:t> </w:t>
      </w:r>
      <w:r w:rsidRPr="00460BDE">
        <w:rPr>
          <w:rFonts w:ascii="Arial" w:hAnsi="Arial" w:cs="Arial"/>
          <w:color w:val="000000"/>
          <w:sz w:val="22"/>
          <w:szCs w:val="22"/>
        </w:rPr>
        <w:t>(Accessed</w:t>
      </w:r>
      <w:r>
        <w:rPr>
          <w:rFonts w:ascii="Arial" w:hAnsi="Arial" w:cs="Arial"/>
          <w:color w:val="000000"/>
          <w:sz w:val="22"/>
          <w:szCs w:val="22"/>
        </w:rPr>
        <w:t xml:space="preserve"> Date</w:t>
      </w:r>
      <w:r w:rsidRPr="00460BDE">
        <w:rPr>
          <w:rFonts w:ascii="Arial" w:hAnsi="Arial" w:cs="Arial"/>
          <w:color w:val="000000"/>
          <w:sz w:val="22"/>
          <w:szCs w:val="22"/>
        </w:rPr>
        <w:t xml:space="preserve">: </w:t>
      </w:r>
      <w:r>
        <w:rPr>
          <w:rFonts w:ascii="Arial" w:hAnsi="Arial" w:cs="Arial"/>
          <w:color w:val="000000"/>
          <w:sz w:val="22"/>
          <w:szCs w:val="22"/>
        </w:rPr>
        <w:t xml:space="preserve">December 14, </w:t>
      </w:r>
      <w:r w:rsidRPr="00460BDE">
        <w:rPr>
          <w:rFonts w:ascii="Arial" w:hAnsi="Arial" w:cs="Arial"/>
          <w:color w:val="000000"/>
          <w:sz w:val="22"/>
          <w:szCs w:val="22"/>
        </w:rPr>
        <w:t>2024).</w:t>
      </w:r>
    </w:p>
    <w:p w14:paraId="159833F4"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NHS Digital (2016)</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Adult Psychiatric Morbidity Survey: Mental Health and Wellbeing, England 2014</w:t>
      </w:r>
      <w:r w:rsidRPr="00460BDE">
        <w:rPr>
          <w:rFonts w:ascii="Arial" w:hAnsi="Arial" w:cs="Arial"/>
          <w:color w:val="000000"/>
          <w:sz w:val="22"/>
          <w:szCs w:val="22"/>
        </w:rPr>
        <w:t>. Leeds: NHS Digital.</w:t>
      </w:r>
    </w:p>
    <w:p w14:paraId="0B0DDC22"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lastRenderedPageBreak/>
        <w:t>NHS Digital (2024)</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Adult Psychiatric Morbidity Survey 2023–2024</w:t>
      </w:r>
      <w:r w:rsidRPr="00460BDE">
        <w:rPr>
          <w:rFonts w:ascii="Arial" w:hAnsi="Arial" w:cs="Arial"/>
          <w:color w:val="000000"/>
          <w:sz w:val="22"/>
          <w:szCs w:val="22"/>
        </w:rPr>
        <w:t>. Leeds: NHS Digital.</w:t>
      </w:r>
    </w:p>
    <w:p w14:paraId="2DC2A938" w14:textId="17035430"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NHS England (2024)</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NHS Talking Therapies for Anxiety and Depression: Manual</w:t>
      </w:r>
      <w:r w:rsidRPr="00460BDE">
        <w:rPr>
          <w:rFonts w:ascii="Arial" w:hAnsi="Arial" w:cs="Arial"/>
          <w:color w:val="000000"/>
          <w:sz w:val="22"/>
          <w:szCs w:val="22"/>
        </w:rPr>
        <w:t>. London: NHS England. Available at:</w:t>
      </w:r>
      <w:r w:rsidRPr="00460BDE">
        <w:rPr>
          <w:rStyle w:val="apple-converted-space"/>
          <w:rFonts w:ascii="Arial" w:eastAsiaTheme="majorEastAsia" w:hAnsi="Arial" w:cs="Arial"/>
          <w:color w:val="000000"/>
          <w:sz w:val="22"/>
          <w:szCs w:val="22"/>
        </w:rPr>
        <w:t> </w:t>
      </w:r>
      <w:hyperlink r:id="rId11" w:tgtFrame="_new" w:history="1">
        <w:r w:rsidRPr="00460BDE">
          <w:rPr>
            <w:rStyle w:val="Hyperlink"/>
            <w:rFonts w:ascii="Arial" w:eastAsiaTheme="majorEastAsia" w:hAnsi="Arial" w:cs="Arial"/>
            <w:sz w:val="22"/>
            <w:szCs w:val="22"/>
          </w:rPr>
          <w:t>https://www.england.nhs.uk</w:t>
        </w:r>
      </w:hyperlink>
      <w:r w:rsidRPr="00460BDE">
        <w:rPr>
          <w:rStyle w:val="apple-converted-space"/>
          <w:rFonts w:ascii="Arial" w:eastAsiaTheme="majorEastAsia" w:hAnsi="Arial" w:cs="Arial"/>
          <w:color w:val="000000"/>
          <w:sz w:val="22"/>
          <w:szCs w:val="22"/>
        </w:rPr>
        <w:t> </w:t>
      </w:r>
      <w:r w:rsidRPr="00460BDE">
        <w:rPr>
          <w:rFonts w:ascii="Arial" w:hAnsi="Arial" w:cs="Arial"/>
          <w:color w:val="000000"/>
          <w:sz w:val="22"/>
          <w:szCs w:val="22"/>
        </w:rPr>
        <w:t>(Accessed</w:t>
      </w:r>
      <w:r>
        <w:rPr>
          <w:rFonts w:ascii="Arial" w:hAnsi="Arial" w:cs="Arial"/>
          <w:color w:val="000000"/>
          <w:sz w:val="22"/>
          <w:szCs w:val="22"/>
        </w:rPr>
        <w:t xml:space="preserve"> Date</w:t>
      </w:r>
      <w:r w:rsidRPr="00460BDE">
        <w:rPr>
          <w:rFonts w:ascii="Arial" w:hAnsi="Arial" w:cs="Arial"/>
          <w:color w:val="000000"/>
          <w:sz w:val="22"/>
          <w:szCs w:val="22"/>
        </w:rPr>
        <w:t xml:space="preserve">: </w:t>
      </w:r>
      <w:r>
        <w:rPr>
          <w:rFonts w:ascii="Arial" w:hAnsi="Arial" w:cs="Arial"/>
          <w:color w:val="000000"/>
          <w:sz w:val="22"/>
          <w:szCs w:val="22"/>
        </w:rPr>
        <w:t xml:space="preserve">December 10, </w:t>
      </w:r>
      <w:r w:rsidRPr="00460BDE">
        <w:rPr>
          <w:rFonts w:ascii="Arial" w:hAnsi="Arial" w:cs="Arial"/>
          <w:color w:val="000000"/>
          <w:sz w:val="22"/>
          <w:szCs w:val="22"/>
        </w:rPr>
        <w:t>2024).</w:t>
      </w:r>
    </w:p>
    <w:p w14:paraId="1FE28AE9" w14:textId="6E1D3F09"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NIHR Oxford Health Biomedical Research Centre (2023)</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Digital interventions for PTSD in NHS services</w:t>
      </w:r>
      <w:r w:rsidRPr="00460BDE">
        <w:rPr>
          <w:rFonts w:ascii="Arial" w:hAnsi="Arial" w:cs="Arial"/>
          <w:color w:val="000000"/>
          <w:sz w:val="22"/>
          <w:szCs w:val="22"/>
        </w:rPr>
        <w:t>. Oxford: NIHR. Available at:</w:t>
      </w:r>
      <w:r w:rsidRPr="00460BDE">
        <w:rPr>
          <w:rStyle w:val="apple-converted-space"/>
          <w:rFonts w:ascii="Arial" w:eastAsiaTheme="majorEastAsia" w:hAnsi="Arial" w:cs="Arial"/>
          <w:color w:val="000000"/>
          <w:sz w:val="22"/>
          <w:szCs w:val="22"/>
        </w:rPr>
        <w:t> </w:t>
      </w:r>
      <w:hyperlink r:id="rId12" w:tgtFrame="_new" w:history="1">
        <w:r w:rsidRPr="00460BDE">
          <w:rPr>
            <w:rStyle w:val="Hyperlink"/>
            <w:rFonts w:ascii="Arial" w:eastAsiaTheme="majorEastAsia" w:hAnsi="Arial" w:cs="Arial"/>
            <w:sz w:val="22"/>
            <w:szCs w:val="22"/>
          </w:rPr>
          <w:t>https://www.oxfordhealthbrc.nihr.ac.uk</w:t>
        </w:r>
      </w:hyperlink>
      <w:r w:rsidRPr="00460BDE">
        <w:rPr>
          <w:rStyle w:val="apple-converted-space"/>
          <w:rFonts w:ascii="Arial" w:eastAsiaTheme="majorEastAsia" w:hAnsi="Arial" w:cs="Arial"/>
          <w:color w:val="000000"/>
          <w:sz w:val="22"/>
          <w:szCs w:val="22"/>
        </w:rPr>
        <w:t> </w:t>
      </w:r>
      <w:r w:rsidRPr="00460BDE">
        <w:rPr>
          <w:rFonts w:ascii="Arial" w:hAnsi="Arial" w:cs="Arial"/>
          <w:color w:val="000000"/>
          <w:sz w:val="22"/>
          <w:szCs w:val="22"/>
        </w:rPr>
        <w:t>(Accessed</w:t>
      </w:r>
      <w:r>
        <w:rPr>
          <w:rFonts w:ascii="Arial" w:hAnsi="Arial" w:cs="Arial"/>
          <w:color w:val="000000"/>
          <w:sz w:val="22"/>
          <w:szCs w:val="22"/>
        </w:rPr>
        <w:t xml:space="preserve"> Date</w:t>
      </w:r>
      <w:r w:rsidRPr="00460BDE">
        <w:rPr>
          <w:rFonts w:ascii="Arial" w:hAnsi="Arial" w:cs="Arial"/>
          <w:color w:val="000000"/>
          <w:sz w:val="22"/>
          <w:szCs w:val="22"/>
        </w:rPr>
        <w:t>:</w:t>
      </w:r>
      <w:r>
        <w:rPr>
          <w:rFonts w:ascii="Arial" w:hAnsi="Arial" w:cs="Arial"/>
          <w:color w:val="000000"/>
          <w:sz w:val="22"/>
          <w:szCs w:val="22"/>
        </w:rPr>
        <w:t xml:space="preserve"> December 14,</w:t>
      </w:r>
      <w:r w:rsidRPr="00460BDE">
        <w:rPr>
          <w:rFonts w:ascii="Arial" w:hAnsi="Arial" w:cs="Arial"/>
          <w:color w:val="000000"/>
          <w:sz w:val="22"/>
          <w:szCs w:val="22"/>
        </w:rPr>
        <w:t xml:space="preserve"> 2024).</w:t>
      </w:r>
    </w:p>
    <w:p w14:paraId="50F7BDA6"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 xml:space="preserve">Schnyder, U. and </w:t>
      </w:r>
      <w:proofErr w:type="spellStart"/>
      <w:r w:rsidRPr="00460BDE">
        <w:rPr>
          <w:rFonts w:ascii="Arial" w:hAnsi="Arial" w:cs="Arial"/>
          <w:color w:val="000000"/>
          <w:sz w:val="22"/>
          <w:szCs w:val="22"/>
        </w:rPr>
        <w:t>Cloitre</w:t>
      </w:r>
      <w:proofErr w:type="spellEnd"/>
      <w:r w:rsidRPr="00460BDE">
        <w:rPr>
          <w:rFonts w:ascii="Arial" w:hAnsi="Arial" w:cs="Arial"/>
          <w:color w:val="000000"/>
          <w:sz w:val="22"/>
          <w:szCs w:val="22"/>
        </w:rPr>
        <w:t>, M. (2022)</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Evidence-Based Treatments for Trauma-Related Psychological Disorders</w:t>
      </w:r>
      <w:r w:rsidRPr="00460BDE">
        <w:rPr>
          <w:rFonts w:ascii="Arial" w:hAnsi="Arial" w:cs="Arial"/>
          <w:color w:val="000000"/>
          <w:sz w:val="22"/>
          <w:szCs w:val="22"/>
        </w:rPr>
        <w:t xml:space="preserve">. 2nd </w:t>
      </w:r>
      <w:proofErr w:type="spellStart"/>
      <w:r w:rsidRPr="00460BDE">
        <w:rPr>
          <w:rFonts w:ascii="Arial" w:hAnsi="Arial" w:cs="Arial"/>
          <w:color w:val="000000"/>
          <w:sz w:val="22"/>
          <w:szCs w:val="22"/>
        </w:rPr>
        <w:t>edn</w:t>
      </w:r>
      <w:proofErr w:type="spellEnd"/>
      <w:r w:rsidRPr="00460BDE">
        <w:rPr>
          <w:rFonts w:ascii="Arial" w:hAnsi="Arial" w:cs="Arial"/>
          <w:color w:val="000000"/>
          <w:sz w:val="22"/>
          <w:szCs w:val="22"/>
        </w:rPr>
        <w:t>. Cham: Springer.</w:t>
      </w:r>
    </w:p>
    <w:p w14:paraId="4B335B33" w14:textId="77777777" w:rsidR="00460BDE" w:rsidRPr="00460BDE" w:rsidRDefault="00460BDE" w:rsidP="00460BDE">
      <w:pPr>
        <w:pStyle w:val="NormalWeb"/>
        <w:spacing w:line="360" w:lineRule="auto"/>
        <w:jc w:val="both"/>
        <w:rPr>
          <w:rFonts w:ascii="Arial" w:hAnsi="Arial" w:cs="Arial"/>
          <w:color w:val="000000"/>
          <w:sz w:val="22"/>
          <w:szCs w:val="22"/>
        </w:rPr>
      </w:pPr>
      <w:proofErr w:type="spellStart"/>
      <w:r w:rsidRPr="00460BDE">
        <w:rPr>
          <w:rFonts w:ascii="Arial" w:hAnsi="Arial" w:cs="Arial"/>
          <w:color w:val="000000"/>
          <w:sz w:val="22"/>
          <w:szCs w:val="22"/>
        </w:rPr>
        <w:t>Siddaway</w:t>
      </w:r>
      <w:proofErr w:type="spellEnd"/>
      <w:r w:rsidRPr="00460BDE">
        <w:rPr>
          <w:rFonts w:ascii="Arial" w:hAnsi="Arial" w:cs="Arial"/>
          <w:color w:val="000000"/>
          <w:sz w:val="22"/>
          <w:szCs w:val="22"/>
        </w:rPr>
        <w:t>, A.P. (2024) ‘Assessment and diagnosis of PTSD under DSM-5-TR and ICD-11’,</w:t>
      </w:r>
      <w:r w:rsidRPr="00460BDE">
        <w:rPr>
          <w:rStyle w:val="apple-converted-space"/>
          <w:rFonts w:ascii="Arial" w:eastAsiaTheme="majorEastAsia" w:hAnsi="Arial" w:cs="Arial"/>
          <w:color w:val="000000"/>
          <w:sz w:val="22"/>
          <w:szCs w:val="22"/>
        </w:rPr>
        <w:t> </w:t>
      </w:r>
      <w:proofErr w:type="spellStart"/>
      <w:r w:rsidRPr="00460BDE">
        <w:rPr>
          <w:rStyle w:val="Emphasis"/>
          <w:rFonts w:ascii="Arial" w:eastAsiaTheme="majorEastAsia" w:hAnsi="Arial" w:cs="Arial"/>
          <w:color w:val="000000"/>
          <w:sz w:val="22"/>
          <w:szCs w:val="22"/>
        </w:rPr>
        <w:t>BJPsych</w:t>
      </w:r>
      <w:proofErr w:type="spellEnd"/>
      <w:r w:rsidRPr="00460BDE">
        <w:rPr>
          <w:rStyle w:val="Emphasis"/>
          <w:rFonts w:ascii="Arial" w:eastAsiaTheme="majorEastAsia" w:hAnsi="Arial" w:cs="Arial"/>
          <w:color w:val="000000"/>
          <w:sz w:val="22"/>
          <w:szCs w:val="22"/>
        </w:rPr>
        <w:t xml:space="preserve"> Advances</w:t>
      </w:r>
      <w:r w:rsidRPr="00460BDE">
        <w:rPr>
          <w:rFonts w:ascii="Arial" w:hAnsi="Arial" w:cs="Arial"/>
          <w:color w:val="000000"/>
          <w:sz w:val="22"/>
          <w:szCs w:val="22"/>
        </w:rPr>
        <w:t>, 30(1), pp. 45–56.</w:t>
      </w:r>
    </w:p>
    <w:p w14:paraId="0C3EA1D3" w14:textId="77777777"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Wild, J., Warnock-Parkes, E., Grey, N. and Ehlers, A. (2023) ‘Internet-delivered cognitive therapy for PTSD: outcomes from NHS implementation’,</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Behaviour Research and Therapy</w:t>
      </w:r>
      <w:r w:rsidRPr="00460BDE">
        <w:rPr>
          <w:rFonts w:ascii="Arial" w:hAnsi="Arial" w:cs="Arial"/>
          <w:color w:val="000000"/>
          <w:sz w:val="22"/>
          <w:szCs w:val="22"/>
        </w:rPr>
        <w:t>, 162, 104204.</w:t>
      </w:r>
    </w:p>
    <w:p w14:paraId="59D2DD83" w14:textId="32FA0B12" w:rsidR="00460BDE" w:rsidRPr="00460BDE" w:rsidRDefault="00460BDE" w:rsidP="00460BDE">
      <w:pPr>
        <w:pStyle w:val="NormalWeb"/>
        <w:spacing w:line="360" w:lineRule="auto"/>
        <w:jc w:val="both"/>
        <w:rPr>
          <w:rFonts w:ascii="Arial" w:hAnsi="Arial" w:cs="Arial"/>
          <w:color w:val="000000"/>
          <w:sz w:val="22"/>
          <w:szCs w:val="22"/>
        </w:rPr>
      </w:pPr>
      <w:r w:rsidRPr="00460BDE">
        <w:rPr>
          <w:rFonts w:ascii="Arial" w:hAnsi="Arial" w:cs="Arial"/>
          <w:color w:val="000000"/>
          <w:sz w:val="22"/>
          <w:szCs w:val="22"/>
        </w:rPr>
        <w:t>World Health Organization (2019)</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International Classification of Diseases for Mortality and Morbidity Statistics (11th Revision)</w:t>
      </w:r>
      <w:r w:rsidRPr="00460BDE">
        <w:rPr>
          <w:rFonts w:ascii="Arial" w:hAnsi="Arial" w:cs="Arial"/>
          <w:color w:val="000000"/>
          <w:sz w:val="22"/>
          <w:szCs w:val="22"/>
        </w:rPr>
        <w:t>. Geneva: WHO. Available at:</w:t>
      </w:r>
      <w:r w:rsidRPr="00460BDE">
        <w:rPr>
          <w:rStyle w:val="apple-converted-space"/>
          <w:rFonts w:ascii="Arial" w:eastAsiaTheme="majorEastAsia" w:hAnsi="Arial" w:cs="Arial"/>
          <w:color w:val="000000"/>
          <w:sz w:val="22"/>
          <w:szCs w:val="22"/>
        </w:rPr>
        <w:t> </w:t>
      </w:r>
      <w:hyperlink r:id="rId13" w:tgtFrame="_new" w:history="1">
        <w:r w:rsidRPr="00460BDE">
          <w:rPr>
            <w:rStyle w:val="Hyperlink"/>
            <w:rFonts w:ascii="Arial" w:eastAsiaTheme="majorEastAsia" w:hAnsi="Arial" w:cs="Arial"/>
            <w:sz w:val="22"/>
            <w:szCs w:val="22"/>
          </w:rPr>
          <w:t>https://icd.who.int</w:t>
        </w:r>
      </w:hyperlink>
      <w:r w:rsidRPr="00460BDE">
        <w:rPr>
          <w:rStyle w:val="apple-converted-space"/>
          <w:rFonts w:ascii="Arial" w:eastAsiaTheme="majorEastAsia" w:hAnsi="Arial" w:cs="Arial"/>
          <w:color w:val="000000"/>
          <w:sz w:val="22"/>
          <w:szCs w:val="22"/>
        </w:rPr>
        <w:t> </w:t>
      </w:r>
      <w:r w:rsidRPr="00460BDE">
        <w:rPr>
          <w:rFonts w:ascii="Arial" w:hAnsi="Arial" w:cs="Arial"/>
          <w:color w:val="000000"/>
          <w:sz w:val="22"/>
          <w:szCs w:val="22"/>
        </w:rPr>
        <w:t>(Accessed</w:t>
      </w:r>
      <w:r>
        <w:rPr>
          <w:rFonts w:ascii="Arial" w:hAnsi="Arial" w:cs="Arial"/>
          <w:color w:val="000000"/>
          <w:sz w:val="22"/>
          <w:szCs w:val="22"/>
        </w:rPr>
        <w:t xml:space="preserve"> Date</w:t>
      </w:r>
      <w:r w:rsidRPr="00460BDE">
        <w:rPr>
          <w:rFonts w:ascii="Arial" w:hAnsi="Arial" w:cs="Arial"/>
          <w:color w:val="000000"/>
          <w:sz w:val="22"/>
          <w:szCs w:val="22"/>
        </w:rPr>
        <w:t xml:space="preserve">: </w:t>
      </w:r>
      <w:r>
        <w:rPr>
          <w:rFonts w:ascii="Arial" w:hAnsi="Arial" w:cs="Arial"/>
          <w:color w:val="000000"/>
          <w:sz w:val="22"/>
          <w:szCs w:val="22"/>
        </w:rPr>
        <w:t xml:space="preserve">December 14, </w:t>
      </w:r>
      <w:r w:rsidRPr="00460BDE">
        <w:rPr>
          <w:rFonts w:ascii="Arial" w:hAnsi="Arial" w:cs="Arial"/>
          <w:color w:val="000000"/>
          <w:sz w:val="22"/>
          <w:szCs w:val="22"/>
        </w:rPr>
        <w:t>2024).</w:t>
      </w:r>
    </w:p>
    <w:p w14:paraId="0988DDD5" w14:textId="5C223548" w:rsidR="00460BDE" w:rsidRPr="000D5788" w:rsidRDefault="00460BDE" w:rsidP="00460BDE">
      <w:pPr>
        <w:pStyle w:val="NormalWeb"/>
        <w:spacing w:line="360" w:lineRule="auto"/>
        <w:jc w:val="both"/>
        <w:rPr>
          <w:rFonts w:ascii="Arial" w:hAnsi="Arial" w:cs="Arial"/>
          <w:color w:val="000000"/>
          <w:sz w:val="22"/>
          <w:szCs w:val="22"/>
        </w:rPr>
      </w:pPr>
      <w:proofErr w:type="spellStart"/>
      <w:r w:rsidRPr="00460BDE">
        <w:rPr>
          <w:rFonts w:ascii="Arial" w:hAnsi="Arial" w:cs="Arial"/>
          <w:color w:val="000000"/>
          <w:sz w:val="22"/>
          <w:szCs w:val="22"/>
        </w:rPr>
        <w:t>Zayfert</w:t>
      </w:r>
      <w:proofErr w:type="spellEnd"/>
      <w:r w:rsidRPr="00460BDE">
        <w:rPr>
          <w:rFonts w:ascii="Arial" w:hAnsi="Arial" w:cs="Arial"/>
          <w:color w:val="000000"/>
          <w:sz w:val="22"/>
          <w:szCs w:val="22"/>
        </w:rPr>
        <w:t>, C. and Becker, C.B. (2019)</w:t>
      </w:r>
      <w:r w:rsidRPr="00460BDE">
        <w:rPr>
          <w:rStyle w:val="apple-converted-space"/>
          <w:rFonts w:ascii="Arial" w:eastAsiaTheme="majorEastAsia" w:hAnsi="Arial" w:cs="Arial"/>
          <w:color w:val="000000"/>
          <w:sz w:val="22"/>
          <w:szCs w:val="22"/>
        </w:rPr>
        <w:t> </w:t>
      </w:r>
      <w:r w:rsidRPr="00460BDE">
        <w:rPr>
          <w:rStyle w:val="Emphasis"/>
          <w:rFonts w:ascii="Arial" w:eastAsiaTheme="majorEastAsia" w:hAnsi="Arial" w:cs="Arial"/>
          <w:color w:val="000000"/>
          <w:sz w:val="22"/>
          <w:szCs w:val="22"/>
        </w:rPr>
        <w:t>Cognitive-Behavioural Therapy for PTS</w:t>
      </w:r>
      <w:r w:rsidR="000D5788">
        <w:rPr>
          <w:rStyle w:val="Emphasis"/>
          <w:rFonts w:eastAsiaTheme="majorEastAsia"/>
          <w:color w:val="000000"/>
        </w:rPr>
        <w:t xml:space="preserve">D: </w:t>
      </w:r>
      <w:r w:rsidR="000D5788" w:rsidRPr="000D5788">
        <w:rPr>
          <w:rStyle w:val="Emphasis"/>
          <w:rFonts w:ascii="Arial" w:eastAsiaTheme="majorEastAsia" w:hAnsi="Arial" w:cs="Arial"/>
          <w:color w:val="000000"/>
          <w:sz w:val="22"/>
          <w:szCs w:val="22"/>
        </w:rPr>
        <w:t>A Case Formulation Approach</w:t>
      </w:r>
      <w:r w:rsidR="000D5788" w:rsidRPr="000D5788">
        <w:rPr>
          <w:rFonts w:ascii="Arial" w:hAnsi="Arial" w:cs="Arial"/>
          <w:color w:val="000000"/>
          <w:sz w:val="22"/>
          <w:szCs w:val="22"/>
        </w:rPr>
        <w:t xml:space="preserve">. 2nd </w:t>
      </w:r>
      <w:proofErr w:type="spellStart"/>
      <w:r w:rsidR="000D5788" w:rsidRPr="000D5788">
        <w:rPr>
          <w:rFonts w:ascii="Arial" w:hAnsi="Arial" w:cs="Arial"/>
          <w:color w:val="000000"/>
          <w:sz w:val="22"/>
          <w:szCs w:val="22"/>
        </w:rPr>
        <w:t>edn</w:t>
      </w:r>
      <w:proofErr w:type="spellEnd"/>
      <w:r w:rsidR="000D5788" w:rsidRPr="000D5788">
        <w:rPr>
          <w:rFonts w:ascii="Arial" w:hAnsi="Arial" w:cs="Arial"/>
          <w:color w:val="000000"/>
          <w:sz w:val="22"/>
          <w:szCs w:val="22"/>
        </w:rPr>
        <w:t>. New York: Guilford Press.</w:t>
      </w:r>
    </w:p>
    <w:p w14:paraId="02149FDF" w14:textId="77777777" w:rsidR="00460BDE" w:rsidRDefault="00460BDE" w:rsidP="008A6D32">
      <w:pPr>
        <w:pStyle w:val="NormalWeb"/>
        <w:rPr>
          <w:rFonts w:ascii="Arial" w:hAnsi="Arial" w:cs="Arial"/>
          <w:b/>
          <w:bCs/>
          <w:color w:val="000000"/>
        </w:rPr>
      </w:pP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AB380" w14:textId="77777777" w:rsidR="00AD7841" w:rsidRDefault="00AD7841" w:rsidP="000264A1">
      <w:pPr>
        <w:spacing w:after="0" w:line="240" w:lineRule="auto"/>
      </w:pPr>
      <w:r>
        <w:separator/>
      </w:r>
    </w:p>
  </w:endnote>
  <w:endnote w:type="continuationSeparator" w:id="0">
    <w:p w14:paraId="14BF8117" w14:textId="77777777" w:rsidR="00AD7841" w:rsidRDefault="00AD7841"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668440" w14:textId="77777777" w:rsidR="00AD7841" w:rsidRDefault="00AD7841" w:rsidP="000264A1">
      <w:pPr>
        <w:spacing w:after="0" w:line="240" w:lineRule="auto"/>
      </w:pPr>
      <w:r>
        <w:separator/>
      </w:r>
    </w:p>
  </w:footnote>
  <w:footnote w:type="continuationSeparator" w:id="0">
    <w:p w14:paraId="5E84C552" w14:textId="77777777" w:rsidR="00AD7841" w:rsidRDefault="00AD7841"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13ED9"/>
    <w:rsid w:val="00022B71"/>
    <w:rsid w:val="000264A1"/>
    <w:rsid w:val="00052B0F"/>
    <w:rsid w:val="00060FB4"/>
    <w:rsid w:val="000D5788"/>
    <w:rsid w:val="00130890"/>
    <w:rsid w:val="001C770C"/>
    <w:rsid w:val="001D4F3D"/>
    <w:rsid w:val="00275210"/>
    <w:rsid w:val="00313CAF"/>
    <w:rsid w:val="0034770B"/>
    <w:rsid w:val="003650D0"/>
    <w:rsid w:val="00460BDE"/>
    <w:rsid w:val="004A05A0"/>
    <w:rsid w:val="004F346E"/>
    <w:rsid w:val="00556503"/>
    <w:rsid w:val="005A4C20"/>
    <w:rsid w:val="005E5C2A"/>
    <w:rsid w:val="00637171"/>
    <w:rsid w:val="006B4A77"/>
    <w:rsid w:val="006F42D4"/>
    <w:rsid w:val="00722ABC"/>
    <w:rsid w:val="00745702"/>
    <w:rsid w:val="0077415B"/>
    <w:rsid w:val="00783F60"/>
    <w:rsid w:val="007D248B"/>
    <w:rsid w:val="00813CE5"/>
    <w:rsid w:val="00843325"/>
    <w:rsid w:val="00890520"/>
    <w:rsid w:val="008A6D32"/>
    <w:rsid w:val="008E4B60"/>
    <w:rsid w:val="009807E8"/>
    <w:rsid w:val="009A5E54"/>
    <w:rsid w:val="009C5581"/>
    <w:rsid w:val="009D187A"/>
    <w:rsid w:val="009D42DB"/>
    <w:rsid w:val="009E4B65"/>
    <w:rsid w:val="00A3283A"/>
    <w:rsid w:val="00A72671"/>
    <w:rsid w:val="00AA6D80"/>
    <w:rsid w:val="00AB3AA2"/>
    <w:rsid w:val="00AC0F8D"/>
    <w:rsid w:val="00AD7841"/>
    <w:rsid w:val="00AE2E63"/>
    <w:rsid w:val="00B56C07"/>
    <w:rsid w:val="00BC3E21"/>
    <w:rsid w:val="00C0426F"/>
    <w:rsid w:val="00C152B0"/>
    <w:rsid w:val="00C53857"/>
    <w:rsid w:val="00C6193D"/>
    <w:rsid w:val="00C67DBD"/>
    <w:rsid w:val="00C90258"/>
    <w:rsid w:val="00CC700D"/>
    <w:rsid w:val="00CF7EA4"/>
    <w:rsid w:val="00D87D98"/>
    <w:rsid w:val="00F21925"/>
    <w:rsid w:val="00F96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Emphasis">
    <w:name w:val="Emphasis"/>
    <w:basedOn w:val="DefaultParagraphFont"/>
    <w:uiPriority w:val="20"/>
    <w:qFormat/>
    <w:rsid w:val="004A05A0"/>
    <w:rPr>
      <w:i/>
      <w:iCs/>
    </w:rPr>
  </w:style>
  <w:style w:type="character" w:styleId="Hyperlink">
    <w:name w:val="Hyperlink"/>
    <w:basedOn w:val="DefaultParagraphFont"/>
    <w:uiPriority w:val="99"/>
    <w:semiHidden/>
    <w:unhideWhenUsed/>
    <w:rsid w:val="00C152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 TargetMode="External"/><Relationship Id="rId13" Type="http://schemas.openxmlformats.org/officeDocument/2006/relationships/hyperlink" Target="https://icd.who.int/" TargetMode="External"/><Relationship Id="rId3" Type="http://schemas.openxmlformats.org/officeDocument/2006/relationships/webSettings" Target="webSettings.xml"/><Relationship Id="rId7" Type="http://schemas.openxmlformats.org/officeDocument/2006/relationships/hyperlink" Target="https://www.bps.org.uk/?utm_source=chatgpt.com" TargetMode="External"/><Relationship Id="rId12" Type="http://schemas.openxmlformats.org/officeDocument/2006/relationships/hyperlink" Target="https://www.oxfordhealthbrc.nihr.ac.uk/"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ngland.nhs.uk/"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nhs.uk/" TargetMode="External"/><Relationship Id="rId4" Type="http://schemas.openxmlformats.org/officeDocument/2006/relationships/footnotes" Target="footnotes.xml"/><Relationship Id="rId9" Type="http://schemas.openxmlformats.org/officeDocument/2006/relationships/hyperlink" Target="https://www.nice.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TotalTime>
  <Pages>9</Pages>
  <Words>2935</Words>
  <Characters>16732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Monalene Anne Ho (2311680)</cp:lastModifiedBy>
  <cp:revision>19</cp:revision>
  <dcterms:created xsi:type="dcterms:W3CDTF">2025-12-16T14:08:00Z</dcterms:created>
  <dcterms:modified xsi:type="dcterms:W3CDTF">2025-12-16T14:55:00Z</dcterms:modified>
</cp:coreProperties>
</file>